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2400" w:hanging="452"/>
        <w:spacing w:after="0" w:line="313"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257" w:lineRule="exact"/>
        <w:rPr>
          <w:sz w:val="24"/>
          <w:szCs w:val="24"/>
          <w:color w:val="auto"/>
        </w:rPr>
      </w:pPr>
    </w:p>
    <w:p>
      <w:pPr>
        <w:ind w:left="460"/>
        <w:spacing w:after="0"/>
        <w:tabs>
          <w:tab w:leader="none" w:pos="3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71"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color w:val="auto"/>
                <w:w w:val="88"/>
              </w:rPr>
              <w:t>(Exact name of registrant as specified in its charter)</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w w:val="88"/>
              </w:rPr>
              <w:t>England and Wales</w:t>
            </w:r>
          </w:p>
        </w:tc>
        <w:tc>
          <w:tcPr>
            <w:tcW w:w="2260" w:type="dxa"/>
            <w:vAlign w:val="bottom"/>
            <w:gridSpan w:val="2"/>
          </w:tcPr>
          <w:p>
            <w:pPr>
              <w:jc w:val="center"/>
              <w:ind w:left="484"/>
              <w:spacing w:after="0"/>
              <w:rPr>
                <w:sz w:val="20"/>
                <w:szCs w:val="20"/>
                <w:color w:val="auto"/>
              </w:rPr>
            </w:pPr>
            <w:r>
              <w:rPr>
                <w:rFonts w:ascii="Arial" w:cs="Arial" w:eastAsia="Arial" w:hAnsi="Arial"/>
                <w:sz w:val="18"/>
                <w:szCs w:val="18"/>
                <w:b w:val="1"/>
                <w:bCs w:val="1"/>
                <w:color w:val="auto"/>
                <w:w w:val="89"/>
              </w:rPr>
              <w:t>Not applicable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880" w:type="dxa"/>
            <w:vAlign w:val="bottom"/>
            <w:gridSpan w:val="5"/>
          </w:tcPr>
          <w:p>
            <w:pPr>
              <w:jc w:val="center"/>
              <w:ind w:right="18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260" w:type="dxa"/>
            <w:vAlign w:val="bottom"/>
            <w:gridSpan w:val="2"/>
          </w:tcPr>
          <w:p>
            <w:pPr>
              <w:jc w:val="center"/>
              <w:ind w:left="48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8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w w:val="88"/>
              </w:rPr>
              <w:t>incorporation or organization)</w:t>
            </w:r>
          </w:p>
        </w:tc>
        <w:tc>
          <w:tcPr>
            <w:tcW w:w="22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89"/>
              </w:rPr>
              <w:t>Identification No.)</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2 Pembroke House</w:t>
            </w:r>
          </w:p>
        </w:tc>
        <w:tc>
          <w:tcPr>
            <w:tcW w:w="1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b w:val="1"/>
                <w:bCs w:val="1"/>
                <w:color w:val="auto"/>
                <w:w w:val="90"/>
              </w:rPr>
              <w:t>Upper Pembroke Street 28-32, Dublin 2, Ireland</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(Address of principal executive offices)</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540" w:type="dxa"/>
            <w:vAlign w:val="bottom"/>
            <w:gridSpan w:val="4"/>
          </w:tcPr>
          <w:p>
            <w:pPr>
              <w:jc w:val="center"/>
              <w:ind w:left="4097"/>
              <w:spacing w:after="0"/>
              <w:rPr>
                <w:sz w:val="20"/>
                <w:szCs w:val="20"/>
                <w:color w:val="auto"/>
              </w:rPr>
            </w:pPr>
            <w:r>
              <w:rPr>
                <w:rFonts w:ascii="Arial" w:cs="Arial" w:eastAsia="Arial" w:hAnsi="Arial"/>
                <w:sz w:val="18"/>
                <w:szCs w:val="18"/>
                <w:b w:val="1"/>
                <w:bCs w:val="1"/>
                <w:color w:val="auto"/>
                <w:w w:val="88"/>
              </w:rPr>
              <w:t>+353 (0) 1 6699 020</w:t>
            </w: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80" w:type="dxa"/>
            <w:vAlign w:val="bottom"/>
            <w:gridSpan w:val="3"/>
          </w:tcPr>
          <w:p>
            <w:pPr>
              <w:jc w:val="center"/>
              <w:ind w:left="636"/>
              <w:spacing w:after="0"/>
              <w:rPr>
                <w:sz w:val="20"/>
                <w:szCs w:val="20"/>
                <w:color w:val="auto"/>
              </w:rPr>
            </w:pPr>
            <w:r>
              <w:rPr>
                <w:rFonts w:ascii="Arial" w:cs="Arial" w:eastAsia="Arial" w:hAnsi="Arial"/>
                <w:sz w:val="14"/>
                <w:szCs w:val="14"/>
                <w:color w:val="auto"/>
                <w:w w:val="86"/>
              </w:rPr>
              <w:t>(Registrant’s telephone number, including area code)</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780" w:type="dxa"/>
            <w:vAlign w:val="bottom"/>
            <w:gridSpan w:val="3"/>
          </w:tcPr>
          <w:p>
            <w:pPr>
              <w:spacing w:after="0"/>
              <w:rPr>
                <w:sz w:val="18"/>
                <w:szCs w:val="18"/>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80" w:type="dxa"/>
            <w:vAlign w:val="bottom"/>
            <w:gridSpan w:val="5"/>
          </w:tcPr>
          <w:p>
            <w:pPr>
              <w:jc w:val="center"/>
              <w:ind w:right="1800"/>
              <w:spacing w:after="0" w:line="201" w:lineRule="exact"/>
              <w:rPr>
                <w:sz w:val="20"/>
                <w:szCs w:val="20"/>
                <w:color w:val="auto"/>
              </w:rPr>
            </w:pPr>
            <w:r>
              <w:rPr>
                <w:rFonts w:ascii="Arial" w:cs="Arial" w:eastAsia="Arial" w:hAnsi="Arial"/>
                <w:sz w:val="18"/>
                <w:szCs w:val="18"/>
                <w:color w:val="auto"/>
                <w:w w:val="87"/>
              </w:rPr>
              <w:t>American Depositary Shares, each representing one Ordinary Share</w:t>
            </w: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gridSpan w:val="5"/>
          </w:tcPr>
          <w:p>
            <w:pPr>
              <w:jc w:val="center"/>
              <w:ind w:right="1800"/>
              <w:spacing w:after="0"/>
              <w:rPr>
                <w:sz w:val="20"/>
                <w:szCs w:val="20"/>
                <w:color w:val="auto"/>
              </w:rPr>
            </w:pPr>
            <w:r>
              <w:rPr>
                <w:rFonts w:ascii="Arial" w:cs="Arial" w:eastAsia="Arial" w:hAnsi="Arial"/>
                <w:sz w:val="18"/>
                <w:szCs w:val="18"/>
                <w:color w:val="auto"/>
                <w:w w:val="86"/>
              </w:rPr>
              <w:t>Ordinary Shares, 50 pence par value per share</w:t>
            </w:r>
          </w:p>
        </w:tc>
        <w:tc>
          <w:tcPr>
            <w:tcW w:w="294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The NASDAQ Stock Market LLC</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00" w:type="dxa"/>
            <w:vAlign w:val="bottom"/>
            <w:gridSpan w:val="4"/>
          </w:tcPr>
          <w:p>
            <w:pPr>
              <w:jc w:val="center"/>
              <w:ind w:right="70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None</w:t>
            </w:r>
          </w:p>
        </w:tc>
        <w:tc>
          <w:tcPr>
            <w:tcW w:w="1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16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60" w:type="dxa"/>
            <w:vAlign w:val="bottom"/>
            <w:gridSpan w:val="2"/>
          </w:tcPr>
          <w:p>
            <w:pPr>
              <w:spacing w:after="0"/>
              <w:rPr>
                <w:sz w:val="13"/>
                <w:szCs w:val="13"/>
                <w:color w:val="auto"/>
              </w:rPr>
            </w:pPr>
          </w:p>
        </w:tc>
        <w:tc>
          <w:tcPr>
            <w:tcW w:w="7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4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40" w:type="dxa"/>
            <w:vAlign w:val="bottom"/>
          </w:tcPr>
          <w:p>
            <w:pPr>
              <w:ind w:left="160"/>
              <w:spacing w:after="0" w:line="207" w:lineRule="exact"/>
              <w:rPr>
                <w:sz w:val="20"/>
                <w:szCs w:val="20"/>
                <w:color w:val="auto"/>
              </w:rPr>
            </w:pPr>
            <w:r>
              <w:rPr>
                <w:rFonts w:ascii="Arial" w:cs="Arial" w:eastAsia="Arial" w:hAnsi="Arial"/>
                <w:sz w:val="18"/>
                <w:szCs w:val="18"/>
                <w:color w:val="auto"/>
                <w:w w:val="94"/>
              </w:rPr>
              <w:t xml:space="preserve">YES </w:t>
            </w:r>
            <w:r>
              <w:rPr>
                <w:rFonts w:ascii="MS PGothic" w:cs="MS PGothic" w:eastAsia="MS PGothic" w:hAnsi="MS PGothic"/>
                <w:sz w:val="18"/>
                <w:szCs w:val="18"/>
                <w:color w:val="auto"/>
                <w:w w:val="94"/>
              </w:rPr>
              <w:t>☐</w:t>
            </w:r>
          </w:p>
        </w:tc>
        <w:tc>
          <w:tcPr>
            <w:tcW w:w="68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580" w:space="500"/>
            <w:col w:w="6360" w:space="720"/>
            <w:col w:w="13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580"/>
            <w:col w:w="160" w:space="40"/>
            <w:col w:w="6240" w:space="720"/>
            <w:col w:w="1940" w:space="80"/>
            <w:col w:w="160"/>
          </w:cols>
          <w:pgMar w:left="240" w:top="230" w:right="239" w:bottom="1440" w:gutter="0" w:footer="0" w:header="0"/>
          <w:type w:val="continuous"/>
        </w:sectPr>
      </w:pPr>
    </w:p>
    <w:p>
      <w:pPr>
        <w:spacing w:after="0" w:line="2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20" w:space="180"/>
            <w:col w:w="320" w:space="100"/>
            <w:col w:w="160" w:space="180"/>
            <w:col w:w="240" w:space="100"/>
            <w:col w:w="1820"/>
          </w:cols>
          <w:pgMar w:left="240" w:top="230" w:right="239" w:bottom="1440" w:gutter="0" w:footer="0" w:header="0"/>
          <w:type w:val="continuous"/>
        </w:sectPr>
      </w:pPr>
    </w:p>
    <w:p>
      <w:pPr>
        <w:ind w:right="40" w:firstLine="342"/>
        <w:spacing w:after="0" w:line="268"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2013 was approximately $785 million, based upon the closing price on the NASDAQ Capital Market reported for such date.</w:t>
      </w:r>
    </w:p>
    <w:p>
      <w:pPr>
        <w:spacing w:after="0" w:line="24" w:lineRule="exact"/>
        <w:rPr>
          <w:sz w:val="24"/>
          <w:szCs w:val="24"/>
          <w:color w:val="auto"/>
        </w:rPr>
      </w:pPr>
    </w:p>
    <w:p>
      <w:pPr>
        <w:ind w:right="120" w:firstLine="342"/>
        <w:spacing w:after="0" w:line="268" w:lineRule="auto"/>
        <w:rPr>
          <w:sz w:val="20"/>
          <w:szCs w:val="20"/>
          <w:color w:val="auto"/>
        </w:rPr>
      </w:pPr>
      <w:r>
        <w:rPr>
          <w:rFonts w:ascii="Arial" w:cs="Arial" w:eastAsia="Arial" w:hAnsi="Arial"/>
          <w:sz w:val="18"/>
          <w:szCs w:val="18"/>
          <w:color w:val="auto"/>
        </w:rPr>
        <w:t>172,440,210 shares held as American Depository Shares (ADS), each representing one Ordinary Share, 50 pence par value per share, and 465,853 Ordinary Shares, were outstanding as of February 20, 2014.</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160" w:firstLine="342"/>
        <w:spacing w:after="0" w:line="268" w:lineRule="auto"/>
        <w:rPr>
          <w:sz w:val="20"/>
          <w:szCs w:val="20"/>
          <w:color w:val="auto"/>
        </w:rPr>
      </w:pPr>
      <w:r>
        <w:rPr>
          <w:rFonts w:ascii="Arial" w:cs="Arial" w:eastAsia="Arial" w:hAnsi="Arial"/>
          <w:sz w:val="18"/>
          <w:szCs w:val="18"/>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60" w:type="dxa"/>
            <w:vAlign w:val="bottom"/>
            <w:gridSpan w:val="16"/>
          </w:tcPr>
          <w:p>
            <w:pPr>
              <w:ind w:left="7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r>
      <w:tr>
        <w:trPr>
          <w:trHeight w:val="353"/>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4"/>
        </w:trPr>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660" w:type="dxa"/>
            <w:vAlign w:val="bottom"/>
            <w:gridSpan w:val="9"/>
          </w:tcPr>
          <w:p>
            <w:pPr>
              <w:spacing w:after="0"/>
              <w:rPr>
                <w:sz w:val="22"/>
                <w:szCs w:val="22"/>
                <w:color w:val="auto"/>
              </w:rPr>
            </w:pPr>
          </w:p>
        </w:tc>
        <w:tc>
          <w:tcPr>
            <w:tcW w:w="340" w:type="dxa"/>
            <w:vAlign w:val="bottom"/>
          </w:tcPr>
          <w:p>
            <w:pPr>
              <w:spacing w:after="0"/>
              <w:rPr>
                <w:sz w:val="22"/>
                <w:szCs w:val="22"/>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780" w:type="dxa"/>
            <w:vAlign w:val="bottom"/>
            <w:gridSpan w:val="2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780" w:type="dxa"/>
            <w:vAlign w:val="bottom"/>
            <w:gridSpan w:val="2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Unresolved Staff Comments</w:t>
              </w:r>
            </w:hyperlink>
          </w:p>
        </w:tc>
        <w:tc>
          <w:tcPr>
            <w:tcW w:w="780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2"/>
              </w:rPr>
            </w:pPr>
            <w:hyperlink w:anchor="page56">
              <w:r>
                <w:rPr>
                  <w:rFonts w:ascii="Arial" w:cs="Arial" w:eastAsia="Arial" w:hAnsi="Arial"/>
                  <w:sz w:val="18"/>
                  <w:szCs w:val="18"/>
                  <w:color w:val="0000EE"/>
                  <w:w w:val="82"/>
                </w:rPr>
                <w:t>Properties</w:t>
              </w:r>
            </w:hyperlink>
          </w:p>
        </w:tc>
        <w:tc>
          <w:tcPr>
            <w:tcW w:w="9080" w:type="dxa"/>
            <w:vAlign w:val="bottom"/>
            <w:gridSpan w:val="2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780" w:type="dxa"/>
            <w:vAlign w:val="bottom"/>
            <w:gridSpan w:val="2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780" w:type="dxa"/>
            <w:vAlign w:val="bottom"/>
            <w:gridSpan w:val="2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04"/>
        </w:trPr>
        <w:tc>
          <w:tcPr>
            <w:tcW w:w="10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1"/>
          </w:tcPr>
          <w:p>
            <w:pPr>
              <w:jc w:val="center"/>
              <w:ind w:right="4640"/>
              <w:spacing w:after="0"/>
              <w:rPr>
                <w:rFonts w:ascii="Arial" w:cs="Arial" w:eastAsia="Arial" w:hAnsi="Arial"/>
                <w:sz w:val="18"/>
                <w:szCs w:val="18"/>
                <w:b w:val="1"/>
                <w:bCs w:val="1"/>
                <w:color w:val="0000EE"/>
                <w:w w:val="96"/>
              </w:rPr>
            </w:pPr>
            <w:hyperlink w:anchor="page58">
              <w:r>
                <w:rPr>
                  <w:rFonts w:ascii="Arial" w:cs="Arial" w:eastAsia="Arial" w:hAnsi="Arial"/>
                  <w:sz w:val="18"/>
                  <w:szCs w:val="18"/>
                  <w:b w:val="1"/>
                  <w:bCs w:val="1"/>
                  <w:color w:val="0000EE"/>
                  <w:w w:val="96"/>
                </w:rPr>
                <w:t>PART II</w:t>
              </w:r>
            </w:hyperlink>
          </w:p>
        </w:tc>
        <w:tc>
          <w:tcPr>
            <w:tcW w:w="34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79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Market For Registrant’s Common Equity, Related Stockholder Matters and Issuer Purchases of Equity Securities</w:t>
              </w:r>
            </w:hyperlink>
          </w:p>
        </w:tc>
        <w:tc>
          <w:tcPr>
            <w:tcW w:w="18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78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Selected Financial Data</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780" w:type="dxa"/>
            <w:vAlign w:val="bottom"/>
            <w:gridSpan w:val="2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6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350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1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Financial Statements and Supplementary Data</w:t>
              </w:r>
            </w:hyperlink>
          </w:p>
        </w:tc>
        <w:tc>
          <w:tcPr>
            <w:tcW w:w="560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780" w:type="dxa"/>
            <w:vAlign w:val="bottom"/>
            <w:gridSpan w:val="2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3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348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c>
          <w:tcPr>
            <w:tcW w:w="808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304"/>
        </w:trPr>
        <w:tc>
          <w:tcPr>
            <w:tcW w:w="10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14"/>
          </w:tcPr>
          <w:p>
            <w:pPr>
              <w:jc w:val="center"/>
              <w:ind w:right="4300"/>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340" w:type="dxa"/>
            <w:vAlign w:val="bottom"/>
          </w:tcPr>
          <w:p>
            <w:pPr>
              <w:spacing w:after="0"/>
              <w:rPr>
                <w:sz w:val="24"/>
                <w:szCs w:val="24"/>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39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Directors, Executive Officers and Corporate Governance</w:t>
              </w:r>
            </w:hyperlink>
          </w:p>
        </w:tc>
        <w:tc>
          <w:tcPr>
            <w:tcW w:w="500" w:type="dxa"/>
            <w:vAlign w:val="bottom"/>
            <w:gridSpan w:val="2"/>
          </w:tcPr>
          <w:p>
            <w:pPr>
              <w:spacing w:after="0"/>
              <w:rPr>
                <w:sz w:val="17"/>
                <w:szCs w:val="17"/>
                <w:color w:val="auto"/>
              </w:rPr>
            </w:pPr>
          </w:p>
        </w:tc>
        <w:tc>
          <w:tcPr>
            <w:tcW w:w="720" w:type="dxa"/>
            <w:vAlign w:val="bottom"/>
            <w:tcBorders>
              <w:top w:val="single" w:sz="8" w:color="0000EE"/>
            </w:tcBorders>
            <w:gridSpan w:val="7"/>
          </w:tcPr>
          <w:p>
            <w:pPr>
              <w:spacing w:after="0"/>
              <w:rPr>
                <w:sz w:val="17"/>
                <w:szCs w:val="17"/>
                <w:color w:val="auto"/>
              </w:rPr>
            </w:pPr>
          </w:p>
        </w:tc>
        <w:tc>
          <w:tcPr>
            <w:tcW w:w="458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780" w:type="dxa"/>
            <w:vAlign w:val="bottom"/>
            <w:gridSpan w:val="2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0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Security Ownership of Certain Beneficial Owners and Management and Related Stockholder Matters</w:t>
              </w:r>
            </w:hyperlink>
          </w:p>
        </w:tc>
        <w:tc>
          <w:tcPr>
            <w:tcW w:w="26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00" w:type="dxa"/>
            <w:vAlign w:val="bottom"/>
            <w:tcBorders>
              <w:bottom w:val="single" w:sz="8" w:color="0000EE"/>
            </w:tcBorders>
            <w:gridSpan w:val="22"/>
          </w:tcPr>
          <w:p>
            <w:pPr>
              <w:spacing w:after="0" w:line="196" w:lineRule="exact"/>
              <w:rPr>
                <w:rFonts w:ascii="Arial" w:cs="Arial" w:eastAsia="Arial" w:hAnsi="Arial"/>
                <w:sz w:val="18"/>
                <w:szCs w:val="18"/>
                <w:color w:val="0000EE"/>
                <w:w w:val="86"/>
              </w:rPr>
            </w:pPr>
            <w:hyperlink w:anchor="page86">
              <w:r>
                <w:rPr>
                  <w:rFonts w:ascii="Arial" w:cs="Arial" w:eastAsia="Arial" w:hAnsi="Arial"/>
                  <w:sz w:val="18"/>
                  <w:szCs w:val="18"/>
                  <w:color w:val="0000EE"/>
                  <w:w w:val="86"/>
                </w:rPr>
                <w:t>Certain Relationships and Related Transactions, and Director Independence</w:t>
              </w:r>
            </w:hyperlink>
          </w:p>
        </w:tc>
        <w:tc>
          <w:tcPr>
            <w:tcW w:w="448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780" w:type="dxa"/>
            <w:vAlign w:val="bottom"/>
            <w:gridSpan w:val="2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Accountant Fees and Services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304"/>
        </w:trPr>
        <w:tc>
          <w:tcPr>
            <w:tcW w:w="10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00" w:type="dxa"/>
            <w:vAlign w:val="bottom"/>
            <w:gridSpan w:val="13"/>
          </w:tcPr>
          <w:p>
            <w:pPr>
              <w:jc w:val="center"/>
              <w:ind w:right="4600"/>
              <w:spacing w:after="0"/>
              <w:rPr>
                <w:rFonts w:ascii="Arial" w:cs="Arial" w:eastAsia="Arial" w:hAnsi="Arial"/>
                <w:sz w:val="18"/>
                <w:szCs w:val="18"/>
                <w:b w:val="1"/>
                <w:bCs w:val="1"/>
                <w:color w:val="0000EE"/>
                <w:w w:val="98"/>
              </w:rPr>
            </w:pPr>
            <w:hyperlink w:anchor="page87">
              <w:r>
                <w:rPr>
                  <w:rFonts w:ascii="Arial" w:cs="Arial" w:eastAsia="Arial" w:hAnsi="Arial"/>
                  <w:sz w:val="18"/>
                  <w:szCs w:val="18"/>
                  <w:b w:val="1"/>
                  <w:bCs w:val="1"/>
                  <w:color w:val="0000EE"/>
                  <w:w w:val="98"/>
                </w:rPr>
                <w:t>PART IV</w:t>
              </w:r>
            </w:hyperlink>
          </w:p>
        </w:tc>
        <w:tc>
          <w:tcPr>
            <w:tcW w:w="340" w:type="dxa"/>
            <w:vAlign w:val="bottom"/>
          </w:tcPr>
          <w:p>
            <w:pPr>
              <w:spacing w:after="0"/>
              <w:rPr>
                <w:sz w:val="24"/>
                <w:szCs w:val="24"/>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500" w:type="dxa"/>
            <w:vAlign w:val="bottom"/>
            <w:gridSpan w:val="1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5"/>
          </w:tcPr>
          <w:p>
            <w:pPr>
              <w:spacing w:after="0"/>
              <w:rPr>
                <w:sz w:val="17"/>
                <w:szCs w:val="17"/>
                <w:color w:val="auto"/>
              </w:rPr>
            </w:pPr>
          </w:p>
        </w:tc>
        <w:tc>
          <w:tcPr>
            <w:tcW w:w="460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060" w:type="dxa"/>
            <w:vAlign w:val="bottom"/>
            <w:gridSpan w:val="10"/>
            <w:shd w:val="clear" w:color="auto" w:fill="0000EE"/>
          </w:tcPr>
          <w:p>
            <w:pPr>
              <w:spacing w:after="0" w:line="20" w:lineRule="exact"/>
              <w:rPr>
                <w:sz w:val="1"/>
                <w:szCs w:val="1"/>
                <w:color w:val="auto"/>
              </w:rPr>
            </w:pPr>
          </w:p>
        </w:tc>
        <w:tc>
          <w:tcPr>
            <w:tcW w:w="6720" w:type="dxa"/>
            <w:vAlign w:val="bottom"/>
            <w:gridSpan w:val="1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0860" w:type="dxa"/>
            <w:vAlign w:val="bottom"/>
            <w:gridSpan w:val="2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10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SPECIAL NOTE REGARDING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INDUSTRY DATA</w:t>
      </w:r>
    </w:p>
    <w:p>
      <w:pPr>
        <w:spacing w:after="0" w:line="16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Vascepa in its first approved indication, the MARINE indication, the potential for, and timing of, approval of the Vascepa Supplemental New Drug Application, or sNDA, by the United States Food and Drug Administration, or FDA, in its potential second indication, the ANCHOR indication; the safety and efficacy of our product candidates; the scope of our intellectual property protection and the likelihood of securing additional patent protection; estimates of the potential markets for our product candidates; the likelihood of qualifying additional third party manufacturing suppliers and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2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References in this report to “Amarin,” the “Company,” “we,” “our” and “us” refer to Amarin Corporation plc and its subsidiaries, on a consolidated basis, unless otherwise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Amarin Corporation plc (formerly Ethical Holdings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registered office is located at One New Change, London EC4M 9AF, England. Our principal offices are located at 2 Pembroke House, Upper Pembroke Street 28-32, Dublin 2 Ireland. Our primary office in the United States is located at 1430 Route 206, Bedminster, NJ 07921, USA. Our telephone number at that location is (908) 719-1315.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Annual Report on Form 10-K, our ordinary shares may also be referred to as “common shares” or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500mg/dL) hypertriglyceridemia. We refer to this approved indication for Vascepa as the MARINE indication. We began marketing and selling Vascepa in the United States in January 2013. Vascepa is available in the United States by prescription only. We market Vascepa through our sales force of approximately 150 sales professionals, including sales representatives and their managers.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500mg/dL), commonly known as very high triglyceride levels. According to </w:t>
      </w:r>
      <w:r>
        <w:rPr>
          <w:rFonts w:ascii="Arial" w:cs="Arial" w:eastAsia="Arial" w:hAnsi="Arial"/>
          <w:sz w:val="16"/>
          <w:szCs w:val="16"/>
          <w:i w:val="1"/>
          <w:iCs w:val="1"/>
          <w:color w:val="auto"/>
        </w:rPr>
        <w:t>The American Heart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Scientific Statement on Triglycerides and Cardiovascular Disease </w:t>
      </w:r>
      <w:r>
        <w:rPr>
          <w:rFonts w:ascii="Arial" w:cs="Arial" w:eastAsia="Arial" w:hAnsi="Arial"/>
          <w:sz w:val="16"/>
          <w:szCs w:val="16"/>
          <w:color w:val="auto"/>
        </w:rPr>
        <w:t>(2011), triglycerides also provide important information as a marker associated with the risk for</w:t>
      </w:r>
      <w:r>
        <w:rPr>
          <w:rFonts w:ascii="Arial" w:cs="Arial" w:eastAsia="Arial" w:hAnsi="Arial"/>
          <w:sz w:val="16"/>
          <w:szCs w:val="16"/>
          <w:i w:val="1"/>
          <w:iCs w:val="1"/>
          <w:color w:val="auto"/>
        </w:rPr>
        <w:t xml:space="preserve"> </w:t>
      </w:r>
      <w:r>
        <w:rPr>
          <w:rFonts w:ascii="Arial" w:cs="Arial" w:eastAsia="Arial" w:hAnsi="Arial"/>
          <w:sz w:val="16"/>
          <w:szCs w:val="16"/>
          <w:color w:val="auto"/>
        </w:rPr>
        <w:t>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potential efficacy and safety of Vascepa (known in its development stage as AMR 101) was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also developing Vascepa for the treatment of patients with high (TG ³ 200 mg/dL and &lt;500 mg/dL) triglyceride levels who are also on statin therapy for elevated low-density lipoprotein cholesterol, or LDL-C, levels which we refer to as mixed dyslipidemia. We refer to this second proposed indication for Vascepa as the ANCHOR indication. The FDA views the proposed ANCHOR indication as ostensibly and impliedly an indication to reduce cardiovascular risk. In addition, in December 2011, we announced commencement of patient dosing in our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 pending supplemental new drug application, or sNDA, with the FDA that seeks marketing approval of Vascepa for use in the ANCHOR indication. On October 16, 2013, the FDA convened an advisory committee to review our sNDA. This advisory committee was not asked by the FDA to evaluate whether Vascepa is effective in lowering triglycerides in the studied population, the ANCHOR indication as specified in the sNDA. Rather, the advisory panel was asked whether Vascepa has been demonstrated to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advisory committees, but final decisions on the approval of new drug applications are made by the FDA.</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ANCHOR trial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we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as sufficient to establish the effectiveness of a drug intended to reduce cardiovascular risk in subjects with serum triglyceride levels below 500 mg/dL. In November 2013, we submitted to the FDA a request for reconsideration of its decision to rescind the ANCHOR SPA agreement. On January 17, 2014, we were notified by the FDA that it does not intend to reinstate the ANCHOR SPA agreement. Our plan is to continue appealing the rescission decision to successively higher administrative levels within the FDA in accordance with FDA dispute resolution guidance.</w:t>
      </w:r>
    </w:p>
    <w:p>
      <w:pPr>
        <w:spacing w:after="0" w:line="12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FDA did not take action on the ANCHOR sNDA by the Prescription Drug User Fee Act, or PDUFA, goal date for completion of FDA’s review, December 20, 2013. Instead, the FDA notified us on December 19, 2013 that it would first consider our appeal of the ANCHOR SPA agreement rescission. No new PDUFA goal date for the ANCHOR sNDA was established. Based on information available to us, we do not expect a determination on the ANCHOR sNDA while our appeal of the January 17, 2014 FDA decision to uphold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ANCHOR SPA rescission is in process. We are also continuing our efforts toward a positive determination on the pending ANCHOR sNDA. There also can be no assurance that the FDA will not communicate the results of its review of the ANCHOR sNDA prior to the timing expected.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our communications with the FDA, we currently expect that final positive results from the REDUCE-IT outcomes study will be required for FDA approval of Vascepa for the ANCHOR indication. There can be no assurance that we will be successful in our effort to reinstate the ANCHOR SPA agreement or obtain a label expansion reflecting the ANCHOR clinical trial. Such label expansion could include FDA approval of the addition of an ANCHOR indication statement and/or the addition of the ANCHOR clinical trial data to our currently approved labeling.</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against approval of the ANCHOR indication, we implemented a worldwide reduction in force of approximately 50% of our staff positions. The majority of affected staff members were sales professionals who supported the initial commercial launch of Vascepa. We incurred approximately $2.8 million in charges related to the reduction in force, all of which includes cash expenditures for one-time termination benefits and associated costs. The charges were recorded in the fourth quarter of 2013 and the related payments will be made by the first half of 2014. As part of the reduction in force, we retained approximately 130 sales representatives, excluding sales management, in the United States in sales territories that we believe have demonstrated the greatest potential for Vascepa sales growth. We plan to have this team cover the target base of physicians responsible for the majority of Vascepa prescription volume and growth since its launch in early 2013. With these changes and resulting target base coverage, we anticipate continued Vascepa revenue growth over time. We also anticipate that such sales growth may be inconsistent from period to period.</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over 6,500 patients enrolled in the REDUCE-IT study. We currently estimate that we will complete patient enrollment in this study in the first half of 2015. However, if we do not receive an expansion of Vascepa labeling for the ANCHOR indication, we plan to re-evaluate continuation of the REDUCE-IT study in its present form and re-evaluate whether it is advisable to continue the study. If continued, the REDUCE-IT study will be completed after reaching an aggregate number of cardiovascular events. Based on event rates in other outcomes studies, we estimate completing the REDUCE-IT study in or about 2017 with results expected to be available in 2018. Based on the results of REDUCE-IT, we may seek additional indications for Vascepa beyond the indications studied in the ANCHOR or MARINE trials.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The results of this study support the feasibility of AMR102. We have suspended additional development of AMR102 pending resolution of the ANCHOR sNDA with the FDA. If we do not receive FDA approval for the ANCHOR indication, we may discontinue development of AMR102.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of Vascepa</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Vascepa became commercially available in the United States by prescription in early 2013, when we commenced sales and shipments to our network of U.S.-based wholesalers. On January 28, 2013, we commenced our full commercial launch of Vascepa in the United States for use in the MARINE indication. In preparation for our commercial launch, we hired and trained a direct sales force of approximately 275 sales representatives. In October 2013, we reduced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 and their managers. We also employ various marketing and medical affairs personnel to support our commercialization of Vascepa. Our clinical and commercial supply is provided to us under agreements with various third-party suppliers. As of February 1, 2014, over 16,000 clinicians had written prescriptions for Vascepa.</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2013, we completed our eleventh full calendar month of marketing and selling Vascepa. Based on monthly compilations of data provided by a third party, Symphony Health Solutions, the estimated number of normalized total Vascepa prescriptions for the year ended December 31, 2013 was approximately 225,000. According to data from another third party, IMS Health, the estimated number of normalized total Vascepa prescriptions was approximately 195,000 for that same period.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third party resources and may be subject to adjustment and may overstate or understate actual prescriptions. We recorded revenue of $26.4 million during the year ended December 31, 2013, all from sales of Vascepa in the U.S.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Although we believe these third-party-provided data are prepared on a period-to-period basis in a manner that is generally consistent and that such results are generally indicative of current prescription trends, these data are based on estimates and should not be relied upon as definitive. In addition, because of our limited selling history, during the year ended December 31, 2013, we only recognized revenue on product that was resold for purposes of filling prescriptions. Those prescription data may differ from data reported by other third parties.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commencing our U.S. commercial launch of Vascepa in January 2013, we had no revenue from Vascepa. Because of our limited selling history, changes in the size of our sales force and uncertainty regarding resolution of the ANCHOR sNDA with the FDA, we do not believe that we can provide a reasonably accurate forecast of Vascepa prescriptions or revenues. While we expect to be able to grow Vascepa revenues, we provide no quantified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commercial launch of a new pharmaceutical product is a complex undertaking, and our ability to effectively and profitably launch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believe that our sales and marketing teams are well positioned to support the commercialization of Vascepa for the MARINE indication. We also believe that a larger sales effort will be required to best support the commercialization of Vascepa for the ANCHOR indication, if the FDA approves such indication. To support the continued commercialization of Vascepa, we intend to consider strategic opportunities with larger pharmaceutical companies. From time to time we have held discussions with larger pharmaceutical companies on potential collaborations and other strategic opportunities, and we intend to continue having discussions regarding such opportunities in the future. These strategic opportunities may include licensing or similar transactions, joint ventures, partnerships, strategic alliances, business associations, or a sale of the company. However, we cannot estimate the timing of any such potential strategic transaction, and no assurance can be given that we will enter into any such strategic transaction. Until such time when we enter into such a strategic transaction, if ever, we plan to continue to execute on our plans to market and sell Vascepa on our own.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U.S. market is currently our primary focus for Vascepa. Opportunities to seek regulatory approval and to market and sell Vascepa outside of the United States are also under evaluation.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our cash balance of $191.5 million at December 31, 2013 is sufficient to fund our projected operations for at least the next twelve months, including continued commercialization of Vascepa in the United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States for the MARINE indication, preparations for commercialization of Vascepa in the United States for the ANCHOR indication, if approved, and the advancement of the REDUCE-IT cardiovascular outcomes study.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Lipid Disorders and Cardiovascular Disease</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Heart attacks, strokes and other cardiovascular events represent the leading cause of death and disability among men and women in western societies. According to the Heart Disease and Stroke Statistics—2014 Update from the American Heart Association, more than 1 out of every 3 adults in the U.S. (approximately 84 million) currently lives with one or more types of cardiovascular disease; an estimated 915,000 heart attacks and 795,000 strokes occur each year; an estimated 32 million adults ³20 years of age have high total serum cholesterol levels (³240 mg/dL), and an estimated 71 million adults ³20 years of age have borderline high or high low-density lipoprotein (“bad”) cholesterol, or LDL-C, levels (³130 mg/dL).</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cholesterol, lipoproteins such as LDL carry fats in the form of triglycerides. Hypertriglyceridemia refers to a condition in which patients have high levels of triglycerides in the bloodstream and has been recognized as an independent risk factor for cardiovascular disease. Triglyceride levels provide important information as a marker associated with the risk for heart disease and stroke, especially when an individual also has low high density lipoprotein cholesterol (HDL-C; often called “good” cholesterol) and elevated levels of LDL-C. The effect of Vascepa on cardiovascular mortality and morbidity in patients with hypertriglyceridemia has not been determined.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Guidelines for the management of very high triglyceride levels (³500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(apo B), non-HDL-C, very low density lipoprotein cholesterol (VLDL-C), and HDL-C. The effect of Vascepa on the risk for pancreatitis in patients with hypertriglyceridemia has not been determined.</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It is estimated that over 40 million adults in the United States have elevated triglyceride levels &gt;200mg/dL and approximately 3 to 4 million people in the United States have very high triglyceride levels (³500 mg/dL). Since 1976, mean triglyceride levels have increased, in concert with the growing epidemic of obesity, insulin resistance, and type 2 diabetes mellitus. In contrast, mean LDL-C levels have decreased.</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Therapies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It is estimated that approximately 4% or less of U.S. adults with triglyceride levels ³200 mg/dL are currently receiving prescription medication for lowering triglycerides. Many of these patients are taking statin therapy directed primarily at lowering their LDL-C levels.</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leading treatments to lower triglyceride levels are fibrates (fenofibrate and gemfibrozil), statins and a prescription only omega-3 fatty acid, known as Lovaza</w:t>
      </w:r>
      <w:r>
        <w:rPr>
          <w:rFonts w:ascii="Arial" w:cs="Arial" w:eastAsia="Arial" w:hAnsi="Arial"/>
          <w:sz w:val="10"/>
          <w:szCs w:val="10"/>
          <w:color w:val="auto"/>
        </w:rPr>
        <w:t>®</w:t>
      </w:r>
      <w:r>
        <w:rPr>
          <w:rFonts w:ascii="Arial" w:cs="Arial" w:eastAsia="Arial" w:hAnsi="Arial"/>
          <w:sz w:val="16"/>
          <w:szCs w:val="16"/>
          <w:color w:val="auto"/>
        </w:rPr>
        <w:t xml:space="preserve"> in the United States, and as Omacor</w:t>
      </w:r>
      <w:r>
        <w:rPr>
          <w:rFonts w:ascii="Arial" w:cs="Arial" w:eastAsia="Arial" w:hAnsi="Arial"/>
          <w:sz w:val="10"/>
          <w:szCs w:val="10"/>
          <w:color w:val="auto"/>
        </w:rPr>
        <w:t>®</w:t>
      </w:r>
      <w:r>
        <w:rPr>
          <w:rFonts w:ascii="Arial" w:cs="Arial" w:eastAsia="Arial" w:hAnsi="Arial"/>
          <w:sz w:val="16"/>
          <w:szCs w:val="16"/>
          <w:color w:val="auto"/>
        </w:rPr>
        <w:t xml:space="preserve"> in Europe. The use of fenofibrates can lead to abnormal liver function tests (an increase in ALT (alanine transaminase) or AST (aspartate transaminase), which are liver enzymes, and are commonly measured clinically as a part of a diagnostic liver function test to determine liver health), especially when used with statins. The use of gemfibrozil can lead to rhabdomyolysis (severe breakdown of muscles), especially when used with a statin. Lovaza is comprised of omega-3 ethyl esters, which the FDA has described as a complex mixture of eicosapentanoic acid, or EPA, docosahexaenoic acid, or DHA, and other fatty acids. We believe that DHA may increase LDL-C levels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and thereby partially offset one of the typically desired benefits of lipid-lowering therapies, which is lowering LDL-C. Also, in 2012, the FDA required an update to Lovaza product labeling to reflect the risk that Lovaza may increase the frequency of a heart rhythm problem known as atrial fibrillation, or heart flutter.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Benefits and Market Opportunity for Vascepa</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Vascepa is comprised of not less than 96% pure icosapent ethyl, or ethyl-EPA, and contains no DHA. We believe that the removal of DHA mitigates against the LDL-C raising effect observed in omega-3 compositions that include DHA, as well as removing the fishy taste and smell that is sometimes associated with DHA. Based on the results of the MARINE trial, Vascepa was the first omega-3 based product to demonstrate statistically significant triglyceride reduction without a statistically significant increase in LDL-C in this very high triglyceride population.</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that the results of the MARINE trial and Vascepa’s EPA only/DHA-free composition suggest that Vascepa has the potential to become a “best-in-class” triglyceride-lowering agent in the United States and the European Union. In addition, currently no omega-3 based product is approved in the United States for lowering high triglycerides in patients with mixed dyslipidemia. If approved in that indication, Vascepa has the potential to become “first-in-class” in the prescription-only omega-3 market for lowering triglycerides in patients with mixed dyslipidemia.</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believe the potential market for Vascepa is large and growing. We estimate that drug treatment for hypercholesterolemia patients exceeds $59 billion per year in the United States, with sales dominated by statin therapies. U.S. sales of fibrates as a class of products were approximately $3.8 billion in 2013 with generic fenofibrate and gemfibrozil leading the class. U.S. gross sales of Lovaza in 2013 were over $1.4 billion.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MARINE Trial (basis for currently FDA approved label for Vascepa)</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MARINE trial, the largest study ever conducted with the omega-3 fatty acid ethyl EPA in treating patients with very high triglycerides (³500 mg/dL), was a Phase 3, multi-center, placebo-controlled, randomized, double-blind, 12-week study. Patients were randomized into three treatment arms for treatment with Vascepa 4 gram/day, 2 gram/day or placebo. Patient enrollment in this trial began in December 2009, and enrollment and randomization was completed in August 2010 at 229 patients. The primary endpoint in the trial was the percentage change in triglyceride level from baseline compared to placebo after 12 weeks of treatment. The MARINE study was required to meet a stringent level of statistical significance of 1% (p &lt; 0.01) in our Special Protocol Assessment, or SPA, agreement with the FDA.</w:t>
      </w:r>
    </w:p>
    <w:p>
      <w:pPr>
        <w:spacing w:after="0" w:line="14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 pre-specified secondary analysis in the subgroup of patients with baseline triglyceride &gt; 750 mg/dL, representing 39% of all patients, the effect of Vascepa in reducing triglyceride levels compared to placebo was 45% for 4 grams and 33% for 2 grams, both statistically significant (p = 0.0001 for 4 grams and p= 0.0016 for 2 grams, respectively). The median baseline triglyceride levels in this subgroup were 1052 mg/dL, 902 mg/dL and 948 mg/dL for placebo, 4-gram and 2-gram groups, respectively. Twenty-five percent of patients in this trial were also on background statin therapy. These patients had greater median reduction in triglyceride levels, which was also statistically significant.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Importantly, the significant reduction in triglycerides was not associated with a statistically significant increase in median LDL-C compared to placebo at either dose (-2.3% for the 4-gram group and +5.2% for the 2-gram group [both p=NS]). In addition, there was a statistically significant decrease in median non-HDL-C (total cholesterol less so-called “good cholesterol”) compared to placebo with both of the Vascepa treated groups (-18% for the 4-gram group [p &lt; 0.001] and -8% for the 2-gram group [p &lt; 0.05]).</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MARINE trial results also included statistically significant reductions compared to placebo in several important lipid and inflammatory biomarkers, including apo B (apolipoprotein B) (8.5%), Lp-PLA2 (lipoprotein-phospholipase A2) (13.6%), VLDL-C (very low-density lipoprotein cholesterol) (28.6%), Total Cholesterol (16.3%), and hsCRP (high-sensitivity C-reactive protein) (36.0%) at the 4-gram dose. For these achieved endpoints, p-values were &lt;0.01 for most and &lt;0.05 for all. Apo B (apolipoprotein B) is believed to be a sensitive biomarker of cardiovascular risk and may be a better predictor of cardiovascular risk than LDL-C. Lp-PLA2 is an enzyme found in blood and atherosclerotic plaque; high levels have been implicated in the development and progression of atherosclerosis.</w:t>
      </w:r>
    </w:p>
    <w:p>
      <w:pPr>
        <w:spacing w:after="0" w:line="14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the MARINE trial, patients treated with 4 grams per day of Vascepa experienced a significant reduction in median placebo-adjusted lipoprotein particle concentrations of total LDL and small LDL. When looking at lipoprotein particle concentrations and sizes as measured with nuclear magnetic resonance spectroscopy, Vascepa 4 grams per day, compared with placebo, significantly reduced median total LDL particle count by 16.3% (p=0.0006), which is an important factor in atherogenesis. LDL particle count and apo B are important risk markers for the prediction of cardiovascular events. Small LDL particle count, which is a common risk factor for cardiovascular events in patients with diabetes, was reduced by 25.6% (p&lt;0.0001) compared with placebo. Vascepa 2 grams per day, compared with placebo, significantly reduced median small LDL particle count by 12.8% (p &lt;0.05) and reduced median total LDL particle count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 (NS). LDL particle size did not change significantly for the 2 or 4 grams doses.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Vascepa was well tolerated in the MARINE trial, with a safety profile comparable to placebo and there were no treatment-related serious adverse events observed. No significant changes in fasting blood glucose, hemoglobin A1C, vital signs, electrocardiograms, or liver or kidney function were observed with either Vascepa dose.</w:t>
      </w:r>
    </w:p>
    <w:p>
      <w:pPr>
        <w:spacing w:after="0" w:line="140"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Patients enrolled in the MARINE trial were given the option to be treated with Vascepa for a period of up to 40 weeks after their last dose in the double-blind portion of the trial. Once participants completed the randomized, double blind, placebo-controlled 12-week MARINE registration trial, patients in all three randomized groups (4 grams, 2 grams and placebo) were offered the opportunity to participate in the open label extension, or OLE, phase. Patients in the OLE phase received 4 grams per day of Vascepa for a period of up to an additional 40 weeks. As is typical of such extension phases, the OLE phase was not a controlled trial, as differentiated from the randomized, double blind, placebo-controlled 12-week MARINE registration trial. In the OLE phase, participants were not randomized at entry, Vascepa administration was open-label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Vascepa, whether used alone or in combination with other lipid-altering regimens.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ANCHOR Trial (basis for sNDA submitted to FDA seeking expanded indication for Vascepa)</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ANCHOR trial was a multi-center, placebo-controlled, randomized, double-blind, 12-week pivotal study in patients with high triglycerides (³ 200 and &lt;500 mg/dL) who were also receiving optimized statin therapy. Patients were randomized into three arms for treatment with Vascepa 4 gram/day, 2 gram/day 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Vascepa per day, respectively. The analysis of subgroups by baseline triglyceride tertiles showed that higher baseline triglycerides resulted in greater triglyceride reductions.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One of the trial’s secondary endpoints was to demonstrate a lack of elevation in LDL-C, the primary target of cholesterol lowering therapy. The trial’s non-inferiority criterion for LDL-C was met at both Vascepa doses. The upper confidence boundaries for both doses were below the pre-specified +6% LDL-C threshold limit. At the 4-gram dose the upper confidence boundary was below zero (-1.7%) and at the 2-gram dose the upper confidence boundary was close to zero (0.5%). For the 4 grams per day group, LDL-C decreased significantly by 6.2% from baseline versus placebo, demonstrating superiority over placebo (p=0.0067). For the 2-gram group, LDL-C decreased by 3.6% from baseline versus placebo (p=0.0867), which is not a statistically significant decrease.</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Other secondary efficacy endpoints included the median placebo-adjusted percent change in non-high-density lipoprotein cholesterol (non-HDL-C), apolipoprotein B (apo B), and lipoprotein-associated phospholipase A2 (Lp-PLA2). The 4-gram dose was associated with statistically significant reductions in non-HDL-C (13.6%, p&lt;0.0001), apo B (9.3%, p&lt;0.0001), Lp-PLA2 (19%, p&lt;0.0001) and high-sensitivity C-reactive protein (hsCRP) (22%, p&lt;0.001), at week 12 compared to placebo. In addition to the previously reported favorable lipid effects of Vascepa on hypertriglyceridemic patients in the MARINE and ANCHOR studies, a recently published analysis of these studies showed that the Vascepa 4-gram daily dose also significantly decreased levels of the inflammatory marker oxidized low-density lipoprotein relative to placebo.</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Vascepa was well tolerated in the ANCHOR trial with a safety profile comparable to placebo and there were no treatment-related serious adverse events observed. No significant changes in fasting blood glucose, hemoglobin A1C, vital signs, electrocardiograms, or liver or kidney function were observed with either Vascepa dose.</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have a pending sNDA with the FDA that seeks marketing approval of Vascepa for use in the ANCHOR indication. On October 16, 2013, the FDA convened an advisory committee to review our sNDA. This advisory committee was not asked by the FDA to evaluate whether Vascepa is effective in lowering triglycerides in the studied population, the ANCHOR indication as specified in the sNDA. Rather, the advisory panel was asked whether Vascepa has been demonstrated to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advisory committees, but final decisions on the approval of new drug applications are made by the FDA.</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ANCHOR trial clinical study was conducted under an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we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as sufficient to establish the effectiveness of a drug intended to reduce cardiovascular risk in subjects with serum triglyceride levels below 500 mg/dL. In November 2013, we submitted to the FDA a request for reconsideration of its decision to rescind the ANCHOR SPA agreement. On January 17, 2014, we were notified by the FDA that it does not intend to reinstate the ANCHOR SPA agreement. Our plan is to continue appealing the rescission decision to successively higher administrative levels within the FDA in accordance with FDA dispute resolution guidance.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Efficacy of Ethyl-EPA</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In Japan, ethyl-EPA is marketed under the product name of Epadel by Mochida Pharmaceutical Co. and is indicated for hyperlipidemia and peripheral vascular disease. Clinical data from Japan suggests that Epadel is effective in reducing triglycerides. In addition,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patients with triglyceride levels of ³ 150 mg/dL (average 269 mg/dL at entry) and HDL-C &lt;40 mg/dL. Epadel has been approved and available by prescription in Japan for over a decade. In 2013, the Japan Ministry of Health approved Epadel for over-the-counter sales.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Clinical Safety of Vascepa</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commencing the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have been dosed with Vascepa in these studies, with over 100 receiving continuous treatment for a year or more. In all studies performed to date, Vascepa has shown a favorable safety and tolerability profile. In both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to the MARINE and ANCHOR trials, we completed a 28-day pharmacokinetic study in healthy volunteers, a 26-week study to evaluate the toxicity of Vascepa in transgenic mice and multiple pharmacokinetic 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REDUCE-IT Study (currently ongoing cardiovascular outcomes study)</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August 2011, we reached agreement with the FDA on an SPA for the design of the REDUCE-IT (Reduction of Cardiovascular Events with EPA— Intervention Trial) cardiovascular outcomes study. In May 2013, we amended the patient enrollment criteria within the SPA agreement with the FDA. An SPA is an evaluation by the FDA of a protocol with the goal of reaching an agreement that the Phase 3 trial protocol design,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clinical endpoints, and statistical analyses are acceptable to support regulatory approval. The FDA agreed that, based on the information we submitted to the agency, the design and planned analysis of the REDUCE-IT study adequately addressed the objectives necessary to support a regulatory submission. An SPA is generally binding upon the FDA unless a substantial scientific issue essential to determining safety or efficacy of the drug is identified after the testing begins. Moreover, any change to a study protocol can invalidate an SPA.</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September 2011, we engaged a clinical research organization, or CRO, and began initial trial and clinical site preparation for REDUCE-IT. In December 2011, we announced that the first patient was dosed in the study. The study duration is dependent on the rate of clinical events in the study which rate may be affected by the number of patients enrolled in the study and the epidemiology of the patients enrolled in the study. Based on preliminary assumptions for patient enrollment rates and the clinical profile of these patients, it is assumed that fewer than 10,000 patients will be required to complete the study with an optimized target in which the study is completed in approximately six years of 8,000 patients.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REDUCE-IT study is designed to evaluate the efficacy of Vascepa in reducing major cardiovascular events in an at-risk patient population also receiving statin therapy. REDUCE-IT is a multi-center,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is comprised of patients on optimized statin therapy plus placebo. The active arm of the study is comprised of patients on optimized statin therapy plus Vascepa. All subjects enrolled in the study will have elevated triglyceride levels and either coronary heart disease or risk factors for coronary heart disease. This study is being conducted internationally.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currently expect that final positive results of the REDUCE-IT study will be required for FDA approval of Vascepa for the ANCHOR indication based on communications from the FDA. Based on the results of REDUCE-IT, we may seek additional indications for Vascepa beyond the indication studied in the ANCHOR and MARINE trials such as a potential indication for prevention of cardiovascular events, although there can be no assurance as to whether the results of the study will support any such indication.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Lipid Compounds and other Preclinical Programs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are also considering development of other next generation compounds based on our internal lipid science expertise, including potential combination and derivative therapies.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The results of this study support the feasibility of AMR102. We have suspended additional development of AMR102 pending resolution of the ANCHOR sNDA with the FDA. If we do not receive FDA approval for the ANCHOR indication, we may discontinue development of AMR102.</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believe that Vascepa and other lipid-based compositions may have an impact on a number of biological factors in the body such as anti-inflammatory mechanisms, cell membrane composition and plasticity, triglyceride levels and regulation of glucose metabolism. Currently all other clinic developments are in formulative or pre-clinical stages.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for Vascepa</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currently use third party manufacturers and suppliers to manufacture clinical and commercial quantities of ethyl-EPA, which constitutes the only active pharmaceutical ingredient, or API, within Vascepa, to encapsulate, bottle and package Vascepa and to maintain inventory of Vascepa. The FDA approval of Vascepa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July 2012 included the approval of one API manufacturer, Nisshin Pharma, Inc., or Nisshin, and one API encapsulator, Patheon, Inc., or Patheon (formerly Banner Pharmacaps Europe BV). Nisshin and Patheon are the API manufacturer and API encapsulator, respectively, with which we have had the longest working relationships. Their facilities were inspected by regulatory authorities as part of the process that led to the FDA’s July 2012 approval of Vascepa, and we believe that the facilities are qualified to continue to support our commercialization of Vascepa.</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rely exclusively on Patheon for the encapsulation of Vascepa. We have encapsulation agreements with two other commercial API encapsulators. These companies are working to qualify their processes and to prove that the Vascepa capsules they produce meet the same quality standards as the capsules produced by Patheon.</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purchasing API from Nisshin, we have also purchased API from Chemport, Inc., or Chemport. In December 2012, we announced our submissions of two sNDAs to the FDA seeking approval for Chemport and BASF (formerly Equateq Limited) as additional Vascepa API suppliers. In April 2013, the FDA approved our sNDAs covering Chemport and BASF as additional Vascepa API suppliers. BASF is working to complete validation of their facility for the manufacture of Vascepa. On December 30, 2013, we issued a notice of termination of our API agreement to BASF as a result of BASF’s non-compliance with the terms of such agreement. BASF is entitled to a 60-day cure period. In December 2012, we announced an agreement with an exclusive consortium of companies led by Slanmhor Pharmaceutical, Inc., or Slanmhor. Slanmhor was spun-out from Ocean Nutrition Canada, or ONC, prior to the May 2012 acquisition of ONC by Royal DSM N.V. We are working with Slanmhor to pursue FDA approval for this supplier to manufacture Vascepa API and we submitted a sNDA in August 2013. Slanmhor is working to complete construction and validation of their facility for the manufacture of Vascepa. The regulatory approval and facility validation of Slanmhor as an API supplier would give us an additional qualified worldwide supplier of API for Vascepa to utilize in supporting the global commercialization of Vascepa.</w:t>
      </w:r>
    </w:p>
    <w:p>
      <w:pPr>
        <w:spacing w:after="0" w:line="12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API material that constitutes ethyl-EPA is a naturally occurring substance which is sourced from qualified producers of fish oil. A limited number of other manufacturers have the ability, know-how and suitable facilities to produce ethyl-EPA to a similar level of purity. Among the conditions for FDA approval of a pharmaceutical product is the requirement that the manufacturer’s quality control and manufacturing procedures conform to current Good Manufacturing Practice, or cGMP, which must be followed at all times. The FDA typically inspects manufacturing facilities before regulatory approval of a product candidate, such as Vascepa, and on an ongoing basis. In complying with cGMP regulations, pharmaceutical manufacturers must expend resources and time to ensure compliance with product specifications as well as production, record keeping, quality control, reporting, and other requirements.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agreements with our API suppliers include minimum purchase commitments. During 2013 we fully met the aggregate minimum purchase requirements for metric tons of API contained in our supply agreements with Nisshin and Chemport. We may purchase more than the minimum requirements. We have not purchased any commercial supply from BASF as they have not completed the validation of their manufacturing process. If the manufacturing process is validated, there will be annual minimum purchase commitments under that supply agreement. If the sNDA for Slanhmor is approved and their manufacturing facility is validated, there will be annual minimum purchase commitments under that supply agreement. Certain of these agreements also contain provisions under which the cost of supply to us decreases as we purchase increased product volume and provisions under which the cost of supply to us changes based on increases or decreases in certain production costs. Certain of these agreements also contemplate phased capacity expansion aimed at creating sufficient capacity to meet anticipated demand for API material for Vascepa. Accordingly, certain of these suppliers are currently working to expand their production capabilities to manufacture the API for Vascepa. These API suppliers are self-funding these expansion and qualification plans with contributions from Amarin. There can be no assurance that additional suppliers will fully fund the capital costs of our engagement or that these additional suppliers will successfully qualify with the FDA. These contracts contain provisions for making lesser payments to these suppliers in lieu of purchasing the full minimum purchase requirements.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Plans</w:t>
      </w:r>
    </w:p>
    <w:p>
      <w:pPr>
        <w:spacing w:after="0" w:line="9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In January 2013, we commenced our full commercial launch of Vascepa in the United States for use in the MARINE indication. In preparation for our commercial launch, we hired and trained a direct sales force of approximately 275 sales representatives. In October 2013, we reduced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 and managers. We also employ various marketing and medical affairs personnel to support our commercialization of Vascepa. We currently target clinicians who are top prescribers of lipid regulating therapies. Our current sales team covers clinicians responsible for greater than 90% of Vascepa prescriptions fulfilled in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Product Development Programs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October 2009, the majority of Amarin’s product development activities were focused on central nervous system and other non-cardiovascular disorders. In October 2009, we completed a private placement resulting in gross proceeds of $70.0 million. These proceeds were used primarily to fund the MARINE and ANCHOR studies for Vascepa. In connection with this private placement, our board of directors and executive management changed significantly, and our research and development activities, as well as certain executive functions, were consolidated from multiple offices to our research and development headquarters in the United States. In connection with these changes, we re-focused our efforts on developing improved treatments for cardiovascular disease and ceased development of all product candidates outside of our cardiovascular disease focus. In particular, this decision resulted in our ceasing all direct development of product candidates on central nervous system disorders, which included product candidates for the treatment of Huntington’s disease, Myasthenia gravis and Parkinson’s disease.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severe hypertriglyceridemia, and AbbVie, Inc., which currently markets Tricor and Trilipix for the treatment of severe hypertriglyceridemia and mixed dyslipidemia and Niaspan, which is primarily used to raise HDL-C, but is also used to lower triglycerides. In March 2011, Pronova BioPharma Norge AS, now owned by BASF, which owns the patents for Lovaza, entered into an agreement with Apotex Corp. and Apotex Inc., or Apotex, to settle their patent litigation in the United States related to Lovaza. Pursuant to the terms of the settlement agreement, Pronova/BASF granted Apotex a license to enter the United States market with a generic version of Lovaza in the first quarter of 2015, or earlier depending on circumstances. In addition, Pronova /BASF recently lost an appeal in its patent infringement lawsuit against Teva Pharmaceuticals USA Inc., or Teva, and Par Pharmaceutical Inc., or Par, which would have prevented Teva and Par from launching generic versions of Lovaza. Apotex, Teva, and Par must obtain FDA approval of generic versions of Lovaza before they are permitted to sell such products in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United States. Other companies are also seeking to introduce generic versions of Lovaza. Each of these competitors has greater resources than we do, including financial, product development, marketing, personnel and other resources.</w:t>
      </w:r>
    </w:p>
    <w:p>
      <w:pPr>
        <w:spacing w:after="0" w:line="132" w:lineRule="exact"/>
        <w:rPr>
          <w:sz w:val="20"/>
          <w:szCs w:val="20"/>
          <w:color w:val="auto"/>
        </w:rPr>
      </w:pPr>
    </w:p>
    <w:p>
      <w:pPr>
        <w:ind w:firstLine="456"/>
        <w:spacing w:after="0" w:line="280"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These include a free fatty acid form of omega-3 (comprised of 55% EPA and 20% DHA) developed by Omthera Pharmaceuticals, now owned by AstraZeneca PLC. In July 2013, an NDA was submitted to the FDA seeking approval of this drug candidate for the treatment of severe hypertriglyceridemia. AstraZeneca has announced that the scheduled goal date for FDA approval of its product is May 5, 2014. We expect AstraZeneca will utilize its substantial commercial resources to market Omthera Pharmaceuticals’ product, if approved. We also understand that another company, Trygg Pharma AS, has completed a Phase 3 study of an omega-3 based drug candidate for severe hypertriglyceridemia, but we do not believe Trygg has announced results from that study. It is possible that Trygg Pharma has filed for FDA approval of its product candidate. In addition,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or Sancilio, are also developing potential treatments for hypertriglyceridemia based on omega-3 fatty acids and, to our knowledge, Catabasis initiated a Phase 2 clinical trial of its product in December 2013; Resolvyx’s compound remains in Phase 1 clinical testing; and Sancilio has recently filed an Investigational New Drug Application (IND) and is preparing to commence Phase 3 clinical trials. In addition, we are aware that Matinas BioPharma, Inc. is developing an omega-3-based therapeutic for the treatment of severe hypertriglyceridemia and mixed dyslipidemia. Matinas BioPharma, Inc. has reported that it is preparing to file an IND with the FDA and to conduct a human study in the first half of 2014. Isis Pharmaceuticals announced favorable Phase 2 results of ISIS-APOCIII</w:t>
      </w:r>
      <w:r>
        <w:rPr>
          <w:rFonts w:ascii="Arial" w:cs="Arial" w:eastAsia="Arial" w:hAnsi="Arial"/>
          <w:sz w:val="20"/>
          <w:szCs w:val="20"/>
          <w:color w:val="auto"/>
          <w:vertAlign w:val="subscript"/>
        </w:rPr>
        <w:t>Rx</w:t>
      </w:r>
      <w:r>
        <w:rPr>
          <w:rFonts w:ascii="Arial" w:cs="Arial" w:eastAsia="Arial" w:hAnsi="Arial"/>
          <w:sz w:val="16"/>
          <w:szCs w:val="16"/>
          <w:color w:val="auto"/>
        </w:rPr>
        <w:t xml:space="preserve">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13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Vascepa also faces competition from dietary supplement companies marketing omega-3 products as nutritional supplements. We cannot be sure physicians and pharmacists will view the FDA-approved prescription-only status, EPA-only purity of Vascepa and stringent regulatory oversight as significant advantages versus omega-3 supplements.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we expect that generic drug companies will seek to challenge the validity and enforceability of our patents and work toward FDA approval for generic versions of Vascepa.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 and Regulatory Matters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Any product development activities related to Vascepa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generated in two distinct development stages: pre-clinical and clinical. Our drugs must be approved by the FDA through the NDA process before they may be legally marketed in the United States. For new chemical entities, the pre-clinical development stage generally involves synthesizing the active component, developing the formulation and determining the manufacturing process, as well as carrying out non-human toxicology, pharmacology and drug metabolism studies which support subsequent clinical testing.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its safety in use, and may include comparisons with placebo and/or other comparator treatments. The duration of treatment is often extended to mimic the actual use of a product during marketing.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Drug Development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Prior to the start of human clinical studies for a new drug in the United States, preclinical laboratory and animal tests are often performed under the FDA’s Good Laboratory Practices regulations, or GLP, and an investigational new drug application, or IND, is filed with the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studies, they may suspend or terminate the study at any time. Studies must be conducted in accordance with good clinical practice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Following trial completion, trial data is analyzed to determine safety and efficacy. Data is then filed with the FDA in an NDA along with proposed labeling for the product and information about the manufacturing and testing processes and facilities that will be used to ensure product quality. The NDA must contain proof of safety, purity, potency and efficacy, which entails extensive pre-clinical and clinical testing. FDA approval of an NDA must be obtained before marketing a drug in the United States.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FDA will likely re-analyze the clinical trial data, which could result in extensive discussions between the FDA and us during the review process. The review and evaluation of applications by the FDA is extensive and time consuming and may take longer than originally planned to complete. The FDA may conduct a pre-approval inspection of the manufacturing facilities for the new product to determine whether they comply with current good manufacturing practice requirements and may also audit data from clinical and pre-clinical trials.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There is no assurance that the FDA will ultimately approve a drug product for marketing in the United States. Even if future indications for Vascepa are approved, the FDA’s review will be lengthy and we may encounter significant difficulties or costs during the review process. After approving any drug product,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standards or if problems occur following initial marketing.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European Union, or E.U., our future products may also be subject to extensive regulatory requirements. As in the United States, the marketing of medicinal products has been subject to the granting of marketing authorizations by regulatory agencies. Particular emphasis is also being placed on more sophisticated and faster procedures for reporting of adverse events to the competent authorities.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Similar to the United States, the various phases of pre-clinical and clinical research in the E.U. are subject to significant regulatory controls. Although the regulatory controls on clinical research are currently undergoing a harmonization process following the adoption of the Clinical Trials Directive 2001/20/EC, there are currently significant variations in the member state regimes. However, all member states currently require independent institutional review board approval of interventional clinical trials. With the exception of U.K. Phase 1 studies in healthy volunteers, all clinical trials require either prior governmental notification or approval. Most regulators also require the submission of adverse event reports during a study and a copy of the final study report.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the E.U., approval of new medicinal products can be obtained through one of three processes: the mutual recognition procedure, the centralized procedure and the decentralized procedure.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Mutual Recognition Procedure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An applicant submits an application in one E.U. member state, known as the reference member state. Once the reference member state has granted the marketing authorization, the applicant may choose to submit applications in other concerned member states, requesting them to mutually recognize the marketing authorizations already granted. Under this mutual recognition process, authorities in other concerned member states have 55 days to raise objections, which must then be resolved by discussions among the concerned member states, the reference member state and the applicant within 90 days of the commencement of the mutual recognition procedure. If any disagreement remains, all considerations by authorities in the concerned member states are suspended and the disagreement is resolved through an arbitration process. The mutual recognition procedure results in separate national marketing authorizations in the reference member state and each concerned member state.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Centralized Procedure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This procedure is currently mandatory for products developed by means of a biotechnological process and optional for new active substances and other “innovative medicinal products with novel characteristics.” Under this procedure, an application is submitted to the European Agency for the Evaluation of Medical Products. Two European Union member states are appointed to conduct an initial evaluation of each application. These countries each prepare an assessment report that is then used as the basis of a scientific opinion of the Committee on Proprietary Medical Products. If this opinion is favorable, it is sent to the European Commission, which drafts a decision. After consulting with the member states, the European Commission adopts a decision and grants a marketing authorization, which is valid throughout the European Union and confers the same rights and obligations in each of the member states as a marketing authorization granted by that member state.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Decentralized Procedure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most recently introduced of the three processes for obtaining approval of new medicinal processes in the E.U., the decentralized procedure is similar to the mutual recognition procedure described above, but with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differences in the timing that key documents are provided to concerned member states by the reference member state, the overall timing of the procedure and the possibility of “clock stops” during the procedure, among others.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Following approval of a new product, a pharmaceutical company generally must engage in numerous specific monitoring and recordkeeping activities and continue to submit periodic and other reports to the applicable regulatory agencies, including any cases of adverse events and appropriate quality control records. Modifications or enhancements to the products or labeling or changes of site of manufacture are often subject to the approval of the FDA and other regulators, which may or may not be received or may result in a lengthy review process.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U.S. Federal Food, Drug, and Cosmetic Act.</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approved facilities and in accordance with current good manufacturing practices, or cGMPs, and NDA holders must list their products and register 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using, or causing to be made or used, a false statement to get a false claim paid.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claims to be submitted because of the company’s marketing of the product for unapproved, and thus non-reimbursable, uses.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Because of the breadth of these laws and the narrowness of the safe harbors, it is possible that some of our business activities could be subject to challenge under one or more of such laws. Such a challenge could have a material adverse effect on our business, financial condition and results of operations. As a company marketing an FDA-approved product in the United States, our operations may be directly, or indirectly through our customers, subject to various federal and state fraud and abuse laws, including, without limitation, the federal anti-kickback statute.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39" w:lineRule="exact"/>
        <w:rPr>
          <w:sz w:val="20"/>
          <w:szCs w:val="20"/>
          <w:color w:val="auto"/>
        </w:rPr>
      </w:pPr>
    </w:p>
    <w:p>
      <w:pPr>
        <w:ind w:left="900" w:right="6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which imposes certain requirements relating to the privacy, security and transmission of individually identifiable health information; and</w:t>
      </w:r>
    </w:p>
    <w:p>
      <w:pPr>
        <w:spacing w:after="0" w:line="4" w:lineRule="exact"/>
        <w:rPr>
          <w:rFonts w:ascii="Arial" w:cs="Arial" w:eastAsia="Arial" w:hAnsi="Arial"/>
          <w:sz w:val="16"/>
          <w:szCs w:val="16"/>
          <w:color w:val="auto"/>
        </w:rPr>
      </w:pPr>
    </w:p>
    <w:p>
      <w:pPr>
        <w:ind w:left="900" w:right="60" w:hanging="325"/>
        <w:spacing w:after="0" w:line="335"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 law equivalents of each of the above federal laws, such as anti-kickback and false claims laws which may apply to items or services reimbursed by any third-party payer,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8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of which could adversely affect our ability to operate our business and our results of operations.</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A plan for the research will be developed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Most recently, in March 2010 the Patient Protection and Affordable Care Act, as amended by the Health Care and Education Reconciliation Act, or collectively the PPACA, was enacted, which includes measures to significantly change the way healthcare is financed by both governmental and private insurers. Among the provisions of the PPACA of greatest importance to the pharmaceutical and biotechnology industry are the following:</w:t>
      </w:r>
    </w:p>
    <w:p>
      <w:pPr>
        <w:spacing w:after="0" w:line="26" w:lineRule="exact"/>
        <w:rPr>
          <w:sz w:val="20"/>
          <w:szCs w:val="20"/>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requirements to report certain financial arrangements with physicians and others, including reporting any “transfer of value” made or distributed to prescribers and other healthcare providers and reporting any investment interests held by physicians and their immediate family members;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will have authority to recommend certain changes to the Medicare program that could result in reduced payments for prescription drugs and those recommendations could have the effect of law even if Congress does not act on the recommendations; and</w:t>
      </w:r>
    </w:p>
    <w:p>
      <w:pPr>
        <w:spacing w:after="0" w:line="59"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Many of the details regarding the implementation of the PPACA are yet to be determined, and at this time, it remains unclear the full effect that the PPACA would have on our business.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also comply with the U.S. Medicare-Medicaid Anti-Fraud and Abuse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The handling of any controlled substances must comply with the U.S. Controlled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Marketing Exclusivity</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The FDCA provides a five-year period of non-patent marketing exclusivity within the United States to the first applicant to gain approval of an NDA for a new chemical entity, or NCE. A drug is an NCE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Such three-year exclusivity protection would preclude the FDA from approving a marketing application for a duplicate of a pioneer drug, a product candidate that the FDA views as having the same conditions of approval as the pioneer drug (for example, the same indication and/or other conditions of use), or a 505(b)(2) NDA submitted to the FDA with the pioneer drug as the reference product, for a period of three years from the date of FDA approval, although the FDA may accept and commence review of such applications during the exclusivity period. This three-year exclusivity covers only the conditions associated with the new clinical investigations and does not prohibit the FDA from approving ANDAs for drugs containing the original active agent. Such three-year exclusivity grant would also not prevent a company from challenging the validity of patents covering the pioneer drug at any time. In this case, the pioneer drug company may be afforded the benefit of a 30-month stay against the launch of such a competitive product that would extend from the period that it responds to a pending patent challenge, and may also be afforded other extensions under applicable regulations, including a six-month pediatric exclusivity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extension or a judicial extension if applicable requirements are met. This three-year form of exclusivity may also not prevent the FDA from approving an NDA that relies only on its own data to support the change or innovation.</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Five-year and three-year exclusivity will not delay the submission or tentative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FDA typically makes a determination on marketing exclusivity in connection with, or soon after,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Such three-year exclusivity extends through July 25, 2015 and can be supplemented by a 30-month stay triggered after patent infringement litigation initiated by Amarin following a valid notice to Amarin of the filing of an application to the FDA seeking approval of a generic version of Vascepa.</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FDA marketing exclusivity is separate from, and in addition to, patent protection, trade secrets and manufacturing barriers to entry which also help protect Vascepa against generic competition.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also plan to seek regulatory exclusivity for Vascepa in Europe. There can be no assurance that we will be successful in securing marketing approval or regulatory exclusivity in the United States or in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Technology, Trade Secrets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ability to successfully implement our business plan and to protect our products with our intellectual property will depend in large part on our ability to:</w:t>
      </w:r>
    </w:p>
    <w:p>
      <w:pPr>
        <w:spacing w:after="0" w:line="113"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Annual Report, we had 40 patent applications in the United States that have been either issued or allowed and more than 30 additional patent applications are pending in the United States. Of such 40 allowed and issued applications, we currently have:</w:t>
      </w:r>
    </w:p>
    <w:p>
      <w:pPr>
        <w:spacing w:after="0" w:line="2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 issued U.S. patents directed to a pharmaceutical composition of Vascepa in a capsule that have terms that expire in 2020 and 2030, respectively,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29 U.S. patents covering the use of Vascepa in either the MARINE or anticipated ANCHOR indication that have terms that expire in 2030,</w:t>
      </w:r>
    </w:p>
    <w:p>
      <w:pPr>
        <w:spacing w:after="0" w:line="113"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6 additional patent applications for which the United States Patent and Trademark Office, or USPTO, has issued a Notice of Allowance each of which with terms that expire in 2030 and are related to the use of Vascepa in either the MARINE or anticipated ANCHOR indication,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ANCHOR patient population that expires in 2030, and</w:t>
      </w:r>
    </w:p>
    <w:p>
      <w:pPr>
        <w:spacing w:after="0" w:line="5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1 additional patent application for which the United States Patent and Trademark Office, or USPTO, has issued a Notice of Allowance with a term that expires in 2030 and is related to the use of a pharmaceutical composition comprised of free fatty acids to treat the MARINE patient population.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 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February 20, 2014 we had 185 full-time employees employed in sales, marketing, general and administrative and research and development functions.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relations with our employees are good.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February 20, 2014, we had the following subsidiaries: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12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0"/>
              </w:rPr>
              <w:t>Country of</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89"/>
              </w:rPr>
              <w:t>Subsidiary Name</w:t>
            </w:r>
          </w:p>
        </w:tc>
        <w:tc>
          <w:tcPr>
            <w:tcW w:w="5760" w:type="dxa"/>
            <w:vAlign w:val="bottom"/>
            <w:vMerge w:val="restart"/>
          </w:tcPr>
          <w:p>
            <w:pPr>
              <w:spacing w:after="0"/>
              <w:rPr>
                <w:sz w:val="12"/>
                <w:szCs w:val="12"/>
                <w:color w:val="auto"/>
              </w:rPr>
            </w:pPr>
          </w:p>
        </w:tc>
        <w:tc>
          <w:tcPr>
            <w:tcW w:w="21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Ownership Interest and</w:t>
            </w:r>
          </w:p>
        </w:tc>
        <w:tc>
          <w:tcPr>
            <w:tcW w:w="0" w:type="dxa"/>
            <w:vAlign w:val="bottom"/>
          </w:tcPr>
          <w:p>
            <w:pPr>
              <w:spacing w:after="0"/>
              <w:rPr>
                <w:sz w:val="1"/>
                <w:szCs w:val="1"/>
                <w:color w:val="auto"/>
              </w:rPr>
            </w:pPr>
          </w:p>
        </w:tc>
      </w:tr>
      <w:tr>
        <w:trPr>
          <w:trHeight w:val="153"/>
        </w:trPr>
        <w:tc>
          <w:tcPr>
            <w:tcW w:w="1040" w:type="dxa"/>
            <w:vAlign w:val="bottom"/>
            <w:tcBorders>
              <w:bottom w:val="single" w:sz="8" w:color="auto"/>
            </w:tcBorders>
            <w:vMerge w:val="continue"/>
          </w:tcPr>
          <w:p>
            <w:pPr>
              <w:spacing w:after="0"/>
              <w:rPr>
                <w:sz w:val="12"/>
                <w:szCs w:val="12"/>
                <w:color w:val="auto"/>
              </w:rPr>
            </w:pPr>
          </w:p>
        </w:tc>
        <w:tc>
          <w:tcPr>
            <w:tcW w:w="5760" w:type="dxa"/>
            <w:vAlign w:val="bottom"/>
            <w:vMerge w:val="continue"/>
          </w:tcPr>
          <w:p>
            <w:pPr>
              <w:spacing w:after="0"/>
              <w:rPr>
                <w:sz w:val="12"/>
                <w:szCs w:val="12"/>
                <w:color w:val="auto"/>
              </w:rPr>
            </w:pPr>
          </w:p>
        </w:tc>
        <w:tc>
          <w:tcPr>
            <w:tcW w:w="2120" w:type="dxa"/>
            <w:vAlign w:val="bottom"/>
            <w:gridSpan w:val="2"/>
          </w:tcPr>
          <w:p>
            <w:pPr>
              <w:jc w:val="center"/>
              <w:ind w:right="1180"/>
              <w:spacing w:after="0" w:line="148" w:lineRule="exact"/>
              <w:rPr>
                <w:sz w:val="20"/>
                <w:szCs w:val="20"/>
                <w:color w:val="auto"/>
              </w:rPr>
            </w:pPr>
            <w:r>
              <w:rPr>
                <w:rFonts w:ascii="Arial" w:cs="Arial" w:eastAsia="Arial" w:hAnsi="Arial"/>
                <w:sz w:val="14"/>
                <w:szCs w:val="14"/>
                <w:b w:val="1"/>
                <w:bCs w:val="1"/>
                <w:color w:val="auto"/>
                <w:w w:val="86"/>
              </w:rPr>
              <w:t>or Registration</w:t>
            </w:r>
          </w:p>
        </w:tc>
        <w:tc>
          <w:tcPr>
            <w:tcW w:w="15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Voting Power Held</w:t>
            </w:r>
          </w:p>
        </w:tc>
        <w:tc>
          <w:tcPr>
            <w:tcW w:w="0" w:type="dxa"/>
            <w:vAlign w:val="bottom"/>
          </w:tcPr>
          <w:p>
            <w:pPr>
              <w:spacing w:after="0"/>
              <w:rPr>
                <w:sz w:val="1"/>
                <w:szCs w:val="1"/>
                <w:color w:val="auto"/>
              </w:rPr>
            </w:pPr>
          </w:p>
        </w:tc>
      </w:tr>
      <w:tr>
        <w:trPr>
          <w:trHeight w:val="20"/>
        </w:trPr>
        <w:tc>
          <w:tcPr>
            <w:tcW w:w="6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Amarin Pharmaceuticals Ireland Limited</w:t>
            </w:r>
          </w:p>
        </w:tc>
        <w:tc>
          <w:tcPr>
            <w:tcW w:w="94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gridSpan w:val="2"/>
            <w:vMerge w:val="continue"/>
            <w:shd w:val="clear" w:color="auto" w:fill="CCEEFF"/>
          </w:tcPr>
          <w:p>
            <w:pPr>
              <w:spacing w:after="0"/>
              <w:rPr>
                <w:sz w:val="17"/>
                <w:szCs w:val="17"/>
                <w:color w:val="auto"/>
              </w:rPr>
            </w:pPr>
          </w:p>
        </w:tc>
        <w:tc>
          <w:tcPr>
            <w:tcW w:w="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Ireland</w:t>
            </w:r>
          </w:p>
        </w:tc>
        <w:tc>
          <w:tcPr>
            <w:tcW w:w="118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1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Neuroscience Limited</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Scotland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Corsicanto Ltd</w:t>
            </w:r>
          </w:p>
        </w:tc>
        <w:tc>
          <w:tcPr>
            <w:tcW w:w="212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Ester Neurosciences Limited</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Our registered office is located at One New Change, London EC4M 9AF, England. Our principal offices are located at 2 Pembroke House, Upper Pembroke Street 28-32, Dublin 2 Ireland. Our primary offices in the United States are located at 1430 Route 206, Bedminster, NJ 07921, USA. Our telephone number at that location is (908) 719-1315. Our website address is </w:t>
      </w:r>
      <w:r>
        <w:rPr>
          <w:rFonts w:ascii="Arial" w:cs="Arial" w:eastAsia="Arial" w:hAnsi="Arial"/>
          <w:sz w:val="18"/>
          <w:szCs w:val="18"/>
          <w:i w:val="1"/>
          <w:iCs w:val="1"/>
          <w:color w:val="auto"/>
        </w:rPr>
        <w:t>www.amarincorp.com .</w:t>
      </w:r>
      <w:r>
        <w:rPr>
          <w:rFonts w:ascii="Arial" w:cs="Arial" w:eastAsia="Arial" w:hAnsi="Arial"/>
          <w:sz w:val="18"/>
          <w:szCs w:val="18"/>
          <w:color w:val="auto"/>
        </w:rPr>
        <w:t xml:space="preserve"> No information contained on, or accessible through, our website is incorporated by reference into this Annual Report on Form 10-K.</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As of the date of this Annual Report on Form 10-K, our principal operating activities were being conducted by Amarin Corporation plc, together with Amarin Pharmaceuticals Ireland Limited and Amarin Pharma, Inc., with little to no operating activity being conducted by Amarin Neuroscience Limited, Corsicanto Ltd, or Ester Neurosciences Limited.</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The notes are the senior unsecured obligations of Corsicanto and are guaranteed by Amarin Corporation plc. Corsicanto was formed in November 2011 and was subsequently acquired by Amarin in January 2012 for the sole purpose of facilitating this financing transaction.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information required under this Item 1 is incorporated herein by reference to Item 8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You are advised to read this Annual Report on Form 10-K in conjunction with other reports and documents that we file from time to time with the Securities and Exchange Commission, or SEC. You may obtain copies of these reports after the date of this annual report directly from us or from the SEC at the SEC’s Public Reference Room at 100 F Street, N.E. Washington, D.C. 20549. In addition, the SEC maintains information for electronic filers (including Amarin) at its website at www.sec.gov. The public may obtain information regarding the operation of the Public Reference Room by calling the SEC at 1-800-SEC-0330. We make our periodic and current reports, as well as any amendments to such reports, available on our internet website, free of charge, as soon as reasonably practicable after such material is electronically filed with, or furnished to, the SEC.</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the potential clinical benefits and market potential of our product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candidates, commercial market estimates, future development efforts, patent protection, effects of healthcare reform, reliance on third parties, and other risks set forth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6" w:lineRule="exact"/>
        <w:rPr>
          <w:sz w:val="20"/>
          <w:szCs w:val="20"/>
          <w:color w:val="auto"/>
        </w:rPr>
      </w:pPr>
    </w:p>
    <w:p>
      <w:pPr>
        <w:ind w:left="240" w:right="60"/>
        <w:spacing w:after="0" w:line="323" w:lineRule="auto"/>
        <w:rPr>
          <w:sz w:val="20"/>
          <w:szCs w:val="20"/>
          <w:color w:val="auto"/>
        </w:rPr>
      </w:pPr>
      <w:r>
        <w:rPr>
          <w:rFonts w:ascii="Arial" w:cs="Arial" w:eastAsia="Arial" w:hAnsi="Arial"/>
          <w:sz w:val="15"/>
          <w:szCs w:val="15"/>
          <w:b w:val="1"/>
          <w:bCs w:val="1"/>
          <w:i w:val="1"/>
          <w:iCs w:val="1"/>
          <w:color w:val="auto"/>
        </w:rPr>
        <w:t>Our ability to generate increased revenue over the next few years depends, in part, on FDA approval for the use of Vascepa in the ANCHOR indication in the United States and we may be delayed in obtaining, or never obtain, such approval. In October 2013 an advisory committee convened by the FDA voted 9 to 2 against recommending approval of Vascepa in the ANCHOR indication and the FDA has rescinded our ANCHOR clinical trial Special Protocol Assessment Agreement, as a result of which there is a significant risk that FDA will not approve Vascepa for this indication.</w:t>
      </w:r>
    </w:p>
    <w:p>
      <w:pPr>
        <w:spacing w:after="0" w:line="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While we are currently marketing Vascepa for use in the MARINE indication in the United States, our ability to commercialize Vascepa in the ANCHOR indication in the United States or market Vascepa for either indication outside of the United States is dependent upon receiving additional regulatory approvals. In April 2013, the FDA accepted our Supplemental New Drug Application, or sNDA, which seeks approval for the use of Vascepa in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LDL-C levels, which we refer to as the ANCHOR indication. The FDA originally assigned the sNDA a Prescription Drug User Fee Act, or PDUFA, date of December 20, 2013 for the completion of its review. The PDUFA date is the goal date for the FDA to complete its review of the sNDA. On December 19, 2013, the FDA notified us it did not expect to take action on our sNDA on December 20, 2013 because our request to re-instate the ANCHOR special protocol assessment, or SPA, agreement remained under consideration with the FDA. Our request to reinstate the ANCHOR SPA was denied and we are in the process of appealing that decision. No new PDUFA date has been established.</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October 16, 2013 the FDA convened an advisory committee meeting to review the sNDA for the ANCHOR indication. At the meeting, the advisory committee voted 9 to 2 against recommending approval of Vascepa, based on the following question:</w:t>
      </w:r>
    </w:p>
    <w:p>
      <w:pPr>
        <w:spacing w:after="0" w:line="51" w:lineRule="exact"/>
        <w:rPr>
          <w:sz w:val="20"/>
          <w:szCs w:val="20"/>
          <w:color w:val="auto"/>
        </w:rPr>
      </w:pPr>
    </w:p>
    <w:p>
      <w:pPr>
        <w:ind w:left="460" w:right="420"/>
        <w:spacing w:after="0" w:line="259" w:lineRule="auto"/>
        <w:rPr>
          <w:sz w:val="20"/>
          <w:szCs w:val="20"/>
          <w:color w:val="auto"/>
        </w:rPr>
      </w:pPr>
      <w:r>
        <w:rPr>
          <w:rFonts w:ascii="Arial" w:cs="Arial" w:eastAsia="Arial" w:hAnsi="Arial"/>
          <w:sz w:val="18"/>
          <w:szCs w:val="18"/>
          <w:color w:val="auto"/>
        </w:rPr>
        <w:t>Taking into account the described efficacy and safety data for Vascepa, do you believe that its effects on the described lipid/lipoprotein parameters are sufficient to grant approval for co-administration with statin therapy for the treatment of patients with mixed dyslipidemia and CHD or CHD risk equivalent prior to the completion of REDUCE-IT?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advisory committee meeting, based in part on the briefing materials prepared by the FDA for the meeting, the advisory committee reviewed the safety and efficacy data observed in the ANCHOR trial. This included a discussion regarding observed nominally statistically significant changes from baseline in an adverse direction, while on background statin therapy, in certain lipid parameters, including TGs, in the placebo group, raising the possibility that the mineral oil placebo used in the ANCHOR trial (and in the REDUCE-IT trial) was not biologically inert and might be viewed as artificially exaggerating the clinical effect of Vascepa when measured against placebo in the ANCHOR trial. Because no strong evidence for biological activity of mineral oil was identified by the FDA in the MARINE trial, ultimately it was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Following this discussion at the advisory committee meeting, while no formal vote was taken related to the inert nature of the placebo, we believe that the consensus of the advisory committee, although not unanimous, and the FDA was that, based on the information made available to the advisory committee and FDA at the meeting, Vascepa appeared to be safe and effective for the reduction of TGs in patients with mixed dyslipidemia on statin therapy.</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However, there was also extensive discussion during the advisory committee meeting regarding the expected clinical benefit of a reduction in TGs in this patient population. That is, whether the clinical data derived from the ANCHOR trial was a sufficient basis for approval. In particular, the advisory committee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FDA noted the lack of prospective, controlled clinical trial data demonstrating that pharmacological reduction of TGs in patients with mixed dyslipidemia on statin therapy significantly reduces residual cardiovascular risk in these patients. The FDA noted that prior clinical outcomes studies conducted by others, albeit in different patient populations, evaluating different drugs with different mechanisms of action, failed to demonstrate a statistically significant reduction in cardiovascular events following concomitant use of drug therapy in patients on statin therapy. We believe that the negative vote of the advisory committee was principally due to the lack of recent conclusive data in these clinical outcomes studies in favor of the hypothesis that TG reduction will result in reduced cardiovascular risk. The FDA is not bound by the recommendations of the advisory board, but it generally follows such recommendations.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Special Protocol Assessment, or SPA, agreement is an agreement with the FDA that Phase 3 trial protocol design, clinical endpoints, and planned statistical analyses are acceptable to support regulatory approval. A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On October 29, 2013, the FDA notified us that it rescinded the SPA agreement we entered into for the ANCHOR trial protocol because the FDA determined that a substantial scientific issue essential to determining the effectiveness of Vascepa in the studied population was identified after testing began. As a basis for this determination, the FDA communicated that, consistent with discussion at the advisory committee meeting, it determined that results from outcome studies of other triglyceride-lowering drugs failed to support the hypothesis that a triglyceride-lowering drug significantly reduces the risk for cardiovascular events among the population studied in the ANCHOR trial. Thus, the FDA stated that it no longer considers a change in serum triglyceride levels as sufficient to establish the effectiveness of a drug intended to reduce cardiovascular risk in subjects with serum triglyceride levels below 500 mg/dL. On November 7, 2013, we submitted to the FDA a formal appeal of its decision to rescind the SPA including documents outlining why we believe the SPA was wrongfully rescinded.</w:t>
      </w:r>
    </w:p>
    <w:p>
      <w:pPr>
        <w:spacing w:after="0" w:line="12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November 21, 2013, we received notification from the dispute resolution group of the Office of New Drugs at the FDA that it had not accepted for review, on procedural grounds, our appeal regarding the rescission of the SPA. We were also notified by the FDA that our request for a meeting at a high level within the FDA regarding the appeal was not granted and that we would first need to address the matter at the division level within the FDA. On December 19, 2013, the FDA notified us it did not expect to take action on our sNDA on December 20, 2013 because our request to re-instate the ANCHOR SPA agreement remained under consideration with the FDA. The FDA also communicated to us that, as of December 19, 2013, it viewed our appeal of the ANCHOR SPA agreement rescission and the ANCHOR sNDA as separate administrative decisions worthy of separate consideration and that it FDA planned to complete its review of our request to re-instate the ANCHOR SPA agreement. The FDA provided no additional information on when it expects to complete its review of the ANCHOR sNDA. On January 17, 2014, the Division of Metabolism and Endocrinology Products, or DMEP, within the FDA notified Amarin in connection with Amarin’s request for reconsideration of the October 2013 decision to rescind the ANCHOR SPA agreement that the DMEP “does not plan to re-instate the ANCHOR SPA agreement.” Our plan is to continue appealing the rescission decision to successively higher administrative levels within the FDA in accordance with FDA dispute resolution guidance. Neither the DMEP nor FDA provided additional information on when it expects to complete its review of the ANCHOR sNDA. There can be no assurance that we will be successful in the reinstatement of the ANCHOR SPA agreement or in approval of the ANCHOR indication sNDA.</w:t>
      </w:r>
    </w:p>
    <w:p>
      <w:pPr>
        <w:spacing w:after="0" w:line="12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our communications with the FDA, we currently expect that final positive results from the REDUCE-IT outcomes study will be required for FDA approval of Vascepa for the ANCHOR indication.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best to continue or discontinue the study. We anticipate that in any such re-evaluation we will seek further feedback from the FDA. The aggregate cost to complete REDUCE-IT, excluding amounts previously expensed, is estimated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exceed $100 million, which is a significant financial burden given our current financial position. To the extent the FDA conditions approval of Vascepa for the ANCHOR indication on its review of the data from the REDUCE-IT trial, Vascepa may never be approved for this indication. Any delay in obtaining, or an inability to obtain, marketing approval in this indication would prevent us from growing revenue and could have a material adverse effect on our operations and financial condition, including our ability to reach profitability.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from the FDA in July 2012 for the MARINE indication, may prove to not have the scope or breadth needed for us to successfully commercialize Vascepa or become profitable.</w:t>
      </w:r>
    </w:p>
    <w:p>
      <w:pPr>
        <w:spacing w:after="0" w:line="224"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Our SPA agreement for ANCHOR has been rescinded and our SPA agreement for REDUCE-IT is not a guarantee of FDA approval of Vascepa for the proposed REDUCE-IT indication.</w:t>
      </w:r>
    </w:p>
    <w:p>
      <w:pPr>
        <w:spacing w:after="0" w:line="51" w:lineRule="exact"/>
        <w:rPr>
          <w:sz w:val="20"/>
          <w:szCs w:val="20"/>
          <w:color w:val="auto"/>
        </w:rPr>
      </w:pPr>
    </w:p>
    <w:p>
      <w:pPr>
        <w:ind w:right="320" w:firstLine="456"/>
        <w:spacing w:after="0" w:line="290" w:lineRule="auto"/>
        <w:rPr>
          <w:sz w:val="20"/>
          <w:szCs w:val="20"/>
          <w:color w:val="auto"/>
        </w:rPr>
      </w:pPr>
      <w:r>
        <w:rPr>
          <w:rFonts w:ascii="Arial" w:cs="Arial" w:eastAsia="Arial" w:hAnsi="Arial"/>
          <w:sz w:val="16"/>
          <w:szCs w:val="16"/>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October 29, 2013, the FDA notified us that it rescinded the ANCHOR study SPA agreement because the FDA determined that a substantial scientific issue essential to determining the effectiveness of Vascepa in the studied population was identified after testing began. Specifically, consistent with discussion at the advisory committee meeting, the FDA determined that results from outcome studies of other triglyceride-lowering drugs failed to support the hypothesis that a triglyceride-lowering drug significantly reduces the risk for cardiovascular events among the population studied in the ANCHOR trial. In response to our appeal of the decision to rescind the ANCHOR SPA agreement, on January 17, 2014, the DMEP within the FDA notified Amarin in connection with Amarin’s request for reconsideration of the October 2013 decision to rescind the ANCHOR SPA agreement that the DMEP “does not plan to re-instate the ANCHOR SPA agreement.” Thus, the DMEP stated that it no longer considers a change in serum triglyceride levels as sufficient to establish the effectiveness of a drug intended to reduce cardiovascular risk in subjects with serum triglyceride levels below 500 mg/dL. We are in the process of appealing this decision.</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Thus, even though we have received regulatory approval of Vascepa for the MARINE indication under an SPA agreement, our ANCHOR SPA agreement was rescinded and there is no assurance that the FDA will not rescind our REDUCE-IT SPA agreement. Any delay in obtaining, or an inability to obtain, marketing approval in either the ANCHOR or REDUCE-IT indications would prevent us from growing revenue and could have a material adverse effect on our operations and financial condition, including our ability to reach profitability.</w:t>
      </w:r>
    </w:p>
    <w:p>
      <w:pPr>
        <w:spacing w:after="0" w:line="224" w:lineRule="exact"/>
        <w:rPr>
          <w:sz w:val="20"/>
          <w:szCs w:val="20"/>
          <w:color w:val="auto"/>
        </w:rPr>
      </w:pPr>
    </w:p>
    <w:p>
      <w:pPr>
        <w:jc w:val="both"/>
        <w:ind w:left="240" w:right="100"/>
        <w:spacing w:after="0" w:line="306" w:lineRule="auto"/>
        <w:rPr>
          <w:sz w:val="20"/>
          <w:szCs w:val="20"/>
          <w:color w:val="auto"/>
        </w:rPr>
      </w:pPr>
      <w:r>
        <w:rPr>
          <w:rFonts w:ascii="Arial" w:cs="Arial" w:eastAsia="Arial" w:hAnsi="Arial"/>
          <w:sz w:val="16"/>
          <w:szCs w:val="16"/>
          <w:b w:val="1"/>
          <w:bCs w:val="1"/>
          <w:i w:val="1"/>
          <w:iCs w:val="1"/>
          <w:color w:val="auto"/>
        </w:rPr>
        <w:t>If we do not obtain FDA approval of the ANCHOR indication, we may choose to discontinue our ongoing REDUCE-IT outcome study of Vascepa, which is designed to determine whether Vascepa is effective in reducing major cardiovascular events in a high risk patient population on statin therapy and our development of AMR102, a fixed dose combination of Vascepa and a leading statin product.</w:t>
      </w:r>
    </w:p>
    <w:p>
      <w:pPr>
        <w:spacing w:after="0" w:line="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ongoing REDUCE-IT cardiovascular outcome study was designed to determine whether Vascepa, when added to statin therapy, would reduce the risk of major cardiovascular events in an at-risk patient population.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expect the ongoing incremental cost of the REDUCE-IT study to us over the next several years will exceed $100 million as the study currently involves over 400 clinical trial sites in eleven countries. The timing of completion of the REDUCE-IT study is based on the rate of cardiovascular events for patients in the study. If it takes longer for such events to accrue than we expect, the trial could take longer to complete and cost more than we currently expect. AMR102, a fixed dose combination of Vascepa and a leading statin product, is in early stage development with relatively minimal current expenses associated with ongoing development, but significant expense associated with development over the next several years. We have not been profitable in any of the last five fiscal years. Our cash and cash equivalents at December 31, 2013 was $191.5 million. For the fiscal year ended December 31, 2013, we reported a loss of $166.2 million and we had an accumulated deficit of $913.9 million. For the twelve months ended December 31, 2013, net revenue from the sale of Vascepa based on the MARINE indication was $26.4 million. Given the substantial ongoing cost of the REDUCE-IT cardiovascular outcome study, our current capital resources and the current sales of Vascepa resulting from FDA approval of Vascepa for use in the MARINE indication, we may not be able to continue the study with our current financial resources and anticipated revenues from Vascepa without the additional revenues that may be available to us from the sale of Vascepa following an FDA approval of the ANCHOR indication.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advisable to continue or discontinue the study. We anticipate that in any such re-evaluation we will seek further feedback from the FDA. If we do not receive FDA approval of the ANCHOR indication and do not continue the ongoing REDUCE-IT trial or our development of AMR102, our ability to generate revenue now and over the next several years will be substantially dependent on sales of Vascepa resulting from FDA approval of Vascepa for use in the MARINE indication. Accordingly, our prospects for substantially increasing future revenue from sales of Vascepa beyond what might be expected from the MARINE indication labeling alone will be substantially diminished.</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upon the success of Vascepa, which we launched commercially in the MARINE indication in early 2013.</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result of our reliance on a single product and our primary focus on the U.S. market in the near-term, much of our near-term results and value as a company depends on our ability to execute our commercial strategy for Vascepa in the United States, which we launched in January 2013. If commercialization efforts for Vascepa in the MARINE indication or, if approved, the ANCHOR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199" w:lineRule="exact"/>
        <w:rPr>
          <w:sz w:val="20"/>
          <w:szCs w:val="20"/>
          <w:color w:val="auto"/>
        </w:rPr>
      </w:pPr>
    </w:p>
    <w:p>
      <w:pPr>
        <w:ind w:left="240" w:right="300"/>
        <w:spacing w:after="0" w:line="332" w:lineRule="auto"/>
        <w:rPr>
          <w:sz w:val="20"/>
          <w:szCs w:val="20"/>
          <w:color w:val="auto"/>
        </w:rPr>
      </w:pPr>
      <w:r>
        <w:rPr>
          <w:rFonts w:ascii="Arial" w:cs="Arial" w:eastAsia="Arial" w:hAnsi="Arial"/>
          <w:sz w:val="16"/>
          <w:szCs w:val="16"/>
          <w:b w:val="1"/>
          <w:bCs w:val="1"/>
          <w:i w:val="1"/>
          <w:iCs w:val="1"/>
          <w:color w:val="auto"/>
        </w:rPr>
        <w:t>We launched Vascepa in the MARINE indication in the United States in January 2013 with our own, newly established sales and marketing teams and distribution channels and we may not be successful. Historical results may not be consistent with or predictive of future results.</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 The commercial launch of a new pharmaceutical product is a complex undertaking for a company to manage, and we have very limited experience as a company operating in this area.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Factors related to building and managing our own sales and marketing organization that can inhibit our efforts to successfully commercialize Vascepa on our own include:</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 of our recent reduction in force and regulatory events on our ability to contact potential purchasers of Vascepa in an efficient manner;</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addition, we believe that investors should view with caution both the results for the twelve months ended December 31, 2013, as data for this limited period may not be representative of a trend consistent with the results presented or otherwise predictive of future results, especially in light of the recent negative advisory committee vote and the approximately 50% reduction in our sales force. We commenced our commercial launch of Vascepa on January 28, 2013. Accordingly, there is a very limited amount of information available at this time to determine the actual number of total prescriptions for Vascepa. We believe investors should consider our results for the twelve months ended December 31, 2013 together with results over several future quarters, or longer, before making an assessment about potential future performance.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the factors identified above, seasonal fluctuations in pharmaceutical sales, for example, may affect future prescription trends of Vascepa. Moreover, in accordance with our revenue recognition policy and accounting principles generally accepted in the U.S., or GAAP, until we have more experience with the commercialization of Vascepa and can reasonably estimate any product returns, we plan to recognize revenue based on the resale of Vascepa for the purposes of filling prescriptions, and not based on sales from us to such distributors. Accordingly, because of our limited selling history, during the twelve months ended December 31, 2013, we only recognized revenue on product that we could substantiate being resold by retailers, such as pharmacies, for purposes of filling prescriptions. These prescription data may differ from the data reported by third parties. The value of product shipped to distributors but not resold by the distributors to retailers has been deferred until we have evidence that the product was resold by retailers or until we gain sufficient history with our customers to be able to estimate product returns. This is the case even where invoices for such shipments have been collected in full. From launch through December 31, 2013, the Company had experienced a de minimus quantity of product returns.</w:t>
      </w:r>
    </w:p>
    <w:p>
      <w:pPr>
        <w:spacing w:after="0" w:line="12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have to compete with other pharmaceutical and life sciences companies to recruit, hire, train and retain sales and marketing personnel, and turnover in our sales force and marketing personnel following our recent approximately 50% worldwide reduction in force could negatively affect sales of Vascepa. If we are not successful in our efforts to market and sell Vascepa on our own, market acceptance of Vascepa may be harmed, our anticipated revenues will be materially and negatively affected, and we may need additional funding or seek a strategic licensing or co-promotion transaction as a means of raising additional funds.</w:t>
      </w:r>
    </w:p>
    <w:p>
      <w:pPr>
        <w:spacing w:after="0" w:line="179"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began marketing and selling Vascepa for use in the MARINE indication in January 2013. Vascepa may fail to gain sufficient market acceptance by physicians, patients, healthcare payors and others in the medical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community. If Vascepa does not achieve an adequate level of acceptance, we may not generate significant product revenues and we may not become profitable.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degree of market acceptance of Vascepa for the MARINE indication and any future approved indications will depend on a number of factors, including:</w:t>
      </w:r>
    </w:p>
    <w:p>
      <w:pPr>
        <w:spacing w:after="0" w:line="10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effectiveness and strength of product education, marketing and distribution support, including our sales and marketing team (which was affected by our recent reduction in force);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 that we will continue to market and sell Vascepa in the MARINE indications and any future approved indications;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severe hypertriglyceridemia, and AbbVie, Inc., which currently markets Tricor and Trilipix for the treatment of severe hypertriglyceridemia and mixed dyslipidemia and Niaspan, which is primarily used to raise HDL-C, but is also used to lower triglycerides. In March 2011, Pronova BioPharma Norge AS, now owned by BASF, which owns the patents for Lovaza, entered into an agreement with Apotex Corp. and Apotex Inc., or Apotex, to settle their patent litigation in the United States related to Lovaza. Pursuant to the terms of the settlement agreement, Pronova/BASF granted Apotex a license to enter the United States market with a generic version of Lovaza in the first quarter of 2015, or earlier depending on circumstances. In addition, Pronova /BASF recently lost an appeal in its patent infringement lawsuit against Teva Pharmaceuticals USA Inc., or Teva, and Par Pharmaceutical Inc., or Par, which would have prevented Teva and Par from launching generic versions of Lovaza. Apotex, Teva, and Par must obtain FDA approval of generic versions of Lovaza before they are permitted to sell such products in the United States. Other companies are also seeking to introduce generic versions of Lovaza. Each of these competitors has greater resources than we do, including financial, product development, marketing, personnel and other resources.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80"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These include a free fatty acid form of omega-3 (comprised of 55% EPA and 20% DHA) developed by Omthera Pharmaceuticals, now owned by AstraZeneca PLC. In July 2013, an NDA was submitted to the FDA seeking approval of this drug candidate for the treatment of severe hypertriglyceridemia. AstraZeneca has announced that the scheduled goal date for FDA approval of its product is May 5, 2014. We expect AstraZeneca will utilize its substantial commercial resources to market Omthera Pharmaceuticals’ product, if approved. We also understand that another company, Trygg Pharma AS, has completed a Phase 3 study of an omega-3 based drug candidate for severe hypertriglyceridemia, but we do not believe Trygg has announced results from that study. It is possible that Trygg Pharma has filed for FDA approval of its product candidate. In addition,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are also developing potential treatments for hypertriglyceridemia based on omega-3 fatty acids and, to our knowledge, Catabasis initiated a Phase 2 clinical trial of its product in December 2013; Resolvyx’s compound remains in Phase 1 clinical testing; and Sancilio is preparing to commence Phase 3 clinical testing. In addition, we are aware that Matinas BioPharma, Inc. is developing an omega-3-based therapeutic for the treatment of severe hypertriglyceridemia and mixed dyslipidemia. Matinas BioPharma, Inc. has reported that it is preparing to file an Investigational New Drug Application with the FDA and to conduct a human study in the first half of 2014. Isis Pharmaceuticals announced favorable Phase 2 results of ISIS-APOCIII</w:t>
      </w:r>
      <w:r>
        <w:rPr>
          <w:rFonts w:ascii="Arial" w:cs="Arial" w:eastAsia="Arial" w:hAnsi="Arial"/>
          <w:sz w:val="20"/>
          <w:szCs w:val="20"/>
          <w:color w:val="auto"/>
          <w:vertAlign w:val="subscript"/>
        </w:rPr>
        <w:t>Rx</w:t>
      </w:r>
      <w:r>
        <w:rPr>
          <w:rFonts w:ascii="Arial" w:cs="Arial" w:eastAsia="Arial" w:hAnsi="Arial"/>
          <w:sz w:val="16"/>
          <w:szCs w:val="16"/>
          <w:color w:val="auto"/>
        </w:rPr>
        <w:t xml:space="preserve">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were granted three-year FDA marketing exclusivity and competitors may now seek approval of generic versions of Vascepa.</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Hatch-Waxman Amendments permit the FDA to approve abbreviated new drug applications, or ANDAs, for generic versions of brand name drugs like Vascepa. We refer to the process of generic drug applications as the “ANDA process.” The timelines and conditions that govern the ANDA process differ based on whether a drug receives three-year, or new chemical entity (NCE), marketing exclusivity.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The stay may be shortened or lengthened if either party fails to cooperate in the litigation and it may be terminated if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FDA typically makes a determination on marketing exclusivity in connection with, or soon after,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Such three-year exclusivity extends through July 25, 2015 and can be supplemented by a 30-month stay triggered after patent infringement litigation initiated by Amarin following a valid notice to Amarin of the filing of an ANDA with the FDA seeking approval of a generic version of Vascepa.</w:t>
      </w:r>
    </w:p>
    <w:p>
      <w:pPr>
        <w:spacing w:after="0" w:line="14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February 27, 2014, we filed a lawsuit against the FDA that challenges FDA’s denial of our request for five-year exclusivity for Vascepa based on our reading of the relevant statute and inconsistency with FDA’s past actions.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expires, and if necessary, set aside FDA’s premature acceptance of any such application.</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FDA marketing exclusivity is separate from, and in addition to, patent protection, trade secrets and manufacturing barriers to entry which also help protect Vascepa against generic competition.</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Based on communications with the FDA, we believe the FDA does not accept submitted ANDAs for review until after the FDA makes a determination on the exclusivity status of the pioneer drug. In February 2014, prior to the FDA’s three-year exclusivity determination for Vascepa, we received a purported paragraph IV notice from a generic drug company with respect to an ANDA to Vascepa. The FDA confirmed with us after we received the notice and before the exclusivity determination was made that the FDA had not accepted for review any ANDA to Vascepa. The FDA has repeatedly taken the position that paragraph IV notices delivered to pioneer companies such as Amarin prior to the acceptance by the FDA for review of a submitted ANDA are not effective under the Hatch-Waxman Amendments. The generic company may challenge the FDA’s position on whether the notice is valid in court in connection with patent litigation. Generic companies are thought to send such premature notices to seek to avail themselves of the 180-day generic exclusivity period for an approved product under an ANDA based on the generic’s view that it would then have first-to-file status and to seek an early end to related patent litigation with the branded drug company and the associated 30-month stay. Because we and the FDA do not believe the purported paragraph IV notice is an effective notice under the Hatch-Waxman Amendments we do not plan to initiate patent litigation against the generic company that submitted the ANDA until within the 45-day period after we receive a valid paragraph IV notice.</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FDA may now accept for review a submitted ANDA to Vascepa under the Hatch-Waxman Amendments. After receipt of a valid paragraph IV notice, we are likely to engage in costly litigation with the applicant to protect our patent rights. If the generic filer is ultimately successful in patent litigation against us, meets the requirements for a generic version of Vascepa to the satisfaction of the FDA under its ANDA (after any applicable regulatory exclusivity period and, typically, the litigation-related 30-month stay period expires), and is able to supply the product in significant commercial quantities, the generic company could, with the market introduction of a generic version of Vascepa,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spacing w:after="0" w:line="332" w:lineRule="auto"/>
        <w:rPr>
          <w:sz w:val="20"/>
          <w:szCs w:val="20"/>
          <w:color w:val="auto"/>
        </w:rPr>
      </w:pPr>
      <w:r>
        <w:rPr>
          <w:rFonts w:ascii="Arial" w:cs="Arial" w:eastAsia="Arial" w:hAnsi="Arial"/>
          <w:sz w:val="16"/>
          <w:szCs w:val="16"/>
          <w:b w:val="1"/>
          <w:bCs w:val="1"/>
          <w:i w:val="1"/>
          <w:iCs w:val="1"/>
          <w:color w:val="auto"/>
        </w:rPr>
        <w:t>Vascepa is a prescription-only omega-3 fatty acid. Omega-3 fatty acids are also marketed by other companies as non-prescription dietary supplements. As a result, Vascepa would be subject to non-prescription competition and consumer substitution.</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of Vascepa as having a superior therapeutic profile to naturally occurring omega-3 fatty acids and dietary supplements. To the extent the price of Vascepa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are not successful marketing and selling Vascepa on our own, we may need to find collaborative partners to help market and sell the product.</w:t>
      </w:r>
    </w:p>
    <w:p>
      <w:pPr>
        <w:spacing w:after="0" w:line="12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are not successful marketing and selling Vascepa on our own, we may need to find collaborative partners to help market and sell the product or otherwise outsource these functions to third parties. Until such time as we choose to, and actually do, complete a strategic transaction with a third party to market and sell Vascepa, if ever, we will continue to market and sell Vascepa on our own. We are actively exploring collaboration opportunities for the continued marketing and sale of Vascepa as we approach the potential approval of Vascepa in the ANCHOR indication, assuming its regulatory approval.</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choose not to enter into a collaboration to help market and sell Vascepa or, if we determine such a collaborative partner is necessary we may not be successful in finding a collaborative partner, or may be delayed in doing so. We face significant competition in seeking appropriate collaborators, and these collaborations are complex and time-consuming to negotiate and document. We may not be able to negotiate collaborations on acceptable terms, or at all. We likely will have little control over such third parties, and any of them may fail to devote the necessary resources and attention to sell and market our products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including our Purchase and Sale Agreement with BioPharma Secured Debt Fund II Holdings Cayman, L.P., or BioPharma.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9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There can be no assurance as to the adequacy for commercial success of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With respect to sales and marketing activities including direct-to-consumer advertising and promotional activities involving the Internet, advertising and promotional materials must comply with FDA rules in addition to other applicable federal and local laws in the United States and in other countries.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2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In addition, even if we or our potential partners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or our potential partners must also compete against other products in qualifying for coverage and reimbursement under applicable third party payment and insurance programs.</w:t>
      </w:r>
    </w:p>
    <w:p>
      <w:pPr>
        <w:spacing w:after="0" w:line="201"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b w:val="1"/>
          <w:bCs w:val="1"/>
          <w:i w:val="1"/>
          <w:iCs w:val="1"/>
          <w:color w:val="auto"/>
        </w:rPr>
        <w:t>The commercial value of Vascepa may be negatively affected by the advisory committee recommendation against approval of Vascepa in the ANCHOR indication, the rescission of the ANCHOR SPA agreement or any subsequent rejection of the pending FDA application with the FDA for the use of Vascepa in the ANCHOR indication.</w:t>
      </w:r>
    </w:p>
    <w:p>
      <w:pPr>
        <w:spacing w:after="0" w:line="5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Though we are restricted from promoting Vascepa under applicable regulations for any indication other than the FDA-approved MARINE indication, healthcare professionals are not restricted from prescribing Vascepa for such so-called off-labeled uses. A significant amount of the sales of Vascepa may, in fact, be attributable to so-called off-labeled uses of the drug. We expect that among the off-labeled uses of Vascepa are uses that would fall into, or be closely related to, the proposed ANCHOR indication. The recent negative recommendation of the advisory committee meeting against approval of Vascepa in the ANCHOR indication, the recent rescission by the FDA of the ANCHOR SPA, and/or a subsequent decision by the FDA to not approve Vascepa in the ANCHOR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indication may negatively and materially affect the perception of the utility of Vascepa for use in the ANCHOR indication or for other purposes and thus negatively and materially affect sales of Vascepa.</w:t>
      </w:r>
    </w:p>
    <w:p>
      <w:pPr>
        <w:spacing w:after="0" w:line="213"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fines and other liability.</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FDA marketing approval for Vascepa for the MARINE indication, physicians may still prescribe Vascepa to their patients for use in the treatment of conditions that are not included as part of the indication statement in our FDA-approved Vascepa label. If we are found to have promoted such off-label uses, we may become subject to significant government fines and other related liability.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225"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Outcomes studies of certain other lipid-modifying therapies have failed to achieve the endpoints of such studies.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niacin are believed to work differently than Vascepa in the body and do not have as favorable a side-effect profile, and nineteen of the twenty studies included in the JAMA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published the results of an outcome study of 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patients with severe hypertriglyceridemia at a dose of 4 grams per day.</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Second, a low dose of statins was used. It is unknown whether the positive treatment effects would have persisted if these patients had been optimally treated with statins using contemporary LDL targets in the United States. Third, JELIS was an open-label trial, which could influence patient and physician behavior and reporting of symptoms, decisions regarding hospitalization, and referral of events for adjudication. This may be particularly relevant since hospitalizations for unstable angina was a primary contributor of the overall positive result, and is considered a softer endpoint than fatal cardiovascular events.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97"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5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1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97" w:lineRule="exact"/>
        <w:rPr>
          <w:sz w:val="20"/>
          <w:szCs w:val="20"/>
          <w:color w:val="auto"/>
        </w:rPr>
      </w:pPr>
    </w:p>
    <w:p>
      <w:pPr>
        <w:ind w:left="240" w:right="900"/>
        <w:spacing w:after="0" w:line="357"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ind w:right="40" w:firstLine="456"/>
        <w:spacing w:after="0" w:line="288"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240" w:right="720"/>
        <w:spacing w:after="0" w:line="332" w:lineRule="auto"/>
        <w:rPr>
          <w:sz w:val="20"/>
          <w:szCs w:val="20"/>
          <w:color w:val="auto"/>
        </w:rPr>
      </w:pPr>
      <w:r>
        <w:rPr>
          <w:rFonts w:ascii="Arial" w:cs="Arial" w:eastAsia="Arial" w:hAnsi="Arial"/>
          <w:sz w:val="16"/>
          <w:szCs w:val="16"/>
          <w:b w:val="1"/>
          <w:bCs w:val="1"/>
          <w:i w:val="1"/>
          <w:iCs w:val="1"/>
          <w:color w:val="auto"/>
        </w:rPr>
        <w:t>If we do not realize the expected benefits from recent worldwide reductions in our workforce and from future cost savings initiatives that we may implement, the value of our company and our assets and the market price of our ADSs could materially decline.</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2013, we implemented a plan that reduced our worldwide workforce by approximately 50%. We cannot guarantee that we will be able to realize the cost savings and other anticipated benefits from our recent worldwide reductions in force. If we experience excessive unanticipated inefficiencies or incremental costs in connection with restructuring activities, such as unanticipated inefficiencies caused by reducing headcount, we may be unable to meaningfully realize cost savings and we may incur expenses in excess of what we anticipate. Either of these outcomes could prevent us from meeting our strategic objectives and could adversely affect our results of operations and financial condition.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supply of product for commercial supply and clinical trials is dependent upon relationships with third party manufacturers and key suppliers.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ethyl-EPA it would have a material adverse effect on our ability to continue to commercialize Vascepa.</w:t>
      </w:r>
    </w:p>
    <w:p>
      <w:pPr>
        <w:spacing w:after="0" w:line="144"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initially purchased all of our supply of the bulk compound (ethyl-EPA), which constitutes the only active pharmaceutical ingredient, or API, of Vascepa, from a single supplier, Nisshin Pharma,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have commenced purchasing and utilizing commercial supply from Chemport in addition to Nisshin. BASF is working to complete validation of its facility for the manufacture of Vascepa. Each of the API manufacturers obtains supply of the key raw material to manufacture API from other third party sources of supply.</w:t>
      </w:r>
    </w:p>
    <w:p>
      <w:pPr>
        <w:spacing w:after="0" w:line="14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and Chemport currently supply all of our API for Vascepa. Our strategy in adding API suppliers beyond Nisshin has been to expand manufacturing capacity and to partially mitigate the risk of reliance on one supplier.</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Also, in December 2012 we announced the addition of an exclusive consortium of companies led by Slanmhor Pharmaceutical, Inc., or Slanmhor, to our planned API global supply chain for Vascepa. Slanmhor was spun-out from Ocean Nutrition Canada, or ONC, prior to the May 2012 acquisition of ONC by Royal DSM N.V., a global leader in life sciences and materials sciences. Amarin now has a total of three suppliers for Vascepa API to utilize in supporting the global commercialization of Vascepa, subject to appropriate regulatory approval of Slanmhor, for which we submitted a sNDA in August 2013. Slanmhor is working to complete construction and validation of its facility for the manufacture of Vascepa.</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Nisshin and Chemport. If our third party manufacturing capacity is not expanded and compliant with application regulatory requirements, we may not be able to supply sufficient quantities of Vascepa to meet anticipated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rely exclusively on Patheon for the encapsulation of Vascepa. We have encapsulation agreements with two other commercial API encapsulators. These companies are working to qualify their processes and to prove that the Vascepa capsules they produce meet the same quality standards as the capsules produced by Patheon.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201"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exclusivity with our third-party Vascepa suppliers if we do not meet minimum purchase obligations due to lower than anticipated sales of Vascepa.</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will be free to sell the active pharmaceutical ingredient of Vascepa to potential competitors of Vascepa. Similarly if we terminate certain of our supply agreements, such suppliers may be free to sell the active pharmaceutical ingredient of Vascepa to potential competitors of Vascepa. On December 30, 2013, we issued a notice of termination in connection with our active pharmaceutical ingredient supply agreement with BASF as a result of BASF’s non-compliance with the terms of such agreement. If BASF does not cure its non-compliance within a 60-day cure period and the agreement is terminated, BASF may be free to sell Vascepa active pharmaceutical ingredient to our competitors.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201" w:lineRule="exact"/>
        <w:rPr>
          <w:sz w:val="20"/>
          <w:szCs w:val="20"/>
          <w:color w:val="auto"/>
        </w:rPr>
      </w:pPr>
    </w:p>
    <w:p>
      <w:pPr>
        <w:ind w:left="240" w:right="460"/>
        <w:spacing w:after="0" w:line="332" w:lineRule="auto"/>
        <w:rPr>
          <w:sz w:val="20"/>
          <w:szCs w:val="20"/>
          <w:color w:val="auto"/>
        </w:rPr>
      </w:pPr>
      <w:r>
        <w:rPr>
          <w:rFonts w:ascii="Arial" w:cs="Arial" w:eastAsia="Arial" w:hAnsi="Arial"/>
          <w:sz w:val="16"/>
          <w:szCs w:val="16"/>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225"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59"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Nisshin, Chemport and BASF, or other potential API suppliers, we may be delayed in successfully supplying the product to meet anticipated demand and our anticipated future revenues and financial results may be materially adversely affected.</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 For example, we have filed a supplemental NDA to add Slanmhor as an additional API supplier for Vascepa. If Slanmhor cannot establish, to the satisfaction of the FDA, that it is in substantial compliance with cGMPs, and that the product manufactured at its site meets FDA requirements, we may not be able to manufacture API from that site, our supply of API for Vascepa may be delayed, and our anticipated future revenues and financial results may be materially adversely affected if such supply cannot be satisfied by our other three API suppliers.</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22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Annual Report, we had 40 patent applications in the United States that have been either issued or allowed and more than 30 additional patent applications are pending in the United States. Of such 40 allowed and issued applications, we currently have:</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 issued U.S. patents directed to a pharmaceutical composition of Vascepa in a capsule that have terms that expire in 2020 and 2030, respectively,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29 U.S. patents covering the use of Vascepa in either the MARINE or anticipated ANCHOR indication that have terms that expire in 2030,</w:t>
      </w:r>
    </w:p>
    <w:p>
      <w:pPr>
        <w:spacing w:after="0" w:line="113"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6 additional patent applications for which the United States Patent and Trademark Office, or USPTO, has issued a Notice of Allowance each of which with terms that expire in 2030 and are related to the use of Vascepa in either the MARINE or anticipated ANCHOR indication,</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ANCHOR patient population that expires in 2030, and</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 additional patent application for which the United States Patent and Trademark Office, or USPTO, has issued a Notice of Allowance with a term that expires in 2030 and is related to the use of a pharmaceutical composition comprised of free fatty acids to treat the MARINE patient population.</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 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issued patents and our pending patents, if and when issued, may not prevent competitors from competing with Vascepa.</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plan to vigorously defend our rights under issued patents.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9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9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four lawsuits that could result in substantial costs and divert management’s attention.</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market price of our ADSs declined significantly after the October 2013 decision by the FDA Advisory Committee to recommend against approval of Vascepa in the ANCHOR indication. We, and certain of our current and former executive officers, have been named as defendants in four purported class action lawsuits initiated earlier this year that generally allege that we and certain of our current and former officers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seek unspecified damages, interest, attorneys’ fees, and other costs.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engage in a vigorous defense of the lawsuits, and we believe that we have meritorious defenses to these claims. However, we are unable to predict the outcome of these matters at this time. Moreover, any conclusion of these matters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90"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5"/>
          <w:szCs w:val="15"/>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w:t>
      </w:r>
    </w:p>
    <w:p>
      <w:pPr>
        <w:spacing w:after="0" w:line="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Furthermore, the lessened probability that we will obtain FDA approval for the ANCHOR indication could have an adverse impact on our ability to retain and recruit qualified personnel. In addition, on October 22, 2013, we eliminated approximately fifty percent of our staff positions worldwide as part of a restructuring following the FDA advisory committee’s recommendation against the potential Vascepa label expansion. Even though all employees were offered severance pay in exchange for signing a comprehensive release of claims, this restructuring could lead to claims by former employees related to their termination. The restructuring could also have an adverse impact on our ability to retain and recruit qualified personnel. The failure to recruit key scientific, technical and management personnel would be detrimental to our ability to implement our business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2013, 2012, and 2011, we reported losses of approximately $166.2 million, $179.2 million, and $69.1 million, respectively, and we had an accumulated deficit at December 31, 2013 of $913.9 million.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9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9"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timing, cost and level of investment in our sales and marketing efforts to support Vascepa sales and the resulting effectiveness of those efforts;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results of our sNDA application for the ANCHOR indication and the results of the REDUCE-IT study or post-approval studies for Vascepa;</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outcomes of litigation and other legal proceedings, including recently initiated shareholder litigation, regulatory matters and tax matters;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continue the REDUCE-IT study;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restructuring of the company implemented on October 22, 2013.</w:t>
      </w:r>
    </w:p>
    <w:p>
      <w:pPr>
        <w:spacing w:after="0" w:line="252"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$191.5 million at December 31, 2013 will be sufficient to fund our projected operations for at least the next twelve months.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order to fully realize the market potential of Vascepa, we may need to enter into a strategic collaboration or raise additional capital. We may also need additional capital to fully complete our REDUCE-IT cardiovascular outcomes trial.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revenue generated from the commercial sale of Vascepa in the MARINE indication and, subject to FDA approval, the ANCHOR indication;</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and the cost and timing of securing commercial supply of Vascepa and the timing of entering into strategic collaboration with others relating to the commercialization of Vascepa, if at all, and the terms of any such collaboration;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 if we continue that study;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66" w:lineRule="exact"/>
        <w:rPr>
          <w:sz w:val="20"/>
          <w:szCs w:val="20"/>
          <w:color w:val="auto"/>
        </w:rPr>
      </w:pPr>
    </w:p>
    <w:p>
      <w:pPr>
        <w:ind w:left="240" w:right="160"/>
        <w:spacing w:after="0" w:line="357" w:lineRule="auto"/>
        <w:rPr>
          <w:sz w:val="20"/>
          <w:szCs w:val="20"/>
          <w:color w:val="auto"/>
        </w:rPr>
      </w:pPr>
      <w:r>
        <w:rPr>
          <w:rFonts w:ascii="Arial" w:cs="Arial" w:eastAsia="Arial" w:hAnsi="Arial"/>
          <w:sz w:val="15"/>
          <w:szCs w:val="15"/>
          <w:b w:val="1"/>
          <w:bCs w:val="1"/>
          <w:i w:val="1"/>
          <w:iCs w:val="1"/>
          <w:color w:val="auto"/>
        </w:rPr>
        <w:t>As a result of recent worldwide reductions in our workforce, we are in the process of reallocating certain employment responsibilities and may outsource certain corporate functions. As a result, we may be more dependent on third parties to perform these corporate functions than we have been in the past.</w:t>
      </w:r>
    </w:p>
    <w:p>
      <w:pPr>
        <w:ind w:firstLine="456"/>
        <w:spacing w:after="0" w:line="255" w:lineRule="auto"/>
        <w:rPr>
          <w:sz w:val="20"/>
          <w:szCs w:val="20"/>
          <w:color w:val="auto"/>
        </w:rPr>
      </w:pPr>
      <w:r>
        <w:rPr>
          <w:rFonts w:ascii="Arial" w:cs="Arial" w:eastAsia="Arial" w:hAnsi="Arial"/>
          <w:sz w:val="18"/>
          <w:szCs w:val="18"/>
          <w:color w:val="auto"/>
        </w:rPr>
        <w:t>As a result of the recent worldwide reductions in our workforce, we have been required to outsource certain corporate functions. This has made us more dependent on third-parties for the performance of these functions. Our ongoing results of operations could be adversely affected to the extent that we are unable to effectively reallocate employee responsibilities, retain key employees, maintain effective internal control over financial reporting and effective disclosure controls and procedures, establish and maintain agreements with competent third-party contractors on terms that are acceptable to us, and effectively manage the work performed by any retained third-party contractors.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effect on our ability to obtain financing on acceptable terms.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 the extent we are permitted under our Purchase and Sale Agreement with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December 31, 2013, there were warrants outstanding for the purchase of up to 9,789,776 ADSs each representing one of our ordinary shares, with a weighted average exercise price of $1.44 per share. We may issue additional warrants to purchase ADSs or ordinary shares in connection with any future financing we may conduct. In addition, on January 9, 2012, we issued $150 million in aggregate principal amount of 3.50% exchangeable senior notes due 2032, or the notes. The notes are exchangeable under certain circumstances into cash, our ADS, or a combination of cash and ADS, at our election, with a current exchange rate of 113.4752 ADS per $1,000 principal amount of notes. Although we intend to settle these notes in cash, if we elected physical settlement, the notes would initially be exchangeable into 17,021,280 ADS.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As of February 20, 2014 we had 172,906,063 common shares outstanding including 172,440,210 shares held as ADSs and 465,853 held as common shares (which are not held in the form of ADSs). In our October 2009 private placement we issued 66.4 million ADSs and warrants to purchase an additional</w:t>
      </w:r>
    </w:p>
    <w:p>
      <w:pPr>
        <w:jc w:val="both"/>
        <w:ind w:right="60"/>
        <w:spacing w:after="0" w:line="295" w:lineRule="auto"/>
        <w:rPr>
          <w:sz w:val="20"/>
          <w:szCs w:val="20"/>
          <w:color w:val="auto"/>
        </w:rPr>
      </w:pPr>
      <w:r>
        <w:rPr>
          <w:rFonts w:ascii="Arial" w:cs="Arial" w:eastAsia="Arial" w:hAnsi="Arial"/>
          <w:sz w:val="16"/>
          <w:szCs w:val="16"/>
          <w:color w:val="auto"/>
        </w:rPr>
        <w:t>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the date of this Quarterly Report, our ADSs are currently trading above $1.00; however, recent market activity has resulted in a decrease in our stock price, and our stock price may fall below the $1.00 threshold. 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26"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5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accordance with the guidelines specified under Rule 10b5-1 of the Securities and Exchange Act of 1934 and our policies regarding stock transactions, a number of our directors and employees, including members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believe it prudent to assume that we were classified as a PFIC in 2012. We do not believe that we were classified as a PFIC in 2013. Our status as a PFIC is subject to change in future years.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Failure to meet our obligations under our Purchase and Sale Agreement with BioPharma could adversely affect our financial results and liquidity.</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85"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w:t>
      </w:r>
    </w:p>
    <w:p>
      <w:pPr>
        <w:spacing w:after="0" w:line="1" w:lineRule="exact"/>
        <w:rPr>
          <w:sz w:val="20"/>
          <w:szCs w:val="20"/>
          <w:color w:val="auto"/>
        </w:rPr>
      </w:pPr>
    </w:p>
    <w:p>
      <w:pPr>
        <w:ind w:right="420" w:firstLine="8"/>
        <w:spacing w:after="0" w:line="261" w:lineRule="auto"/>
        <w:tabs>
          <w:tab w:leader="none" w:pos="2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encumber any of the collateral securing our performance under the agreement; and (v) abandon certain patent rights, in each case without the consent of BioPharma.</w:t>
      </w:r>
    </w:p>
    <w:p>
      <w:pPr>
        <w:spacing w:after="0" w:line="13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the licensing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stockholders.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44"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existing indebtedness, which we entered into in January 2012, consists of $150.0 million in aggregate principal amount of 3.50% exchangeable senior notes due 2032, with provisions for the notes to be called on or after January 19, 2017. Our indebtedness and the related annual debt service requirements may adversely impact our business, operations and financial condition in the future. For example, they could:</w:t>
      </w:r>
    </w:p>
    <w:p>
      <w:pPr>
        <w:spacing w:after="0" w:line="2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The accounting for convertible debt securities that may be settled in cash, such as our notes, could have a material effect on our reported financial results.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ability to make scheduled payments of the principal , to pay interest on or to refinance our indebtedness, including the notes, depends on our future performance, which is subject to economic, financial, competitive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 of us.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fundamental change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900" w:right="24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332" w:lineRule="auto"/>
        <w:rPr>
          <w:sz w:val="20"/>
          <w:szCs w:val="20"/>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4" w:lineRule="exact"/>
        <w:rPr>
          <w:sz w:val="20"/>
          <w:szCs w:val="20"/>
          <w:color w:val="auto"/>
        </w:rPr>
      </w:pPr>
    </w:p>
    <w:p>
      <w:pPr>
        <w:ind w:left="900" w:right="320" w:hanging="325"/>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25"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1" w:lineRule="exact"/>
        <w:rPr>
          <w:rFonts w:ascii="Arial" w:cs="Arial" w:eastAsia="Arial" w:hAnsi="Arial"/>
          <w:sz w:val="18"/>
          <w:szCs w:val="18"/>
          <w:color w:val="auto"/>
        </w:rPr>
      </w:pPr>
    </w:p>
    <w:p>
      <w:pPr>
        <w:jc w:val="both"/>
        <w:ind w:left="900" w:hanging="325"/>
        <w:spacing w:after="0" w:line="303"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w:t>
      </w:r>
    </w:p>
    <w:p>
      <w:pPr>
        <w:spacing w:after="0" w:line="1" w:lineRule="exact"/>
        <w:rPr>
          <w:rFonts w:ascii="Arial" w:cs="Arial" w:eastAsia="Arial" w:hAnsi="Arial"/>
          <w:sz w:val="15"/>
          <w:szCs w:val="15"/>
          <w:color w:val="auto"/>
        </w:rPr>
      </w:pPr>
    </w:p>
    <w:p>
      <w:pPr>
        <w:ind w:left="900" w:right="40"/>
        <w:spacing w:after="0" w:line="254" w:lineRule="auto"/>
        <w:rPr>
          <w:rFonts w:ascii="Arial" w:cs="Arial" w:eastAsia="Arial" w:hAnsi="Arial"/>
          <w:sz w:val="15"/>
          <w:szCs w:val="15"/>
          <w:color w:val="auto"/>
        </w:rPr>
      </w:pPr>
      <w:r>
        <w:rPr>
          <w:rFonts w:ascii="Arial" w:cs="Arial" w:eastAsia="Arial" w:hAnsi="Arial"/>
          <w:sz w:val="18"/>
          <w:szCs w:val="18"/>
          <w:color w:val="auto"/>
        </w:rPr>
        <w:t>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62" w:lineRule="exact"/>
        <w:rPr>
          <w:rFonts w:ascii="Arial" w:cs="Arial" w:eastAsia="Arial" w:hAnsi="Arial"/>
          <w:sz w:val="15"/>
          <w:szCs w:val="15"/>
          <w:color w:val="auto"/>
        </w:rPr>
      </w:pPr>
    </w:p>
    <w:p>
      <w:pPr>
        <w:ind w:left="900" w:right="140" w:hanging="325"/>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31"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location, use and ownership interest of our principal properties as of February 20, 2014:</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596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Use</w:t>
            </w:r>
          </w:p>
        </w:tc>
        <w:tc>
          <w:tcPr>
            <w:tcW w:w="280" w:type="dxa"/>
            <w:vAlign w:val="bottom"/>
          </w:tcPr>
          <w:p>
            <w:pPr>
              <w:spacing w:after="0"/>
              <w:rPr>
                <w:sz w:val="15"/>
                <w:szCs w:val="15"/>
                <w:color w:val="auto"/>
              </w:rPr>
            </w:pP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Ownership</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Size (sq. ft.)</w:t>
            </w:r>
          </w:p>
        </w:tc>
      </w:tr>
      <w:tr>
        <w:trPr>
          <w:trHeight w:val="203"/>
        </w:trPr>
        <w:tc>
          <w:tcPr>
            <w:tcW w:w="6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Dublin, Ireland</w:t>
            </w:r>
          </w:p>
        </w:tc>
        <w:tc>
          <w:tcPr>
            <w:tcW w:w="66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5"/>
              </w:rPr>
              <w:t>Offices</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Leased</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Bedminster, New Jersey, USA</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Leased</w:t>
            </w:r>
          </w:p>
        </w:tc>
        <w:tc>
          <w:tcPr>
            <w:tcW w:w="780" w:type="dxa"/>
            <w:vAlign w:val="bottom"/>
          </w:tcPr>
          <w:p>
            <w:pPr>
              <w:jc w:val="right"/>
              <w:spacing w:after="0"/>
              <w:rPr>
                <w:sz w:val="20"/>
                <w:szCs w:val="20"/>
                <w:color w:val="auto"/>
              </w:rPr>
            </w:pPr>
            <w:r>
              <w:rPr>
                <w:rFonts w:ascii="Arial" w:cs="Arial" w:eastAsia="Arial" w:hAnsi="Arial"/>
                <w:sz w:val="18"/>
                <w:szCs w:val="18"/>
                <w:color w:val="auto"/>
              </w:rPr>
              <w:t>23,231</w:t>
            </w:r>
          </w:p>
        </w:tc>
        <w:tc>
          <w:tcPr>
            <w:tcW w:w="12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Groton, Connecticut, USA</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Leased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Ely, Cambridgeshire, UK (Gemini House)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Ground Floor</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Leased and sublet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20" w:type="dxa"/>
            <w:vAlign w:val="bottom"/>
            <w:shd w:val="clear" w:color="auto" w:fill="CCEEFF"/>
          </w:tcPr>
          <w:p>
            <w:pPr>
              <w:spacing w:after="0"/>
              <w:rPr>
                <w:sz w:val="18"/>
                <w:szCs w:val="18"/>
                <w:color w:val="auto"/>
              </w:rPr>
            </w:pPr>
          </w:p>
        </w:tc>
      </w:tr>
      <w:tr>
        <w:trPr>
          <w:trHeight w:val="222"/>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First Floor</w:t>
            </w: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Offices</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Assigned</w:t>
            </w:r>
          </w:p>
        </w:tc>
        <w:tc>
          <w:tcPr>
            <w:tcW w:w="780" w:type="dxa"/>
            <w:vAlign w:val="bottom"/>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Effective July 1, 2011, we leased 9,747 square feet of office space in Bedminster, NJ. The lease, as amended, terminates on March 31, 2018, and may also be terminated with six months prior notice. On December 6, 2011 we leased an additional 2,142 square feet of space in the same location. On December 15, 2012 and May 8, 2013, we leased an additional 2,601 and 10,883 square feet of space, respectively, in the same location. In January 2014, the December 6, 2011 lease was terminated.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Effective November 1, 2011, we leased 320 square feet of office space in Dublin, Ireland. The lease terminates on October 31, 2014 and may be renewed annually.</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Commencing on November 28, 2011, we leased 4,327 square feet of office space in Groton, CT. The lease terminates on January 31, 2015 and may be extended for one three year term.</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lease for office space in Ely, Cambridgeshire expires in November 2014. The ground floor space has been sublet through the end of the lease term. On August 27, 2002 the lease for the first floor space was assigned to a third party. Amarin however, remains ultimately responsible for the lease through the end of the lease term.</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believe our existing facilities are adequate for our current needs and that additional space will be available in the future on commercially reasonable terms as needed.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On November 1, 2013, a purported investor of Amarin filed a putative class action lawsuit captioned </w:t>
      </w:r>
      <w:r>
        <w:rPr>
          <w:rFonts w:ascii="Arial" w:cs="Arial" w:eastAsia="Arial" w:hAnsi="Arial"/>
          <w:sz w:val="18"/>
          <w:szCs w:val="18"/>
          <w:i w:val="1"/>
          <w:iCs w:val="1"/>
          <w:color w:val="auto"/>
        </w:rPr>
        <w:t>Steven Sklar v. Amarin Corporation plc et al.</w:t>
      </w:r>
      <w:r>
        <w:rPr>
          <w:rFonts w:ascii="Arial" w:cs="Arial" w:eastAsia="Arial" w:hAnsi="Arial"/>
          <w:sz w:val="18"/>
          <w:szCs w:val="18"/>
          <w:color w:val="auto"/>
        </w:rPr>
        <w:t>, No. 13-cv-6954 (D.N.J. Nov. 1, 2013) in the U.S. District Court for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District of New Jersey. Substantially similar lawsuits, captioned </w:t>
      </w:r>
      <w:r>
        <w:rPr>
          <w:rFonts w:ascii="Arial" w:cs="Arial" w:eastAsia="Arial" w:hAnsi="Arial"/>
          <w:sz w:val="18"/>
          <w:szCs w:val="18"/>
          <w:i w:val="1"/>
          <w:iCs w:val="1"/>
          <w:color w:val="auto"/>
        </w:rPr>
        <w:t>Bove v. Amarin Corporation plc</w:t>
      </w:r>
      <w:r>
        <w:rPr>
          <w:rFonts w:ascii="Arial" w:cs="Arial" w:eastAsia="Arial" w:hAnsi="Arial"/>
          <w:sz w:val="18"/>
          <w:szCs w:val="18"/>
          <w:color w:val="auto"/>
        </w:rPr>
        <w:t xml:space="preserve">, Civ. No. 13-07882 (AT) (S.D.N.Y. Nov. 5, 2013), </w:t>
      </w:r>
      <w:r>
        <w:rPr>
          <w:rFonts w:ascii="Arial" w:cs="Arial" w:eastAsia="Arial" w:hAnsi="Arial"/>
          <w:sz w:val="18"/>
          <w:szCs w:val="18"/>
          <w:i w:val="1"/>
          <w:iCs w:val="1"/>
          <w:color w:val="auto"/>
        </w:rPr>
        <w:t>Bentley v.</w:t>
      </w:r>
      <w:r>
        <w:rPr>
          <w:rFonts w:ascii="Arial" w:cs="Arial" w:eastAsia="Arial" w:hAnsi="Arial"/>
          <w:sz w:val="18"/>
          <w:szCs w:val="18"/>
          <w:color w:val="auto"/>
        </w:rPr>
        <w:t xml:space="preserve"> </w:t>
      </w:r>
      <w:r>
        <w:rPr>
          <w:rFonts w:ascii="Arial" w:cs="Arial" w:eastAsia="Arial" w:hAnsi="Arial"/>
          <w:sz w:val="18"/>
          <w:szCs w:val="18"/>
          <w:i w:val="1"/>
          <w:iCs w:val="1"/>
          <w:color w:val="auto"/>
        </w:rPr>
        <w:t>Amarin Corporation plc</w:t>
      </w:r>
      <w:r>
        <w:rPr>
          <w:rFonts w:ascii="Arial" w:cs="Arial" w:eastAsia="Arial" w:hAnsi="Arial"/>
          <w:sz w:val="18"/>
          <w:szCs w:val="18"/>
          <w:color w:val="auto"/>
        </w:rPr>
        <w:t>, Civ. No. 13-08283 (AT) (S.D.N.Y. Nov. 20, 2013) and</w:t>
      </w:r>
      <w:r>
        <w:rPr>
          <w:rFonts w:ascii="Arial" w:cs="Arial" w:eastAsia="Arial" w:hAnsi="Arial"/>
          <w:sz w:val="18"/>
          <w:szCs w:val="18"/>
          <w:i w:val="1"/>
          <w:iCs w:val="1"/>
          <w:color w:val="auto"/>
        </w:rPr>
        <w:t xml:space="preserve"> Siegel v. Amarin Corporation plc</w:t>
      </w:r>
      <w:r>
        <w:rPr>
          <w:rFonts w:ascii="Arial" w:cs="Arial" w:eastAsia="Arial" w:hAnsi="Arial"/>
          <w:sz w:val="18"/>
          <w:szCs w:val="18"/>
          <w:color w:val="auto"/>
        </w:rPr>
        <w:t>, No. 3:13-cv-07210 (D.N.J. Nov. 27, 2013),</w:t>
      </w:r>
      <w:r>
        <w:rPr>
          <w:rFonts w:ascii="Arial" w:cs="Arial" w:eastAsia="Arial" w:hAnsi="Arial"/>
          <w:sz w:val="18"/>
          <w:szCs w:val="18"/>
          <w:i w:val="1"/>
          <w:iCs w:val="1"/>
          <w:color w:val="auto"/>
        </w:rPr>
        <w:t xml:space="preserve"> </w:t>
      </w:r>
      <w:r>
        <w:rPr>
          <w:rFonts w:ascii="Arial" w:cs="Arial" w:eastAsia="Arial" w:hAnsi="Arial"/>
          <w:sz w:val="18"/>
          <w:szCs w:val="18"/>
          <w:color w:val="auto"/>
        </w:rPr>
        <w:t>were subsequently filed in the U.S. District Court for the District of New Jersey and U.S. District Court for the Southern District of New York. On December 9, 2013 the cases filed in the Southern District of New York were transferred to the District of New Jersey, where the four cases are now proceeding in front of the same judge pending a formal order consolidating the actions.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Each of the complaints asserts claims under the Securities Exchange Act of 1934. The complaints allege that Amarin and certain of its current and former officers and directors made misstatements and omissions regarding the FDA’s willingness to approve Vascepa’s ANCHOR indication and the potential relevance of data from the ongoing REDUCE-IT trial to that approval. The putative class periods alleged in the complaints vary from the July 9, 2009-October 15, 2013 period alleged in the </w:t>
      </w:r>
      <w:r>
        <w:rPr>
          <w:rFonts w:ascii="Arial" w:cs="Arial" w:eastAsia="Arial" w:hAnsi="Arial"/>
          <w:sz w:val="16"/>
          <w:szCs w:val="16"/>
          <w:i w:val="1"/>
          <w:iCs w:val="1"/>
          <w:color w:val="auto"/>
        </w:rPr>
        <w:t>Sklar</w:t>
      </w:r>
      <w:r>
        <w:rPr>
          <w:rFonts w:ascii="Arial" w:cs="Arial" w:eastAsia="Arial" w:hAnsi="Arial"/>
          <w:sz w:val="16"/>
          <w:szCs w:val="16"/>
          <w:color w:val="auto"/>
        </w:rPr>
        <w:t xml:space="preserve"> and </w:t>
      </w:r>
      <w:r>
        <w:rPr>
          <w:rFonts w:ascii="Arial" w:cs="Arial" w:eastAsia="Arial" w:hAnsi="Arial"/>
          <w:sz w:val="16"/>
          <w:szCs w:val="16"/>
          <w:i w:val="1"/>
          <w:iCs w:val="1"/>
          <w:color w:val="auto"/>
        </w:rPr>
        <w:t>Siegel</w:t>
      </w:r>
      <w:r>
        <w:rPr>
          <w:rFonts w:ascii="Arial" w:cs="Arial" w:eastAsia="Arial" w:hAnsi="Arial"/>
          <w:sz w:val="16"/>
          <w:szCs w:val="16"/>
          <w:color w:val="auto"/>
        </w:rPr>
        <w:t xml:space="preserve"> complaints, the July 9, 2009-October 16, 2013 period alleged in the </w:t>
      </w:r>
      <w:r>
        <w:rPr>
          <w:rFonts w:ascii="Arial" w:cs="Arial" w:eastAsia="Arial" w:hAnsi="Arial"/>
          <w:sz w:val="16"/>
          <w:szCs w:val="16"/>
          <w:i w:val="1"/>
          <w:iCs w:val="1"/>
          <w:color w:val="auto"/>
        </w:rPr>
        <w:t>Bentley</w:t>
      </w:r>
      <w:r>
        <w:rPr>
          <w:rFonts w:ascii="Arial" w:cs="Arial" w:eastAsia="Arial" w:hAnsi="Arial"/>
          <w:sz w:val="16"/>
          <w:szCs w:val="16"/>
          <w:color w:val="auto"/>
        </w:rPr>
        <w:t xml:space="preserve"> complaint, and August 8, 2012-October 16, 2013 period alleged in the </w:t>
      </w:r>
      <w:r>
        <w:rPr>
          <w:rFonts w:ascii="Arial" w:cs="Arial" w:eastAsia="Arial" w:hAnsi="Arial"/>
          <w:sz w:val="16"/>
          <w:szCs w:val="16"/>
          <w:i w:val="1"/>
          <w:iCs w:val="1"/>
          <w:color w:val="auto"/>
        </w:rPr>
        <w:t>Bove</w:t>
      </w:r>
      <w:r>
        <w:rPr>
          <w:rFonts w:ascii="Arial" w:cs="Arial" w:eastAsia="Arial" w:hAnsi="Arial"/>
          <w:sz w:val="16"/>
          <w:szCs w:val="16"/>
          <w:color w:val="auto"/>
        </w:rPr>
        <w:t xml:space="preserve"> complaint. The lawsuits seek unspecified monetary damages and attorneys’ fees and costs.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3, 2014, ten plaintiffs and their respective counsel moved for appointment as lead plaintiff and lead counsel for the putative class. The plaintiffs also moved for consolidation of the pending actions. The motion for appointment of lead plaintiff was set for February 3, 2014, but has not yet been decided. After the Court appoints a lead plaintiff, and consolidates the actions, we expect that the lead plaintiff will file a consolidated amended complaint that will become the operative complaint for the action.</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believe that we have valid defenses and we will vigorously defend against the claims. We are unable to reasonably estimate the loss exposure, if any, associated with these claims. We have insurance coverage that is anticipated to cover any significant loss exposure that may arise from this action after payment by us of the associated deducible obligation under such insurance coverage.</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February 27, 2014, we filed a lawsuit against the FDA that challenges FDA’s denial of our request for five-year exclusivity for Vascepa based on our reading of the relevant statute and inconsistency with FDA’s past actions.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expires, and if necessary, set aside FDA’s premature acceptance of any such application.</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above, 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2013,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the high and low prices for our ADSs in each of the quarters over the past two fiscal years, as quoted on the NASDAQ Global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2"/>
              </w:rPr>
              <w:t>Common Stock Price</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64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Fiscal 2013</w:t>
            </w:r>
          </w:p>
        </w:tc>
        <w:tc>
          <w:tcPr>
            <w:tcW w:w="1420" w:type="dxa"/>
            <w:vAlign w:val="bottom"/>
            <w:gridSpan w:val="4"/>
          </w:tcPr>
          <w:p>
            <w:pPr>
              <w:jc w:val="right"/>
              <w:ind w:right="296"/>
              <w:spacing w:after="0" w:line="142" w:lineRule="exact"/>
              <w:rPr>
                <w:sz w:val="20"/>
                <w:szCs w:val="20"/>
                <w:color w:val="auto"/>
              </w:rPr>
            </w:pPr>
            <w:r>
              <w:rPr>
                <w:rFonts w:ascii="Arial" w:cs="Arial" w:eastAsia="Arial" w:hAnsi="Arial"/>
                <w:sz w:val="14"/>
                <w:szCs w:val="14"/>
                <w:b w:val="1"/>
                <w:bCs w:val="1"/>
                <w:color w:val="auto"/>
              </w:rPr>
              <w:t>Fiscal 2012</w:t>
            </w:r>
          </w:p>
        </w:tc>
        <w:tc>
          <w:tcPr>
            <w:tcW w:w="100" w:type="dxa"/>
            <w:vAlign w:val="bottom"/>
          </w:tcPr>
          <w:p>
            <w:pPr>
              <w:spacing w:after="0"/>
              <w:rPr>
                <w:sz w:val="12"/>
                <w:szCs w:val="12"/>
                <w:color w:val="auto"/>
              </w:rPr>
            </w:pPr>
          </w:p>
        </w:tc>
      </w:tr>
      <w:tr>
        <w:trPr>
          <w:trHeight w:val="142"/>
        </w:trPr>
        <w:tc>
          <w:tcPr>
            <w:tcW w:w="8260" w:type="dxa"/>
            <w:vAlign w:val="bottom"/>
          </w:tcPr>
          <w:p>
            <w:pPr>
              <w:spacing w:after="0"/>
              <w:rPr>
                <w:sz w:val="12"/>
                <w:szCs w:val="12"/>
                <w:color w:val="auto"/>
              </w:rPr>
            </w:pPr>
          </w:p>
        </w:tc>
        <w:tc>
          <w:tcPr>
            <w:tcW w:w="82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89"/>
              </w:rPr>
              <w:t>High</w:t>
            </w:r>
          </w:p>
        </w:tc>
        <w:tc>
          <w:tcPr>
            <w:tcW w:w="4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Low</w:t>
            </w:r>
          </w:p>
        </w:tc>
        <w:tc>
          <w:tcPr>
            <w:tcW w:w="4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8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$9.24</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$6.77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Second Quarter</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$7.98</w:t>
            </w:r>
          </w:p>
        </w:tc>
        <w:tc>
          <w:tcPr>
            <w:tcW w:w="4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$5.36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$15.40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$7.40</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10.86</w:t>
            </w:r>
          </w:p>
        </w:tc>
        <w:tc>
          <w:tcPr>
            <w:tcW w:w="100" w:type="dxa"/>
            <w:vAlign w:val="bottom"/>
            <w:shd w:val="clear" w:color="auto" w:fill="CCEEFF"/>
          </w:tcPr>
          <w:p>
            <w:pPr>
              <w:spacing w:after="0"/>
              <w:rPr>
                <w:sz w:val="18"/>
                <w:szCs w:val="18"/>
                <w:color w:val="auto"/>
              </w:rPr>
            </w:pPr>
          </w:p>
        </w:tc>
      </w:tr>
      <w:tr>
        <w:trPr>
          <w:trHeight w:val="222"/>
        </w:trPr>
        <w:tc>
          <w:tcPr>
            <w:tcW w:w="8260" w:type="dxa"/>
            <w:vAlign w:val="bottom"/>
          </w:tcPr>
          <w:p>
            <w:pPr>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$7.39</w:t>
            </w:r>
          </w:p>
        </w:tc>
        <w:tc>
          <w:tcPr>
            <w:tcW w:w="4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$1.36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of January 31, 2014, there were approximately 388 holders of record of our ordinary shares. Because many ordinary shares are held by brokers nominees, we are unable to estimate the total number of shareholders represented by these record holders. Our depositary, Citibank, N.A., constitutes a single record holder of our ordinary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Under our Purchase and Sale Agreement with Biopharma, we are restricted from paying a dividend on our common shares, unless we have cash and cash equivalents in excess of a specified amount after such payment.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Graph—3 Year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the indices below are the most appropriate indices against which the total shareholder return of Amarin should be measured. The NASDAQ Bio Index has been selected because it is an index of U.S. quoted biotechnology and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114935</wp:posOffset>
            </wp:positionV>
            <wp:extent cx="5213985" cy="2178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2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4"/>
              </w:rPr>
              <w:t>12/31/2011</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8"/>
              </w:rPr>
              <w:t>12/31/2012</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Amarin Corporation PLC</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91.34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98.66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24.02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99.21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116.82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163.74</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2"/>
              <w:spacing w:after="0"/>
              <w:rPr>
                <w:sz w:val="20"/>
                <w:szCs w:val="20"/>
                <w:color w:val="auto"/>
              </w:rPr>
            </w:pPr>
            <w:r>
              <w:rPr>
                <w:rFonts w:ascii="Arial" w:cs="Arial" w:eastAsia="Arial" w:hAnsi="Arial"/>
                <w:sz w:val="18"/>
                <w:szCs w:val="18"/>
                <w:color w:val="auto"/>
              </w:rPr>
              <w:t>112.07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148.27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246.15</w:t>
            </w:r>
          </w:p>
        </w:tc>
      </w:tr>
    </w:tbl>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Source: NASDAQ—Whole Market index and Bio index. The NASDAQ Market index has been used to compare the shareholder return for all companies listed on the NASDAQ Stock Market. The NASDAQ Bio index has been used to give a comparison of the shareholder returns from biotechnology and pharmaceutical companies listed on the NASDAQ Stock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Graph—5 Year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following graph compares the cumulative 5-year return provided to stockholders of Amarin’s ADSs relative to the cumulative total returns of the NASDAQ Composite Index and the NASDAQ Biotechnology Index. An investment of $100 (with reinvestment of all dividends) is assumed to have been made in our ADSs and in each of the indexes on December 31, 2008 and its relative performance is tracked through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98425</wp:posOffset>
            </wp:positionV>
            <wp:extent cx="5213985" cy="2178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8"/>
              </w:rPr>
              <w:t>12/31/2009</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12/31/2010</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12/31/2011</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12/31/2012</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Amarin Corporation PLC</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201.41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1,154.93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1,054.93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1,139.44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277.46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145.36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171.74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170.38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200.62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281.22</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115.96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133.61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149.75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198.10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328.88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equity compensation plans is incorporated by reference in Item 12 of Part III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If you are not resident or ordinarily resident in the United Kingdom, or UK, for UK tax purposes, you will not be liable for UK tax on capital gains realized or accrued on the sale or other disposition of common shares or ADSs unless the common shares or ADSs are held in connection with your trade carried on in the UK through a branch or agency and the common shares or ADSs are or have been used, held or acquired for the purposes of such trade or such branch or agency.</w:t>
      </w:r>
    </w:p>
    <w:p>
      <w:pPr>
        <w:spacing w:after="0" w:line="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 individual holder of common shares or ADSs who ceases to be resident or ordinarily resident in the UK for UK tax purposes for a period of less than 5 years and who disposes of common shares or ADSs during that period may also be liable on returning to the UK for UK capital gains tax despite the fact that the individual may not be resident or ordinarily resident in the UK at the time of the disposal.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Inheritance Tax</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you are an individual domiciled in the United States and are not a national of the UK for the purposes of the Inheritance and Gift Tax Treaty 1978 between the United States and the UK, any common shares or ADSs beneficially owned by you will not generally be subject to UK inheritance tax on your death or on a gift made by you during your lifetime, provided that any applicable United States federal gift or estate tax liability is paid, except where the common share or ADS is part of the business property of your UK permanent establishment.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 the common shares or ADSs have been placed in trust by a settlor who, at the time of the settlement, was domiciled in the United States and not a national of the UK, the common shares or ADSs will not generally be subject to UK inheritance tax.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ADSs</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No UK stamp duty will be payable on an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ad valorem stamp duty at the rate of 0.5% of the value of the consideration.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stamp duty reserve tax will be payable in respect of an agreement to transfer an ADS, whether made in or outside the UK.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 and Transfer of Common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 of common shares by Amarin will not give rise to a charge to UK stamp duty or stamp duty reserve tax.</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Transfers of common shares, as opposed to ADSs, will attract ad valorem stamp duty at the rate of 0.5% of the amount or value of the consideration. A charge to stamp duty reserve tax, at the rate of 0.5% of the amount or value of the consideration, will arise on an agreement to transfer common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UK law, there is no withholding tax on dividends.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selected financial data set forth below as of and for the years ended December 31, 2013, 2012, 2011, 2010, and 2009 have been derived from the audited consolidated financial statements of Amarin.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 Historical results are not necessarily indicative of operating results to be expected in the future.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gridSpan w:val="10"/>
          </w:tcPr>
          <w:p>
            <w:pPr>
              <w:jc w:val="right"/>
              <w:ind w:right="640"/>
              <w:spacing w:after="0" w:line="142" w:lineRule="exact"/>
              <w:rPr>
                <w:sz w:val="20"/>
                <w:szCs w:val="20"/>
                <w:color w:val="auto"/>
              </w:rPr>
            </w:pPr>
            <w:r>
              <w:rPr>
                <w:rFonts w:ascii="Arial" w:cs="Arial" w:eastAsia="Arial" w:hAnsi="Arial"/>
                <w:sz w:val="14"/>
                <w:szCs w:val="14"/>
                <w:b w:val="1"/>
                <w:bCs w:val="1"/>
                <w:color w:val="auto"/>
                <w:w w:val="91"/>
              </w:rPr>
              <w:t>(In thousands, except per share 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Revenues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26,351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Cost of goods sold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11,912</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72,750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Selling, general and administrative (1)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123,795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22,559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208,457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116,750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45,101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w w:val="88"/>
              </w:rPr>
              <w:t>(182,106)</w:t>
            </w:r>
          </w:p>
        </w:tc>
        <w:tc>
          <w:tcPr>
            <w:tcW w:w="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(116,750)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(44,161)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(45,101)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(34,044)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Gain (loss) on change in fair value of derivative liabilities (2)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47,710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(22,669)</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(205,153)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(34,179)</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(18,091)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860"/>
              <w:spacing w:after="0"/>
              <w:rPr>
                <w:sz w:val="20"/>
                <w:szCs w:val="20"/>
                <w:color w:val="auto"/>
              </w:rPr>
            </w:pPr>
            <w:r>
              <w:rPr>
                <w:rFonts w:ascii="Arial" w:cs="Arial" w:eastAsia="Arial" w:hAnsi="Arial"/>
                <w:sz w:val="18"/>
                <w:szCs w:val="18"/>
                <w:color w:val="auto"/>
              </w:rPr>
              <w:t>Other (expense) income, net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(169,421)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(170,068)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(66,610)</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(250,090)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3,194</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(2,516)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(166,227)</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(179,184)</w:t>
            </w:r>
          </w:p>
        </w:tc>
        <w:tc>
          <w:tcPr>
            <w:tcW w:w="12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(69,126)</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(249,589)</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(30,606)</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(0.53)</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(0.53)</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161,022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144,017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130,247</w:t>
            </w:r>
          </w:p>
        </w:tc>
        <w:tc>
          <w:tcPr>
            <w:tcW w:w="4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100,239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167,070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144,017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130,247</w:t>
            </w: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100,239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9"/>
              </w:rPr>
              <w:t>As of December 31,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$191,514</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$260,242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2"/>
              </w:rPr>
              <w:t>$ 116,602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31,442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$52,258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252,476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310,855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126,379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Long-term obligations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248,792</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289,650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123,889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230,157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(33,856)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(202,367)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305"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Includes non-cash warrant-related compensation expense reflecting the change in the fair value of the warrant derivative liability associated with warrants issued in October 2009 to former officers of Amarin. See further discussion in Notes 2 and 7 of the Notes to the Consolidated Financial Statements.</w:t>
      </w:r>
    </w:p>
    <w:p>
      <w:pPr>
        <w:ind w:left="460" w:right="50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non-cash charges resulting from changes in the fair value of derivative liabilities. See further discussion in Notes 2 and 7 of the Notes to the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Annual Report on Form 10-K contains forward-looking statements concerning future events and performance of the Company. When used in this report,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our ability to successfully commercialize Vascepa in the United States for use in the MARINE indication, the progress and timing of our clinical programs, the potential for, and timing of, regulatory approval of additional indications for Vascepa and the next steps we may take thereto; the safety and efficacy of our product candidates; the goals of our development activities; the scope of our intellectual property protection; estimates of the potential markets for our product candidates; estimates of the capacity of manufacturing and other facilities to support our products, our operating and growth strategies, our sales and marketing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500mg/dL) hypertriglyceridemia. We refer to this approved indication for Vascepa as the MARINE indication. We began marketing and selling Vascepa in the United States in January 2013. Vascepa is available in the United States by prescription only. We market Vascepa through our sales force of approximately 150 sales professionals, including sales representatives and their managers.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500mg/dL), commonly known as very high triglyceride levels. According to </w:t>
      </w:r>
      <w:r>
        <w:rPr>
          <w:rFonts w:ascii="Arial" w:cs="Arial" w:eastAsia="Arial" w:hAnsi="Arial"/>
          <w:sz w:val="16"/>
          <w:szCs w:val="16"/>
          <w:i w:val="1"/>
          <w:iCs w:val="1"/>
          <w:color w:val="auto"/>
        </w:rPr>
        <w:t>The American Heart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Scientific Statement on Triglycerides and Cardiovascular Disease </w:t>
      </w:r>
      <w:r>
        <w:rPr>
          <w:rFonts w:ascii="Arial" w:cs="Arial" w:eastAsia="Arial" w:hAnsi="Arial"/>
          <w:sz w:val="16"/>
          <w:szCs w:val="16"/>
          <w:color w:val="auto"/>
        </w:rPr>
        <w:t>(2011), triglycerides also provide important information as a marker associated with the risk for</w:t>
      </w:r>
      <w:r>
        <w:rPr>
          <w:rFonts w:ascii="Arial" w:cs="Arial" w:eastAsia="Arial" w:hAnsi="Arial"/>
          <w:sz w:val="16"/>
          <w:szCs w:val="16"/>
          <w:i w:val="1"/>
          <w:iCs w:val="1"/>
          <w:color w:val="auto"/>
        </w:rPr>
        <w:t xml:space="preserve"> </w:t>
      </w:r>
      <w:r>
        <w:rPr>
          <w:rFonts w:ascii="Arial" w:cs="Arial" w:eastAsia="Arial" w:hAnsi="Arial"/>
          <w:sz w:val="16"/>
          <w:szCs w:val="16"/>
          <w:color w:val="auto"/>
        </w:rPr>
        <w:t>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potential efficacy and safety of Vascepa (known in its development stage as AMR 101) was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also developing Vascepa for the treatment of patients with high (TG ³ 200 mg/dL and &lt;500 mg/dL) triglyceride levels who are also on statin therapy for elevated low-density lipoprotein cholesterol, or LDL-C, levels which we refer to as mixed dyslipidemia. We refer to this second proposed indication for Vascepa as the ANCHOR indication. The FDA has stated that it views the proposed ANCHOR indication as ostensibly and impliedly an indication to reduce cardiovascular risk. In addition, in December 2011, we announced commencement of patient dosing in our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 pending supplemental new drug application, or sNDA, with the FDA that seeks marketing approval of Vascepa for use in the ANCHOR indication. On October 16, 2013, the FDA convened an advisory committee to review our sNDA. This advisory committee was not asked by the FDA to evaluate whether Vascepa is effective in lowering triglycerides in the studied population, the ANCHOR indication as specified in the sNDA. Rather, the advisory panel was asked whether Vascepa has been demonstrated to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advisory committees, but final decisions on the approval of new drug applications are made by the FDA.</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ANCHOR trial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we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as sufficient to establish the effectiveness of a drug intended to reduce cardiovascular risk in subjects with serum triglyceride levels below 500 mg/dL. In November 2013, we submitted to the FDA a request for reconsideration of its decision to rescind the ANCHOR SPA agreement. On January 17, 2014, we were notified by the FDA that it does not intend to reinstate the ANCHOR SPA agreement. Our plan is to continue appealing the rescission decision to successively higher administrative levels within the FDA in accordance with FDA dispute resolution guidance.</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FDA did not take action on the ANCHOR sNDA by the Prescription Drug User Fee Act, or PDUFA, goal date for completion of FDA’s review, December 20, 2013. Instead, the FDA notified us on December 19, 2013 that it would first consider our appeal of the ANCHOR SPA agreement rescission. No new PDUFA goal date for the ANCHOR sNDA was established. Based on information available to us, we do not expect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determination on the ANCHOR sNDA while our appeal of the January 17, 2014 FDA decision to uphold the ANCHOR SPA rescission is in process. We are also continuing our efforts toward a positive determination on the pending ANCHOR sNDA. There also can be no assurance that the FDA will not communicate the results of its review of the ANCHOR sNDA prior to the timing expected.</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our communications with the FDA, we currently expect that final positive results from the REDUCE-IT outcomes study will be required for FDA approval of Vascepa for the ANCHOR indication. There can be no assurance that we will be successful in our effort to reinstate the ANCHOR SPA agreement or obtain a label expansion reflecting the ANCHOR clinical trial. Such label expansion could include FDA approval of the addition of an ANCHOR indication statement and/or the addition of the ANCHOR clinical trial data to our currently approved labeling.</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October 22, 2013, in an effort to reduce operating expenses following the recommendation of the advisory committee to the FDA against approval of the ANCHOR indication, we implemented a worldwide reduction in force of approximately 50% of our staff positions. The majority of affected staff members were sales professionals who supported the initial commercial launch of Vascepa. We incurred approximately $2.8 million in charges related to the reduction in force, all of which includes cash expenditures for one-time termination benefits and associated costs. The charges were recorded in the fourth quarter of 2013 and the related payments will be made by the first half of 2014. As part of the reduction in force, we retained approximately 130 sales representatives, excluding sales management, in the United States in sales territories that we believe have demonstrated the greatest potential for Vascepa sales growth. We plan to have this team cover the target base of physicians responsible for the majority of Vascepa prescription volume and growth since its launch in early 2013. With these changes and resulting target base coverage, we anticipate continued Vascepa revenue growth over time. We also anticipate that such sales growth may be inconsistent from period to period.</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over 6,500 patients enrolled in the REDUCE-IT study. We currently estimate that we will complete patient enrollment in this study in the first half of 2015. However, if we do not receive an expansion of Vascepa labeling for the ANCHOR indication, we plan to re-evaluate continuation of the REDUCE-IT study in its present form and re-evaluate whether it is advisable to continue the study. If continued, the REDUCE-IT study will be completed after reaching an aggregate number of cardiovascular events. Based on event rates in other outcomes studies, we estimate completing the REDUCE-IT study in or about 2017 with results expected to be available in 2018. Based on the results of REDUCE-IT, we may seek additional indications for Vascepa beyond the indications studied in the ANCHOR or MARINE trials.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The results of this study support the feasibility of AMR102. We have suspended additional development of AMR102 pending resolution of the ANCHOR sNDA with the FDA. If we do not receive FDA approval for the ANCHOR indication, we may discontinue development of AMR102.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Vascepa became commercially available in the United States by prescription in January 2013 when we commenced sales and shipments to our network of U.S.-based wholesalers. On January 28, 2013, we commenced our full commercial launch of Vascepa in the United States. In preparation for our commercial launch, we hired and trained a direct sales force of approximately 275 sales representatives. In October 2013, we reduced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 and their managers. We also employ various marketing and medical affairs personnel to support our commercialization of Vascepa.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clinical and commercial supply is provided to us under agreements with various third-party suppliers. As of February 1, 2014, over 16,000 clinicians had written prescriptions for Vascepa.</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2013, we completed our eleventh full calendar month of marketing and selling Vascepa. Based on monthly compilations of data provided by a third party, Symphony Health Solutions, the estimated number of normalized total Vascepa prescriptions for the year ended December 31, 2013 was approximately 225,000. According to data from another third party, IMS Health, the estimated number of normalized total Vascepa prescriptions was approximately 195,000 for that same period.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a third party resource and may be subject to adjustment and may overstate or understate actual prescriptions.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we believe these data are prepared on a period-to-period basis in a manner that is generally consistent and that such results are generally indicative of current prescription trends, these data are based on estimates and should not be relied upon as definitive. In addition, because of our limited selling history, during the year ended December 31, 2013, we only recognized revenue on product that was resold for purposes of filling prescriptions. Those prescription data may differ from data reported by other third parties.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commencing our U.S. commercial launch of Vascepa in January 2013, we had no revenue from Vascepa. Because of our limited selling history, change in the size of our sales force and uncertainty regarding resolution of the ANCHOR sNDA with the FDA, we do not believe that we can provide a reasonably accurate forecast of Vascepa prescriptions or revenues. While we expect to be able to grow Vascepa revenues, we provide no quantified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secured managed care coverage for over 200 million lives, including as of February 1, 2014 over 100 million lives covered on Tier 2. This level of Tier 2 coverage exceeds 66% of the maximum level of Tier 2 coverage which has been achieved over multiple years by comparable therapies.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commercial launch of a new pharmaceutical product is a complex undertaking, and our ability to effectively and profitably launch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 Update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the year ended December 31, 2013, we acquired approximately $25.7 million of Vascepa active pharmaceutical ingredient, or API, of which $22.0 million was capitalized to inventory as of December 31, 2013. The balance of such Vascepa API purchase costs was included as a component of research and development expense because it was received from suppliers that had not yet been qualified by the FDA.</w:t>
      </w:r>
    </w:p>
    <w:p>
      <w:pPr>
        <w:spacing w:after="0" w:line="10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April 2013, the FDA approved our sNDAs covering Chemport, Inc. and BASF (formerly Equateq Limited) as additional Vascepa API suppliers. We are working with Slanmhor Pharmaceuticals, Inc. to pursue FDA approval for Slanmhor to manufacture Vascepa API and submitted an sNDA in August 2013. Until an API supplier is approved, all Vascepa API purchased from such supplier is included as a component of research and development expense.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amount of supply purchases in 2014 and beyond will depend on the level of growth of Vascepa revenues, which will be significantly impacted by the outcome of the FDA’s decision on approval of the ANCHOR indication, and, with certain suppliers, will depend on the timing of their qualification to consistently produce Vascepa to our specification and to minimum purchase commitments. We anticipate that our gross margin from Vascepa sales will be lower in 2013 than in subsequent years due to multiple factors, including API supply pricing with our earliest approved supplier, Nisshin. This is the case particularly as it relates to our earliest volume of purchases from Nisshin being higher than supply pricing later agreed with other suppliers, tiered supply pricing at certain suppliers such that cost per kilogram of supply purchases are scheduled to decline as volume of purchases increase, recent improvement in currency exchange rates, geographic location of our suppliers, special initial stocking discounts provided to wholesalers and pharmacies to encourage them to stock Vascepa in advance of Vascepa’s January 2013 commercial launch, and rebate cards offered to consumers filling prescriptions for Vascepa to reduce the size of the consumer’s co-payment requirements while we work with payors to migrate Vascepa coverage from “tier-3” to “tier-2” in these payors’ drug pricing systems. We anticipate rebate amounts that we will agree to provide payors for tier-2 insurance coverage on sales of Vascepa will ultimately cost us less than our current rebate card program.</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believe that our cash and cash equivalents balance of $191.5 million at December 31, 2013 is sufficient to fund our projected operations for at least the next twelve months, including the continued commercialization of Vascepa for the MARINE indication, preparations for commercialization of Vascepa for the ANCHOR indication, if approved, and the advancement of the REDUCE-IT cardiovascular outcomes study.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All of our revenue is derived from product sales of Vascepa, net of allowances, discounts, incentives, rebates, chargebacks and returns. We sell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to a limited number of major wholesalers, as well as selected regional wholesalers and specialty pharmacy providers, or collectively, our Distributors, who resell the product to retail pharmacies for purposes of their reselling the product to fill patient prescriptions. In accordance with GAAP, until we have the ability to reliably estimate returns of Vascepa from our Distributors, revenue will be recognized based on the resale of Vascepa for the purposes of filling patient prescriptions, and not based on sales from us to such Distributors. Consistent with industry practice, once we achieve sufficient history such that we can reliably estimate returns based on sales to our Distributors, we anticipate that our revenues will be recognized based on sales to our Distributors. We currently defer Vascepa revenue recognition until the earlier of the product being resold for purposes of filling patient prescriptions; and the expiration of the right of return (twelve months after the expiration date of the product). We also defer the related cost of product sales and record such amounts as finished goods inventory held by others until revenue related to such product sales is recognized. Through December 31, 2013, product returns were deminimus.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encapsulation, packaging, shipment, supply management, insurance and quality assurance. The cost of the API included in cost of goods sold reflects the average cost method of inventory valuation and relief. This average cost reflects the actual purchase price of Vascepa API, the majority of which through December 31, 2013 was from Nisshin, our first approved API supplier.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 conjunction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cost to support current development efforts, including patent costs and milestone payments. We expense research and development costs as incurred. In addition, research and development costs include the costs of product supply received from suppliers when such receipt by the Company is prior to regulatory approval of the supplier.</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consists primarily of salaries and other related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including stock-based compensation expense, in our sales, marketing, executive, business development, finance and information technology functions. Other costs primarily include facility costs and professional fees for accounting, consulting and legal services.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Interest and Other (Expense) Income, Net. </w:t>
      </w:r>
      <w:r>
        <w:rPr>
          <w:rFonts w:ascii="Arial" w:cs="Arial" w:eastAsia="Arial" w:hAnsi="Arial"/>
          <w:sz w:val="16"/>
          <w:szCs w:val="16"/>
          <w:color w:val="auto"/>
        </w:rPr>
        <w:t>Interest expense consists of interest incurred under lease obligations, interest incurred under our 3.5%</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debt and interest incurred under our December 2012 financing arrangement with BioPharma Secured Debt Fund II Holdings Cayman LP, or BioPharma. Interest expense under our 3.5% exchangeable debt includes the amortization of the conversion option related to our exchangeable debt, the amortization of the related debt discount and debt obligation coupon interest. Interest income consists of interest earned on our cash and cash equivalents. Other (expense) income, net, consists primarily of foreign exchange losses and gains.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—We sell Vascepa principally to a limited number of Distributors, that in turn resell Vascepa to retail pharmacies that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resell it to patients and health 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In accordance with GAAP, until we have the ability to reliably estimate returns of Vascepa from our Distributors, revenue will be recognized based on the resale of Vascepa for the purposes of filling patient prescriptions, and not based on sales from us to such Distributors. Consistent with industry practice, once we achieve sufficient history such that we can reliably estimate returns based on sales to our Distributors, we anticipate that our revenues will be recognized based on sales to our Distributors. We currently defer Vascepa revenue recognition until the earlier of the product being resold for purposes of filling patient prescriptions; and the expiration of the right of return (twelve months after the expiration date of the product). We also defer the related cost of product sales and record such amounts as finished goods inventory held by others until revenue related to such product sales is recognized. As of December 31, 2013, we had experienced deminimus product returns.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written contracts with our Distributors, and delivery occurs when a Distributor receives Vascepa. We evaluate the creditworthiness of each of our Distributors to determine whether revenues can be recognized upon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w:t>
      </w:r>
    </w:p>
    <w:p>
      <w:pPr>
        <w:spacing w:after="0" w:line="3"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estimated government and private payor rebates, chargebacks and discounts, such as Medicaid reimbursements, (c) reserves for expected product returns and</w:t>
      </w:r>
    </w:p>
    <w:p>
      <w:pPr>
        <w:spacing w:after="0" w:line="43" w:lineRule="exact"/>
        <w:rPr>
          <w:rFonts w:ascii="Arial" w:cs="Arial" w:eastAsia="Arial" w:hAnsi="Arial"/>
          <w:sz w:val="15"/>
          <w:szCs w:val="15"/>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costs of incentives offered to certain indirect customers, including patients.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arising for changes in fair value recognized in the statement of operations. The fair value of derivative financial liabilities is determined using valuation techniques; typically we use the Black-Scholes option pricing model. We use our judgment to select a variety of methods and make assumptions that are mainly based on market conditions existing at each balance sheet date. Fluctuations in the assumptions used in the valuation model would result in adjustments to the fair value of the warrant derivative liability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recorded a financial derivative related to the change in control provision associated with our December 2012 debt financing. During 2013, we recorded a derivative liability related to our forward foreign exchange contracts, which was extinguished prior to December 31, 2013. The fair value of these derivatives could fluctuate based on changes in the assumptions used in the valuation models.</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—Prior to July 26, 2012, when we received approval from the FDA to market and sell Vascepa in the United States for the MARINE indication,</w:t>
      </w:r>
      <w:r>
        <w:rPr>
          <w:rFonts w:ascii="Arial" w:cs="Arial" w:eastAsia="Arial" w:hAnsi="Arial"/>
          <w:sz w:val="16"/>
          <w:szCs w:val="16"/>
          <w:i w:val="1"/>
          <w:iCs w:val="1"/>
          <w:color w:val="auto"/>
        </w:rPr>
        <w:t xml:space="preserve"> </w:t>
      </w:r>
      <w:r>
        <w:rPr>
          <w:rFonts w:ascii="Arial" w:cs="Arial" w:eastAsia="Arial" w:hAnsi="Arial"/>
          <w:sz w:val="16"/>
          <w:szCs w:val="16"/>
          <w:color w:val="auto"/>
        </w:rPr>
        <w:t>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only Nisshin was an FDA-approved supplier of API for Vascepa. In April 2013, the FDA approved our sNDAs covering Chemport and BASF as additional Vascepa API suppliers. All supply from Chemport and BASF prior to FDA approval of these API suppliers was not capitalized and instead charged as a component of research and development expense in the period received. Subsequent to the approval of these suppliers, we capitalize API purchases from them. We are working with Slanmhor to pursue FDA approval for Slanmhor to manufacture Vascepa API and submitted an sNDA in August 2013. Until an API supplier is approved, all Vascepa API purchased from such supplier is included as a component of research and development expense. Upon sNDA approval of each additional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sNDA for the supplier that produced the API is approved. Additionally, the determination of the classification of our inventory requires the use of estimates in order to determine the portion of inventories anticipated to be utilized within twelve months of the balance sheet date.</w:t>
      </w:r>
    </w:p>
    <w:p>
      <w:pPr>
        <w:spacing w:after="0" w:line="12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—Deferred tax assets and liabilities are recognized for the future tax consequences of differences between the carrying amounts and tax bases</w:t>
      </w:r>
      <w:r>
        <w:rPr>
          <w:rFonts w:ascii="Arial" w:cs="Arial" w:eastAsia="Arial" w:hAnsi="Arial"/>
          <w:sz w:val="16"/>
          <w:szCs w:val="16"/>
          <w:i w:val="1"/>
          <w:iCs w:val="1"/>
          <w:color w:val="auto"/>
        </w:rPr>
        <w:t xml:space="preserve"> </w:t>
      </w:r>
      <w:r>
        <w:rPr>
          <w:rFonts w:ascii="Arial" w:cs="Arial" w:eastAsia="Arial" w:hAnsi="Arial"/>
          <w:sz w:val="16"/>
          <w:szCs w:val="16"/>
          <w:color w:val="auto"/>
        </w:rPr>
        <w:t>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assess the realizability of deferred tax assets at each reporting period. The realization of deferred tax assets depends on generating future taxable income during the periods in which the tax benefits are deductible or creditable. The Company has been historically profitable in the U.S. When making its assessment about the realization of its U.S. deferred tax assets at December 31, 2013, the Company considered all available evidence, placing particular weight on evidence that could be objectively verified. The evidence considered included the (i) historical profitability of the Company’s U.S. operations, (ii) sources of future taxable income, giving weight to sources according to the extent to which they can be objectively verified, and (iii) the risks to our business related to the commercialization and development of Vascepa. Based on its assessment, the Company concluded that the U.S. deferred tax assets are more likely than not realizable as of December 31, 2013.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of up to approximately $12 million could be required relating to these U.S. deferred tax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July 2013, the Financial Accounting Standards Board issued an update that clarified existing guidance on the presentation of unrecognized tax benefits when various qualifying tax benefit carryforwards exist, including when the unrecognized tax benefit should be presented as a reduction to deferred tax assets or as a liability. This update is required to be adopted for all annual periods and interim reporting periods beginning after December 15, 2013, with early adoption permitted. The adoption of this pronouncement is not expected to have a material impact on our financial statements.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2013 versus December 31, 2012</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recorded revenue of $26.4 million during the year ended December 31, 2013. We commenced our full commercial launch of Vascepa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for use in the MARINE indication in January 2013. We recorded no revenue in 2012. All of our revenue in the year ended December 31, 2013 was derived from product sales of Vascepa, net of allowances, discounts, incentives, rebates, chargebacks and returns.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sell Vascepa to Distributors. In accordance with our revenue recognition policy, until we have more experience with the sale of Vascepa and can better estimate product returns, we currently recognize revenue only for product which has been used for of the purpose of filling prescriptions. The excess of the amount billed and the amount recognized as revenue for the year ended December 31, 2013, net of applicable discounts and rebates, has been recorded as deferred revenue.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year ended December 31, 2013, our net product revenues included an adjustment for co-pay mitigation rebates provided by us to commercially insured patients. Such rebates are intended to offset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differential for patients of Vascepa not covered by commercial insurers at the time of launch on tier 2, resulting in higher co-pay amounts for such patients. Our cost for these co-payment mitigation rebates is up to $75 per prescription filled during 2013. Commencing in March and April 2013, certain third-party payors added Vascepa to their tier 2 coverage, which results in lower co-payments for patients covered by these third-party payors. As of February 1, 2014, approximately 100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 As of February 1, 2014, over 16,000 clinicians had written prescriptions for Vascepa. As of February 1, 2014, we are not aware of any clinician who is responsible for 10% or more of the aggregate prescriptions written for Vascepa.</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October 22, 2013, in an effort to reduce operating expenses following the recommendation of the advisory committee to the FDA, we implemented a worldwide reduction in force including a reduction of approximately fifty percent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resulting target base coverage, we anticipate continued Vascepa revenue growth over time. We further anticipate that such revenue growth may be inconsistent from period to period.</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during the year ended December 31, 2013 was $11.9 million, and includes the cost of API for Vascepa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majority of API included in the calculation of the average cost of goods sold during the year ended December 31, 2013 was sourced from one API supplier. The contracted cost of supply from this API supplier for initial purchase volumes is higher than the contracted cost from our other API suppliers. Contracted purchase costs from this initial API supplier reflect that they were working with Amarin prior to commencement of the MARINE and ANCHOR clinical trials and are anticipated to decline as additional API volume is purchased. In the future, we anticipate making continued purchases from this initial supplier at substantially lower unit pricing than the pricing of the initial purchases from this supplier and to make additional lower unit cost purchases of Vascepa API from other API suppliers. We began purchasing lower unit cost API from Chemport, which was approved by the FDA in April 2013 to produce Vascepa, in the three months ended June 30, 2013. During the year ended December 31, 2013, the cost basis of product sold that had a carrying value of zero was approximately $4.0 million. Had such inventories been valued at acquisition cost, it would have resulted in an increase in cost of goods sold and a decrease in gross margin during such periods. We expect current inventories with a carrying value of zero to be utilized in 2014. We may have additional zero cost inventories in the future to the extent that we receive approval of the sNDA for our fourth commercial supplier. As of December 31, 2013, we maintained inventory with a carrying value of zero and an acquisition cost of approximately $0.6 million, which has an estimated net realizable value of $2.6 million based on our average net selling price for the year ended December 31, 2013.</w:t>
      </w:r>
    </w:p>
    <w:p>
      <w:pPr>
        <w:spacing w:after="0" w:line="12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gross margin improved during each quarter for the year ended December 31, 2013. This improvement was primarily driven by lower unit cost API purchases made during 2013. The gross margin for the year ended December 31, 2013 was 55%. In addition to expected continued lower average unit cost purchases of API,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also expect that API costs will be lower in the future due to recent improvements in foreign currency exchange rates and potential advantages derived from the geographical mix of our suppliers. We recorded no cost of goods sold in 2012.</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2013 was $72.8 million, versus $59.0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an increase of $13.8 million, or 23.4%. Research and development expenses for the years ended December 31, 2013 and 2012 are summarized in the table below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766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660" w:type="dxa"/>
            <w:vAlign w:val="bottom"/>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7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$46,994</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$25,563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Other clinical trial programs (2)</w:t>
            </w:r>
          </w:p>
        </w:tc>
        <w:tc>
          <w:tcPr>
            <w:tcW w:w="580" w:type="dxa"/>
            <w:vAlign w:val="bottom"/>
          </w:tcPr>
          <w:p>
            <w:pPr>
              <w:jc w:val="right"/>
              <w:spacing w:after="0"/>
              <w:rPr>
                <w:sz w:val="20"/>
                <w:szCs w:val="20"/>
                <w:color w:val="auto"/>
              </w:rPr>
            </w:pPr>
            <w:r>
              <w:rPr>
                <w:rFonts w:ascii="Arial" w:cs="Arial" w:eastAsia="Arial" w:hAnsi="Arial"/>
                <w:sz w:val="18"/>
                <w:szCs w:val="18"/>
                <w:color w:val="auto"/>
              </w:rPr>
              <w:t>1,518</w:t>
            </w: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Pre-approval commercial supply (3)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16,141</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Regulatory filing fees and expenses (4)</w:t>
            </w:r>
          </w:p>
        </w:tc>
        <w:tc>
          <w:tcPr>
            <w:tcW w:w="580" w:type="dxa"/>
            <w:vAlign w:val="bottom"/>
          </w:tcPr>
          <w:p>
            <w:pPr>
              <w:jc w:val="right"/>
              <w:spacing w:after="0"/>
              <w:rPr>
                <w:sz w:val="20"/>
                <w:szCs w:val="20"/>
                <w:color w:val="auto"/>
              </w:rPr>
            </w:pPr>
            <w:r>
              <w:rPr>
                <w:rFonts w:ascii="Arial" w:cs="Arial" w:eastAsia="Arial" w:hAnsi="Arial"/>
                <w:sz w:val="18"/>
                <w:szCs w:val="18"/>
                <w:color w:val="auto"/>
              </w:rPr>
              <w:t>3,819</w:t>
            </w: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69,913</w:t>
            </w:r>
          </w:p>
        </w:tc>
        <w:tc>
          <w:tcPr>
            <w:tcW w:w="3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55,256</w:t>
            </w: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72,750</w:t>
            </w:r>
          </w:p>
        </w:tc>
        <w:tc>
          <w:tcPr>
            <w:tcW w:w="3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58,956</w:t>
            </w:r>
          </w:p>
        </w:tc>
      </w:tr>
      <w:tr>
        <w:trPr>
          <w:trHeight w:val="20"/>
        </w:trPr>
        <w:tc>
          <w:tcPr>
            <w:tcW w:w="7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increase in research and development expenses for the year ended December 31, 2013, as compared to the prior year period, is primarily due to an increase in costs associated with the REDUCE-IT study as further described below.</w:t>
      </w:r>
    </w:p>
    <w:p>
      <w:pPr>
        <w:spacing w:after="0" w:line="51" w:lineRule="exact"/>
        <w:rPr>
          <w:sz w:val="20"/>
          <w:szCs w:val="20"/>
          <w:color w:val="auto"/>
        </w:rPr>
      </w:pPr>
    </w:p>
    <w:p>
      <w:pPr>
        <w:ind w:left="460" w:hanging="452"/>
        <w:spacing w:after="0" w:line="28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and the epidemiology of the patients enrolled in the study.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currently have over 6,500 patients enrolled in REDUCE-IT. We estimate that we will complete patient enrollment in this study in the first half of 2015. The REDUCE-IT study will be completed after reaching an aggregate number of cardiovascular events. Based on event rates in other outcomes studies, we estimate completing the REDUCE-IT study in or about 2017 with results expected to be available in 2018. For 2013, we incurred expenses through our CRO in connection with this trial of approximately $38.4 million. Inclusive of CTM costs, the combined CRO and CTM costs in 2013 for REDUCE-IT were approximately $47.0 million. We expense costs for CTM upon receipt. The aggregate cost of this outcomes study will depend on the rate of clinical events in the study. We currently estimate that costs incurred for this study in 2014 will continue at approximately the same levels as we have incurred in 2013. Based on our current assumptions of CRO and CTM costs, we estimate that aggregate remaining costs to complete the REDUCE-IT study and evaluate its results to likely exceed $100 million. We anticipate that our costs for this outcomes study will continue to represent the most significant component of our research and development expenditures. However, if we do not receive FDA approval of the ANCHOR indication, we plan to re-evaluate the REDUCE-IT study, including the likelihood of REDUCE-IT providing clinically and commercially useful results, the likelihood of FDA approval for an expanded indication for Vascepa based on these results and whether it is advisable to continue or discontinue the study. We anticipate that in any such re-evaluation we will seek further feedback from the FDA.</w:t>
      </w:r>
    </w:p>
    <w:p>
      <w:pPr>
        <w:spacing w:after="0" w:line="4" w:lineRule="exact"/>
        <w:rPr>
          <w:rFonts w:ascii="Arial" w:cs="Arial" w:eastAsia="Arial" w:hAnsi="Arial"/>
          <w:sz w:val="16"/>
          <w:szCs w:val="16"/>
          <w:color w:val="auto"/>
        </w:rPr>
      </w:pPr>
    </w:p>
    <w:p>
      <w:pPr>
        <w:ind w:left="460" w:right="8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2012 and 2013, other clinical trial programs consisted of fixed-dose combination studies. In December 2012, we completed dosing and pharmacokinetic sampling in a study to test a fixed-dose combination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83" w:lineRule="auto"/>
        <w:rPr>
          <w:sz w:val="20"/>
          <w:szCs w:val="20"/>
          <w:color w:val="auto"/>
        </w:rPr>
      </w:pPr>
      <w:r>
        <w:rPr>
          <w:rFonts w:ascii="Arial" w:cs="Arial" w:eastAsia="Arial" w:hAnsi="Arial"/>
          <w:sz w:val="16"/>
          <w:szCs w:val="16"/>
          <w:color w:val="auto"/>
        </w:rPr>
        <w:t>Vascepa capsules and a leading statin which we refer to as AMR102. In August 2013, we completed dosing in a randomized, open-label, single-dose, 4-way cross-over study to continue testing of the relative bioavailability of AMR102 capsules, Vascepa capsules with a selected statin taken concomitantly, Vascepa taken alone and the selected statin taken alone. The results of this study support the feasibility of AMR102. We have suspended additional development of AMR102 pending resolution of the ANCHOR sNDA with the FDA.</w:t>
      </w:r>
    </w:p>
    <w:p>
      <w:pPr>
        <w:spacing w:after="0" w:line="3" w:lineRule="exact"/>
        <w:rPr>
          <w:sz w:val="20"/>
          <w:szCs w:val="20"/>
          <w:color w:val="auto"/>
        </w:rPr>
      </w:pPr>
    </w:p>
    <w:p>
      <w:pPr>
        <w:ind w:left="4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In April 2013, sNDAs were approved for two of our additional suppliers, BASF and Chemport. A sNDA was submitted in August 2013 for Novasep as part of the Slanmhor consortium. The amount of commercial supply that we receive from Novasep prior to sNDA approval depends upon production schedules at Novasep and the timing of regulatory approval, and we are unable to estimate these amounts at this time. We will continue to expense inventory received from the unapproved supplier until such time as FDA approval is obtained. Additionally, during the year ended December 31, 2013, we wrote off $1.8 million related to product that is not recoverable. This product is from a supplier from which no supply has yet been released for commercial use.</w:t>
      </w:r>
    </w:p>
    <w:p>
      <w:pPr>
        <w:spacing w:after="0" w:line="7"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regulatory filing fees primarily represent costs incurred in connection with regulatory filings associated with requests for regulatory approvals, such as the sNDA for the ANCHOR indication and annual FDA fees for maintaining manufacturing sites. In the year ended December 31, 2013, such fees also include costs associated with preparing for the October 16, 2013 FDA advisory committee meeting. In the year ended December 31, 2012, the regulatory filing fees balance included a credit representing the reimbursement of $1.5 million in fees by the FDA related to the NDA filing for Vascepa.</w:t>
      </w:r>
    </w:p>
    <w:p>
      <w:pPr>
        <w:spacing w:after="0" w:line="2" w:lineRule="exact"/>
        <w:rPr>
          <w:rFonts w:ascii="Arial" w:cs="Arial" w:eastAsia="Arial" w:hAnsi="Arial"/>
          <w:sz w:val="16"/>
          <w:szCs w:val="16"/>
          <w:color w:val="auto"/>
        </w:rPr>
      </w:pPr>
    </w:p>
    <w:p>
      <w:pPr>
        <w:ind w:left="460" w:right="1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managed research, development and regulatory affairs activities and related overhead costs including consulting and other professional fees that are not allocated to specific projects. Such costs also include costs related to qualifying suppliers and legal costs. We anticipate a reduction in such costs in 2014 compared to 2013 levels as a result of a company-wide reduction in force announced in October 2013. As a result of the reduction in force, we incurred approximately $0.2 million in severance expenses in 2013.</w:t>
      </w:r>
    </w:p>
    <w:p>
      <w:pPr>
        <w:spacing w:after="0" w:line="3" w:lineRule="exact"/>
        <w:rPr>
          <w:rFonts w:ascii="Arial" w:cs="Arial" w:eastAsia="Arial" w:hAnsi="Arial"/>
          <w:sz w:val="16"/>
          <w:szCs w:val="16"/>
          <w:color w:val="auto"/>
        </w:rPr>
      </w:pPr>
    </w:p>
    <w:p>
      <w:pPr>
        <w:ind w:left="460" w:right="58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year ended December 31, 2013 was $123.8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$57.8 million in the prior year, an increase of $66.0 million, or 114.2%. Selling, general and administrative expenses for the years ended December 31, 2013 and 2012 are summarized in the table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4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$ 113,100</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$43,172</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Non-cash warrant related compensation (income) expense (2)</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(3,703)</w:t>
            </w: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Severance (4)</w:t>
            </w:r>
          </w:p>
        </w:tc>
        <w:tc>
          <w:tcPr>
            <w:tcW w:w="660" w:type="dxa"/>
            <w:vAlign w:val="bottom"/>
          </w:tcPr>
          <w:p>
            <w:pPr>
              <w:jc w:val="right"/>
              <w:spacing w:after="0"/>
              <w:rPr>
                <w:sz w:val="20"/>
                <w:szCs w:val="20"/>
                <w:color w:val="auto"/>
              </w:rPr>
            </w:pPr>
            <w:r>
              <w:rPr>
                <w:rFonts w:ascii="Arial" w:cs="Arial" w:eastAsia="Arial" w:hAnsi="Arial"/>
                <w:sz w:val="18"/>
                <w:szCs w:val="18"/>
                <w:color w:val="auto"/>
              </w:rPr>
              <w:t>2,550</w:t>
            </w:r>
          </w:p>
        </w:tc>
        <w:tc>
          <w:tcPr>
            <w:tcW w:w="58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123,795</w:t>
            </w:r>
          </w:p>
        </w:tc>
        <w:tc>
          <w:tcPr>
            <w:tcW w:w="5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57,794</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370"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Selling, general and administrative expense, excluding non-cash charges for stock and warrant compensation, for the year ended December 31, 2013 was $113.1 million, versus $43.2 million in the prior year, an increase of $69.9 million, or 161.8%. The increase was primarily due to cost increases in 2013 for</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spacing w:after="0" w:line="254" w:lineRule="auto"/>
        <w:rPr>
          <w:sz w:val="20"/>
          <w:szCs w:val="20"/>
          <w:color w:val="auto"/>
        </w:rPr>
      </w:pPr>
      <w:r>
        <w:rPr>
          <w:rFonts w:ascii="Arial" w:cs="Arial" w:eastAsia="Arial" w:hAnsi="Arial"/>
          <w:sz w:val="18"/>
          <w:szCs w:val="18"/>
          <w:color w:val="auto"/>
        </w:rPr>
        <w:t>sales force staffing, an increase in marketing program spending and increased general and administrative costs incurred in connection with the initial commercialization of Vascepa.</w:t>
      </w:r>
    </w:p>
    <w:p>
      <w:pPr>
        <w:ind w:left="46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Non-cash warrant related compensation (income) expense for the year ended December 31, 2013 was $3.7 million of income, versus $0.2 million of expense in the prior year. Warrant related compensation income (expense) reflects the non-cash change in fair value of the warrant derivative liability associated with warrants issued in October 2009 to three former officers of Amarin, net of warrants exercised. The change in fair value in 2013 and 2012 was due primarily to the change in our stock price during each period.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5"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Non-cash stock based compensation expense for the year ended December 31, 2013 was $11.8 million, versus $14.4 million in the prior year period, a decrease of $2.6 million, due primarily to a decrease in the number of awards outstanding as a result of the company-wide reduction in force announced in October 2013.</w:t>
      </w:r>
    </w:p>
    <w:p>
      <w:pPr>
        <w:spacing w:after="0" w:line="1"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Severance costs in 2013 relate to cash expenditures for one-time termination benefits and associated costs incurred in conjunction with a company-wide reduction in force announced in October 2013.</w:t>
      </w:r>
    </w:p>
    <w:p>
      <w:pPr>
        <w:spacing w:after="0" w:line="13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Selling, general and administrative costs in 2013 have increased over 2012 levels as we continue to support the commercialization of Vascepa, including costs for market research, sales force staffing and support costs and investments in infrastructure. We anticipate a reduction in the level of such costs in 2014 as a result of the reduction in force announced in October 2013 and expected reductions in certain marketing program spend and other overhead costs.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Gain (Loss) on Change in Fair Value of Derivative Liabilities. </w:t>
      </w:r>
      <w:r>
        <w:rPr>
          <w:rFonts w:ascii="Arial" w:cs="Arial" w:eastAsia="Arial" w:hAnsi="Arial"/>
          <w:sz w:val="18"/>
          <w:szCs w:val="18"/>
          <w:color w:val="auto"/>
        </w:rPr>
        <w:t>Gain (loss) on change in fair value of derivative liabilities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2013 was a gain of $47.7 million versus a loss of $35.3 million in the prior year period. Gain (loss) on change in fair value of derivative liabilities is comprised of the change in fair value of the warrant derivative liability and the change in fair value of the derivative liability related to the change in control provision associated with the December 2012 BioPharma financing.</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2013 was $6.9 million and we recognized a $44.2 million gain on change in fair value of derivative liability for the year ended December 31, 2013 for these warrants. The fair value of the warrant derivative liability at December 31, 2012 was $54.9 million and we recognized a $35.4 million loss on change in fair value of derivative liability for the year ended December 31, 2012. The change in fair value of the warrant derivative liability is due primarily to the change in the price of our common stock on the date of valuation.</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2013, the fair value of the derivative was determined to be $11.1 million, and at December 31, 2012, the fair value of the derivative was determined to be $14.6 million. We recognized a gain on change in fair value of derivative liability of $3.5 million and $0.02 million for the years ended December 31, 2013 and 2012,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20" w:firstLine="456"/>
        <w:spacing w:after="0" w:line="370" w:lineRule="auto"/>
        <w:rPr>
          <w:sz w:val="20"/>
          <w:szCs w:val="20"/>
          <w:color w:val="auto"/>
        </w:rPr>
      </w:pPr>
      <w:r>
        <w:rPr>
          <w:rFonts w:ascii="Arial" w:cs="Arial" w:eastAsia="Arial" w:hAnsi="Arial"/>
          <w:sz w:val="15"/>
          <w:szCs w:val="15"/>
          <w:i w:val="1"/>
          <w:iCs w:val="1"/>
          <w:color w:val="auto"/>
        </w:rPr>
        <w:t xml:space="preserve">Interest Expense, net. </w:t>
      </w:r>
      <w:r>
        <w:rPr>
          <w:rFonts w:ascii="Arial" w:cs="Arial" w:eastAsia="Arial" w:hAnsi="Arial"/>
          <w:sz w:val="15"/>
          <w:szCs w:val="15"/>
          <w:color w:val="auto"/>
        </w:rPr>
        <w:t>Net interest expense for the year ended December 31, 2013 was $33.8 million, versus $17.5 million in the prior year period,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$16.3 million, or 93.1%. Net interest expense for the years ended December 31, 2013 and 2012 is summarized in the table below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w:t>
            </w: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Amortization of debt discount created upon allocation of proceeds to the conversion option</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$12,546</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$10,686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Contractual coupon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Amortization of the discount from the underwriter’s discounts and offering costs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Exchangeable senior notes 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20,317</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17,952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Long-term debt—BioPharma financing (1):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interest—current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Cash interest—deferred</w:t>
            </w:r>
          </w:p>
        </w:tc>
        <w:tc>
          <w:tcPr>
            <w:tcW w:w="580" w:type="dxa"/>
            <w:vAlign w:val="bottom"/>
          </w:tcPr>
          <w:p>
            <w:pPr>
              <w:jc w:val="right"/>
              <w:spacing w:after="0"/>
              <w:rPr>
                <w:sz w:val="20"/>
                <w:szCs w:val="20"/>
                <w:color w:val="auto"/>
              </w:rPr>
            </w:pPr>
            <w:r>
              <w:rPr>
                <w:rFonts w:ascii="Arial" w:cs="Arial" w:eastAsia="Arial" w:hAnsi="Arial"/>
                <w:sz w:val="18"/>
                <w:szCs w:val="18"/>
                <w:color w:val="auto"/>
              </w:rPr>
              <w:t>9,451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interest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Total long-term debt interest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13,859</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interest expense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Total interest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34,179</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Total interest expense, net</w:t>
            </w: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774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33,836</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17,547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Cash and non-cash interest expenses related to the BioPharma financing for the year ended December 31, 2013 were $11.3 million and $2.6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For the three months ended September 30, 2013 and December 31, 2013, our revenues were below the contractual threshold amount such that we made a cash payment of $0.8 million in November 2013 based on $8.4 million in revenue recognized in the third quarter of 2013 and we will make a cash payment of $1.0 million in February 2014 based on $10.1 million in revenue recognized in the fourth quarter of 2013, reflecting the calculated optional reduction amount as opposed to the contractual threshold payments of $2.5 million for each quarterly period.</w:t>
      </w:r>
    </w:p>
    <w:p>
      <w:pPr>
        <w:ind w:left="460" w:right="6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income for the year ended December 31, 2013 was $0.3 million, versus $0.5 million in the prior year period, a decrease of $0.2 million, or 40.0 %. Interest income represents income earned on cash balances.</w:t>
      </w:r>
    </w:p>
    <w:p>
      <w:pPr>
        <w:spacing w:after="0" w:line="13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 xml:space="preserve">Other (Expense) Income, net. </w:t>
      </w:r>
      <w:r>
        <w:rPr>
          <w:rFonts w:ascii="Arial" w:cs="Arial" w:eastAsia="Arial" w:hAnsi="Arial"/>
          <w:sz w:val="15"/>
          <w:szCs w:val="15"/>
          <w:color w:val="auto"/>
        </w:rPr>
        <w:t>Other (expense) income, net for the year ended December 31, 2013 was a $1.2 million expense versus a $0.4 million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in the prior year. Other (expense) income, net primarily consists of losses and gains on foreign exchange transactions, including realized gains and losses on foreign exchange forward contracts. We use foreign exchange forward contracts to hedge against changes in exchange rates for inventory purchases denominated in foreign currency. The unrealized gains and losses on such contracts are recorded within gain (loss) on change in fair value of derivative liability. As</w:t>
      </w:r>
    </w:p>
    <w:p>
      <w:pPr>
        <w:spacing w:after="0" w:line="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of December 31, 2013, all such contracts had been settled. For the year ended December 31, 2013, we recognized a realized loss of $1.1 million related to the settlement of the foreign exchange forward contracts, which was included as a component of other (expense) income, net. There were no forward exchange forward contracts outstanding in 2012. Other (expense) income for the year ended December 31, 2012 was a net expense of $0.4 million.</w:t>
      </w:r>
    </w:p>
    <w:p>
      <w:pPr>
        <w:spacing w:after="0" w:line="10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Benefit from (Provision for) Income Taxes. </w:t>
      </w:r>
      <w:r>
        <w:rPr>
          <w:rFonts w:ascii="Arial" w:cs="Arial" w:eastAsia="Arial" w:hAnsi="Arial"/>
          <w:sz w:val="18"/>
          <w:szCs w:val="18"/>
          <w:color w:val="auto"/>
        </w:rPr>
        <w:t>Benefit from (provision for) income taxes for the year ended December 31, 2013 was a $3.2 million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versus a $9.1 million provision in the prior year. The current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benefit (provision) relates entirely to our United States subsidiary operations. We are profitable in the United States as a result of intercompany transactions between our United States subsidiary and our other companies. The 2013 benefit primarily relates to tax credits for research and development activities. The 2012 provision for income taxes primarily relates to the exercise of stock options of which the excess benefits related to the option exercises are recorded to additional-paid-in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2012 versus December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2012 was $59.0 million, versus $21.6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an increase of $37.4 million, or 173%. Research and development expenses for the years ended December 31, 2012 and 2011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(1)</w:t>
            </w:r>
          </w:p>
        </w:tc>
        <w:tc>
          <w:tcPr>
            <w:tcW w:w="2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$55,256</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2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3,700</w:t>
            </w:r>
          </w:p>
        </w:tc>
        <w:tc>
          <w:tcPr>
            <w:tcW w:w="58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58,956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21,602</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8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stock compensation, for the year ended December 31, 2012 was $55.3 million, versus $20.1 million in the prior year period, an increase of $35.2 million, or 175%. The increase in research and development expense was due to increased costs in 2012 for our Vascepa cardiovascular program, primarily increased clinical costs for the REDUCE-IT cardiovascular outcomes study, costs of supply purchases prior to NDA approval and costs associated with study of AMR102. Prior to FDA approval of Vascepa on July 26, 2012, all supply purchases of Vascepa were expensed to research and development. After FDA approval, supply purchases of Vascepa were capitalized, with the exception of clinical trial material which continues to be expensed to research and development. During the year ended December 31, 2012, non-capitalized supply purchases and vendor qualification costs were approximately $16.1 million. During the year ended December 31, 2012, expenses incurred through our CRO for the REDUCE-IT study were approximately $23.3 million.</w:t>
      </w:r>
    </w:p>
    <w:p>
      <w:pPr>
        <w:spacing w:after="0" w:line="5" w:lineRule="exact"/>
        <w:rPr>
          <w:rFonts w:ascii="Arial" w:cs="Arial" w:eastAsia="Arial" w:hAnsi="Arial"/>
          <w:sz w:val="16"/>
          <w:szCs w:val="16"/>
          <w:color w:val="auto"/>
        </w:rPr>
      </w:pPr>
    </w:p>
    <w:p>
      <w:pPr>
        <w:ind w:left="460" w:right="96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Non-cash stock based compensation expense included within research and development was $3.7 million and $1.5 million for the years ended December 31, 2012 and 2011, respectively.</w:t>
      </w:r>
    </w:p>
    <w:p>
      <w:pPr>
        <w:spacing w:after="0" w:line="13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year ended December 31, 2012 was $57.8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$22.6 million in the prior year, an increase of $35.2 million, or 155.8%. Selling, general and administrative expenses for the years ended December 31, 2012 and 2011 are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12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$43,172</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Non-cash warrant related compensation (income) expense (2)</w:t>
            </w: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57,794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22,559</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non-cash charges for stock and warrant compensation, for the year ended December 31, 2012 was $43.2 million, versus $14.8 million in the prior year, an increase of $28.4 million, or 192%. The increase was primarily due to cost increases in 2012 for marketing research activities, medical education (approximately $16.1 million) and higher staffing levels and related travel (approximately $5.2 million) plus increased facility costs and other general and administrative costs incurred in order to prepare for the commercialization of Vascepa.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hanging="452"/>
        <w:spacing w:after="0" w:line="28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Non-cash warrant related compensation expense (income) for the year ended December 31, 2012 was $0.3 million of expense, versus $0.1 million of income in the prior year. Warrant related compensation expense for the period ended December 31, 2012 reflects non-cash income for the change in fair value of the warrant derivative liability associated with warrants issued in October 2009 to three former officers of Amarin, net of warrants exercised. The expense in 2012 was due primarily to the increase in the fair value of these warrants, the increase in the fair value of the warrants is due primarily to an increase in our stock price between December 31, 2011 and December 31, 2012.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5"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Non-cash stock based compensation expense for the year ended December 31, 2012 was $14.4 million, versus $7.8 million in the prior year period, an increase of $6.6 million due primarily reflects an increase in the number of awards outstanding during the 2012 year versus the prior period, and also in the fair value of new option awards granted to attract and retain qualified employees.</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Gain (Loss) on Change in Fair Value of Derivative Liabilities. </w:t>
      </w:r>
      <w:r>
        <w:rPr>
          <w:rFonts w:ascii="Arial" w:cs="Arial" w:eastAsia="Arial" w:hAnsi="Arial"/>
          <w:sz w:val="16"/>
          <w:szCs w:val="16"/>
          <w:color w:val="auto"/>
        </w:rPr>
        <w:t>(Gain) loss on change in fair value of derivative liability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2012 was a loss of $35.3 million versus a loss of $22.7 million in the prior year period. The loss on change in fair value of derivative liability is primarily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2011 was $123.1 million and we recognized a $22.7 million loss on change in fair value of derivative liability for the period ended December 31, 2011 for these warrants. The fair value of the warrant derivative liability at December 31, 2012 was $54.9 million and we recognized a $35.4 million loss on change in fair value of derivative liability for the period ended December 31, 2012. The decrease in the warrant derivative liability value was due primarily to the exercises of warrants. Upon exercise, the fair value of warrants exercised is remeasured and reclassified from warrant liability to additional paid-in-capital. The fair value of the long term debt redemption feature at December 31, 2012 was $14.6 million. The Company recognized a $0.02 million gain on change in fair value of derivative liability at December 31, 2012. See further discussion of the warrant derivative liability in Note 2 and Note 7 of the Notes to the Consolidated Financial Statements.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income includes interest earned on cash balances. Interest expense includes the amortization of the exchange option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our exchangeable debt, the amortization of debt discounts and debt obligation coupon interest. During the twelve months ended December 31, 2012, we recognized interest expense of $18.1 million, of which $10.7 million represents amortization of the debt discount, $5.2 million represents contractual coupon interest and $2.2 million represents the amortization of the discount from underwriter discounts and offering costs. Interest expense in 2011 was deminimus.</w:t>
      </w:r>
    </w:p>
    <w:p>
      <w:pPr>
        <w:spacing w:after="0" w:line="11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(expense) income, net in 2012 primarily represents a loss due to the fluctuation in the exchange rate of a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Laxdale in the amount of $0.5 million. Also included are gains and losses on other foreign exchange transactions. Other (expense) income in 2011 was deminimus.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Benefit from (Provision for) Income Taxes. </w:t>
      </w:r>
      <w:r>
        <w:rPr>
          <w:rFonts w:ascii="Arial" w:cs="Arial" w:eastAsia="Arial" w:hAnsi="Arial"/>
          <w:sz w:val="16"/>
          <w:szCs w:val="16"/>
          <w:color w:val="auto"/>
        </w:rPr>
        <w:t>Benefit from (provision for) income taxes for the year ended December 31, 2012 was a $9.1 million provision</w:t>
      </w:r>
      <w:r>
        <w:rPr>
          <w:rFonts w:ascii="Arial" w:cs="Arial" w:eastAsia="Arial" w:hAnsi="Arial"/>
          <w:sz w:val="16"/>
          <w:szCs w:val="16"/>
          <w:i w:val="1"/>
          <w:iCs w:val="1"/>
          <w:color w:val="auto"/>
        </w:rPr>
        <w:t xml:space="preserve"> </w:t>
      </w:r>
      <w:r>
        <w:rPr>
          <w:rFonts w:ascii="Arial" w:cs="Arial" w:eastAsia="Arial" w:hAnsi="Arial"/>
          <w:sz w:val="16"/>
          <w:szCs w:val="16"/>
          <w:color w:val="auto"/>
        </w:rPr>
        <w:t>versus a $2.5 million provision in the prior year. The current provision relates entirely to the United States subsidiary operations. We are profitable in the United States as a result of intercompany transactions between our United States subsidiary and our other companies. The increase in the 2012 provision for income taxes primarily relates to the exercise of stock options of which the excess benefits related to the option exercises are recorded to additional-paid-in capital.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Our sources of liquidity as of December 31, 2013 include cash and cash equivalents of $191.5 million. Our projected uses of cash include commercialization of Vascepa for the MARINE indication, preparations for commercialization of Vascepa for the ANCHOR indication, if approved,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 (in millions):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6"/>
              </w:rPr>
              <w:t>Years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2"/>
                <w:szCs w:val="12"/>
                <w:color w:val="auto"/>
              </w:rPr>
            </w:pPr>
          </w:p>
        </w:tc>
        <w:tc>
          <w:tcPr>
            <w:tcW w:w="11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(190.3)</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$(122.3)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(39.4)</w:t>
            </w: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23"/>
        </w:trPr>
        <w:tc>
          <w:tcPr>
            <w:tcW w:w="660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126.6</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$ 143.6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July 2013, we sold 21.7 million shares of our common shares, par value £0.50 per share, at a price of $5.60 per share, resulting in net proceeds of approximately $121.2 million after deducting underwriting commissions and expenses payable by us associated with this transaction.</w:t>
      </w:r>
    </w:p>
    <w:p>
      <w:pPr>
        <w:spacing w:after="0" w:line="85"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The first repayment under the agreement was a repayment of $0.8 million of interest in November 2013, reflective of the option reduction described below. Additional quarterly repayments are due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due in May 2017. The quarterly repayments through the third quarter of September 2014 represent interest only. Quarterly payments do not begin to reduce the principal balance until the fourth quarter of 2014. For the three months ended September 30, 2013 and December 31, 2013, revenues were below the contractual threshold amount such that a cash payment of $0.8 million is was made in November 2013 and a cash payment of $1.0 million is due in February 2014, reflecting the calculated optional reduction amount as opposed to the contractual threshold payment of $2.5 million for each quarterly period.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Except upon a change of control in Amarin, the agreement does not expire until $150 million has been repaid. Under the agreement,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We can prepay after October 1, 2013,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32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The proceeds we received from the January 2012 debt offering were approximately $144.3 million, net of fees and transaction costs. These notes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were issued pursuant to an indenture dated as of January 9, 2012, by and among Corsicanto, us as guarantor, and Wells Fargo Bank, National Association, as trustee. The notes are the senior unsecured obligations of Corsicanto and are guaranteed by us. The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0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December 31, 2013, we had cash and cash equivalents of $191.5 million, a decrease of $68.7 million from December 31, 2012. The decrease is primarily due to net cash used in operating activities in support of the commercial launch of Vascepa, net of proceeds from financing activities. We have incurred annual operating losses since our inception and, as a result, we had an accumulated deficit of $913.9 million as of December 31, 2013. We believe that our cash and cash equivalents balance of $191.5 million at December 31, 2013 will be sufficient to fund our projected operations for at least the next twelve months. We anticipate that net cash outflows in 2014 will be significantly lower than net cash outflows in 2013 as a result of a reduction in expenses associated with the commercialization of Vascepa, lower headcount and lower supply purchases.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December 31, 2013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2015</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to 2016</w:t>
            </w:r>
          </w:p>
        </w:tc>
        <w:tc>
          <w:tcPr>
            <w:tcW w:w="5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2"/>
              </w:rPr>
              <w:t>to 2018</w:t>
            </w:r>
          </w:p>
        </w:tc>
        <w:tc>
          <w:tcPr>
            <w:tcW w:w="50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After 2018</w:t>
            </w:r>
          </w:p>
        </w:tc>
      </w:tr>
      <w:tr>
        <w:trPr>
          <w:trHeight w:val="196"/>
        </w:trPr>
        <w:tc>
          <w:tcPr>
            <w:tcW w:w="692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920" w:type="dxa"/>
            <w:vAlign w:val="bottom"/>
            <w:gridSpan w:val="4"/>
          </w:tcPr>
          <w:p>
            <w:pPr>
              <w:ind w:left="440"/>
              <w:spacing w:after="0"/>
              <w:rPr>
                <w:sz w:val="20"/>
                <w:szCs w:val="20"/>
                <w:color w:val="auto"/>
              </w:rPr>
            </w:pPr>
            <w:r>
              <w:rPr>
                <w:rFonts w:ascii="Arial" w:cs="Arial" w:eastAsia="Arial" w:hAnsi="Arial"/>
                <w:sz w:val="18"/>
                <w:szCs w:val="18"/>
                <w:color w:val="auto"/>
              </w:rPr>
              <w:t>Purchase obligations (1)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$ 23.8</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69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gridSpan w:val="4"/>
          </w:tcPr>
          <w:p>
            <w:pPr>
              <w:ind w:left="440"/>
              <w:spacing w:after="0"/>
              <w:rPr>
                <w:sz w:val="20"/>
                <w:szCs w:val="20"/>
                <w:color w:val="auto"/>
              </w:rPr>
            </w:pPr>
            <w:r>
              <w:rPr>
                <w:rFonts w:ascii="Arial" w:cs="Arial" w:eastAsia="Arial" w:hAnsi="Arial"/>
                <w:sz w:val="18"/>
                <w:szCs w:val="18"/>
                <w:color w:val="auto"/>
              </w:rPr>
              <w:t>Interest payment obligations—exchangeable debt (3)</w:t>
            </w:r>
          </w:p>
        </w:tc>
        <w:tc>
          <w:tcPr>
            <w:tcW w:w="500" w:type="dxa"/>
            <w:vAlign w:val="bottom"/>
          </w:tcPr>
          <w:p>
            <w:pPr>
              <w:jc w:val="right"/>
              <w:spacing w:after="0"/>
              <w:rPr>
                <w:sz w:val="20"/>
                <w:szCs w:val="20"/>
                <w:color w:val="auto"/>
              </w:rPr>
            </w:pPr>
            <w:r>
              <w:rPr>
                <w:rFonts w:ascii="Arial" w:cs="Arial" w:eastAsia="Arial" w:hAnsi="Arial"/>
                <w:sz w:val="18"/>
                <w:szCs w:val="18"/>
                <w:color w:val="auto"/>
              </w:rPr>
              <w:t>26.3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Principal &amp; Interest payment obligations—Biopharma (4)</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5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5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183"/>
        </w:trPr>
        <w:tc>
          <w:tcPr>
            <w:tcW w:w="6920" w:type="dxa"/>
            <w:vAlign w:val="bottom"/>
            <w:gridSpan w:val="4"/>
          </w:tcPr>
          <w:p>
            <w:pPr>
              <w:ind w:left="440"/>
              <w:spacing w:after="0" w:line="182" w:lineRule="exact"/>
              <w:rPr>
                <w:sz w:val="20"/>
                <w:szCs w:val="20"/>
                <w:color w:val="auto"/>
              </w:rPr>
            </w:pPr>
            <w:r>
              <w:rPr>
                <w:rFonts w:ascii="Arial" w:cs="Arial" w:eastAsia="Arial" w:hAnsi="Arial"/>
                <w:sz w:val="18"/>
                <w:szCs w:val="18"/>
                <w:color w:val="auto"/>
              </w:rPr>
              <w:t>Total contractual cash obligations</w:t>
            </w:r>
          </w:p>
        </w:tc>
        <w:tc>
          <w:tcPr>
            <w:tcW w:w="500" w:type="dxa"/>
            <w:vAlign w:val="bottom"/>
          </w:tcPr>
          <w:p>
            <w:pPr>
              <w:jc w:val="right"/>
              <w:spacing w:after="0" w:line="182"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285.4</w:t>
            </w:r>
          </w:p>
        </w:tc>
        <w:tc>
          <w:tcPr>
            <w:tcW w:w="900" w:type="dxa"/>
            <w:vAlign w:val="bottom"/>
            <w:gridSpan w:val="2"/>
          </w:tcPr>
          <w:p>
            <w:pPr>
              <w:jc w:val="right"/>
              <w:spacing w:after="0" w:line="18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w:t>
            </w:r>
          </w:p>
        </w:tc>
        <w:tc>
          <w:tcPr>
            <w:tcW w:w="600" w:type="dxa"/>
            <w:vAlign w:val="bottom"/>
            <w:gridSpan w:val="2"/>
          </w:tcPr>
          <w:p>
            <w:pPr>
              <w:jc w:val="right"/>
              <w:spacing w:after="0" w:line="182" w:lineRule="exact"/>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w w:val="84"/>
              </w:rPr>
              <w:t>165.4</w:t>
            </w:r>
          </w:p>
        </w:tc>
        <w:tc>
          <w:tcPr>
            <w:tcW w:w="9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$ 66.4</w:t>
            </w:r>
          </w:p>
        </w:tc>
        <w:tc>
          <w:tcPr>
            <w:tcW w:w="720" w:type="dxa"/>
            <w:vAlign w:val="bottom"/>
            <w:gridSpan w:val="2"/>
          </w:tcPr>
          <w:p>
            <w:pPr>
              <w:ind w:left="500"/>
              <w:spacing w:after="0" w:line="18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8</w:t>
            </w:r>
          </w:p>
        </w:tc>
      </w:tr>
      <w:tr>
        <w:trPr>
          <w:trHeight w:val="21"/>
        </w:trPr>
        <w:tc>
          <w:tcPr>
            <w:tcW w:w="4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4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52"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agreements with API suppliers which include minimum purchase levels to enable us to maintain exclusivity with each respective supplier, and to prevent potential termination of the agreements based on our estimated minimum purchase requirements. The amounts in the table above reflect amounts potentially payable to our suppliers based on our minimum purchase obligations. These amounts reflect the assumption that the sNDA for Slanmhor is approved and that Slanmhor completes construction and validation of its manufacturing facility and that BASF is able to successfully complete the validation of its manufacturing process.</w:t>
      </w: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9"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interest payments due under the terms of our 3.5% exchangeable senior notes (“notes”) due 2032, assuming they remain outstanding for the next five years and have not been exchanged for ADRs.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above table does not reflect the repayment of the $150.0 million notes as they may be exchanged for ADRs.</w:t>
      </w:r>
    </w:p>
    <w:p>
      <w:pPr>
        <w:spacing w:after="0" w:line="15" w:lineRule="exact"/>
        <w:rPr>
          <w:sz w:val="20"/>
          <w:szCs w:val="20"/>
          <w:color w:val="auto"/>
        </w:rPr>
      </w:pPr>
    </w:p>
    <w:p>
      <w:pPr>
        <w:ind w:left="460" w:hanging="452"/>
        <w:spacing w:after="0" w:line="285"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principal and interest payments which we anticipate paying under the terms of the agreement entered into with Biopharma Secured Debt Fund II Holdings Cayman LP (Biopharma) reflecting full payment based on the quarterly repayment schedule under that agreement, without regard to our potential to elect quarterly reductions in such payment amounts in the event that Vascepa revenue levels result in calculation under the agreement of lower quarterly repayment amounts. Under this agreement, the Company granted to Biopharma a security interest in future receivables and all rights to Vascepa, in exchange for $100 million received at the closing of the agreement which closing occurred in December 2012. The Company has agreed to repay Biopharma up to $150 million of future revenue and receivables. The first repayment under the agreement of $0.8 million was made to Biopharma in November 2013 and a second quarterly payment of $1.0 million is due in the first quarter of 2014. Additional quarterly repayments are due thereafter in accordance with the following schedule: $8.0 million per quarter in each of the next four quarters, $10.0 million per quarter in each of the next four quarters, $15.0 million per quarter in each of the next four quarters and a final payment of $13.0 million due in May 2017. All such payments reduce the remainder of the $150 million in aggregate payments to Biopharma. For accounting purposes,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our election be reduced and with the reduction carried forward without interest for payment in a future period. The table above reflects payment in full of the scheduled quarterly amounts without regard to such potential elected reductions.</w:t>
      </w:r>
    </w:p>
    <w:p>
      <w:pPr>
        <w:spacing w:after="0" w:line="4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We do not enter into financial instruments for trading or speculative purposes.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April 2013, we announced the approval by the FDA of the sNDAs covering two of our API suppliers, Chemport, Inc. and BASF (formerly Equateq Limited). On December 30, 2013, we issued a notice of termination of our API agreement to BASF as a result of BASF’s non-compliance with the terms of such agreement. BASF is entitled to a 60-day cure period and the table above includes minimum purchase commitments to BASF assuming that BASF cures within this period and successfully completes the validation of its manufacturing process for the manufacture of Vascepa API. These commercial supply agreements provide access to additional API supply that is incremental to supply from Nisshin, our other existing FDA-approved API supplier. Each of these additional API agreements contemplates a phased capacity expansion plan aimed at creating sufficient capacity to meet anticipated demand for API material for Vascepa following commercial launch. These API suppliers are self-funding these expansion plans with contributions from us. These agreements include requirements for the suppliers to qualify their materials and facilities. We anticipate incurring certain costs associated with the qualification of product manufactured by these suppliers. These agreements include annual purchase levels enabling us to maintain supply exclusivity with each respective supplier, and to prevent potential termination of the agreements. The Chemport agreement includes a provision that any shortfall in the minimum purchase commitments is payable in cash, and the maximum amounts payable pursuant to this provision are reflected in the table above. The sNDA for the consortium led by Slanmhor, our intended fourth API supplier, is not yet approved and the construction and validation of their facility has not been completed for the manufacture of Vascepa API, however, the minimum purchase commitments that could result in a future cash obligation have been included in the above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two supply agreements entered into in 2011 with BASF and Chemport also include (i) development fees up to a maximum of $0.5 million, (ii) material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commitments of up to $5.0 million for initial raw materials, which will be credited against future API purchases, and is refundable to us if a supplier does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successfully develop and qualify the API by a certain date, and (iii) a raw material purchase commitment of $1.1 million. We have paid $3.1 million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commitments through December 31, 2013. Under all of our supply agreements, during the year ended December 31, 2013 we purchased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$25.7 million of Vascepa API. The agreement with the fourth API supplier, when all contingencies are eliminated by the supplier, provides for development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up to $2.3 million and a commitment of up to $15.0 million, which will be credited against future API material purchases. We have paid $6.2 million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commitments through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December 31, 2013. The $15.0 million commitment fee is contingent upon the mutually agreed upon expansion of Slanmhor’s API manufacturing capacity beyond the facility which has already been constructed and is in the process of being qualified by Slanmhor. As of the date of this Annual Report, the parties have not agreed upon such additional expansion. Under this agreement, during 2013 and 2012, we made payments of $6.1 million and $1.6 million to Slanmhor related to stability and technical batches and advances on future API purchases.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Concurrent with our supply agreements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The carrying amount of $3.3 million as of December 31, 2013 and 2012 is included in other long term assets and is accounted for under the cost method.</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 term assets. This long-term asset is being amortized over the estimated useful life of the intellectual property we acquired from Laxdale and we recognized amortization expense of $0.6 million and $0.3 million during the years ended December 31, 2013 and 2012, respectively.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$12.4 million at December 31, 2013). Additionally, upon receipt of a marketing approval in the U.S. or Europe for a further indication of Vascepa (or further indication of any other product using Amarin Neuroscience intellectual property), we must make an aggregate stock or cash payment (at the sole option of each of the sellers) of £5 million (approximately $8.2 million at December 31, 2013) for each of the two potential market approvals (i.e. £10 million maximum, or approximately $16.5 million at December 31, 2013).</w:t>
      </w:r>
    </w:p>
    <w:p>
      <w:pPr>
        <w:spacing w:after="0" w:line="12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addition to the obligations in the table above, we have recorded a liability of $0.6 million for uncertain tax positions that have been recorded in long-term liabilities at December 31, 2013.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exposed to market risks, which include changes in interest rates. We do not use derivative financial instruments in our investment portfolio, and prior to 2013 we entered into no foreign exchange contracts. Our investments meet high credit quality and diversification standards, as specified in our investment policy. At December 31, 2013, we recorded as a liability the fair value of warrants to purchase 8.1 million shares of our common stock issued to investors. The fair value of this warrant derivative liability is determined using the Black-Scholes option valuation model and is therefore sensitive to changes in the market price and volatility of our common stock among other factors. In the event of a hypothetical 10% increase in the market price of our common shares ($2.17 based on the $1.97 market price of our stock at December 31, 2013) on which the December 31, 2013 valuation was based, the value of the derivative liability would have increased by $1.3 million. Such increase would have been reflected as a loss on change in fair value of derivative liability and increase in warrant compensation expense in our statement of operations.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Foreign Currency Exchange Risk. </w:t>
      </w:r>
      <w:r>
        <w:rPr>
          <w:rFonts w:ascii="Arial" w:cs="Arial" w:eastAsia="Arial" w:hAnsi="Arial"/>
          <w:sz w:val="16"/>
          <w:szCs w:val="16"/>
          <w:color w:val="auto"/>
        </w:rPr>
        <w:t>Our results of operations and cash flows are subject to fluctuations due to changes in the Euro, Sterling and Yen. The</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cash and cash equivalents and the majority of our vendor relationships are denominated in U.S. dollars. We therefore believe that the risk of a significant impact on our operating income from foreign currency fluctuations is not substantial. From time to time, we maintain a small amount of our cash and cash equivalents in Euro and Pound Sterling. We purchase supply from Nisshin in Japanese Yen. As our level of supply purchases from Nisshin increased in 2013, we entered into short-term forward currency pricing contracts to lock-in the exchange rate on a portion of our anticipated purchases denominated in Japanese Yen. All such contracts were settled as of December 31, 2013 and there are no outstanding forward currency contracts.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believe that we are not exposed to significant interest rate risk through market value fluctuations of balance sheet items (i.e., price</w:t>
      </w:r>
      <w:r>
        <w:rPr>
          <w:rFonts w:ascii="Arial" w:cs="Arial" w:eastAsia="Arial" w:hAnsi="Arial"/>
          <w:sz w:val="16"/>
          <w:szCs w:val="16"/>
          <w:i w:val="1"/>
          <w:iCs w:val="1"/>
          <w:color w:val="auto"/>
        </w:rPr>
        <w:t xml:space="preserve"> </w:t>
      </w:r>
      <w:r>
        <w:rPr>
          <w:rFonts w:ascii="Arial" w:cs="Arial" w:eastAsia="Arial" w:hAnsi="Arial"/>
          <w:sz w:val="16"/>
          <w:szCs w:val="16"/>
          <w:color w:val="auto"/>
        </w:rPr>
        <w:t>risk) or through changes in interest income or expenses (i.e., re-financing or re-investment risk). Interest rate risk mainly arises through interest bearing liabilities and assets. We invest funds not needed for near-term operating expenses in diversified short-term investments, consisting primarily of investment grade securities. As of December 31, 2013, the fair value of our cash and cash equivalents maturing in one year or less was $191.5 million and represented 100% of our cash, cash equivalents and investment portfolio. A hypothetical 50 basis point change in interest rates would not result in a material decrease or increase in the fair value of our securities due to the general short-term nature of our investment portfolio.</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financial statements are annexed to this report beginning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As of December 31, 2013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5"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that our receipts and expenditures are being made only in accordance with authorization of our management and directors;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management, including our Principal Executive Officer and Principal Financial Officer, has conducted an evaluation of the effectiveness of our internal control over financial reporting as of December 31, 2013. In conducting this evaluation,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Based upon this evaluation and those criteria, management believes that, as of December 31, 2013, our internal controls over financial reporting were effective.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Deloitte and Touche LLP, our independent registered public accounting firm, has audited our consolidated financial statements and the effectiveness of our internal control over financial reporting as of December 31, 2013. This report appears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2013 that have materially affected, or are reasonably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Amarin Corporation plc and its subsidiaries (the “Company”) as of December 31, 2013, based on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2013 of the Company and our report dated February 27, 2014 expressed an unqualified opinion on those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Rule 10b5-1 Trading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We have been advised that a number of our directors and employees, including members of our senior management team, and investment funds associated with such persons, have entered into trading plans in accordance with Rule 10b5-1 and our policy governing transactions in our securities. We undertake no obligation to update or revise the information provided herein, including for revision or termination of an established trading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2014 Annual General Meeting of Shareholders. Such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has adopted a code of business conduct and ethics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Any waivers from or amendments to the code will be filed with the SEC on Form 8-K. You may also request a printed copy of the code, without charge, by writing to us at Amarin Pharma, Inc., 1430 Route 206, Bedminster, NJ 07921, Attention: Investor Relations.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2014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2014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2014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2014 Annual General Meeting of Shareholders. Such information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4100" w:type="dxa"/>
            <w:vAlign w:val="bottom"/>
            <w:gridSpan w:val="3"/>
          </w:tcPr>
          <w:p>
            <w:pPr>
              <w:ind w:left="2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340"/>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540" w:type="dxa"/>
            <w:vAlign w:val="bottom"/>
          </w:tcPr>
          <w:p>
            <w:pPr>
              <w:spacing w:after="0"/>
              <w:rPr>
                <w:sz w:val="14"/>
                <w:szCs w:val="14"/>
                <w:color w:val="auto"/>
              </w:rPr>
            </w:pPr>
          </w:p>
        </w:tc>
      </w:tr>
      <w:tr>
        <w:trPr>
          <w:trHeight w:val="329"/>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Articles of Association of the Company</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0"/>
              </w:rPr>
              <w:t>Form of Amended and Restated Deposit Agreement,</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0"/>
              </w:rPr>
              <w:t>dated as of November 4, 2011, among the Company,</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5"/>
              </w:rPr>
              <w:t>Citibank, N.A., as Depositary, and all holders from</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1"/>
              </w:rPr>
              <w:t>time to time of American Depositary Receipts issued</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thereunder</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88"/>
              </w:rPr>
              <w:t>Indenture, dated as of January 9, 2012, by and among</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4"/>
              </w:rPr>
              <w:t>Corsicanto Limited, the Company and Wells Fargo</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Bank, National Association, as trustee</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Form of Ordinary Share certificate</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7"/>
              </w:rPr>
              <w:t>Form of American Depositary Receipt evidencing</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ADSs</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The Company 2002 Stock Option Plan*</w:t>
            </w:r>
          </w:p>
        </w:tc>
      </w:tr>
      <w:tr>
        <w:trPr>
          <w:trHeight w:val="540"/>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The Company 2011 Stock Option Plan*</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6"/>
              </w:rPr>
              <w:t>Amendment No. 1 to 2011 Stock Option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Plan*</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6"/>
              </w:rPr>
              <w:t>Amendment No. 2 to 2011 Stock Option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Plan*</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88"/>
              </w:rPr>
              <w:t>Amendment No. 3 to 2011 Stock Option and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Plan*</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Amarin Corporation plc Management Incentive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rPr>
              <w:t>Compensation Plan*</w:t>
            </w:r>
          </w:p>
        </w:tc>
      </w:tr>
      <w:tr>
        <w:trPr>
          <w:trHeight w:val="540"/>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10.7</w:t>
            </w:r>
          </w:p>
        </w:tc>
        <w:tc>
          <w:tcPr>
            <w:tcW w:w="320" w:type="dxa"/>
            <w:vAlign w:val="bottom"/>
          </w:tcPr>
          <w:p>
            <w:pPr>
              <w:spacing w:after="0"/>
              <w:rPr>
                <w:sz w:val="24"/>
                <w:szCs w:val="24"/>
                <w:color w:val="auto"/>
              </w:rPr>
            </w:pPr>
          </w:p>
        </w:tc>
        <w:tc>
          <w:tcPr>
            <w:tcW w:w="4100" w:type="dxa"/>
            <w:vAlign w:val="bottom"/>
            <w:gridSpan w:val="3"/>
          </w:tcPr>
          <w:p>
            <w:pPr>
              <w:ind w:left="260"/>
              <w:spacing w:after="0"/>
              <w:rPr>
                <w:sz w:val="20"/>
                <w:szCs w:val="20"/>
                <w:color w:val="auto"/>
              </w:rPr>
            </w:pPr>
            <w:r>
              <w:rPr>
                <w:rFonts w:ascii="Arial" w:cs="Arial" w:eastAsia="Arial" w:hAnsi="Arial"/>
                <w:sz w:val="18"/>
                <w:szCs w:val="18"/>
                <w:color w:val="auto"/>
                <w:w w:val="96"/>
              </w:rPr>
              <w:t>Form of Incentive Stock Option Award Agreement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-661670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Incorporated by Reference Herein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1760" w:type="dxa"/>
            <w:vAlign w:val="bottom"/>
          </w:tcPr>
          <w:p>
            <w:pPr>
              <w:spacing w:after="0"/>
              <w:rPr>
                <w:sz w:val="12"/>
                <w:szCs w:val="1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73"/>
              </w:rPr>
              <w:t>Form</w:t>
            </w:r>
          </w:p>
        </w:tc>
        <w:tc>
          <w:tcPr>
            <w:tcW w:w="80" w:type="dxa"/>
            <w:vAlign w:val="bottom"/>
            <w:tcBorders>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2"/>
                <w:szCs w:val="12"/>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Quarterly Report on Form 10-Q, File No. 0-21392, as</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August 8, 2013</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3.1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86"/>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2011, 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w w:val="99"/>
              </w:rPr>
              <w:t>Current Report on Form 8-K dated January 9, 2012,</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91"/>
              </w:rPr>
              <w:t>January 10,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April 24, 2003</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2002, File No. 0-21392, as Exhibit 2.4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86"/>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2011, File No. 0-21392, as Exhibit 4.4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March 5, 2007</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2006, File No. 0-21392, as Exhibit 4.17</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August 9, 2011</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August 8, 2008</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June 30, 2012, File No. 0-21392, as Exhibit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August 8, 2008</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June 30, 2012, File No. 0-21392, as Exhibit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86"/>
              </w:rPr>
              <w:t>February 28,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2012, File No. 0-21392, as Exhibit 10.5</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March 16, 2011</w:t>
            </w: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December 31, 2010, File No. 0-21392, as Exhibit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86"/>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10.3</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5"/>
        </w:trPr>
        <w:tc>
          <w:tcPr>
            <w:tcW w:w="1760" w:type="dxa"/>
            <w:vAlign w:val="bottom"/>
          </w:tcPr>
          <w:p>
            <w:pPr>
              <w:ind w:left="30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2">
            <w:col w:w="4920" w:space="400"/>
            <w:col w:w="5460"/>
          </w:cols>
          <w:pgMar w:left="240" w:top="459" w:right="87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860"/>
          </w:cols>
          <w:pgMar w:left="240" w:top="459" w:right="79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80" w:type="dxa"/>
            <w:vAlign w:val="bottom"/>
          </w:tcPr>
          <w:p>
            <w:pPr>
              <w:spacing w:after="0"/>
              <w:rPr>
                <w:sz w:val="14"/>
                <w:szCs w:val="14"/>
                <w:color w:val="auto"/>
              </w:rPr>
            </w:pPr>
          </w:p>
        </w:tc>
      </w:tr>
      <w:tr>
        <w:trPr>
          <w:trHeight w:val="329"/>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Form of Non-Qualified Stock Option Award Agreement</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Form of Restricted Stock Unit Award Agreement</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8"/>
              </w:rPr>
              <w:t>Letter Agreement dated August 1, 2008 with Paresh</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Soni*</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dated October 12, 2009 with Dr. Declan</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Doogan*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Letter Agreement dated October 12, 2009 with Joseph 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Zakrzewski*</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Letter Agreement dated October 16, 2009 with Thomas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G. Lynch*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Letter Agreement, dated December 2, 2009, among the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Company, Sunninghill Limited, Michael Walsh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Simon Kukes</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10.20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10.35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ectPr>
          <w:pgSz w:w="11900" w:h="16838" w:orient="portrait"/>
          <w:cols w:equalWidth="0" w:num="2">
            <w:col w:w="5060" w:space="220"/>
            <w:col w:w="5580"/>
          </w:cols>
          <w:pgMar w:left="240" w:top="459" w:right="799" w:bottom="1440" w:gutter="0" w:footer="0" w:header="0"/>
          <w:type w:val="continuous"/>
        </w:sectPr>
      </w:pPr>
    </w:p>
    <w:p>
      <w:pPr>
        <w:ind w:left="960" w:right="120" w:hanging="958"/>
        <w:spacing w:after="0" w:line="268" w:lineRule="auto"/>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Letter Agreement dated December 9, 2009 with Thomas G. Lynch, Alan Cooke and Tom Maher*</w:t>
      </w:r>
    </w:p>
    <w:p>
      <w:pPr>
        <w:spacing w:after="0" w:line="78" w:lineRule="exact"/>
        <w:rPr>
          <w:sz w:val="20"/>
          <w:szCs w:val="20"/>
          <w:color w:val="auto"/>
        </w:rPr>
      </w:pPr>
    </w:p>
    <w:p>
      <w:pPr>
        <w:ind w:left="960" w:right="240" w:hanging="958"/>
        <w:spacing w:after="0" w:line="268"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Letter Agreement, dated August 16, 2010, between the Company and Colin Stewart*</w:t>
      </w:r>
    </w:p>
    <w:p>
      <w:pPr>
        <w:spacing w:after="0" w:line="78" w:lineRule="exact"/>
        <w:rPr>
          <w:sz w:val="20"/>
          <w:szCs w:val="20"/>
          <w:color w:val="auto"/>
        </w:rPr>
      </w:pPr>
    </w:p>
    <w:p>
      <w:pPr>
        <w:ind w:left="960" w:hanging="958"/>
        <w:spacing w:after="0" w:line="268" w:lineRule="auto"/>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Letter Agreement, dated November 15, 2010, between the Company and John F. Thero*</w:t>
      </w:r>
    </w:p>
    <w:p>
      <w:pPr>
        <w:spacing w:after="0" w:line="78" w:lineRule="exact"/>
        <w:rPr>
          <w:sz w:val="20"/>
          <w:szCs w:val="20"/>
          <w:color w:val="auto"/>
        </w:rPr>
      </w:pPr>
    </w:p>
    <w:p>
      <w:pPr>
        <w:ind w:left="960" w:right="40" w:hanging="958"/>
        <w:spacing w:after="0" w:line="268" w:lineRule="auto"/>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Letter Agreement dated March 1, 2010 with Frederick W. Ahlholm*</w:t>
      </w:r>
    </w:p>
    <w:p>
      <w:pPr>
        <w:spacing w:after="0" w:line="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Letter Agreement dated January 28, 2011 with Paul Huff*</w:t>
      </w:r>
    </w:p>
    <w:p>
      <w:pPr>
        <w:spacing w:after="0" w:line="33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Letter Agreement with Joseph Kennedy, dated December</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 2011*</w:t>
      </w:r>
    </w:p>
    <w:p>
      <w:pPr>
        <w:spacing w:after="0" w:line="20" w:lineRule="exact"/>
        <w:rPr>
          <w:sz w:val="20"/>
          <w:szCs w:val="20"/>
          <w:color w:val="auto"/>
        </w:rPr>
      </w:pPr>
      <w:r>
        <w:rPr>
          <w:sz w:val="20"/>
          <w:szCs w:val="20"/>
          <w:color w:val="auto"/>
        </w:rPr>
        <w:br w:type="column"/>
      </w:r>
    </w:p>
    <w:p>
      <w:pPr>
        <w:spacing w:after="0"/>
        <w:tabs>
          <w:tab w:leader="none" w:pos="4180" w:val="left"/>
        </w:tabs>
        <w:rPr>
          <w:sz w:val="20"/>
          <w:szCs w:val="20"/>
          <w:color w:val="auto"/>
        </w:rPr>
      </w:pPr>
      <w:r>
        <w:rPr>
          <w:rFonts w:ascii="Arial" w:cs="Arial" w:eastAsia="Arial" w:hAnsi="Arial"/>
          <w:sz w:val="18"/>
          <w:szCs w:val="18"/>
          <w:color w:val="auto"/>
        </w:rPr>
        <w:t>Registration Statement on Form F-1, File No. 333-</w:t>
      </w:r>
      <w:r>
        <w:rPr>
          <w:sz w:val="20"/>
          <w:szCs w:val="20"/>
          <w:color w:val="auto"/>
        </w:rPr>
        <w:tab/>
      </w:r>
      <w:r>
        <w:rPr>
          <w:rFonts w:ascii="Arial" w:cs="Arial" w:eastAsia="Arial" w:hAnsi="Arial"/>
          <w:sz w:val="15"/>
          <w:szCs w:val="15"/>
          <w:color w:val="auto"/>
        </w:rPr>
        <w:t>December 14,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163704, as Exhibit 4.106</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10.39</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10.42</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Annual Report on Form 10-K for the year ended</w:t>
      </w:r>
      <w:r>
        <w:rPr>
          <w:sz w:val="20"/>
          <w:szCs w:val="20"/>
          <w:color w:val="auto"/>
        </w:rPr>
        <w:tab/>
      </w:r>
      <w:r>
        <w:rPr>
          <w:rFonts w:ascii="Arial" w:cs="Arial" w:eastAsia="Arial" w:hAnsi="Arial"/>
          <w:sz w:val="16"/>
          <w:szCs w:val="16"/>
          <w:color w:val="auto"/>
        </w:rPr>
        <w:t>March 16,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File No. 0-21392, as Exhibit 10.46</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Quarterly Report on Form 10-Q for the period ended</w:t>
      </w:r>
      <w:r>
        <w:rPr>
          <w:sz w:val="20"/>
          <w:szCs w:val="20"/>
          <w:color w:val="auto"/>
        </w:rPr>
        <w:tab/>
      </w:r>
      <w:r>
        <w:rPr>
          <w:rFonts w:ascii="Arial" w:cs="Arial" w:eastAsia="Arial" w:hAnsi="Arial"/>
          <w:sz w:val="16"/>
          <w:szCs w:val="16"/>
          <w:color w:val="auto"/>
        </w:rPr>
        <w:t>May 10,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2011, File No. 0-21392, as Exhibit 10.1</w:t>
      </w:r>
    </w:p>
    <w:p>
      <w:pPr>
        <w:spacing w:after="0" w:line="111"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Current Report on Form 8-K dated December 23, 2011,</w:t>
      </w:r>
      <w:r>
        <w:rPr>
          <w:sz w:val="20"/>
          <w:szCs w:val="20"/>
          <w:color w:val="auto"/>
        </w:rPr>
        <w:tab/>
      </w:r>
      <w:r>
        <w:rPr>
          <w:rFonts w:ascii="Arial" w:cs="Arial" w:eastAsia="Arial" w:hAnsi="Arial"/>
          <w:sz w:val="15"/>
          <w:szCs w:val="15"/>
          <w:color w:val="auto"/>
        </w:rPr>
        <w:t>December 23,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0-21392, as Exhibit 10.5</w:t>
      </w:r>
    </w:p>
    <w:p>
      <w:pPr>
        <w:spacing w:after="0" w:line="111" w:lineRule="exact"/>
        <w:rPr>
          <w:sz w:val="20"/>
          <w:szCs w:val="20"/>
          <w:color w:val="auto"/>
        </w:rPr>
      </w:pPr>
    </w:p>
    <w:p>
      <w:pPr>
        <w:sectPr>
          <w:pgSz w:w="11900" w:h="16838" w:orient="portrait"/>
          <w:cols w:equalWidth="0" w:num="2">
            <w:col w:w="5060" w:space="220"/>
            <w:col w:w="5580"/>
          </w:cols>
          <w:pgMar w:left="240" w:top="459" w:right="7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10.21</w:t>
            </w:r>
          </w:p>
        </w:tc>
        <w:tc>
          <w:tcPr>
            <w:tcW w:w="4400" w:type="dxa"/>
            <w:vAlign w:val="bottom"/>
          </w:tcPr>
          <w:p>
            <w:pPr>
              <w:ind w:left="280"/>
              <w:spacing w:after="0"/>
              <w:rPr>
                <w:sz w:val="20"/>
                <w:szCs w:val="20"/>
                <w:color w:val="auto"/>
              </w:rPr>
            </w:pPr>
            <w:r>
              <w:rPr>
                <w:rFonts w:ascii="Arial" w:cs="Arial" w:eastAsia="Arial" w:hAnsi="Arial"/>
                <w:sz w:val="18"/>
                <w:szCs w:val="18"/>
                <w:color w:val="auto"/>
                <w:w w:val="92"/>
              </w:rPr>
              <w:t>Letter Agreement with Stuart Sedlack, dated December</w:t>
            </w:r>
          </w:p>
        </w:tc>
        <w:tc>
          <w:tcPr>
            <w:tcW w:w="4260" w:type="dxa"/>
            <w:vAlign w:val="bottom"/>
          </w:tcPr>
          <w:p>
            <w:pPr>
              <w:ind w:left="200"/>
              <w:spacing w:after="0"/>
              <w:rPr>
                <w:sz w:val="20"/>
                <w:szCs w:val="20"/>
                <w:color w:val="auto"/>
              </w:rPr>
            </w:pPr>
            <w:r>
              <w:rPr>
                <w:rFonts w:ascii="Arial" w:cs="Arial" w:eastAsia="Arial" w:hAnsi="Arial"/>
                <w:sz w:val="18"/>
                <w:szCs w:val="18"/>
                <w:color w:val="auto"/>
                <w:w w:val="91"/>
              </w:rPr>
              <w:t>Current Report on Form 8-K dated December 23, 2011,</w:t>
            </w:r>
          </w:p>
        </w:tc>
        <w:tc>
          <w:tcPr>
            <w:tcW w:w="1520" w:type="dxa"/>
            <w:vAlign w:val="bottom"/>
          </w:tcPr>
          <w:p>
            <w:pPr>
              <w:ind w:left="140"/>
              <w:spacing w:after="0"/>
              <w:rPr>
                <w:sz w:val="20"/>
                <w:szCs w:val="20"/>
                <w:color w:val="auto"/>
              </w:rPr>
            </w:pPr>
            <w:r>
              <w:rPr>
                <w:rFonts w:ascii="Arial" w:cs="Arial" w:eastAsia="Arial" w:hAnsi="Arial"/>
                <w:sz w:val="18"/>
                <w:szCs w:val="18"/>
                <w:color w:val="auto"/>
                <w:w w:val="86"/>
              </w:rPr>
              <w:t>December 23, 2011</w:t>
            </w:r>
          </w:p>
        </w:tc>
      </w:tr>
      <w:tr>
        <w:trPr>
          <w:trHeight w:val="216"/>
        </w:trPr>
        <w:tc>
          <w:tcPr>
            <w:tcW w:w="680" w:type="dxa"/>
            <w:vAlign w:val="bottom"/>
          </w:tcPr>
          <w:p>
            <w:pPr>
              <w:spacing w:after="0"/>
              <w:rPr>
                <w:sz w:val="18"/>
                <w:szCs w:val="18"/>
                <w:color w:val="auto"/>
              </w:rPr>
            </w:pPr>
          </w:p>
        </w:tc>
        <w:tc>
          <w:tcPr>
            <w:tcW w:w="4400" w:type="dxa"/>
            <w:vAlign w:val="bottom"/>
          </w:tcPr>
          <w:p>
            <w:pPr>
              <w:ind w:left="280"/>
              <w:spacing w:after="0"/>
              <w:rPr>
                <w:sz w:val="20"/>
                <w:szCs w:val="20"/>
                <w:color w:val="auto"/>
              </w:rPr>
            </w:pPr>
            <w:r>
              <w:rPr>
                <w:rFonts w:ascii="Arial" w:cs="Arial" w:eastAsia="Arial" w:hAnsi="Arial"/>
                <w:sz w:val="18"/>
                <w:szCs w:val="18"/>
                <w:color w:val="auto"/>
              </w:rPr>
              <w:t>23, 2011*</w:t>
            </w:r>
          </w:p>
        </w:tc>
        <w:tc>
          <w:tcPr>
            <w:tcW w:w="4260" w:type="dxa"/>
            <w:vAlign w:val="bottom"/>
          </w:tcPr>
          <w:p>
            <w:pPr>
              <w:ind w:left="200"/>
              <w:spacing w:after="0"/>
              <w:rPr>
                <w:sz w:val="20"/>
                <w:szCs w:val="20"/>
                <w:color w:val="auto"/>
              </w:rPr>
            </w:pPr>
            <w:r>
              <w:rPr>
                <w:rFonts w:ascii="Arial" w:cs="Arial" w:eastAsia="Arial" w:hAnsi="Arial"/>
                <w:sz w:val="18"/>
                <w:szCs w:val="18"/>
                <w:color w:val="auto"/>
              </w:rPr>
              <w:t>File</w:t>
            </w:r>
          </w:p>
        </w:tc>
        <w:tc>
          <w:tcPr>
            <w:tcW w:w="152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No. 0-21392, as Exhibit 10.3</w:t>
            </w:r>
          </w:p>
        </w:tc>
        <w:tc>
          <w:tcPr>
            <w:tcW w:w="1520" w:type="dxa"/>
            <w:vAlign w:val="bottom"/>
          </w:tcPr>
          <w:p>
            <w:pPr>
              <w:spacing w:after="0"/>
              <w:rPr>
                <w:sz w:val="19"/>
                <w:szCs w:val="19"/>
                <w:color w:val="auto"/>
              </w:rPr>
            </w:pPr>
          </w:p>
        </w:tc>
      </w:tr>
      <w:tr>
        <w:trPr>
          <w:trHeight w:val="365"/>
        </w:trPr>
        <w:tc>
          <w:tcPr>
            <w:tcW w:w="6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260" w:type="dxa"/>
            <w:vAlign w:val="bottom"/>
          </w:tcPr>
          <w:p>
            <w:pPr>
              <w:jc w:val="right"/>
              <w:ind w:right="3452"/>
              <w:spacing w:after="0"/>
              <w:rPr>
                <w:sz w:val="20"/>
                <w:szCs w:val="20"/>
                <w:color w:val="auto"/>
              </w:rPr>
            </w:pPr>
            <w:r>
              <w:rPr>
                <w:rFonts w:ascii="Arial" w:cs="Arial" w:eastAsia="Arial" w:hAnsi="Arial"/>
                <w:sz w:val="18"/>
                <w:szCs w:val="18"/>
                <w:color w:val="auto"/>
              </w:rPr>
              <w:t>86</w:t>
            </w:r>
          </w:p>
        </w:tc>
        <w:tc>
          <w:tcPr>
            <w:tcW w:w="1520" w:type="dxa"/>
            <w:vAlign w:val="bottom"/>
          </w:tcPr>
          <w:p>
            <w:pPr>
              <w:spacing w:after="0"/>
              <w:rPr>
                <w:sz w:val="24"/>
                <w:szCs w:val="24"/>
                <w:color w:val="auto"/>
              </w:rPr>
            </w:pPr>
          </w:p>
        </w:tc>
      </w:tr>
    </w:tbl>
    <w:p>
      <w:pPr>
        <w:sectPr>
          <w:pgSz w:w="11900" w:h="16838" w:orient="portrait"/>
          <w:cols w:equalWidth="0" w:num="1">
            <w:col w:w="10860"/>
          </w:cols>
          <w:pgMar w:left="240" w:top="459" w:right="79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4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with John Thero,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4"/>
              </w:rPr>
              <w:t>Letter Agreement with Paul Huff,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9"/>
              </w:rPr>
              <w:t>Letter Agreement with Paresh Soni,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Letter Agreement with Steve Ketchum, dated February 8,</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2012*</w:t>
            </w:r>
          </w:p>
        </w:tc>
        <w:tc>
          <w:tcPr>
            <w:tcW w:w="7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2011 Long Term Incentive Award with Joseph Kennedy</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dated December 16, 2011*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2012 Long Term Incentive Award with Steven Ketchum</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dated March 1,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Compromise Agreement, dated October 16, 2009,</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Alan Cooke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7"/>
              </w:rPr>
              <w:t>Warrant Agreement, dated October 16, 2009,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Thomas G. Lynch*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Employment Agreement dated November 5, 2009 with</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John F. Thero*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Compromise Agreement dated December 10, 2009 with</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Tom Maher*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Transitional Employment Agreement, dated August 16,</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2010, between the Company and Declan Doogan*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Resignation and Release Agreement, dated November 9,</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2010, between the Company and Colin Stewart*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Employment Agreement, effective December 31, 2010,</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Joseph S. Zakrzewski*</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Consulting Agreement, dated November 10, 2010,</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between the Company and Joseph S. Zakrzewski*</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File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Current Report on Form 8-K dated February 16, 2012,</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16,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Form S-8, File No. 333-180180, as Exhibit 4.1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2012</w:t>
            </w: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Form S-8, File No. 333-180180, as Exhibit 4.2</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2012</w:t>
            </w: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10.38</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40" w:type="dxa"/>
            <w:vAlign w:val="bottom"/>
          </w:tcPr>
          <w:p>
            <w:pPr>
              <w:ind w:left="34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-5915025</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20" w:space="260"/>
            <w:col w:w="5580"/>
          </w:cols>
          <w:pgMar w:left="240" w:top="459" w:right="7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4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Amended and Restated Employment Agreement with Joe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Zakrzewski, dated October 20, 2011*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Stuart Sedlack offer letter, dated August 1, 2007*</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Sale and Purchase Agreement, dated March 14, 2003,</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between F. Hoffmann-La Roche Limited, Hoffmann-La</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Roche Inc., and the Company</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8"/>
              </w:rPr>
              <w:t>Share Purchase Agreement, dated October 8, 2004</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8"/>
              </w:rPr>
              <w:t>between the Company, Vida Capital Partners Limited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the Vendors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Agreement, dated January 18, 2007, between Neurostat</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3"/>
              </w:rPr>
              <w:t>Pharmaceuticals Inc., Amarin Pharmaceuticals Ireland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Limited, the Company and Mr. Tim Lynch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4"/>
              </w:rPr>
              <w:t>Development and License Agreement dated March 6,</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2"/>
              </w:rPr>
              <w:t>2007 between Amarin Pharmaceuticals Ireland Limited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and Elan Pharma International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10.42</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Termination and Assignment Agreement, dated July 21,</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5"/>
              </w:rPr>
              <w:t>2009 between Elan Pharma International Limited and</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Amarin Pharmaceuticals Ireland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Form of Purchase Agreement, dated June 1, 2007,</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87"/>
              </w:rPr>
              <w:t>between the 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1"/>
              </w:rPr>
              <w:t>Form of Equity Securities Purchase Agreement for U.S.</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9"/>
              </w:rPr>
              <w:t>Purchasers, dated December 4, 2007,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Form of Equity Securities Purchase Agreement for Non-</w:t>
            </w:r>
          </w:p>
        </w:tc>
      </w:tr>
      <w:tr>
        <w:trPr>
          <w:trHeight w:val="216"/>
        </w:trPr>
        <w:tc>
          <w:tcPr>
            <w:tcW w:w="500" w:type="dxa"/>
            <w:vAlign w:val="bottom"/>
          </w:tcPr>
          <w:p>
            <w:pPr>
              <w:spacing w:after="0"/>
              <w:rPr>
                <w:sz w:val="18"/>
                <w:szCs w:val="18"/>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w w:val="90"/>
              </w:rPr>
              <w:t>U.S. Purchasers, dated December 4, 2007, between the</w:t>
            </w:r>
          </w:p>
        </w:tc>
      </w:tr>
      <w:tr>
        <w:trPr>
          <w:trHeight w:val="222"/>
        </w:trPr>
        <w:tc>
          <w:tcPr>
            <w:tcW w:w="500" w:type="dxa"/>
            <w:vAlign w:val="bottom"/>
          </w:tcPr>
          <w:p>
            <w:pPr>
              <w:spacing w:after="0"/>
              <w:rPr>
                <w:sz w:val="19"/>
                <w:szCs w:val="19"/>
                <w:color w:val="auto"/>
              </w:rPr>
            </w:pP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6"/>
              </w:rPr>
              <w:t>Current Report on Form 8-K dated October 20,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20,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November 8,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4"/>
              </w:rPr>
              <w:t>September 30, 2011,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April 24, 2003</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2002, File No. 0-21392, as Exhibit 4.22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F-3,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20, 2004</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121431, as Exhibit 4.24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4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-5366385</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20" w:space="260"/>
            <w:col w:w="5580"/>
          </w:cols>
          <w:pgMar w:left="240" w:top="459" w:right="7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70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10.46</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8"/>
              </w:rPr>
              <w:t>Form of Debt Securities Purchase Agreement, dated</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December 4, 2007, between the Company and the</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10.47</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4"/>
              </w:rPr>
              <w:t>Stock Purchase Agreement, dated December 5, 2007,</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between the Company, the selling shareholders of Ester</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9"/>
              </w:rPr>
              <w:t>Neurosciences Limited, Ester Neurosciences Limited and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Medica II Management L.P.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10.48</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dated December 6, 2007, between the</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3"/>
              </w:rPr>
              <w:t>Company and the Sellers’ Representative of the selling</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shareholders of Ester Neurosciences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10.49</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2"/>
              </w:rPr>
              <w:t>Amendment No. 1 to Stock Purchase Agreement, dated</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April 7, 2008, between the Company and Medica II</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Management 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10.50</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5"/>
              </w:rPr>
              <w:t>Securities Purchase Agreement, dated May 12, 2008,</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among the 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10.51</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2"/>
              </w:rPr>
              <w:t>Form of Securities Purchase Agreement, dated May 13,</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0"/>
              </w:rPr>
              <w:t>2008, between the Company and the Purchasers named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therein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10.52</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9"/>
              </w:rPr>
              <w:t>Amendment and Waiver Agreement, dated May 25, 2009,</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between Ester Neurosciences Limited, Medica II</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Management L.P. and the Company††</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10.53</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9"/>
              </w:rPr>
              <w:t>Bridge Loan Agreement, dated July 31, 2009 between the</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Company and the Lenders identified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10.54</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8"/>
              </w:rPr>
              <w:t>Amendment No. 1 to Bridge Loan Agreement, dated</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8"/>
              </w:rPr>
              <w:t>September 30, 2009, between the Company and the</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Lenders identified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10.55</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7"/>
              </w:rPr>
              <w:t>Form of Securities Purchase Agreement dated October 12,</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2009 between the Company and the Purchasers named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therein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January 28,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9"/>
              </w:rPr>
              <w:t>February 1,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4.79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4.80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4.81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20-F/A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December 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4.88</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10.21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4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-5640705</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80" w:space="200"/>
            <w:col w:w="5580"/>
          </w:cols>
          <w:pgMar w:left="240" w:top="459" w:right="7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8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10.56</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8"/>
              </w:rPr>
              <w:t>Amendment No. 1, dated December 2, 2009, to Securities</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7"/>
              </w:rPr>
              <w:t>Purchase Agreement dated October 12, 2009 between the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10.57</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0"/>
              </w:rPr>
              <w:t>Master Services Agreement, dated September 29, 2009,</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7"/>
              </w:rPr>
              <w:t>between Medpace Inc. and Amarin Pharma, Inc.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Amarin Pharmaceuticals Ireland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Amendment Agreement dated October 12, 2009, to the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Form of Equity Securities Purchase Agreement dated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May 13, 2008 between the Company and the Purchasers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Management Rights Deed of Agreement dated October</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4"/>
              </w:rPr>
              <w:t>16, 2009 by and among the Company and Purchasers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Supply Agreement, dated November 1, 2010, between</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Nisshin Pharma Inc. and Amarin Pharmaceuticals Ireland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10.61</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API Commercial Supply Agreement, dated May 25, 2011,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Chemport Inc.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Amendment to API Commercial Supply Agreement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and 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Chemport Inc., dated April 4,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Second Amendment to API Commercial Supply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7"/>
              </w:rPr>
              <w:t>Agreement by and between Amarin Pharmaceuticals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Ireland Ltd. and Chemport Inc., dated July 19,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10.64</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API Commercial Supply Agreement, dated May 25, 2011,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Equateq Limited††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June 25, 2010</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2009, File No. 0-21392, as Exhibit 4.100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November 8,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September 30,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4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-5434965</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60" w:space="220"/>
            <w:col w:w="5580"/>
          </w:cols>
          <w:pgMar w:left="240" w:top="459" w:right="7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8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10.65</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9"/>
              </w:rPr>
              <w:t>Amendment to API Commercial Supply Agreement,</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7"/>
              </w:rPr>
              <w:t>dated October 19, 2011, between Amarin Pharmaceuticals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Ireland Ltd. and Equateq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10.66</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Second Amendment to API Supply Agreement by and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Equateq Limited dated January 9,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10.67</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9"/>
              </w:rPr>
              <w:t>Third Amendment to API Supply Agreement by and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Equateq Limited dated May 7,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8"/>
              </w:rPr>
              <w:t>Irrevocable License Agreement dated as of April 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8"/>
              </w:rPr>
              <w:t>2011, as amended by the First Amendment to Irrevocable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License Agreement dated as of May 9, 2011, each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Amarin Pharmaceuticals Ireland Ltd. and Bedminster 2</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Funding,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Second Amendment to Irrevocable License Agreement,</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1"/>
              </w:rPr>
              <w:t>by and between Bedminster 2 Funding, LLC and Amarin</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Pharmaceuticals Ireland Ltd., dated April 25,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Third Amendment to Irrevocable License Agreement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6"/>
              </w:rPr>
              <w:t>and between Bedminster 2 Funding, LLC and Amarin</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Pharmaceuticals Ireland Ltd., dated July 17,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10.71</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0"/>
              </w:rPr>
              <w:t>Fourth Amendment to Irrevocable License Agreement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6"/>
              </w:rPr>
              <w:t>and between Bedminster 2 Funding, LLC and Amarin</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1"/>
              </w:rPr>
              <w:t>Pharmaceuticals Ireland Ltd., dated December 15,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8"/>
              </w:rPr>
              <w:t>Online Office Agreement dated as of September 30, 2011</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by Amarin Corporation plc and Regus CME Ireland Ltd.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0"/>
              </w:rPr>
              <w:t>Lease Agreement, dated January 22, 2007, between the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Company, Amarin Pharmaceuticals Ireland Limited and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Mr. David Colgan, Mr. Philip Monaghan, Mr. Finian</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McDonnell and Mr. Patrick Ryan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2011, File No. 0-21392, as Exhibit 10.51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May 5,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March 31,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May 5,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March 31,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2012, File No. 0-21392, as Exhibit 10.71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7"/>
              </w:rPr>
              <w:t>November 8,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4"/>
              </w:rPr>
              <w:t>September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March 5,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2006, File No. 0-21392, as Exhibit 4.71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7"/>
        </w:trPr>
        <w:tc>
          <w:tcPr>
            <w:tcW w:w="1840" w:type="dxa"/>
            <w:vAlign w:val="bottom"/>
          </w:tcPr>
          <w:p>
            <w:pPr>
              <w:ind w:left="34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-5572125</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060" w:space="220"/>
            <w:col w:w="5520"/>
          </w:cols>
          <w:pgMar w:left="240" w:top="459" w:right="8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00" w:type="dxa"/>
            <w:vAlign w:val="bottom"/>
          </w:tcPr>
          <w:p>
            <w:pPr>
              <w:spacing w:after="0"/>
              <w:rPr>
                <w:sz w:val="14"/>
                <w:szCs w:val="14"/>
                <w:color w:val="auto"/>
              </w:rPr>
            </w:pPr>
          </w:p>
        </w:tc>
      </w:tr>
      <w:tr>
        <w:trPr>
          <w:trHeight w:val="323"/>
        </w:trPr>
        <w:tc>
          <w:tcPr>
            <w:tcW w:w="500" w:type="dxa"/>
            <w:vAlign w:val="bottom"/>
          </w:tcPr>
          <w:p>
            <w:pPr>
              <w:spacing w:after="0"/>
              <w:rPr>
                <w:sz w:val="20"/>
                <w:szCs w:val="20"/>
                <w:color w:val="auto"/>
              </w:rPr>
            </w:pPr>
            <w:r>
              <w:rPr>
                <w:rFonts w:ascii="Arial" w:cs="Arial" w:eastAsia="Arial" w:hAnsi="Arial"/>
                <w:sz w:val="18"/>
                <w:szCs w:val="18"/>
                <w:color w:val="auto"/>
              </w:rPr>
              <w:t>10.74</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2"/>
              </w:rPr>
              <w:t>Lease Agreement dated May 8, 2013, by and between</w:t>
            </w:r>
          </w:p>
        </w:tc>
      </w:tr>
      <w:tr>
        <w:trPr>
          <w:trHeight w:val="222"/>
        </w:trPr>
        <w:tc>
          <w:tcPr>
            <w:tcW w:w="500" w:type="dxa"/>
            <w:vAlign w:val="bottom"/>
          </w:tcPr>
          <w:p>
            <w:pPr>
              <w:spacing w:after="0"/>
              <w:rPr>
                <w:sz w:val="19"/>
                <w:szCs w:val="19"/>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3"/>
              </w:rPr>
              <w:t>Amarin Pharma, Inc. and Bedminster 2 Funding,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10.75</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6"/>
              </w:rPr>
              <w:t>Lease Agreement dated November 28, 2011, by the</w:t>
            </w:r>
          </w:p>
        </w:tc>
      </w:tr>
      <w:tr>
        <w:trPr>
          <w:trHeight w:val="216"/>
        </w:trPr>
        <w:tc>
          <w:tcPr>
            <w:tcW w:w="500" w:type="dxa"/>
            <w:vAlign w:val="bottom"/>
          </w:tcPr>
          <w:p>
            <w:pPr>
              <w:spacing w:after="0"/>
              <w:rPr>
                <w:sz w:val="18"/>
                <w:szCs w:val="18"/>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5"/>
              </w:rPr>
              <w:t>Company, 534 East Middle Turnpike, LLC, Peter Jay</w:t>
            </w:r>
          </w:p>
        </w:tc>
      </w:tr>
      <w:tr>
        <w:trPr>
          <w:trHeight w:val="216"/>
        </w:trPr>
        <w:tc>
          <w:tcPr>
            <w:tcW w:w="500" w:type="dxa"/>
            <w:vAlign w:val="bottom"/>
          </w:tcPr>
          <w:p>
            <w:pPr>
              <w:spacing w:after="0"/>
              <w:rPr>
                <w:sz w:val="18"/>
                <w:szCs w:val="18"/>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2"/>
              </w:rPr>
              <w:t>Alter, as Trustee of the Leon C. Lech Irrevocable Trust</w:t>
            </w:r>
          </w:p>
        </w:tc>
      </w:tr>
      <w:tr>
        <w:trPr>
          <w:trHeight w:val="216"/>
        </w:trPr>
        <w:tc>
          <w:tcPr>
            <w:tcW w:w="500" w:type="dxa"/>
            <w:vAlign w:val="bottom"/>
          </w:tcPr>
          <w:p>
            <w:pPr>
              <w:spacing w:after="0"/>
              <w:rPr>
                <w:sz w:val="18"/>
                <w:szCs w:val="18"/>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1"/>
              </w:rPr>
              <w:t>under Declaration of Trust dated October 14, 1980 and</w:t>
            </w:r>
          </w:p>
        </w:tc>
      </w:tr>
      <w:tr>
        <w:trPr>
          <w:trHeight w:val="222"/>
        </w:trPr>
        <w:tc>
          <w:tcPr>
            <w:tcW w:w="500" w:type="dxa"/>
            <w:vAlign w:val="bottom"/>
          </w:tcPr>
          <w:p>
            <w:pPr>
              <w:spacing w:after="0"/>
              <w:rPr>
                <w:sz w:val="19"/>
                <w:szCs w:val="19"/>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Ferndale Realty,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10.76</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5"/>
              </w:rPr>
              <w:t>Sublease Agreement by and among Advance Realty</w:t>
            </w:r>
          </w:p>
        </w:tc>
      </w:tr>
      <w:tr>
        <w:trPr>
          <w:trHeight w:val="216"/>
        </w:trPr>
        <w:tc>
          <w:tcPr>
            <w:tcW w:w="500" w:type="dxa"/>
            <w:vAlign w:val="bottom"/>
          </w:tcPr>
          <w:p>
            <w:pPr>
              <w:spacing w:after="0"/>
              <w:rPr>
                <w:sz w:val="18"/>
                <w:szCs w:val="18"/>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7"/>
              </w:rPr>
              <w:t>Management, Inc., Bedminster 2 Funding, LLC and</w:t>
            </w:r>
          </w:p>
        </w:tc>
      </w:tr>
      <w:tr>
        <w:trPr>
          <w:trHeight w:val="222"/>
        </w:trPr>
        <w:tc>
          <w:tcPr>
            <w:tcW w:w="500" w:type="dxa"/>
            <w:vAlign w:val="bottom"/>
          </w:tcPr>
          <w:p>
            <w:pPr>
              <w:spacing w:after="0"/>
              <w:rPr>
                <w:sz w:val="19"/>
                <w:szCs w:val="19"/>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Amarin Pharma Inc., dated April 25,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10.77</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87"/>
              </w:rPr>
              <w:t>Purchase and Sale Agreement, dated December 6, 2012,</w:t>
            </w:r>
          </w:p>
        </w:tc>
      </w:tr>
      <w:tr>
        <w:trPr>
          <w:trHeight w:val="216"/>
        </w:trPr>
        <w:tc>
          <w:tcPr>
            <w:tcW w:w="500" w:type="dxa"/>
            <w:vAlign w:val="bottom"/>
          </w:tcPr>
          <w:p>
            <w:pPr>
              <w:spacing w:after="0"/>
              <w:rPr>
                <w:sz w:val="18"/>
                <w:szCs w:val="18"/>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by and between Amarin Corporation plc, Amarin</w:t>
            </w:r>
          </w:p>
        </w:tc>
      </w:tr>
      <w:tr>
        <w:trPr>
          <w:trHeight w:val="216"/>
        </w:trPr>
        <w:tc>
          <w:tcPr>
            <w:tcW w:w="500" w:type="dxa"/>
            <w:vAlign w:val="bottom"/>
          </w:tcPr>
          <w:p>
            <w:pPr>
              <w:spacing w:after="0"/>
              <w:rPr>
                <w:sz w:val="18"/>
                <w:szCs w:val="18"/>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87"/>
              </w:rPr>
              <w:t>Pharmaceuticals Ireland Limited and Biopharma Secured</w:t>
            </w:r>
          </w:p>
        </w:tc>
      </w:tr>
      <w:tr>
        <w:trPr>
          <w:trHeight w:val="222"/>
        </w:trPr>
        <w:tc>
          <w:tcPr>
            <w:tcW w:w="500" w:type="dxa"/>
            <w:vAlign w:val="bottom"/>
          </w:tcPr>
          <w:p>
            <w:pPr>
              <w:spacing w:after="0"/>
              <w:rPr>
                <w:sz w:val="19"/>
                <w:szCs w:val="19"/>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Debt Fund II Holdings Cayman 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14.1</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Code of Ethics</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List of Subsidiaries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2"/>
              </w:rPr>
              <w:t>Consent of Independent Registered Public Accounting</w:t>
            </w:r>
          </w:p>
        </w:tc>
      </w:tr>
      <w:tr>
        <w:trPr>
          <w:trHeight w:val="222"/>
        </w:trPr>
        <w:tc>
          <w:tcPr>
            <w:tcW w:w="500" w:type="dxa"/>
            <w:vAlign w:val="bottom"/>
          </w:tcPr>
          <w:p>
            <w:pPr>
              <w:spacing w:after="0"/>
              <w:rPr>
                <w:sz w:val="19"/>
                <w:szCs w:val="19"/>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Firm</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5"/>
              </w:rPr>
              <w:t>Certification of President and Chief Executive Officer</w:t>
            </w:r>
          </w:p>
        </w:tc>
      </w:tr>
      <w:tr>
        <w:trPr>
          <w:trHeight w:val="216"/>
        </w:trPr>
        <w:tc>
          <w:tcPr>
            <w:tcW w:w="500" w:type="dxa"/>
            <w:vAlign w:val="bottom"/>
          </w:tcPr>
          <w:p>
            <w:pPr>
              <w:spacing w:after="0"/>
              <w:rPr>
                <w:sz w:val="18"/>
                <w:szCs w:val="18"/>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1"/>
              </w:rPr>
              <w:t>(Principal Executive Officer) pursuant to Section 302 of</w:t>
            </w:r>
          </w:p>
        </w:tc>
      </w:tr>
      <w:tr>
        <w:trPr>
          <w:trHeight w:val="222"/>
        </w:trPr>
        <w:tc>
          <w:tcPr>
            <w:tcW w:w="500" w:type="dxa"/>
            <w:vAlign w:val="bottom"/>
          </w:tcPr>
          <w:p>
            <w:pPr>
              <w:spacing w:after="0"/>
              <w:rPr>
                <w:sz w:val="19"/>
                <w:szCs w:val="19"/>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5"/>
              </w:rPr>
              <w:t>Certification of Controller (Principal Financial Officer)</w:t>
            </w:r>
          </w:p>
        </w:tc>
      </w:tr>
      <w:tr>
        <w:trPr>
          <w:trHeight w:val="222"/>
        </w:trPr>
        <w:tc>
          <w:tcPr>
            <w:tcW w:w="500" w:type="dxa"/>
            <w:vAlign w:val="bottom"/>
          </w:tcPr>
          <w:p>
            <w:pPr>
              <w:spacing w:after="0"/>
              <w:rPr>
                <w:sz w:val="19"/>
                <w:szCs w:val="19"/>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0"/>
              </w:rPr>
              <w:t>pursuant to Section 302 of 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5"/>
              </w:rPr>
              <w:t>Certification of President and Chief Executive Officer</w:t>
            </w:r>
          </w:p>
        </w:tc>
      </w:tr>
      <w:tr>
        <w:trPr>
          <w:trHeight w:val="216"/>
        </w:trPr>
        <w:tc>
          <w:tcPr>
            <w:tcW w:w="500" w:type="dxa"/>
            <w:vAlign w:val="bottom"/>
          </w:tcPr>
          <w:p>
            <w:pPr>
              <w:spacing w:after="0"/>
              <w:rPr>
                <w:sz w:val="18"/>
                <w:szCs w:val="18"/>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5"/>
              </w:rPr>
              <w:t>(Principal Executive Officer) and Controller (Principal</w:t>
            </w:r>
          </w:p>
        </w:tc>
      </w:tr>
      <w:tr>
        <w:trPr>
          <w:trHeight w:val="216"/>
        </w:trPr>
        <w:tc>
          <w:tcPr>
            <w:tcW w:w="500" w:type="dxa"/>
            <w:vAlign w:val="bottom"/>
          </w:tcPr>
          <w:p>
            <w:pPr>
              <w:spacing w:after="0"/>
              <w:rPr>
                <w:sz w:val="18"/>
                <w:szCs w:val="18"/>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1"/>
              </w:rPr>
              <w:t>Financial Officer) pursuant to Section 906 of Sarbanes-</w:t>
            </w:r>
          </w:p>
        </w:tc>
      </w:tr>
      <w:tr>
        <w:trPr>
          <w:trHeight w:val="222"/>
        </w:trPr>
        <w:tc>
          <w:tcPr>
            <w:tcW w:w="500" w:type="dxa"/>
            <w:vAlign w:val="bottom"/>
          </w:tcPr>
          <w:p>
            <w:pPr>
              <w:spacing w:after="0"/>
              <w:rPr>
                <w:sz w:val="19"/>
                <w:szCs w:val="19"/>
                <w:color w:val="auto"/>
              </w:rPr>
            </w:pP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rPr>
              <w:t>INS XBRL Instance Document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480" w:type="dxa"/>
            <w:vAlign w:val="bottom"/>
            <w:gridSpan w:val="3"/>
          </w:tcPr>
          <w:p>
            <w:pPr>
              <w:ind w:left="460"/>
              <w:spacing w:after="0"/>
              <w:rPr>
                <w:sz w:val="20"/>
                <w:szCs w:val="20"/>
                <w:color w:val="auto"/>
              </w:rPr>
            </w:pPr>
            <w:r>
              <w:rPr>
                <w:rFonts w:ascii="Arial" w:cs="Arial" w:eastAsia="Arial" w:hAnsi="Arial"/>
                <w:sz w:val="18"/>
                <w:szCs w:val="18"/>
                <w:color w:val="auto"/>
                <w:w w:val="94"/>
              </w:rPr>
              <w:t>SCH XBRL Taxonomy Extension Schema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May 9, 2013</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March 31, 2013,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w w:val="93"/>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2011, File No. 0-21392, as Exhibit 10.61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w w:val="93"/>
              </w:rPr>
              <w:t>February 28,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2012, File No. 0-21392, as Exhibit 10.76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F-3, File No. 333-</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w w:val="87"/>
              </w:rPr>
              <w:t>November 10, 2010</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170505,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-4860290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92</w:t>
      </w:r>
    </w:p>
    <w:p>
      <w:pPr>
        <w:sectPr>
          <w:pgSz w:w="11900" w:h="16838" w:orient="portrait"/>
          <w:cols w:equalWidth="0" w:num="2">
            <w:col w:w="4980" w:space="300"/>
            <w:col w:w="5600"/>
          </w:cols>
          <w:pgMar w:left="240" w:top="459" w:right="7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Incorporated by Reference Herein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36"/>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2180" w:type="dxa"/>
            <w:vAlign w:val="bottom"/>
          </w:tcPr>
          <w:p>
            <w:pPr>
              <w:spacing w:after="0"/>
              <w:rPr>
                <w:sz w:val="11"/>
                <w:szCs w:val="11"/>
                <w:color w:val="auto"/>
              </w:rPr>
            </w:pPr>
          </w:p>
        </w:tc>
        <w:tc>
          <w:tcPr>
            <w:tcW w:w="7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5"/>
              </w:rPr>
              <w:t>Description</w:t>
            </w:r>
          </w:p>
        </w:tc>
        <w:tc>
          <w:tcPr>
            <w:tcW w:w="3700" w:type="dxa"/>
            <w:vAlign w:val="bottom"/>
          </w:tcPr>
          <w:p>
            <w:pPr>
              <w:spacing w:after="0"/>
              <w:rPr>
                <w:sz w:val="11"/>
                <w:szCs w:val="11"/>
                <w:color w:val="auto"/>
              </w:rPr>
            </w:pPr>
          </w:p>
        </w:tc>
        <w:tc>
          <w:tcPr>
            <w:tcW w:w="2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73"/>
              </w:rPr>
              <w:t>Form</w:t>
            </w:r>
          </w:p>
        </w:tc>
        <w:tc>
          <w:tcPr>
            <w:tcW w:w="10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Date</w:t>
            </w:r>
          </w:p>
        </w:tc>
      </w:tr>
    </w:tbl>
    <w:p>
      <w:pPr>
        <w:spacing w:after="0" w:line="100" w:lineRule="exact"/>
        <w:rPr>
          <w:sz w:val="20"/>
          <w:szCs w:val="20"/>
          <w:color w:val="auto"/>
        </w:rPr>
      </w:pPr>
    </w:p>
    <w:p>
      <w:pPr>
        <w:ind w:left="1080" w:right="7120" w:hanging="107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 XBRL Taxonomy Calculation Linkbase Document</w:t>
      </w:r>
    </w:p>
    <w:p>
      <w:pPr>
        <w:spacing w:after="0" w:line="78" w:lineRule="exact"/>
        <w:rPr>
          <w:sz w:val="20"/>
          <w:szCs w:val="20"/>
          <w:color w:val="auto"/>
        </w:rPr>
      </w:pPr>
    </w:p>
    <w:p>
      <w:pPr>
        <w:ind w:left="1080" w:right="6480" w:hanging="107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 XBRL Taxonomy Extension Definition Linkbase Document</w:t>
      </w:r>
    </w:p>
    <w:p>
      <w:pPr>
        <w:spacing w:after="0" w:line="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LAB XBRL Taxonomy Label Linkbase Document</w:t>
      </w:r>
    </w:p>
    <w:p>
      <w:pPr>
        <w:spacing w:after="0" w:line="117" w:lineRule="exact"/>
        <w:rPr>
          <w:sz w:val="20"/>
          <w:szCs w:val="20"/>
          <w:color w:val="auto"/>
        </w:rPr>
      </w:pPr>
    </w:p>
    <w:p>
      <w:pPr>
        <w:ind w:left="1080" w:right="7100" w:hanging="107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 XBRL Taxonomy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Confidential treatment has been granted with respect to portions of this exhibit pursuant to an application requesting confidential treatment under Rule 24b-</w:t>
      </w:r>
    </w:p>
    <w:p>
      <w:pPr>
        <w:spacing w:after="0" w:line="50" w:lineRule="exact"/>
        <w:rPr>
          <w:sz w:val="20"/>
          <w:szCs w:val="20"/>
          <w:color w:val="auto"/>
        </w:rPr>
      </w:pPr>
    </w:p>
    <w:p>
      <w:pPr>
        <w:ind w:left="460" w:right="200"/>
        <w:spacing w:after="0" w:line="250" w:lineRule="auto"/>
        <w:rPr>
          <w:sz w:val="20"/>
          <w:szCs w:val="20"/>
          <w:color w:val="auto"/>
        </w:rPr>
      </w:pPr>
      <w:r>
        <w:rPr>
          <w:rFonts w:ascii="Arial" w:cs="Arial" w:eastAsia="Arial" w:hAnsi="Arial"/>
          <w:sz w:val="18"/>
          <w:szCs w:val="18"/>
          <w:color w:val="auto"/>
        </w:rPr>
        <w:t>2 of the Securities Exchange Act of 1934. A complete copy of this exhibit, including the redacted terms, has been separately filed with the Securities and Exchange Commission.</w:t>
      </w:r>
    </w:p>
    <w:p>
      <w:pPr>
        <w:spacing w:after="0" w:line="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tabs>
          <w:tab w:leader="none" w:pos="7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r>
        <w:rPr>
          <w:rFonts w:ascii="Arial" w:cs="Arial" w:eastAsia="Arial" w:hAnsi="Arial"/>
          <w:sz w:val="18"/>
          <w:szCs w:val="18"/>
          <w:i w:val="1"/>
          <w:iCs w:val="1"/>
          <w:color w:val="auto"/>
        </w:rPr>
        <w:t xml:space="preserve">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Title</w:t>
            </w:r>
          </w:p>
        </w:tc>
        <w:tc>
          <w:tcPr>
            <w:tcW w:w="940" w:type="dxa"/>
            <w:vAlign w:val="bottom"/>
          </w:tcPr>
          <w:p>
            <w:pPr>
              <w:spacing w:after="0"/>
              <w:rPr>
                <w:sz w:val="14"/>
                <w:szCs w:val="14"/>
                <w:color w:val="auto"/>
              </w:rPr>
            </w:pPr>
          </w:p>
        </w:tc>
        <w:tc>
          <w:tcPr>
            <w:tcW w:w="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210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87"/>
              </w:rPr>
              <w:t>John F. Thero</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President and Chief Executive Officer ( Principal</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27, 2014</w:t>
            </w:r>
          </w:p>
        </w:tc>
      </w:tr>
      <w:tr>
        <w:trPr>
          <w:trHeight w:val="218"/>
        </w:trPr>
        <w:tc>
          <w:tcPr>
            <w:tcW w:w="1940" w:type="dxa"/>
            <w:vAlign w:val="bottom"/>
          </w:tcPr>
          <w:p>
            <w:pPr>
              <w:spacing w:after="0"/>
              <w:rPr>
                <w:sz w:val="18"/>
                <w:szCs w:val="18"/>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8"/>
                <w:szCs w:val="18"/>
                <w:color w:val="auto"/>
                <w:w w:val="85"/>
              </w:rPr>
              <w:t>John F. Thero</w:t>
            </w:r>
          </w:p>
        </w:tc>
        <w:tc>
          <w:tcPr>
            <w:tcW w:w="4220" w:type="dxa"/>
            <w:vAlign w:val="bottom"/>
            <w:gridSpan w:val="3"/>
          </w:tcPr>
          <w:p>
            <w:pPr>
              <w:jc w:val="center"/>
              <w:ind w:right="80"/>
              <w:spacing w:after="0" w:line="202" w:lineRule="exact"/>
              <w:rPr>
                <w:sz w:val="20"/>
                <w:szCs w:val="20"/>
                <w:color w:val="auto"/>
              </w:rPr>
            </w:pPr>
            <w:r>
              <w:rPr>
                <w:rFonts w:ascii="Arial" w:cs="Arial" w:eastAsia="Arial" w:hAnsi="Arial"/>
                <w:sz w:val="18"/>
                <w:szCs w:val="18"/>
                <w:color w:val="auto"/>
                <w:w w:val="91"/>
              </w:rPr>
              <w:t>Executive Officer)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7"/>
        </w:trPr>
        <w:tc>
          <w:tcPr>
            <w:tcW w:w="19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1"/>
              </w:rPr>
              <w:t>Michael J. Farrell</w:t>
            </w:r>
          </w:p>
        </w:tc>
        <w:tc>
          <w:tcPr>
            <w:tcW w:w="4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Controller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27, 2014</w:t>
            </w:r>
          </w:p>
        </w:tc>
      </w:tr>
      <w:tr>
        <w:trPr>
          <w:trHeight w:val="218"/>
        </w:trPr>
        <w:tc>
          <w:tcPr>
            <w:tcW w:w="5080" w:type="dxa"/>
            <w:vAlign w:val="bottom"/>
            <w:gridSpan w:val="5"/>
          </w:tcPr>
          <w:p>
            <w:pPr>
              <w:jc w:val="center"/>
              <w:spacing w:after="0"/>
              <w:rPr>
                <w:sz w:val="20"/>
                <w:szCs w:val="20"/>
                <w:color w:val="auto"/>
              </w:rPr>
            </w:pPr>
            <w:r>
              <w:rPr>
                <w:rFonts w:ascii="Arial" w:cs="Arial" w:eastAsia="Arial" w:hAnsi="Arial"/>
                <w:sz w:val="18"/>
                <w:szCs w:val="18"/>
                <w:color w:val="auto"/>
                <w:w w:val="90"/>
              </w:rPr>
              <w:t>Michael J. Farrell</w:t>
            </w:r>
          </w:p>
        </w:tc>
        <w:tc>
          <w:tcPr>
            <w:tcW w:w="422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1"/>
              </w:rPr>
              <w:t>(Principal Financial and Accounting Officer)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3"/>
              </w:rPr>
              <w:t>/s/</w:t>
            </w: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w w:val="89"/>
              </w:rPr>
              <w:t>Lars Ekman</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3"/>
          </w:tcPr>
          <w:p>
            <w:pPr>
              <w:jc w:val="center"/>
              <w:ind w:right="2100"/>
              <w:spacing w:after="0"/>
              <w:rPr>
                <w:sz w:val="20"/>
                <w:szCs w:val="20"/>
                <w:color w:val="auto"/>
              </w:rPr>
            </w:pPr>
            <w:r>
              <w:rPr>
                <w:rFonts w:ascii="Arial" w:cs="Arial" w:eastAsia="Arial" w:hAnsi="Arial"/>
                <w:sz w:val="18"/>
                <w:szCs w:val="18"/>
                <w:color w:val="auto"/>
                <w:w w:val="87"/>
              </w:rPr>
              <w:t>Lars Ekman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50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/s/  James Healy, M.D., Ph.D.</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5080" w:type="dxa"/>
            <w:vAlign w:val="bottom"/>
            <w:gridSpan w:val="5"/>
          </w:tcPr>
          <w:p>
            <w:pPr>
              <w:jc w:val="center"/>
              <w:spacing w:after="0"/>
              <w:rPr>
                <w:sz w:val="20"/>
                <w:szCs w:val="20"/>
                <w:color w:val="auto"/>
              </w:rPr>
            </w:pPr>
            <w:r>
              <w:rPr>
                <w:rFonts w:ascii="Arial" w:cs="Arial" w:eastAsia="Arial" w:hAnsi="Arial"/>
                <w:sz w:val="18"/>
                <w:szCs w:val="18"/>
                <w:color w:val="auto"/>
                <w:w w:val="88"/>
              </w:rPr>
              <w:t>James Healy, M.D.,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2"/>
              </w:rPr>
              <w:t>Patrick O’Sullivan</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5080" w:type="dxa"/>
            <w:vAlign w:val="bottom"/>
            <w:gridSpan w:val="5"/>
          </w:tcPr>
          <w:p>
            <w:pPr>
              <w:jc w:val="center"/>
              <w:spacing w:after="0"/>
              <w:rPr>
                <w:sz w:val="20"/>
                <w:szCs w:val="20"/>
                <w:color w:val="auto"/>
              </w:rPr>
            </w:pPr>
            <w:r>
              <w:rPr>
                <w:rFonts w:ascii="Arial" w:cs="Arial" w:eastAsia="Arial" w:hAnsi="Arial"/>
                <w:sz w:val="18"/>
                <w:szCs w:val="18"/>
                <w:color w:val="auto"/>
                <w:w w:val="93"/>
              </w:rPr>
              <w:t>Patrick O’Sullivan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9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88"/>
              </w:rPr>
              <w:t>Kristine Peterson</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1940" w:type="dxa"/>
            <w:vAlign w:val="bottom"/>
          </w:tcPr>
          <w:p>
            <w:pPr>
              <w:spacing w:after="0"/>
              <w:rPr>
                <w:sz w:val="18"/>
                <w:szCs w:val="18"/>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8"/>
                <w:szCs w:val="18"/>
                <w:color w:val="auto"/>
                <w:w w:val="87"/>
              </w:rPr>
              <w:t>Kristine Peterson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3"/>
              </w:rPr>
              <w:t>/s/</w:t>
            </w: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w w:val="89"/>
              </w:rPr>
              <w:t>David Stack</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3"/>
          </w:tcPr>
          <w:p>
            <w:pPr>
              <w:jc w:val="center"/>
              <w:ind w:right="2100"/>
              <w:spacing w:after="0"/>
              <w:rPr>
                <w:sz w:val="20"/>
                <w:szCs w:val="20"/>
                <w:color w:val="auto"/>
              </w:rPr>
            </w:pPr>
            <w:r>
              <w:rPr>
                <w:rFonts w:ascii="Arial" w:cs="Arial" w:eastAsia="Arial" w:hAnsi="Arial"/>
                <w:sz w:val="18"/>
                <w:szCs w:val="18"/>
                <w:color w:val="auto"/>
                <w:w w:val="91"/>
              </w:rPr>
              <w:t>David Stack</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100" w:type="dxa"/>
            <w:vAlign w:val="bottom"/>
            <w:tcBorders>
              <w:bottom w:val="single" w:sz="8" w:color="auto"/>
            </w:tcBorders>
            <w:gridSpan w:val="2"/>
          </w:tcPr>
          <w:p>
            <w:pPr>
              <w:ind w:left="1900"/>
              <w:spacing w:after="0"/>
              <w:rPr>
                <w:sz w:val="20"/>
                <w:szCs w:val="20"/>
                <w:color w:val="auto"/>
              </w:rPr>
            </w:pPr>
            <w:r>
              <w:rPr>
                <w:rFonts w:ascii="Arial" w:cs="Arial" w:eastAsia="Arial" w:hAnsi="Arial"/>
                <w:sz w:val="18"/>
                <w:szCs w:val="18"/>
                <w:color w:val="auto"/>
                <w:w w:val="94"/>
              </w:rPr>
              <w:t>/s/</w:t>
            </w:r>
          </w:p>
        </w:tc>
        <w:tc>
          <w:tcPr>
            <w:tcW w:w="29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85"/>
              </w:rPr>
              <w:t>Jan van Heek</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1940" w:type="dxa"/>
            <w:vAlign w:val="bottom"/>
          </w:tcPr>
          <w:p>
            <w:pPr>
              <w:spacing w:after="0"/>
              <w:rPr>
                <w:sz w:val="18"/>
                <w:szCs w:val="18"/>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8"/>
                <w:szCs w:val="18"/>
                <w:color w:val="auto"/>
                <w:w w:val="87"/>
              </w:rPr>
              <w:t>Jan van Heek</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9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87"/>
              </w:rPr>
              <w:t>Joseph Zakrzewski</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27, 2014</w:t>
            </w:r>
          </w:p>
        </w:tc>
      </w:tr>
      <w:tr>
        <w:trPr>
          <w:trHeight w:val="217"/>
        </w:trPr>
        <w:tc>
          <w:tcPr>
            <w:tcW w:w="5080" w:type="dxa"/>
            <w:vAlign w:val="bottom"/>
            <w:gridSpan w:val="5"/>
          </w:tcPr>
          <w:p>
            <w:pPr>
              <w:jc w:val="center"/>
              <w:spacing w:after="0"/>
              <w:rPr>
                <w:sz w:val="20"/>
                <w:szCs w:val="20"/>
                <w:color w:val="auto"/>
              </w:rPr>
            </w:pPr>
            <w:r>
              <w:rPr>
                <w:rFonts w:ascii="Arial" w:cs="Arial" w:eastAsia="Arial" w:hAnsi="Arial"/>
                <w:sz w:val="18"/>
                <w:szCs w:val="18"/>
                <w:color w:val="auto"/>
                <w:w w:val="88"/>
              </w:rPr>
              <w:t>Joseph Zakrzewski</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tcPr>
          <w:p>
            <w:pPr>
              <w:jc w:val="right"/>
              <w:ind w:right="1134"/>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7"/>
            <w:vMerge w:val="restart"/>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Report of Independent Registered Public Accounting Firm</w:t>
              </w:r>
            </w:hyperlink>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7"/>
            <w:vMerge w:val="continue"/>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1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6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1020" w:type="dxa"/>
            <w:vAlign w:val="bottom"/>
            <w:gridSpan w:val="7"/>
          </w:tcPr>
          <w:p>
            <w:pPr>
              <w:spacing w:after="0" w:line="184"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Balance Sheets</w:t>
              </w:r>
            </w:hyperlink>
          </w:p>
        </w:tc>
        <w:tc>
          <w:tcPr>
            <w:tcW w:w="320" w:type="dxa"/>
            <w:vAlign w:val="bottom"/>
            <w:gridSpan w:val="2"/>
          </w:tcPr>
          <w:p>
            <w:pPr>
              <w:ind w:left="60"/>
              <w:spacing w:after="0" w:line="184"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Consolidated Statements of Operations</w:t>
              </w:r>
            </w:hyperlink>
          </w:p>
        </w:tc>
        <w:tc>
          <w:tcPr>
            <w:tcW w:w="8260" w:type="dxa"/>
            <w:vAlign w:val="bottom"/>
            <w:gridSpan w:val="5"/>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Consolidated Statements of Stockholders’ Deficit</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Statements of Cash Flows</w:t>
              </w:r>
            </w:hyperlink>
          </w:p>
        </w:tc>
        <w:tc>
          <w:tcPr>
            <w:tcW w:w="7540" w:type="dxa"/>
            <w:vAlign w:val="bottom"/>
            <w:gridSpan w:val="2"/>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Notes to Consolidated Financial Statements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Financial Statement Schedules: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consolidated balance sheets of Amarin Corporation plc and subsidiaries (the “Company”) as of December 31, 2013 and 2012, and the related consolidated statements of operations, stockholders’ deficit,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Amarin Corporation plc and subsidiaries as of December 31, 2013 and 2012, and the results of their operations and their cash flows for each of the three years in the period ended December 31, 2013, in conformity with accounting principles generally accepted in the United States of America.</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and our report dated February 27, 2014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5"/>
          </w:tcPr>
          <w:p>
            <w:pPr>
              <w:jc w:val="center"/>
              <w:ind w:right="13"/>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191,514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260,242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Inventory, current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219,402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285,694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long term</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Intangible asset, net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252,476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310,855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payable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Warrant derivative liability, current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25,202</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 derivative liability, long-term</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Exchangeable senior notes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149,317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Long-term debt redemption feature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286,332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Stockholders’ Deficit: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£0.50 par value, unlimited authorized; 172,691,063 issued, 172,670,984 outstanding at December 31,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2013; 150,360,933 issued, 150,340,854 outstanding at December 31, 2012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141,477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738,754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20,079 shares at December 31, 2013 and 2012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(913,870)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(747,643)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deficit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1280"/>
              <w:spacing w:after="0"/>
              <w:rPr>
                <w:sz w:val="20"/>
                <w:szCs w:val="20"/>
                <w:color w:val="auto"/>
              </w:rPr>
            </w:pPr>
            <w:r>
              <w:rPr>
                <w:rFonts w:ascii="Arial" w:cs="Arial" w:eastAsia="Arial" w:hAnsi="Arial"/>
                <w:sz w:val="18"/>
                <w:szCs w:val="18"/>
                <w:b w:val="1"/>
                <w:bCs w:val="1"/>
                <w:color w:val="auto"/>
              </w:rPr>
              <w:t>TOTAL LIABILITIES AND STOCKHOLDERS’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252,476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310,855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6"/>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80" w:type="dxa"/>
            <w:vAlign w:val="bottom"/>
            <w:gridSpan w:val="5"/>
          </w:tcPr>
          <w:p>
            <w:pPr>
              <w:jc w:val="center"/>
              <w:ind w:right="20"/>
              <w:spacing w:after="0" w:line="129" w:lineRule="exact"/>
              <w:rPr>
                <w:sz w:val="20"/>
                <w:szCs w:val="20"/>
                <w:color w:val="auto"/>
              </w:rPr>
            </w:pPr>
            <w:r>
              <w:rPr>
                <w:rFonts w:ascii="Arial" w:cs="Arial" w:eastAsia="Arial" w:hAnsi="Arial"/>
                <w:sz w:val="14"/>
                <w:szCs w:val="14"/>
                <w:b w:val="1"/>
                <w:bCs w:val="1"/>
                <w:color w:val="auto"/>
                <w:w w:val="84"/>
              </w:rPr>
              <w:t>(In thousands, except per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share amounts)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58,956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123,795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208,457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116,750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8"/>
              </w:rPr>
              <w:t>(182,106)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(116,750)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(35,344)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(34,179)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(18,091)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(1,189)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 before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(169,421)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(170,068)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(66,610)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w w:val="88"/>
              </w:rPr>
              <w:t>(166,227)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(179,184)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(69,126)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72"/>
              <w:spacing w:after="0"/>
              <w:rPr>
                <w:sz w:val="20"/>
                <w:szCs w:val="20"/>
                <w:color w:val="auto"/>
              </w:rPr>
            </w:pPr>
            <w:r>
              <w:rPr>
                <w:rFonts w:ascii="Arial" w:cs="Arial" w:eastAsia="Arial" w:hAnsi="Arial"/>
                <w:sz w:val="18"/>
                <w:szCs w:val="18"/>
                <w:color w:val="auto"/>
              </w:rPr>
              <w:t>(1.03)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161,022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144,017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130,247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167,070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144,017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130,247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5000" w:type="dxa"/>
            <w:vAlign w:val="bottom"/>
          </w:tcPr>
          <w:p>
            <w:pPr>
              <w:spacing w:after="0"/>
              <w:rPr>
                <w:sz w:val="12"/>
                <w:szCs w:val="12"/>
                <w:color w:val="auto"/>
              </w:rPr>
            </w:pPr>
          </w:p>
        </w:tc>
        <w:tc>
          <w:tcPr>
            <w:tcW w:w="100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82"/>
              </w:rPr>
              <w:t>Common</w:t>
            </w:r>
          </w:p>
        </w:tc>
        <w:tc>
          <w:tcPr>
            <w:tcW w:w="30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Paid-in</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160" w:type="dxa"/>
            <w:vAlign w:val="bottom"/>
            <w:gridSpan w:val="3"/>
          </w:tcPr>
          <w:p>
            <w:pPr>
              <w:jc w:val="right"/>
              <w:ind w:right="278"/>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20" w:type="dxa"/>
            <w:vAlign w:val="bottom"/>
            <w:gridSpan w:val="3"/>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Stockholders’</w:t>
            </w:r>
          </w:p>
        </w:tc>
      </w:tr>
      <w:tr>
        <w:trPr>
          <w:trHeight w:val="161"/>
        </w:trPr>
        <w:tc>
          <w:tcPr>
            <w:tcW w:w="5000" w:type="dxa"/>
            <w:vAlign w:val="bottom"/>
          </w:tcPr>
          <w:p>
            <w:pPr>
              <w:spacing w:after="0"/>
              <w:rPr>
                <w:sz w:val="14"/>
                <w:szCs w:val="14"/>
                <w:color w:val="auto"/>
              </w:rPr>
            </w:pPr>
          </w:p>
        </w:tc>
        <w:tc>
          <w:tcPr>
            <w:tcW w:w="1000" w:type="dxa"/>
            <w:vAlign w:val="bottom"/>
          </w:tcPr>
          <w:p>
            <w:pPr>
              <w:jc w:val="right"/>
              <w:ind w:right="213"/>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780" w:type="dxa"/>
            <w:vAlign w:val="bottom"/>
            <w:gridSpan w:val="2"/>
          </w:tcPr>
          <w:p>
            <w:pPr>
              <w:jc w:val="right"/>
              <w:ind w:right="358"/>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1000" w:type="dxa"/>
            <w:vAlign w:val="bottom"/>
            <w:gridSpan w:val="2"/>
          </w:tcPr>
          <w:p>
            <w:pPr>
              <w:jc w:val="right"/>
              <w:ind w:right="458"/>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4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88"/>
              </w:rPr>
              <w:t>Deficit</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106,856,731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90,465</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$ 206,718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center"/>
              <w:ind w:left="53"/>
              <w:spacing w:after="0"/>
              <w:rPr>
                <w:sz w:val="20"/>
                <w:szCs w:val="20"/>
                <w:color w:val="auto"/>
              </w:rPr>
            </w:pPr>
            <w:r>
              <w:rPr>
                <w:rFonts w:ascii="Arial" w:cs="Arial" w:eastAsia="Arial" w:hAnsi="Arial"/>
                <w:sz w:val="18"/>
                <w:szCs w:val="18"/>
                <w:b w:val="1"/>
                <w:bCs w:val="1"/>
                <w:color w:val="auto"/>
                <w:w w:val="76"/>
              </w:rPr>
              <w:t>(217)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(499,333)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(202,367)</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12,888,369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18,702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2,273,221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5,094</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 issued in January financing</w:t>
            </w:r>
          </w:p>
        </w:tc>
        <w:tc>
          <w:tcPr>
            <w:tcW w:w="1000" w:type="dxa"/>
            <w:vAlign w:val="bottom"/>
          </w:tcPr>
          <w:p>
            <w:pPr>
              <w:jc w:val="right"/>
              <w:spacing w:after="0"/>
              <w:rPr>
                <w:sz w:val="20"/>
                <w:szCs w:val="20"/>
                <w:color w:val="auto"/>
              </w:rPr>
            </w:pPr>
            <w:r>
              <w:rPr>
                <w:rFonts w:ascii="Arial" w:cs="Arial" w:eastAsia="Arial" w:hAnsi="Arial"/>
                <w:sz w:val="18"/>
                <w:szCs w:val="18"/>
                <w:color w:val="auto"/>
              </w:rPr>
              <w:t>13,800,000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87,931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98,654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Tax benefits realized from stock-based compensation</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4,199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w w:val="94"/>
              </w:rPr>
              <w:t>Transfer of fair value of warrants exercised from liabilities to equity</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129,517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129,517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Share issuances for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71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9,294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(69,126)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(69,126)</w:t>
            </w:r>
          </w:p>
        </w:tc>
      </w:tr>
      <w:tr>
        <w:trPr>
          <w:trHeight w:val="222"/>
        </w:trPr>
        <w:tc>
          <w:tcPr>
            <w:tcW w:w="5000" w:type="dxa"/>
            <w:vAlign w:val="bottom"/>
          </w:tcPr>
          <w:p>
            <w:pPr>
              <w:spacing w:after="0"/>
              <w:rPr>
                <w:sz w:val="20"/>
                <w:szCs w:val="20"/>
                <w:color w:val="auto"/>
              </w:rPr>
            </w:pPr>
            <w:r>
              <w:rPr>
                <w:rFonts w:ascii="Arial" w:cs="Arial" w:eastAsia="Arial" w:hAnsi="Arial"/>
                <w:sz w:val="18"/>
                <w:szCs w:val="18"/>
                <w:b w:val="1"/>
                <w:bCs w:val="1"/>
                <w:color w:val="auto"/>
              </w:rPr>
              <w:t>At December 31, 2011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135,832,542</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113,321</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$ 449,393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center"/>
              <w:ind w:left="53"/>
              <w:spacing w:after="0"/>
              <w:rPr>
                <w:sz w:val="20"/>
                <w:szCs w:val="20"/>
                <w:color w:val="auto"/>
              </w:rPr>
            </w:pPr>
            <w:r>
              <w:rPr>
                <w:rFonts w:ascii="Arial" w:cs="Arial" w:eastAsia="Arial" w:hAnsi="Arial"/>
                <w:sz w:val="18"/>
                <w:szCs w:val="18"/>
                <w:b w:val="1"/>
                <w:bCs w:val="1"/>
                <w:color w:val="auto"/>
                <w:w w:val="76"/>
              </w:rPr>
              <w:t>(217)</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(568,459)</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(5,962)</w:t>
            </w:r>
          </w:p>
        </w:tc>
        <w:tc>
          <w:tcPr>
            <w:tcW w:w="140" w:type="dxa"/>
            <w:vAlign w:val="bottom"/>
          </w:tcPr>
          <w:p>
            <w:pPr>
              <w:spacing w:after="0"/>
              <w:rPr>
                <w:sz w:val="19"/>
                <w:szCs w:val="19"/>
                <w:color w:val="auto"/>
              </w:rPr>
            </w:pPr>
          </w:p>
        </w:tc>
      </w:tr>
      <w:tr>
        <w:trPr>
          <w:trHeight w:val="21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11,047,579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16,720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3,380,413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8,205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Conversion option contained in exchangeable notes</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22,898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22,898</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Tax benefits realized from stock-based compensation</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11,334</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w w:val="94"/>
              </w:rPr>
              <w:t>Transfer of fair value of warrants exercised from liabilities to equity</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103,885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103,885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Share issuances for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32</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18,075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18,075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93"/>
              </w:rPr>
              <w:t>(179,184)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(179,184)</w:t>
            </w:r>
          </w:p>
        </w:tc>
      </w:tr>
      <w:tr>
        <w:trPr>
          <w:trHeight w:val="222"/>
        </w:trPr>
        <w:tc>
          <w:tcPr>
            <w:tcW w:w="5000" w:type="dxa"/>
            <w:vAlign w:val="bottom"/>
          </w:tcPr>
          <w:p>
            <w:pPr>
              <w:spacing w:after="0"/>
              <w:rPr>
                <w:sz w:val="20"/>
                <w:szCs w:val="20"/>
                <w:color w:val="auto"/>
              </w:rPr>
            </w:pPr>
            <w:r>
              <w:rPr>
                <w:rFonts w:ascii="Arial" w:cs="Arial" w:eastAsia="Arial" w:hAnsi="Arial"/>
                <w:sz w:val="18"/>
                <w:szCs w:val="18"/>
                <w:b w:val="1"/>
                <w:bCs w:val="1"/>
                <w:color w:val="auto"/>
              </w:rPr>
              <w:t>At December 31, 2012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150,360,933</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124,597</w:t>
            </w:r>
          </w:p>
        </w:tc>
        <w:tc>
          <w:tcPr>
            <w:tcW w:w="3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$ 619,266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center"/>
              <w:ind w:left="53"/>
              <w:spacing w:after="0"/>
              <w:rPr>
                <w:sz w:val="20"/>
                <w:szCs w:val="20"/>
                <w:color w:val="auto"/>
              </w:rPr>
            </w:pPr>
            <w:r>
              <w:rPr>
                <w:rFonts w:ascii="Arial" w:cs="Arial" w:eastAsia="Arial" w:hAnsi="Arial"/>
                <w:sz w:val="18"/>
                <w:szCs w:val="18"/>
                <w:b w:val="1"/>
                <w:bCs w:val="1"/>
                <w:color w:val="auto"/>
                <w:w w:val="76"/>
              </w:rPr>
              <w:t>(217)</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(747,643)</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(3,997)</w:t>
            </w:r>
          </w:p>
        </w:tc>
        <w:tc>
          <w:tcPr>
            <w:tcW w:w="140" w:type="dxa"/>
            <w:vAlign w:val="bottom"/>
          </w:tcPr>
          <w:p>
            <w:pPr>
              <w:spacing w:after="0"/>
              <w:rPr>
                <w:sz w:val="19"/>
                <w:szCs w:val="19"/>
                <w:color w:val="auto"/>
              </w:rPr>
            </w:pPr>
          </w:p>
        </w:tc>
      </w:tr>
      <w:tr>
        <w:trPr>
          <w:trHeight w:val="21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160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386,000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627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July financing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121,206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93,048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on stock-based compensation</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w w:val="94"/>
              </w:rPr>
              <w:t>Transfer of fair value of warrants exercised from liabilities to equity</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24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Share issuances for services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8"/>
                <w:szCs w:val="18"/>
                <w:color w:val="auto"/>
              </w:rPr>
              <w:t>14,685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1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93"/>
              </w:rPr>
              <w:t>(166,227)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(166,227)</w:t>
            </w: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At December 31, 2013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172,691,063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141,477</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$ 738,754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center"/>
              <w:ind w:left="53"/>
              <w:spacing w:after="0"/>
              <w:rPr>
                <w:sz w:val="20"/>
                <w:szCs w:val="20"/>
                <w:color w:val="auto"/>
              </w:rPr>
            </w:pPr>
            <w:r>
              <w:rPr>
                <w:rFonts w:ascii="Arial" w:cs="Arial" w:eastAsia="Arial" w:hAnsi="Arial"/>
                <w:sz w:val="18"/>
                <w:szCs w:val="18"/>
                <w:b w:val="1"/>
                <w:bCs w:val="1"/>
                <w:color w:val="auto"/>
                <w:w w:val="88"/>
              </w:rPr>
              <w:t>(217</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(913,870</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(33,856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5"/>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(166,227)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(179,184)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(3,703)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provision (benefit) from stock-based awards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(11,334)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2,520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Amortization of intangible asset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 on intangible asset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(Gain) loss on changes in fair value of derivative liabilities</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(47,710)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35,344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Change in lease liability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services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(3,645)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(5,429)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(21,262)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 current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(7,228)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w w:val="88"/>
              </w:rPr>
              <w:t>(190,336)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(122,303)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Purchases of equipment</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Purchase of long-term investment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Purchase of intangible asset</w:t>
            </w: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(12,143)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(14,342)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121,206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8,205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Proceeds on issuance of exchangeable senior notes, net of transaction costs</w:t>
            </w:r>
          </w:p>
        </w:tc>
        <w:tc>
          <w:tcPr>
            <w:tcW w:w="100" w:type="dxa"/>
            <w:vAlign w:val="bottom"/>
          </w:tcPr>
          <w:p>
            <w:pPr>
              <w:spacing w:after="0"/>
              <w:rPr>
                <w:sz w:val="18"/>
                <w:szCs w:val="18"/>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144,316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 term debt, net of transaction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99,730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Excess tax (provision) benefit from stock-based awards</w:t>
            </w:r>
          </w:p>
        </w:tc>
        <w:tc>
          <w:tcPr>
            <w:tcW w:w="10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11,334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capital leases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121,622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280,285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126,647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(68,728)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143,640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260,242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116,602</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191,514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260,242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116,602</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6,090</w:t>
            </w:r>
          </w:p>
        </w:tc>
        <w:tc>
          <w:tcPr>
            <w:tcW w:w="2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2,713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items: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 of warrant liability to additional paid-in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103,885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lead product,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500mg/dL) hypertriglyceridemia. The Company refers to this approved indication for Vascepa as the MARINE indication. The Company began marketing and selling Vascepa in the United States in January 2013. Vascepa is available in the United States by prescription only. The Company markets Vascepa through its sales force of approximately 150 sales professionals, including sales representatives and their managers.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40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500mg/dL), commonly known as very high triglyceride levels. According to </w:t>
      </w:r>
      <w:r>
        <w:rPr>
          <w:rFonts w:ascii="Arial" w:cs="Arial" w:eastAsia="Arial" w:hAnsi="Arial"/>
          <w:sz w:val="16"/>
          <w:szCs w:val="16"/>
          <w:i w:val="1"/>
          <w:iCs w:val="1"/>
          <w:color w:val="auto"/>
        </w:rPr>
        <w:t>The American Heart Association Scientific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on Triglycerides and Cardiovascular Disease </w:t>
      </w:r>
      <w:r>
        <w:rPr>
          <w:rFonts w:ascii="Arial" w:cs="Arial" w:eastAsia="Arial" w:hAnsi="Arial"/>
          <w:sz w:val="16"/>
          <w:szCs w:val="16"/>
          <w:color w:val="auto"/>
        </w:rPr>
        <w:t>(2011), triglycerides also provide important information as a marker associated with the risk for heart</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1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potential efficacy and safety of Vascepa (known in its development stage as AMR 101) was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w:t>
      </w:r>
    </w:p>
    <w:p>
      <w:pPr>
        <w:spacing w:after="0"/>
        <w:rPr>
          <w:sz w:val="20"/>
          <w:szCs w:val="20"/>
          <w:color w:val="auto"/>
        </w:rPr>
      </w:pPr>
      <w:r>
        <w:rPr>
          <w:rFonts w:ascii="Arial" w:cs="Arial" w:eastAsia="Arial" w:hAnsi="Arial"/>
          <w:sz w:val="18"/>
          <w:szCs w:val="18"/>
          <w:color w:val="auto"/>
        </w:rPr>
        <w:t>(2.3% for Vascepa vs. 1.0% for placebo).</w:t>
      </w:r>
    </w:p>
    <w:p>
      <w:pPr>
        <w:spacing w:after="0" w:line="16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 is also developing Vascepa for the treatment of patients with high (TG ³ 200 mg/dL and &lt;500 mg/dL) triglyceride levels who are also on statin therapy for elevated low-density lipoprotein cholesterol, or LDL-C, levels which the Company refers to as mixed dyslipidemia. The Company refers to this second proposed indication for Vascepa as the ANCHOR indication. The FDA has stated that it views the proposed ANCHOR indication as ostensibly and impliedly an indication to reduce cardiovascular risk. In addition, in December 2011, Amarin announced commencement of patient dosing in a cardiovascular outcomes study of Vascepa, titled REDUCE-IT (Reduction of Cardiovascular Events with EPA—Intervention Trial). The REDUCE-IT study is designed to evaluate the efficacy of Vascepa in reducing major cardiovascular events in a high risk patient population on statin therapy.</w:t>
      </w:r>
    </w:p>
    <w:p>
      <w:pPr>
        <w:spacing w:after="0" w:line="12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has a pending supplemental new drug application, or sNDA, with the FDA that seeks marketing approval of Vascepa for use in the ANCHOR indication. On October 16, 2013, the FDA convened an advisory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committee to review the sNDA. This advisory committee was not asked by the FDA to evaluate whether Vascepa is effective in lowering triglycerides in the studied population, the ANCHOR indication as specified in the sNDA. Rather, the advisory committee was asked whether Vascepa has been demonstrated to improve cardiovascular outcomes or whether approval of the ANCHOR indication should wait for successful completion of the REDUCE-IT study, the first prospective study of cardiovascular outcomes in patients who have high triglyceride levels despite statin therapy. The advisory committee voted 9 to 2 against recommending approval of the ANCHOR indication based on information presented at the meeting. The FDA considers the recommendation of advisory committee, but final decisions on the approval of new drug applications are made by the FDA. On October 22, 2013, in an effort to reduce operating expenses following the recommendation of the advisory committee, the Company implemented a worldwide reduction in force of approximately 50% of its staff positions (See Note 15 – Restructuring).</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ANCHOR trial clinical study was conducted under a special protocol assessment, or SPA, agreement with the FDA. The law governing SPA agreements requires that if the results of the trial conducted under the SPA substantiate the hypothesis of the protocol covered by the SPA, the FDA must use the data from the protocol as part of the primary basis for approval of the product. A SPA agreement is not a guarantee of FDA approval of the related new drug application. A SPA agreement is generally binding upon the FDA, except in limited circumstances, such as if the FDA identifies a substantial scientific issue essential to determining safety or efficacy of the drug after the study begins that rises to the level of a public health concern, or if the study sponsor fails to follow the protocol that was agreed upon with the FDA. On October 29, 2013, the FDA rescinded the ANCHOR study SPA agreement because the FDA determined that a substantial scientific issue essential to determining the effectiveness of Vascepa in the studied population was identified after testing began. As a basis for this determination, the FDA communicated that it determined that the cumulative results from outcome studies of other triglyceride-lowering drugs failed to support the hypothesis that a triglyceride-lowering drug significantly reduces the risk for cardiovascular events among the population studied in the ANCHOR trial. Thus, the FDA stated that while information the Company submitted supports testing the hypothesis that Vascepa 4 grams/day versus placebo reduces major adverse cardiovascular events in statin-treated subjects with residually high triglyceride levels, as is being studied in the Vascepa REDUCE-IT cardiovascular outcomes study, the FDA no longer considers a change in serum triglyceride levels as sufficient to establish the effectiveness of a drug intended to reduce cardiovascular risk in subjects with serum triglyceride levels below 500 mg/dL. In November 2013, the Company submitted to the FDA a request for reconsideration of its decision to rescind the ANCHOR SPA agreement. On January 17, 2014, the Company was notified by the FDA that it does not intend to reinstate the ANCHOR SPA agreement. The Company plans to continue appealing the rescission decision to successively higher administrative levels within the FDA in accordance with FDA dispute resolution guidance.</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FDA did not take action on the ANCHOR sNDA by the Prescription Drug User Fee Act, or PDUFA, goal date for completion of FDA’s review, December 20, 2013. Instead, the FDA notified the Company on December 19, 2013 that it would first consider our appeal of the ANCHOR SPA agreement rescission. No new PDUFA goal date for the ANCHOR sNDA was established. Based on information available, the Company does not expect a determination on the ANCHOR sNDA while the Company’s appeal of the January 17, 2014 FDA decision to uphold the ANCHOR SPA rescission is pending. The Company is also continuing its efforts toward a positive determination on the pending ANCHOR sNDA. There also can be no assurance that the FDA will not communicate the results of its review of the ANCHOR sNDA prior to the timing expected.</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Based on the Company’s communications with the FDA, the Company currently expects that final positive results from the REDUCE-IT outcomes study will be required for FDA approval of Vascepa for the ANCHOR indication. There can be no assurance that the Company will be successful in its efforts to reinstate the ANCHOR SPA agreement or obtain a label expansion reflecting the ANCHOR clinical trial. Such label expansion could include FDA approval of the addition of an ANCHOR indication statement and/or the addition of the ANCHOR clinical trial data to the currently approved labeling. If the FDA does not approve the ANCHOR indication, it could have a material impact on the Company’s future results of operations and financial condition.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has evaluated subsequent events from December 31, 2013 through the date of the issuance of these consolidated financial statements. See Note 17 —Subsequent Events.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accompanying consolidated financial statements of the Company and subsidiaries are prepared in conformity with accounting principles generally accepted in the U.S. (GAAP) and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commercialization and development of Vascepa, which received approval from the FDA in 2012 and for which the Company commenced marketing and sales in 2013.</w:t>
      </w:r>
    </w:p>
    <w:p>
      <w:pPr>
        <w:spacing w:after="0" w:line="1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December 31, 2013, the Company had cash and cash equivalents of $191.5 million. The Company’s consolidated balance sheet also includes a derivative liability (see Note 7—Warrants and Warrant Derivative Liability) as well as Long term debt and Exchangeable Senior Notes (see Note 8—Debt). The derivative liability reflects the fair value of outstanding warrants to purchase shares of the Company’s common stock. The long term debt is not callable except upon a change in control. The Exchangeable Senior Notes may be redeemed on or after January 19, 2017 at the option of the holders. The Notes are exchangeable under certain circumstances into cash, American Depository Shares (ADSs), or a combination of cash and ADSs, at the Company’s election. Accordingly, the warrant derivative liability, long term debt and Exchangeable Senior Notes do not present a short term claim on the liquid assets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operations for at least the next twelve months.</w:t>
      </w:r>
    </w:p>
    <w:p>
      <w:pPr>
        <w:spacing w:after="0" w:line="246" w:lineRule="exact"/>
        <w:rPr>
          <w:sz w:val="20"/>
          <w:szCs w:val="20"/>
          <w:color w:val="auto"/>
        </w:rPr>
      </w:pPr>
    </w:p>
    <w:p>
      <w:pPr>
        <w:ind w:left="240" w:right="8680" w:hanging="232"/>
        <w:spacing w:after="0" w:line="417" w:lineRule="auto"/>
        <w:tabs>
          <w:tab w:leader="none" w:pos="392"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Accounting estimates are based on historical experience and other factors that are considered reasonable under the circumstances. Actual results could differ from those estimates.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 commenced its commercial launch in the United States in January 2013. Prior to 2013, the Company recognized no revenue from Vascepa sales. In accordance with GAAP, until the Company has the ability to reliably estimate returns of Vascepa from its Distributors, revenue will be recognized based on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resale of Vascepa for the purposes of filling patient prescriptions, and not based on sales from the Company to such Distributors. Consistent with industry practice, once the Company achieves sufficient history such that it can reliably estimate returns, the Company will recognize revenue based on sales to its Distributors. The Company currently defers Vascepa revenue recognition until the earlier of the product being resold for purposes of filling patient prescriptions; or the expiration of the right of return (twelve months after the expiration date of the product). The Company also defers the related cost of product sales and records such amounts as finished goods inventory held by others until revenue related to such product sales is recognized.</w:t>
      </w:r>
    </w:p>
    <w:p>
      <w:pPr>
        <w:spacing w:after="0" w:line="1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37"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 payment and pays fees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services, such as fees for certain data that Distributors provide to the Company. The payment terms for sales to Distributors generally include a 2% discount for payment within 30 days. Based on the Company’s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62" w:lineRule="exact"/>
        <w:rPr>
          <w:sz w:val="20"/>
          <w:szCs w:val="20"/>
          <w:color w:val="auto"/>
        </w:rPr>
      </w:pPr>
    </w:p>
    <w:p>
      <w:pPr>
        <w:ind w:left="460" w:right="20" w:firstLine="438"/>
        <w:spacing w:after="0" w:line="253"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66"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December 31, 2013, the Company had experienced a deminimus quantity of product returns. During the year ended December 31, 2013, the period in which the Company began selling Vascepa, the Company was not able to reasonably estimate product returns for all product sold to Distributors but the Company was able to reasonably estimate product returns for certain sales of Vascepa based on product used to fill patient prescriptions as determined by inventory estimated to be in the distribution channel and third party reports of prescriptions filled. In making this assessment, the Company used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being shipped to Distributors and (vi) contractual agreements intended to limit the amount of inventory maintained by the Company’s Distributors.</w:t>
      </w:r>
    </w:p>
    <w:p>
      <w:pPr>
        <w:spacing w:after="0" w:line="113" w:lineRule="exact"/>
        <w:rPr>
          <w:sz w:val="20"/>
          <w:szCs w:val="20"/>
          <w:color w:val="auto"/>
        </w:rPr>
      </w:pPr>
    </w:p>
    <w:p>
      <w:pPr>
        <w:ind w:left="460" w:right="20" w:firstLine="438"/>
        <w:spacing w:after="0" w:line="286"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its estimates regarding the portion of issued rebates that it estimates will not be redeemed. In addition, as is customary prior to the launch of new drugs, the Company provided certain of its Distributors with financial incentives to begin stocking Vascepa prior to the Company’s commercial launch of Vascepa in order to ensure that Vascepa was readily available to fill patient prescriptions upon launch. Such incentives were only offered on purchases of initial launch quantities of Vascepa stocked by Distributors in January 2013. The amount of these financial incentives was recorded by the Company as a reduction to revenues on a pro-rata basis for each of the bottles subject to such financial incentives. The Company estimates that all of these initial launch quantities stocked by its primary Distributors in January 2013 were resold by such Distributors prior to December 31, 2013.</w:t>
      </w:r>
    </w:p>
    <w:p>
      <w:pPr>
        <w:spacing w:after="0" w:line="12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summarizes activity in each of the product revenue allowance and reserve categories described above for the year ended December 31, 2013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Rebates,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Chargebacks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4"/>
              </w:rPr>
              <w:t>Trade</w:t>
            </w:r>
          </w:p>
        </w:tc>
        <w:tc>
          <w:tcPr>
            <w:tcW w:w="100" w:type="dxa"/>
            <w:vAlign w:val="bottom"/>
          </w:tcPr>
          <w:p>
            <w:pPr>
              <w:spacing w:after="0"/>
              <w:rPr>
                <w:sz w:val="12"/>
                <w:szCs w:val="12"/>
                <w:color w:val="auto"/>
              </w:rPr>
            </w:pP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and</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Product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100" w:type="dxa"/>
            <w:vAlign w:val="bottom"/>
          </w:tcPr>
          <w:p>
            <w:pPr>
              <w:spacing w:after="0"/>
              <w:rPr>
                <w:sz w:val="14"/>
                <w:szCs w:val="14"/>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2"/>
              </w:rPr>
              <w:t>Discounts</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Returns</w:t>
            </w:r>
          </w:p>
        </w:tc>
        <w:tc>
          <w:tcPr>
            <w:tcW w:w="6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Incentives</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Provision related to current period and deferred sales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4,178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4,282</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3,114</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11,646</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Credits/payments made for current period and deferred sales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(2,925)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(9,177)</w:t>
            </w:r>
          </w:p>
        </w:tc>
      </w:tr>
      <w:tr>
        <w:trPr>
          <w:trHeight w:val="222"/>
        </w:trPr>
        <w:tc>
          <w:tcPr>
            <w:tcW w:w="5080" w:type="dxa"/>
            <w:vAlign w:val="bottom"/>
          </w:tcPr>
          <w:p>
            <w:pPr>
              <w:spacing w:after="0"/>
              <w:rPr>
                <w:sz w:val="20"/>
                <w:szCs w:val="20"/>
                <w:color w:val="auto"/>
              </w:rPr>
            </w:pPr>
            <w:r>
              <w:rPr>
                <w:rFonts w:ascii="Arial" w:cs="Arial" w:eastAsia="Arial" w:hAnsi="Arial"/>
                <w:sz w:val="18"/>
                <w:szCs w:val="18"/>
                <w:b w:val="1"/>
                <w:bCs w:val="1"/>
                <w:color w:val="auto"/>
              </w:rPr>
              <w:t>Balance at December 31, 2013</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product revenue recognized and deferred during the year ended December 31, 2013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2440" w:type="dxa"/>
            <w:vAlign w:val="bottom"/>
            <w:gridSpan w:val="4"/>
          </w:tcPr>
          <w:p>
            <w:pPr>
              <w:ind w:left="1280"/>
              <w:spacing w:after="0"/>
              <w:rPr>
                <w:sz w:val="20"/>
                <w:szCs w:val="20"/>
                <w:color w:val="auto"/>
              </w:rPr>
            </w:pPr>
            <w:r>
              <w:rPr>
                <w:rFonts w:ascii="Arial" w:cs="Arial" w:eastAsia="Arial" w:hAnsi="Arial"/>
                <w:sz w:val="14"/>
                <w:szCs w:val="14"/>
                <w:b w:val="1"/>
                <w:bCs w:val="1"/>
                <w:color w:val="auto"/>
                <w:w w:val="90"/>
              </w:rPr>
              <w:t>December 31, 2012</w:t>
            </w:r>
          </w:p>
        </w:tc>
      </w:tr>
      <w:tr>
        <w:trPr>
          <w:trHeight w:val="210"/>
        </w:trPr>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 revenue recognized</w:t>
            </w:r>
          </w:p>
        </w:tc>
        <w:tc>
          <w:tcPr>
            <w:tcW w:w="1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26,351</w:t>
            </w: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35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28,054</w:t>
            </w:r>
          </w:p>
        </w:tc>
        <w:tc>
          <w:tcPr>
            <w:tcW w:w="17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conjunction with the Company’s recognition and deferral of product revenues, the Company expensed and capitalized the associated cost of goods, as follows, during the year ended December 31,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7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2480" w:type="dxa"/>
            <w:vAlign w:val="bottom"/>
            <w:gridSpan w:val="4"/>
          </w:tcPr>
          <w:p>
            <w:pPr>
              <w:ind w:left="1320"/>
              <w:spacing w:after="0"/>
              <w:rPr>
                <w:sz w:val="20"/>
                <w:szCs w:val="20"/>
                <w:color w:val="auto"/>
              </w:rPr>
            </w:pPr>
            <w:r>
              <w:rPr>
                <w:rFonts w:ascii="Arial" w:cs="Arial" w:eastAsia="Arial" w:hAnsi="Arial"/>
                <w:sz w:val="14"/>
                <w:szCs w:val="14"/>
                <w:b w:val="1"/>
                <w:bCs w:val="1"/>
                <w:color w:val="auto"/>
                <w:w w:val="90"/>
              </w:rPr>
              <w:t>December 31, 2012</w:t>
            </w: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goods sold expensed</w:t>
            </w:r>
          </w:p>
        </w:tc>
        <w:tc>
          <w:tcPr>
            <w:tcW w:w="1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17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
        </w:trPr>
        <w:tc>
          <w:tcPr>
            <w:tcW w:w="3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500" w:type="dxa"/>
            <w:vAlign w:val="bottom"/>
          </w:tcPr>
          <w:p>
            <w:pPr>
              <w:spacing w:after="0"/>
              <w:rPr>
                <w:sz w:val="24"/>
                <w:szCs w:val="24"/>
                <w:color w:val="auto"/>
              </w:rPr>
            </w:pPr>
          </w:p>
        </w:tc>
        <w:tc>
          <w:tcPr>
            <w:tcW w:w="1940" w:type="dxa"/>
            <w:vAlign w:val="bottom"/>
            <w:gridSpan w:val="2"/>
          </w:tcPr>
          <w:p>
            <w:pPr>
              <w:jc w:val="right"/>
              <w:ind w:right="863"/>
              <w:spacing w:after="0"/>
              <w:rPr>
                <w:sz w:val="20"/>
                <w:szCs w:val="20"/>
                <w:color w:val="auto"/>
              </w:rPr>
            </w:pPr>
            <w:r>
              <w:rPr>
                <w:rFonts w:ascii="Arial" w:cs="Arial" w:eastAsia="Arial" w:hAnsi="Arial"/>
                <w:sz w:val="18"/>
                <w:szCs w:val="18"/>
                <w:color w:val="auto"/>
              </w:rPr>
              <w:t>F-11</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Cash and cash equivalents consist of cash, deposits with banks and short term highly liquid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received FDA approval for Vascepa on July 26, 2012 and after that date began capitalizing inventory purchases of saleable product from approved suppliers. Until an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Useful Lives</w:t>
            </w:r>
          </w:p>
        </w:tc>
        <w:tc>
          <w:tcPr>
            <w:tcW w:w="1300" w:type="dxa"/>
            <w:vAlign w:val="bottom"/>
          </w:tcPr>
          <w:p>
            <w:pPr>
              <w:spacing w:after="0"/>
              <w:rPr>
                <w:sz w:val="14"/>
                <w:szCs w:val="14"/>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9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1300"/>
              <w:spacing w:after="0"/>
              <w:rPr>
                <w:sz w:val="20"/>
                <w:szCs w:val="20"/>
                <w:color w:val="auto"/>
              </w:rPr>
            </w:pPr>
            <w:r>
              <w:rPr>
                <w:rFonts w:ascii="Arial" w:cs="Arial" w:eastAsia="Arial" w:hAnsi="Arial"/>
                <w:sz w:val="18"/>
                <w:szCs w:val="18"/>
                <w:color w:val="auto"/>
                <w:w w:val="84"/>
              </w:rPr>
              <w:t>3 - 5 years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940" w:type="dxa"/>
            <w:vAlign w:val="bottom"/>
          </w:tcPr>
          <w:p>
            <w:pPr>
              <w:spacing w:after="0"/>
              <w:rPr>
                <w:sz w:val="18"/>
                <w:szCs w:val="18"/>
                <w:color w:val="auto"/>
              </w:rPr>
            </w:pPr>
          </w:p>
        </w:tc>
        <w:tc>
          <w:tcPr>
            <w:tcW w:w="2060" w:type="dxa"/>
            <w:vAlign w:val="bottom"/>
            <w:gridSpan w:val="2"/>
          </w:tcPr>
          <w:p>
            <w:pPr>
              <w:jc w:val="center"/>
              <w:ind w:right="1300"/>
              <w:spacing w:after="0"/>
              <w:rPr>
                <w:sz w:val="20"/>
                <w:szCs w:val="20"/>
                <w:color w:val="auto"/>
              </w:rPr>
            </w:pPr>
            <w:r>
              <w:rPr>
                <w:rFonts w:ascii="Arial" w:cs="Arial" w:eastAsia="Arial" w:hAnsi="Arial"/>
                <w:sz w:val="18"/>
                <w:szCs w:val="18"/>
                <w:color w:val="auto"/>
                <w:w w:val="88"/>
              </w:rPr>
              <w:t>5 years</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000" w:type="dxa"/>
            <w:vAlign w:val="bottom"/>
            <w:gridSpan w:val="3"/>
            <w:shd w:val="clear" w:color="auto" w:fill="CCEEFF"/>
          </w:tcPr>
          <w:p>
            <w:pPr>
              <w:jc w:val="center"/>
              <w:ind w:left="1552"/>
              <w:spacing w:after="0"/>
              <w:rPr>
                <w:sz w:val="20"/>
                <w:szCs w:val="20"/>
                <w:color w:val="auto"/>
              </w:rPr>
            </w:pPr>
            <w:r>
              <w:rPr>
                <w:rFonts w:ascii="Arial" w:cs="Arial" w:eastAsia="Arial" w:hAnsi="Arial"/>
                <w:sz w:val="18"/>
                <w:szCs w:val="18"/>
                <w:color w:val="auto"/>
                <w:w w:val="89"/>
              </w:rPr>
              <w:t>Lesser of useful life or lease term</w:t>
            </w:r>
          </w:p>
        </w:tc>
      </w:tr>
    </w:tbl>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Intangible assets consist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The Company concluded that use of the straight-line method was appropriate as the majority of cash flows are expected to be generated ratably over the estimated useful life and no degradation of the cash flows over time is currently anticipated. See Note 9—Commitments and Contingencies for further information regarding other obligations related to the acquisition of Laxdale Limited.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Deferred revenue represents product shipments to Distributors for which the Company has invoiced the Distributors but not recognized as revenue because the product was not reported to the Company as having been resold for the purpose of filling prescriptions on or before December 31, 2013.</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charges selling, general and administrative costs to operations as incurred. Selling, general and administrative costs include costs of salaries, programs and infrastructure necessary for the general conduct of the Company’s business, including the 2013 commercial launch of Vascepa in the United States for the MARINE indication. Included as part of selling, general and administrative costs is warrant related expense from non-cash changes in fair value of the derivative liability associated with warrants issued in October 2009 to former officers of Amarin which is recorded as compensation income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regularly assesses the realizability of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 term debt redemption feature is valued using a probability-weighted model incorporating management estimates for potential change in control, and by determining the fair value of the debt with and without the change in control provision included.</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At settlement date, if the instruments are settled in shares, the carrying value of the warrants are derecognized and transferred to equity at their fair value at that date. The cash proceeds received from exercises of warrants are recorded in common stock and additional paid-in capital.</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earnings per share purposes, the impact of such gains is reversed and the treasury stock method is used to determine diluted earnings per share.</w:t>
      </w:r>
    </w:p>
    <w:p>
      <w:pPr>
        <w:spacing w:after="0" w:line="1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calculation of net loss and the number of shares used to compute basic and diluted earnings per share for the years ended December 31, 2013, 2012 and 2011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loss—basic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(166,227)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(179,184)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(69,126)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Gain on warrant derivative liability</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(47,936)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loss—diluted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(214,163)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(179,184)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loss per share—basic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161,022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144,017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Warrant exercises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167,070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144,017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130,247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years ended December 31, 2013, 2012 and 2011, the following potentially dilutive securities were not included in the computation of net loss per share because the effect would be anti-dilutive: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9,330</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10,892</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11,871</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376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465</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1,702</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9,937</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21,106</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Debt instruments are initially recorded at fair value, with coupon interest and amortization of debt issuance discounts recognized in the statement of operations as interest expense each period such instruments are outstanding. If the Company issues shares to discharge the liability, the debt obligation is derecognized and common stock and additional paid-in capital are recognized on the issuance of those shares.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exchangeable notes contain a conversion option which is classified as equity. The fair value of the liability component of the debt instrument was deducted from the initial proceeds to determine the proceeds to be allocated to the conversion option. The embedded conversion option is indexed to the Company’s stock and treated as equity on the balance sheet. The conversion option is evaluated on a quarterly basis to determine if it still meets the criteria to be equity classified. The excess principal amount of the debt over the carrying value of the liability is amortized to interest expense over the term of the debt.</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December 2012 debt financing agreement contains a redemption feature triggered upon a change of control, which has been classified as an embedded derivative. The fair value of the derivative was recorded as a reduction to the fair value of the note payable. The fair value of this derivative liability is remeasured at each reporting period, with changes in fair value recognized in the statement of operations. The discount recorded to the note payable is being amortized to interest expense over the term of the note payable.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cost over the requisite service period. Equity awards granted to non-employees or for which the fair value is not determinable are marked to fair value each reporting period over the requisite service period.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96% of gross product sales for the year ended December 31, 2013 and 95% of the gross accounts receivable balance as of December 31, 2013. The Company’s largest customer accounted for 38% of gross product sales for the year ended December 31, 2013 and 41% of the gross accounts receivable balance as of December 31, 2013.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period-end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The Company periodically uses foreign exchange forward contracts to hedge against changes in exchange rates for inventory purchases denominated in foreign currency. As of December 31, 2013, there were no outstanding foreign exchange contracts.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Debt issuance costs are initially capitalized as a deferred cost and amortized to interest expense using the effective interest method over the expected term of the related debt. Unamortized debt issuance costs related to extinguishment of debt are expensed at the time the debt is extinguished and recorded in other income (expense), net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following table presents information about the Company’s assets and liabilities as of December 31, 2013 and 2012 that are measured at fair value on a recurring basis and indicates the fair value hierarchy of the valuation techniques the Company utilized to determine such fair value: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8"/>
              </w:rPr>
              <w:t>December 31, 2013</w:t>
            </w: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900" w:type="dxa"/>
            <w:vAlign w:val="bottom"/>
            <w:gridSpan w:val="4"/>
          </w:tcPr>
          <w:p>
            <w:pPr>
              <w:jc w:val="center"/>
              <w:ind w:right="400"/>
              <w:spacing w:after="0" w:line="142" w:lineRule="exact"/>
              <w:rPr>
                <w:sz w:val="20"/>
                <w:szCs w:val="20"/>
                <w:color w:val="auto"/>
              </w:rPr>
            </w:pPr>
            <w:r>
              <w:rPr>
                <w:rFonts w:ascii="Arial" w:cs="Arial" w:eastAsia="Arial" w:hAnsi="Arial"/>
                <w:sz w:val="14"/>
                <w:szCs w:val="14"/>
                <w:b w:val="1"/>
                <w:bCs w:val="1"/>
                <w:color w:val="auto"/>
                <w:w w:val="89"/>
              </w:rPr>
              <w:t>Total</w:t>
            </w:r>
          </w:p>
        </w:tc>
        <w:tc>
          <w:tcPr>
            <w:tcW w:w="90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9"/>
              </w:rPr>
              <w:t>Level 2</w:t>
            </w:r>
          </w:p>
        </w:tc>
        <w:tc>
          <w:tcPr>
            <w:tcW w:w="38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3400" w:type="dxa"/>
            <w:vAlign w:val="bottom"/>
            <w:gridSpan w:val="3"/>
          </w:tcPr>
          <w:p>
            <w:pPr>
              <w:jc w:val="center"/>
              <w:ind w:left="28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113.5</w:t>
            </w:r>
          </w:p>
        </w:tc>
        <w:tc>
          <w:tcPr>
            <w:tcW w:w="420" w:type="dxa"/>
            <w:vAlign w:val="bottom"/>
          </w:tcPr>
          <w:p>
            <w:pPr>
              <w:ind w:left="2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3400" w:type="dxa"/>
            <w:vAlign w:val="bottom"/>
            <w:gridSpan w:val="3"/>
          </w:tcPr>
          <w:p>
            <w:pPr>
              <w:jc w:val="center"/>
              <w:ind w:left="2832"/>
              <w:spacing w:after="0"/>
              <w:rPr>
                <w:sz w:val="20"/>
                <w:szCs w:val="20"/>
                <w:color w:val="auto"/>
              </w:rPr>
            </w:pPr>
            <w:r>
              <w:rPr>
                <w:rFonts w:ascii="Arial" w:cs="Arial" w:eastAsia="Arial" w:hAnsi="Arial"/>
                <w:sz w:val="18"/>
                <w:szCs w:val="18"/>
                <w:color w:val="auto"/>
              </w:rPr>
              <w:t>$  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tcPr>
          <w:p>
            <w:pPr>
              <w:ind w:left="20"/>
              <w:spacing w:after="0"/>
              <w:rPr>
                <w:sz w:val="20"/>
                <w:szCs w:val="20"/>
                <w:color w:val="auto"/>
              </w:rPr>
            </w:pPr>
            <w:r>
              <w:rPr>
                <w:rFonts w:ascii="Arial" w:cs="Arial" w:eastAsia="Arial" w:hAnsi="Arial"/>
                <w:sz w:val="18"/>
                <w:szCs w:val="18"/>
                <w:color w:val="auto"/>
              </w:rPr>
              <w:t>$ —</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$ 6.9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redemption feature</w:t>
            </w:r>
          </w:p>
        </w:tc>
        <w:tc>
          <w:tcPr>
            <w:tcW w:w="29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$ 11.1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2012</w:t>
            </w: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79"/>
              </w:rPr>
              <w:t>Level 2</w:t>
            </w:r>
          </w:p>
        </w:tc>
        <w:tc>
          <w:tcPr>
            <w:tcW w:w="38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3820" w:type="dxa"/>
            <w:vAlign w:val="bottom"/>
            <w:gridSpan w:val="5"/>
          </w:tcPr>
          <w:p>
            <w:pPr>
              <w:jc w:val="center"/>
              <w:ind w:left="2632"/>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64.1</w:t>
            </w:r>
          </w:p>
        </w:tc>
        <w:tc>
          <w:tcPr>
            <w:tcW w:w="500" w:type="dxa"/>
            <w:vAlign w:val="bottom"/>
            <w:gridSpan w:val="3"/>
          </w:tcPr>
          <w:p>
            <w:pPr>
              <w:ind w:left="80"/>
              <w:spacing w:after="0"/>
              <w:rPr>
                <w:sz w:val="20"/>
                <w:szCs w:val="20"/>
                <w:color w:val="auto"/>
              </w:rPr>
            </w:pPr>
            <w:r>
              <w:rPr>
                <w:rFonts w:ascii="Arial" w:cs="Arial" w:eastAsia="Arial" w:hAnsi="Arial"/>
                <w:sz w:val="18"/>
                <w:szCs w:val="18"/>
                <w:color w:val="auto"/>
                <w:w w:val="79"/>
              </w:rPr>
              <w:t>$ 64.1</w:t>
            </w:r>
          </w:p>
        </w:tc>
        <w:tc>
          <w:tcPr>
            <w:tcW w:w="4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3820" w:type="dxa"/>
            <w:vAlign w:val="bottom"/>
            <w:gridSpan w:val="5"/>
          </w:tcPr>
          <w:p>
            <w:pPr>
              <w:jc w:val="center"/>
              <w:ind w:left="2632"/>
              <w:spacing w:after="0"/>
              <w:rPr>
                <w:sz w:val="20"/>
                <w:szCs w:val="20"/>
                <w:color w:val="auto"/>
              </w:rPr>
            </w:pPr>
            <w:r>
              <w:rPr>
                <w:rFonts w:ascii="Arial" w:cs="Arial" w:eastAsia="Arial" w:hAnsi="Arial"/>
                <w:sz w:val="18"/>
                <w:szCs w:val="18"/>
                <w:color w:val="auto"/>
                <w:w w:val="93"/>
              </w:rPr>
              <w:t>$54.9</w:t>
            </w:r>
          </w:p>
        </w:tc>
        <w:tc>
          <w:tcPr>
            <w:tcW w:w="900" w:type="dxa"/>
            <w:vAlign w:val="bottom"/>
            <w:gridSpan w:val="4"/>
          </w:tcPr>
          <w:p>
            <w:pPr>
              <w:jc w:val="right"/>
              <w:ind w:right="500"/>
              <w:spacing w:after="0"/>
              <w:rPr>
                <w:sz w:val="20"/>
                <w:szCs w:val="20"/>
                <w:color w:val="auto"/>
              </w:rPr>
            </w:pPr>
            <w:r>
              <w:rPr>
                <w:rFonts w:ascii="Arial" w:cs="Arial" w:eastAsia="Arial" w:hAnsi="Arial"/>
                <w:sz w:val="18"/>
                <w:szCs w:val="18"/>
                <w:color w:val="auto"/>
              </w:rPr>
              <w:t>$ —</w:t>
            </w:r>
          </w:p>
        </w:tc>
        <w:tc>
          <w:tcPr>
            <w:tcW w:w="420" w:type="dxa"/>
            <w:vAlign w:val="bottom"/>
          </w:tcPr>
          <w:p>
            <w:pPr>
              <w:ind w:left="20"/>
              <w:spacing w:after="0"/>
              <w:rPr>
                <w:sz w:val="20"/>
                <w:szCs w:val="20"/>
                <w:color w:val="auto"/>
              </w:rPr>
            </w:pPr>
            <w:r>
              <w:rPr>
                <w:rFonts w:ascii="Arial" w:cs="Arial" w:eastAsia="Arial" w:hAnsi="Arial"/>
                <w:sz w:val="18"/>
                <w:szCs w:val="18"/>
                <w:color w:val="auto"/>
              </w:rPr>
              <w:t>$ —</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w w:val="79"/>
              </w:rPr>
              <w:t>$ 54.9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redemption feature</w:t>
            </w:r>
          </w:p>
        </w:tc>
        <w:tc>
          <w:tcPr>
            <w:tcW w:w="3820" w:type="dxa"/>
            <w:vAlign w:val="bottom"/>
            <w:gridSpan w:val="5"/>
            <w:shd w:val="clear" w:color="auto" w:fill="CCEEFF"/>
          </w:tcPr>
          <w:p>
            <w:pPr>
              <w:jc w:val="center"/>
              <w:ind w:left="2632"/>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14.6</w:t>
            </w:r>
          </w:p>
        </w:tc>
        <w:tc>
          <w:tcPr>
            <w:tcW w:w="9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$ 14.6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Warrant Derivative Liability</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Company’s warrant derivative liability is carried at fair value and is classified as Level 3 in the fair value hierarchy due to the use of significant unobservable inputs. The initial fair value of the warrant derivative liability at the date of issuance in October 2009 was determined to be $48.3 million using the Black-Scholes option valuation model applying the following assumptions: (i) risk-free rate of 2.37%, (ii) remaining term of 5 years, (iii) no dividend yield, (iv) volatility of 119%, and (v) the stock price on the date of measurement.</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At December 31, 2012, the fair value of the warrant derivative liability was determined to be $54.9 million using the Black-Scholes option valuation model applying the following assumptions: (i) risk-free rate of 0.25%, (ii) remaining term of 1.8 years, (iii) no dividend yield (iv) volatility of 95%, and (v) the stock price on the date of measurement. For the year ended December 31, 2012, the $35.6 million increase in the fair value of the warrants, net of exercises, was recognized as a $35.4 million loss on change in fair value of derivative liability and $0.2 million in compensation expense for change in fair value of warrants issued to former employees within the consolidated statement of operations. As of December 31, 2013, the fair value of the warrant derivative liability was determined to be $6.9 million using the Black-Scholes option valuation applying the following assumptions: (i) risk-free rate of 0.12%, (ii) remaining term of 0.8 years, (iii) no dividend yield (iv) volatility of 99%, and (v) the stock price on the date of measurement. A $47.9 million decrease in the fair value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warrants during the year, net of exercises was recognized as a $44.2 million gain on change in fair value of derivative liability and $3.7 million in compensation income for the change in fair value of warrants issued to former employees within the consolidated statement of operations for the year ended December 31, 2013.</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fair value of this warrant liability is therefore sensitive to changes in the market price and volatility of our common stock among other factors. In the event of a hypothetical 10% increase in the market price of the Company’s common shares ($2.17 based on the $1.97 market price of the Company’s stock at December 31, 2013) on which the December 31, 2013 valuation was based, the value of the derivative liability would have increased by $1.3 million. Such increase would have been reflected as a loss on change in fair value of derivatives and as an increase in warrant compensation expense in our statement of operations. Significant increases (decreases) in this input in isolation would result in a significantly higher (lower) fair value measurement.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 Term Debt Redemption Feature</w:t>
      </w:r>
    </w:p>
    <w:p>
      <w:pPr>
        <w:spacing w:after="0" w:line="90"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The Company’s December 2012 financing agreement contains a redemption feature whereby,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December 31, 2012, the debt was valued by comparing debt issues of similar companies with</w:t>
      </w:r>
    </w:p>
    <w:p>
      <w:pPr>
        <w:spacing w:after="0" w:line="5" w:lineRule="exact"/>
        <w:rPr>
          <w:sz w:val="20"/>
          <w:szCs w:val="20"/>
          <w:color w:val="auto"/>
        </w:rPr>
      </w:pPr>
    </w:p>
    <w:p>
      <w:pPr>
        <w:jc w:val="both"/>
        <w:ind w:right="80" w:firstLine="8"/>
        <w:spacing w:after="0" w:line="300" w:lineRule="auto"/>
        <w:tabs>
          <w:tab w:leader="none" w:pos="21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terms of between 4.8 and 8.0 years, (ii) coupon rates of between 3.0% and 11.5% and (iii) market yields of between 10.7% and 27.7%. The initial fair value of the derivative liability at the date of issuance in December 2012 was determined to be $14.6 million and the Company recognized a $0.02 million gain on change in fair value of derivative liability at December 31, 2012. As of December 31, 2013, the debt was valued by comparing debt issues of similar companies with</w:t>
      </w:r>
    </w:p>
    <w:p>
      <w:pPr>
        <w:spacing w:after="0" w:line="1" w:lineRule="exact"/>
        <w:rPr>
          <w:rFonts w:ascii="Arial" w:cs="Arial" w:eastAsia="Arial" w:hAnsi="Arial"/>
          <w:sz w:val="15"/>
          <w:szCs w:val="15"/>
          <w:color w:val="auto"/>
        </w:rPr>
      </w:pPr>
    </w:p>
    <w:p>
      <w:pPr>
        <w:ind w:right="340" w:firstLine="8"/>
        <w:spacing w:after="0" w:line="255" w:lineRule="auto"/>
        <w:tabs>
          <w:tab w:leader="none" w:pos="2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terms of between 3.3 and 6.6 years, (ii) coupon rates of between 9.9% and 12.5% and (iii) market yields of between 9.0% and 29.4%. The fair value of the derivative liability at December 31, 2013 was determined to be $11.1 million and the Company recognized a $3.5 million gain on change in fair value of derivative liability during the year ended December 31, 2013.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financial instruments is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October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Redemption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Warrants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Feature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123,125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123,125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60" w:type="dxa"/>
            <w:vAlign w:val="bottom"/>
          </w:tcPr>
          <w:p>
            <w:pPr>
              <w:spacing w:after="0"/>
              <w:rPr>
                <w:sz w:val="20"/>
                <w:szCs w:val="20"/>
                <w:color w:val="auto"/>
              </w:rPr>
            </w:pPr>
            <w:r>
              <w:rPr>
                <w:rFonts w:ascii="Arial" w:cs="Arial" w:eastAsia="Arial" w:hAnsi="Arial"/>
                <w:sz w:val="18"/>
                <w:szCs w:val="18"/>
                <w:color w:val="auto"/>
              </w:rPr>
              <w:t>Initial measurement—December 2012 financing</w:t>
            </w:r>
          </w:p>
        </w:tc>
        <w:tc>
          <w:tcPr>
            <w:tcW w:w="8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14,600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18"/>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derivative liability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35,344</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Compensation expense for change in fair value of warrants issued to former employees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Transfers to equity</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(103,885)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(103,885)</w:t>
            </w:r>
          </w:p>
        </w:tc>
        <w:tc>
          <w:tcPr>
            <w:tcW w:w="0" w:type="dxa"/>
            <w:vAlign w:val="bottom"/>
          </w:tcPr>
          <w:p>
            <w:pPr>
              <w:spacing w:after="0"/>
              <w:rPr>
                <w:sz w:val="1"/>
                <w:szCs w:val="1"/>
                <w:color w:val="auto"/>
              </w:rPr>
            </w:pPr>
          </w:p>
        </w:tc>
      </w:tr>
      <w:tr>
        <w:trPr>
          <w:trHeight w:val="330"/>
        </w:trPr>
        <w:tc>
          <w:tcPr>
            <w:tcW w:w="8060" w:type="dxa"/>
            <w:vAlign w:val="bottom"/>
          </w:tcPr>
          <w:p>
            <w:pPr>
              <w:spacing w:after="0"/>
              <w:rPr>
                <w:sz w:val="20"/>
                <w:szCs w:val="20"/>
                <w:color w:val="auto"/>
              </w:rPr>
            </w:pPr>
            <w:r>
              <w:rPr>
                <w:rFonts w:ascii="Arial" w:cs="Arial" w:eastAsia="Arial" w:hAnsi="Arial"/>
                <w:sz w:val="18"/>
                <w:szCs w:val="18"/>
                <w:b w:val="1"/>
                <w:bCs w:val="1"/>
                <w:color w:val="auto"/>
              </w:rPr>
              <w:t>Balance at December 31, 2012</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54,854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14,577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(47,710)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Compensation income for change in fair value of warrants issued to former employees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Transfers to equity</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8060" w:type="dxa"/>
            <w:vAlign w:val="bottom"/>
          </w:tcPr>
          <w:p>
            <w:pPr>
              <w:spacing w:after="0"/>
              <w:rPr>
                <w:sz w:val="20"/>
                <w:szCs w:val="20"/>
                <w:color w:val="auto"/>
              </w:rPr>
            </w:pPr>
            <w:r>
              <w:rPr>
                <w:rFonts w:ascii="Arial" w:cs="Arial" w:eastAsia="Arial" w:hAnsi="Arial"/>
                <w:sz w:val="18"/>
                <w:szCs w:val="18"/>
                <w:b w:val="1"/>
                <w:bCs w:val="1"/>
                <w:color w:val="auto"/>
              </w:rPr>
              <w:t>Balance at December 31, 2013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5540"/>
              <w:spacing w:after="0"/>
              <w:rPr>
                <w:sz w:val="20"/>
                <w:szCs w:val="20"/>
                <w:color w:val="auto"/>
              </w:rPr>
            </w:pPr>
            <w:r>
              <w:rPr>
                <w:rFonts w:ascii="Arial" w:cs="Arial" w:eastAsia="Arial" w:hAnsi="Arial"/>
                <w:sz w:val="18"/>
                <w:szCs w:val="18"/>
                <w:color w:val="auto"/>
              </w:rPr>
              <w:t>F-17</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For the years ended December 31, 2013, 2012 and 2011, the Company has reported its business as a single reporting segment. The Company’s chief decision maker, who is the President and Chief Executive Officer, regularly evaluates the Company on a consolidated basis.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July 2013, the Financial Accounting Standards Board issued an update that clarified existing guidance on the presentation of unrecognized tax benefits when various qualifying tax benefit carryforwards exist, including when the unrecognized tax benefit should be presented as a reduction to deferred tax assets or as a liability. This update is required to be adopted for all annual periods and interim reporting periods beginning after December 15, 2013, with early adoption permitted. The adoption of this pronouncement is not expected to have a material impact on the Company’s financial statements.</w:t>
      </w:r>
    </w:p>
    <w:p>
      <w:pPr>
        <w:spacing w:after="0" w:line="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new accounting pronouncements are issued and are adopted by the Company as of the specified effective date. The Company believes that the impact of other recently issued but not yet adopted accounting pronouncements will not have a material impact on its consolidated financial position, results of operations, and cash flows, or do not apply to the Company’s operations.</w:t>
      </w:r>
    </w:p>
    <w:p>
      <w:pPr>
        <w:spacing w:after="0" w:line="215"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2013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5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Remaining Useful</w:t>
            </w:r>
          </w:p>
        </w:tc>
      </w:tr>
      <w:tr>
        <w:trPr>
          <w:trHeight w:val="161"/>
        </w:trPr>
        <w:tc>
          <w:tcPr>
            <w:tcW w:w="5000" w:type="dxa"/>
            <w:vAlign w:val="bottom"/>
          </w:tcPr>
          <w:p>
            <w:pPr>
              <w:spacing w:after="0"/>
              <w:rPr>
                <w:sz w:val="14"/>
                <w:szCs w:val="14"/>
                <w:color w:val="auto"/>
              </w:rPr>
            </w:pPr>
          </w:p>
        </w:tc>
        <w:tc>
          <w:tcPr>
            <w:tcW w:w="14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78"/>
              </w:rPr>
              <w:t>Gross</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Net</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Life (years)</w:t>
            </w: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rights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11,624</w:t>
            </w: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8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10,709</w:t>
            </w:r>
          </w:p>
        </w:tc>
        <w:tc>
          <w:tcPr>
            <w:tcW w:w="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60" w:type="dxa"/>
            <w:vAlign w:val="bottom"/>
            <w:tcBorders>
              <w:top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00"/>
        <w:spacing w:after="0" w:line="370" w:lineRule="auto"/>
        <w:rPr>
          <w:sz w:val="20"/>
          <w:szCs w:val="20"/>
          <w:color w:val="auto"/>
        </w:rPr>
      </w:pPr>
      <w:r>
        <w:rPr>
          <w:rFonts w:ascii="Arial" w:cs="Arial" w:eastAsia="Arial" w:hAnsi="Arial"/>
          <w:sz w:val="15"/>
          <w:szCs w:val="15"/>
          <w:color w:val="auto"/>
        </w:rPr>
        <w:t>Amortization expense for the years ended December 31, 2013 and 2012 was $0.6 million and $0.3 million, respectively, and is included in research and development expense. Estimated future amortization expense, based upon the Company’s intangible assets as of December 31, 2013 is as follows:</w:t>
      </w:r>
    </w:p>
    <w:p>
      <w:pPr>
        <w:spacing w:after="0" w:line="99"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420" w:type="dxa"/>
            <w:vAlign w:val="bottom"/>
          </w:tcPr>
          <w:p>
            <w:pPr>
              <w:spacing w:after="0"/>
              <w:rPr>
                <w:sz w:val="15"/>
                <w:szCs w:val="15"/>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5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5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10,709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500" w:type="dxa"/>
            <w:vAlign w:val="bottom"/>
            <w:gridSpan w:val="2"/>
          </w:tcPr>
          <w:p>
            <w:pPr>
              <w:jc w:val="right"/>
              <w:ind w:right="3048"/>
              <w:spacing w:after="0"/>
              <w:rPr>
                <w:sz w:val="20"/>
                <w:szCs w:val="20"/>
                <w:color w:val="auto"/>
              </w:rPr>
            </w:pPr>
            <w:r>
              <w:rPr>
                <w:rFonts w:ascii="Arial" w:cs="Arial" w:eastAsia="Arial" w:hAnsi="Arial"/>
                <w:sz w:val="18"/>
                <w:szCs w:val="18"/>
                <w:color w:val="auto"/>
              </w:rPr>
              <w:t>F-18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from suppliers that have been qualified by the FDA. Inventories consist of the following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2440" w:type="dxa"/>
            <w:vAlign w:val="bottom"/>
            <w:gridSpan w:val="4"/>
          </w:tcPr>
          <w:p>
            <w:pPr>
              <w:ind w:left="1240"/>
              <w:spacing w:after="0"/>
              <w:rPr>
                <w:sz w:val="20"/>
                <w:szCs w:val="20"/>
                <w:color w:val="auto"/>
              </w:rPr>
            </w:pPr>
            <w:r>
              <w:rPr>
                <w:rFonts w:ascii="Arial" w:cs="Arial" w:eastAsia="Arial" w:hAnsi="Arial"/>
                <w:sz w:val="14"/>
                <w:szCs w:val="14"/>
                <w:b w:val="1"/>
                <w:bCs w:val="1"/>
                <w:color w:val="auto"/>
                <w:w w:val="93"/>
              </w:rPr>
              <w:t>December 31, 2012</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 current</w:t>
            </w:r>
          </w:p>
        </w:tc>
        <w:tc>
          <w:tcPr>
            <w:tcW w:w="1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Work in process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11,310</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Finished goods inventory held by others</w:t>
            </w: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 current</w:t>
            </w:r>
          </w:p>
        </w:tc>
        <w:tc>
          <w:tcPr>
            <w:tcW w:w="11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w:t>
            </w:r>
          </w:p>
        </w:tc>
        <w:tc>
          <w:tcPr>
            <w:tcW w:w="124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21,262</w:t>
            </w:r>
          </w:p>
        </w:tc>
        <w:tc>
          <w:tcPr>
            <w:tcW w:w="100" w:type="dxa"/>
            <w:vAlign w:val="bottom"/>
            <w:shd w:val="clear" w:color="auto" w:fill="CCEEFF"/>
          </w:tcPr>
          <w:p>
            <w:pPr>
              <w:spacing w:after="0"/>
              <w:rPr>
                <w:sz w:val="18"/>
                <w:szCs w:val="18"/>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Raw materials, long-term</w:t>
            </w:r>
          </w:p>
        </w:tc>
        <w:tc>
          <w:tcPr>
            <w:tcW w:w="1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15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During the year ended December 31, 2013, the Company wrote off $1.8 million of inventories deemed to be unrecoverable. The charge was recorded within research and development expense in the statement of operations as this supplier has yet to produce material qualified for commercial sale. In addition, $5.5 million of raw material inventory was reclassified to long-term inventory, as it is not anticipated to be sold within the next twelve months based on current estimates.</w:t>
      </w:r>
    </w:p>
    <w:p>
      <w:pPr>
        <w:spacing w:after="0" w:line="218" w:lineRule="exact"/>
        <w:rPr>
          <w:sz w:val="20"/>
          <w:szCs w:val="20"/>
          <w:color w:val="auto"/>
        </w:rPr>
      </w:pPr>
    </w:p>
    <w:p>
      <w:pPr>
        <w:ind w:left="380" w:hanging="372"/>
        <w:spacing w:after="0"/>
        <w:tabs>
          <w:tab w:leader="none" w:pos="3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1920" w:type="dxa"/>
            <w:vAlign w:val="bottom"/>
            <w:gridSpan w:val="4"/>
          </w:tcPr>
          <w:p>
            <w:pPr>
              <w:ind w:left="10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r>
      <w:tr>
        <w:trPr>
          <w:trHeight w:val="222"/>
        </w:trPr>
        <w:tc>
          <w:tcPr>
            <w:tcW w:w="58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9"/>
                <w:szCs w:val="19"/>
                <w:color w:val="auto"/>
              </w:rPr>
            </w:pP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2013, 2012, and 2011 was $0.2 million, $0.2 million and $0.1 million, respectively.</w:t>
      </w:r>
    </w:p>
    <w:p>
      <w:pPr>
        <w:spacing w:after="0" w:line="24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at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48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27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Payroll and payroll-related expenses</w:t>
            </w:r>
          </w:p>
        </w:tc>
        <w:tc>
          <w:tcPr>
            <w:tcW w:w="5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$ 2,112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$2,065</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Sales and marketing accruals</w:t>
            </w:r>
          </w:p>
        </w:tc>
        <w:tc>
          <w:tcPr>
            <w:tcW w:w="5380" w:type="dxa"/>
            <w:vAlign w:val="bottom"/>
            <w:gridSpan w:val="3"/>
          </w:tcPr>
          <w:p>
            <w:pPr>
              <w:jc w:val="right"/>
              <w:ind w:right="560"/>
              <w:spacing w:after="0"/>
              <w:rPr>
                <w:sz w:val="20"/>
                <w:szCs w:val="20"/>
                <w:color w:val="auto"/>
              </w:rPr>
            </w:pPr>
            <w:r>
              <w:rPr>
                <w:rFonts w:ascii="Arial" w:cs="Arial" w:eastAsia="Arial" w:hAnsi="Arial"/>
                <w:sz w:val="18"/>
                <w:szCs w:val="18"/>
                <w:color w:val="auto"/>
              </w:rPr>
              <w:t>4,138</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4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6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9,594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5,224</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5380" w:type="dxa"/>
            <w:vAlign w:val="bottom"/>
            <w:gridSpan w:val="3"/>
          </w:tcPr>
          <w:p>
            <w:pPr>
              <w:jc w:val="right"/>
              <w:ind w:right="4020"/>
              <w:spacing w:after="0"/>
              <w:rPr>
                <w:sz w:val="20"/>
                <w:szCs w:val="20"/>
                <w:color w:val="auto"/>
              </w:rPr>
            </w:pPr>
            <w:r>
              <w:rPr>
                <w:rFonts w:ascii="Arial" w:cs="Arial" w:eastAsia="Arial" w:hAnsi="Arial"/>
                <w:sz w:val="18"/>
                <w:szCs w:val="18"/>
                <w:color w:val="auto"/>
              </w:rPr>
              <w:t>F-19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Warrants and Warrant Derivative Liability</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Company had 9,789,776 warrants to purchase common shares outstanding at December 31, 2013 at a weighted-average exercise price of $1.44,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Issue Date</w:t>
            </w:r>
          </w:p>
        </w:tc>
        <w:tc>
          <w:tcPr>
            <w:tcW w:w="4440" w:type="dxa"/>
            <w:vAlign w:val="bottom"/>
          </w:tcPr>
          <w:p>
            <w:pPr>
              <w:spacing w:after="0"/>
              <w:rPr>
                <w:sz w:val="15"/>
                <w:szCs w:val="15"/>
                <w:color w:val="auto"/>
              </w:rPr>
            </w:pPr>
          </w:p>
        </w:tc>
        <w:tc>
          <w:tcPr>
            <w:tcW w:w="17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Exercise Price</w:t>
            </w:r>
          </w:p>
        </w:tc>
        <w:tc>
          <w:tcPr>
            <w:tcW w:w="8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Expiration Date</w:t>
            </w:r>
          </w:p>
        </w:tc>
      </w:tr>
      <w:tr>
        <w:trPr>
          <w:trHeight w:val="203"/>
        </w:trPr>
        <w:tc>
          <w:tcPr>
            <w:tcW w:w="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4/27/07</w:t>
            </w:r>
          </w:p>
        </w:tc>
        <w:tc>
          <w:tcPr>
            <w:tcW w:w="44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17,500</w:t>
            </w:r>
          </w:p>
        </w:tc>
        <w:tc>
          <w:tcPr>
            <w:tcW w:w="8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17.90</w:t>
            </w:r>
          </w:p>
        </w:tc>
        <w:tc>
          <w:tcPr>
            <w:tcW w:w="8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1/17/14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7/31/09</w:t>
            </w:r>
          </w:p>
        </w:tc>
        <w:tc>
          <w:tcPr>
            <w:tcW w:w="6220" w:type="dxa"/>
            <w:vAlign w:val="bottom"/>
            <w:gridSpan w:val="3"/>
          </w:tcPr>
          <w:p>
            <w:pPr>
              <w:jc w:val="right"/>
              <w:ind w:right="860"/>
              <w:spacing w:after="0"/>
              <w:rPr>
                <w:sz w:val="20"/>
                <w:szCs w:val="20"/>
                <w:color w:val="auto"/>
              </w:rPr>
            </w:pPr>
            <w:r>
              <w:rPr>
                <w:rFonts w:ascii="Arial" w:cs="Arial" w:eastAsia="Arial" w:hAnsi="Arial"/>
                <w:sz w:val="18"/>
                <w:szCs w:val="18"/>
                <w:color w:val="auto"/>
              </w:rPr>
              <w:t>1,684,888</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8"/>
              </w:rPr>
              <w:t>10/16/09</w:t>
            </w:r>
          </w:p>
        </w:tc>
        <w:tc>
          <w:tcPr>
            <w:tcW w:w="62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7,487,388</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10/15/14</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w w:val="88"/>
              </w:rPr>
              <w:t>10/16/09</w:t>
            </w:r>
          </w:p>
        </w:tc>
        <w:tc>
          <w:tcPr>
            <w:tcW w:w="4440" w:type="dxa"/>
            <w:vAlign w:val="bottom"/>
          </w:tcPr>
          <w:p>
            <w:pPr>
              <w:spacing w:after="0"/>
              <w:rPr>
                <w:sz w:val="18"/>
                <w:szCs w:val="18"/>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8"/>
                <w:szCs w:val="18"/>
                <w:color w:val="auto"/>
              </w:rPr>
              <w:t>600,000</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10/15/14</w:t>
            </w:r>
          </w:p>
        </w:tc>
      </w:tr>
      <w:tr>
        <w:trPr>
          <w:trHeight w:val="27"/>
        </w:trPr>
        <w:tc>
          <w:tcPr>
            <w:tcW w:w="6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9,789,776</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 derivative liability</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 of which 7.5 million are outstanding at December 31, 2013.</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conjunction with the October 2009 financing, the Company issued an additional 0.9 million warrants to three former officers of which 0.6 million are outstanding as of December 31, 2013.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liability to additional paid-in-capital.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July 2009 and April 2007 Warrants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issued several warrants in July 2009 and April 2007. As of December 31, 2013 and 2012 these warrants have been classified as equity instruments and have been included in the Company’s consolidated balance sheet within additional paid-in-capital.</w:t>
      </w:r>
    </w:p>
    <w:p>
      <w:pPr>
        <w:spacing w:after="0" w:line="207"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 term debt—December 2012 Financing</w:t>
      </w:r>
    </w:p>
    <w:p>
      <w:pPr>
        <w:spacing w:after="0" w:line="9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On December 6, 2012 the Company entered into an agreement with Biopharma Secured Debt Fund II Holdings Cayman LP (“Biopharma”). Under this agreement, the Company granted to Biopharma a security interest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future receivables associated with the Vascepa patent rights, in exchange for $100 million received at the closing of the agreement which occurred in December 2012. The Company has agreed to repay Biopharma up to $150 million of future revenue and receivables. The first repayment under the agreement of $0.8 million was paid to Biopharma in November 2013 for the fiscal quarter ended September 30, 2013. This payment was calculated based on the threshold limitation, as described below, to the otherwise scheduled quarterly repayments. Additional quarterly repayments, subject to the threshold limitation described below, are scheduled to be paid thereafter in accordance with the following schedule: $2.5 million of interest in the first quarter of 2014; $8.0 million per quarter in each of the next four quarters, $10.0 million per quarter in each of the next four quarters, $15.0 million per quarter in each of the next four quarters and a final payment of $13.0 million scheduled for payment in May 2017. All such payments reduce the remainder of the $150 million in aggregate payments to Biopharma. The quarterly repayments through the third quarter of September 2014 represent interest only. Quarterly payments do not begin to reduce the principal balance until the fourth quarter of 2014. These quarterly payments are subject to a quarterly threshold amount whereby, if a calculated threshold, based on quarterly Vascepa revenues, is not achieved, the quarterly payment payable in that quarter can at the Company’s election be reduced and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has been repaid. Under the agreement, upon a change of control, the Company would be required to pay $140 million, less any previously repaid amount, if the change of control occurs on or before December 31, 2013, or required to repay $150 million, less any previously repaid amount, if the change of control event occurs after December 31, 2013. The Company can prepay after October 1, 2013, an amount equal to $150 million less any previously repaid amount.</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The Company recognized a gain on change in fair value of derivative liability of $3.5 million and $0.02 million for the years ended December 31, 2013 and 2012, respectively.</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year ended December 31, 2013, the Company recorded $11.3 million and $2.6 million of cash and non-cash interest expense, respectively. For the year ended December 31, 2012, the Company recorded $0.1 million and $0.02 million of cash and non- cash interest expense, respectively. The Company will periodically evaluate the remaining term of the agreement and the effective interest will be reassessed each period based on the Company’s most current estimate of repayment.</w:t>
      </w:r>
    </w:p>
    <w:p>
      <w:pPr>
        <w:spacing w:after="0" w:line="14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currently estimates that its Vascepa revenue levels will not be high enough in each quarter to support repayment to Biopharma in accordance with the threshold amounts in the repayment schedule. For the quarters ended September 30 and December 31, 2013, revenues were below the contractual threshold amount such that cash payments of $0.8 million and $1.0 million were calculated for each period, respectively, reflecting the optional reduction amount as opposed to the contractual threshold payment of $2.5 million for each quarterly period. The payment of $0.8 million for the quarter ended September 30, 2013 was made in November 2013 and the payment of $1.0 million for the quarter ended December 31, 2013 is due in February 2014.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These estimates will be reevaluated each reporting period by the Company and adjusted if necessary.</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we have already made).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Exchangeable Senior Notes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(the “Notes”). The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subsidiaries. Corsicanto Limited has no assets, operations, revenues or cash flows other than those related to the issuance, administration and repayment of the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20"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The Notes have a stated interest rate of 3.5% per year, payable semiannually in arrears on January 15 and July 15 of each year beginning on July 15, 2012, and ending upon the Notes’ maturity on January 15, 2032. The Notes are subject to repurchase by the Company at the option of the holders on each of January 19, 2017, January 19, 2022, and January 19, 2027, at a price equal to 100% of the principal amount of the Notes to be repurchased, plus accrued and unpaid interest to, but excluding, the repurchase date. The Notes are exchangeable under certain circumstances into cash, ADSs, or a combination of cash and ADSs, at the Company’s election, with an initial exchange rate of 113.4752 ADSs per $1,000 principal amount of Notes. It is the Company’s current intention to settle these obligations in cash. If the Company elected physical settlement, the Notes would initially be exchangeable into 17,021,280 ADSs. Based on the closing price of the Company’s stock at December 31, 2013, the principal amount of the Notes would exceed the value of the shares if converted on that date by $116.5 million.</w:t>
      </w:r>
    </w:p>
    <w:p>
      <w:pPr>
        <w:spacing w:after="0" w:line="10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Exchange Act with both the SEC and the Trustee, and (iii) maintaining the tradability of the Notes. The Company is required to use commercially reasonable efforts to procure and maintain the listing of the Notes on the Global Exchange Market operated under the supervision of the Irish Stock Exchange (or other recognized stock exchange as defined in the Note Indenture) prior to July 15, 2012. If the Notes are not freely tradable, as a result of restrictions pursuant to U.S. securities law or the terms of the Indenture or the Notes, the Company shall pay additional interest on the Notes at the rate of</w:t>
      </w:r>
    </w:p>
    <w:p>
      <w:pPr>
        <w:spacing w:after="0" w:line="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0.50% per annum of the principal amount of Notes outstanding for each day during such period for which the Company’s failure to file has occurred and is continuing or for which the Notes are not freely tradable.</w:t>
      </w:r>
    </w:p>
    <w:p>
      <w:pPr>
        <w:spacing w:after="0" w:line="138"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Company may not redeem the Notes prior to January 19, 2017, other than in connection with certain changes in the tax law of a relevant taxing jurisdiction that results in additional amounts becoming due with respect to payments and/or deliveries on the Notes. On or after January 19, 2017 and prior to the maturity date, the Company may redeem for cash all or part of the Notes at a redemption price equal to 100% of the principal amount of the Notes to be redeemed, plus accrued and unpaid interest to, but excluding, the redemption date. There is no prepayment penalty or sinking fund provided for the Notes. If the Company undergoes a fundamental change, holders may require the Company to repurchase for cash all or part of their Notes at a repurchase price equal to 100% of the principal amount of the Notes to be repurchased, plus accrued and unpaid interest to, but excluding, the fundamental change repurchase date. The Notes are the Company’s senior unsecured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and rank senior in right of payment to the Company’s future indebtedness that is expressly subordinated in right of payment to the Notes and equal in right of payment to the Company’s future unsecured indebtedness that is not so subordinated. The Notes are effectively junior in right of payment to future secured indebtedness to the extent of the value of the assets securing such indebtedness.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Notes are exchangeable under certain circumstances. The Company calculated the fair value of the liability component of the Notes to be $126.2 million, and the excess of the principal amount of the debt over the liability component of $23.8 million was allocated to the conversion option resulting in a discount on the debt. The discount created from allocating proceeds to the conversion option is being amortized to interest expense using the effective interest method over the Notes’ estimated remaining life, which was calculated to be a period of twenty-four months. The effective interest rate of the Notes is 14.5%. As of December 31, 2013, the unamortized discount created from the allocation of the proceeds to the conversion option was $0.6 million. The conversion option will not be subsequently remeasured as long as it continues to meet the criteria for equity classification.</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Notes in proportion to the proceeds allocated to each component. The portion of the debt discount from underwriter’s discounts and offering costs allocated to the liability component is being amortized as interest expense over the estimated remaining life of the Notes of twenty-four months. As of December 31, 2013, the unamortized debt discount was $0.1 million and the carrying value of the Notes, net of the unamortized discount, was $149.3 million. During the year ended December 31, 2013, the Company recognized interest expense of $20.3 million related to the Notes, of which $12.5 million represents amortization of the debt discount created upon allocation of proceeds to the conversion option, $5.3 million represents contractual coupon interest, and $2.5 million represents the amortization of the discount from the underwriter’s discounts and offering costs. As of December 31, 2012, the unamortized debt discount was $2.6 million and the carrying value of the Notes, net of the unamortized discount, was $134.3 million. During the year ended December 31, 2012, the Company recognized interest expense of $18.0 million related to the Notes, of which $10.7 million represents amortization of the debt discount created upon allocation of proceeds to the conversion option, $5.1 million represents contractual coupon interest, and $2.2 million represents the amortization of the discount from the underwriter’s discounts and offering costs. At December 31, 2013 and 2012, the Company had accrued interest of $2.4 million, which is included in other current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the contractual interest payments due on the Notes in 2013 and 2012 of $5.3 million and $2.7 million, respectively.</w:t>
      </w:r>
    </w:p>
    <w:p>
      <w:pPr>
        <w:spacing w:after="0" w:line="246" w:lineRule="exact"/>
        <w:rPr>
          <w:sz w:val="20"/>
          <w:szCs w:val="20"/>
          <w:color w:val="auto"/>
        </w:rPr>
      </w:pPr>
    </w:p>
    <w:p>
      <w:pPr>
        <w:ind w:left="240" w:right="8500" w:hanging="232"/>
        <w:spacing w:after="0" w:line="347" w:lineRule="auto"/>
        <w:tabs>
          <w:tab w:leader="none" w:pos="39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On November 1, 2013, a purported investor of Amarin filed a putative class action lawsuit captioned </w:t>
      </w:r>
      <w:r>
        <w:rPr>
          <w:rFonts w:ascii="Arial" w:cs="Arial" w:eastAsia="Arial" w:hAnsi="Arial"/>
          <w:sz w:val="16"/>
          <w:szCs w:val="16"/>
          <w:i w:val="1"/>
          <w:iCs w:val="1"/>
          <w:color w:val="auto"/>
        </w:rPr>
        <w:t>Steven Sklar v. Amarin Corporation plc et al.</w:t>
      </w:r>
      <w:r>
        <w:rPr>
          <w:rFonts w:ascii="Arial" w:cs="Arial" w:eastAsia="Arial" w:hAnsi="Arial"/>
          <w:sz w:val="16"/>
          <w:szCs w:val="16"/>
          <w:color w:val="auto"/>
        </w:rPr>
        <w:t xml:space="preserve">, No. 13-cv-6954 (D.N.J. Nov. 1, 2013) in the U.S. District Court for the District of New Jersey. Substantially similar lawsuits, captioned </w:t>
      </w:r>
      <w:r>
        <w:rPr>
          <w:rFonts w:ascii="Arial" w:cs="Arial" w:eastAsia="Arial" w:hAnsi="Arial"/>
          <w:sz w:val="16"/>
          <w:szCs w:val="16"/>
          <w:i w:val="1"/>
          <w:iCs w:val="1"/>
          <w:color w:val="auto"/>
        </w:rPr>
        <w:t>Bove v. Amarin Corporation plc</w:t>
      </w:r>
      <w:r>
        <w:rPr>
          <w:rFonts w:ascii="Arial" w:cs="Arial" w:eastAsia="Arial" w:hAnsi="Arial"/>
          <w:sz w:val="16"/>
          <w:szCs w:val="16"/>
          <w:color w:val="auto"/>
        </w:rPr>
        <w:t xml:space="preserve">, Civ. No. 13-07882 (AT) (S.D.N.Y. Nov. 5, 2013), </w:t>
      </w:r>
      <w:r>
        <w:rPr>
          <w:rFonts w:ascii="Arial" w:cs="Arial" w:eastAsia="Arial" w:hAnsi="Arial"/>
          <w:sz w:val="16"/>
          <w:szCs w:val="16"/>
          <w:i w:val="1"/>
          <w:iCs w:val="1"/>
          <w:color w:val="auto"/>
        </w:rPr>
        <w:t>Bentley v. Amarin Corporation plc</w:t>
      </w:r>
      <w:r>
        <w:rPr>
          <w:rFonts w:ascii="Arial" w:cs="Arial" w:eastAsia="Arial" w:hAnsi="Arial"/>
          <w:sz w:val="16"/>
          <w:szCs w:val="16"/>
          <w:color w:val="auto"/>
        </w:rPr>
        <w:t xml:space="preserve">, Civ. No. 13-08283 (AT) (S.D.N.Y. Nov. 20, 2013) and </w:t>
      </w:r>
      <w:r>
        <w:rPr>
          <w:rFonts w:ascii="Arial" w:cs="Arial" w:eastAsia="Arial" w:hAnsi="Arial"/>
          <w:sz w:val="16"/>
          <w:szCs w:val="16"/>
          <w:i w:val="1"/>
          <w:iCs w:val="1"/>
          <w:color w:val="auto"/>
        </w:rPr>
        <w:t>Siegel v. Amarin</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plc</w:t>
      </w:r>
      <w:r>
        <w:rPr>
          <w:rFonts w:ascii="Arial" w:cs="Arial" w:eastAsia="Arial" w:hAnsi="Arial"/>
          <w:sz w:val="16"/>
          <w:szCs w:val="16"/>
          <w:color w:val="auto"/>
        </w:rPr>
        <w:t>, No. 3:13-cv-07210 (D.N.J. Nov. 27, 2013), were subsequently filed in the U.S. District Court for the District of New Jersey and U.S. District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Court for the Southern District of New York. On December 9, 2013 the cases filed in the Southern District of New York were transferred to the District of New Jersey, where the four cases are now proceeding in front of the same judge pending a formal order consolidating the actions.</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of the complaints asserts claims under the Securities Exchange Act of 1934. The complaints allege that Amarin and certain of its current and former officers and directors made misstatements and omissions regarding the FDA’s willingness to approve Vascepa’s ANCHOR indication and the potential relevance of data from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ongoing REDUCE-IT trial to that approval. The putative class periods alleged in the complaints vary from the July 9, 2009-October 15, 2013 period alleged in the </w:t>
      </w:r>
      <w:r>
        <w:rPr>
          <w:rFonts w:ascii="Arial" w:cs="Arial" w:eastAsia="Arial" w:hAnsi="Arial"/>
          <w:sz w:val="18"/>
          <w:szCs w:val="18"/>
          <w:i w:val="1"/>
          <w:iCs w:val="1"/>
          <w:color w:val="auto"/>
        </w:rPr>
        <w:t xml:space="preserve">Sklar </w:t>
      </w:r>
      <w:r>
        <w:rPr>
          <w:rFonts w:ascii="Arial" w:cs="Arial" w:eastAsia="Arial" w:hAnsi="Arial"/>
          <w:sz w:val="18"/>
          <w:szCs w:val="18"/>
          <w:color w:val="auto"/>
        </w:rPr>
        <w:t>and</w:t>
      </w:r>
      <w:r>
        <w:rPr>
          <w:rFonts w:ascii="Arial" w:cs="Arial" w:eastAsia="Arial" w:hAnsi="Arial"/>
          <w:sz w:val="18"/>
          <w:szCs w:val="18"/>
          <w:i w:val="1"/>
          <w:iCs w:val="1"/>
          <w:color w:val="auto"/>
        </w:rPr>
        <w:t xml:space="preserve"> Siegel </w:t>
      </w:r>
      <w:r>
        <w:rPr>
          <w:rFonts w:ascii="Arial" w:cs="Arial" w:eastAsia="Arial" w:hAnsi="Arial"/>
          <w:sz w:val="18"/>
          <w:szCs w:val="18"/>
          <w:color w:val="auto"/>
        </w:rPr>
        <w:t>complaints, the July 9, 2009-October 16, 2013 period alleged in the</w:t>
      </w:r>
      <w:r>
        <w:rPr>
          <w:rFonts w:ascii="Arial" w:cs="Arial" w:eastAsia="Arial" w:hAnsi="Arial"/>
          <w:sz w:val="18"/>
          <w:szCs w:val="18"/>
          <w:i w:val="1"/>
          <w:iCs w:val="1"/>
          <w:color w:val="auto"/>
        </w:rPr>
        <w:t xml:space="preserve"> Bentley </w:t>
      </w:r>
      <w:r>
        <w:rPr>
          <w:rFonts w:ascii="Arial" w:cs="Arial" w:eastAsia="Arial" w:hAnsi="Arial"/>
          <w:sz w:val="18"/>
          <w:szCs w:val="18"/>
          <w:color w:val="auto"/>
        </w:rPr>
        <w:t>complaint, and August 8, 2012-October 16, 2013 period alleged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Bove</w:t>
      </w:r>
      <w:r>
        <w:rPr>
          <w:rFonts w:ascii="Arial" w:cs="Arial" w:eastAsia="Arial" w:hAnsi="Arial"/>
          <w:sz w:val="18"/>
          <w:szCs w:val="18"/>
          <w:color w:val="auto"/>
        </w:rPr>
        <w:t xml:space="preserve"> complaint. The lawsuits seek unspecified monetary damages and attorneys’ fees and costs.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January 3, 2014, ten plaintiffs and their respective counsel moved for appointment as lead plaintiff and lead counsel for the putative class. The plaintiffs also moved for consolidation of the pending actions. The motion for appointment of lead plaintiff was set for February 3, 2014, but has not yet been decided. After the Court appoints a lead plaintiff, and consolidates the actions, the Company expects that the lead plaintiff will file a consolidated amended complaint that will become the operative complaint for the action.</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believes that it has valid defenses and will vigorously defend against the claims. The Company is unable to reasonably estimate the loss exposure, if any, associated with these claims.</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to the above, in the ordinary course of business, the Company is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2013, the Company was not party to any legal or arbitration proceedings that may have, or have had in the recent past, significant effects on the Company’s financial position or profitability. No governmental proceedings are pending or, to our knowledge, contemplated against the Company. The Company is not a party to any material proceedings in which any director, member of senior management or affiliate of ours is either a party adverse to the Company or its subsidiaries or has a material interest adverse to the Company or its subsidiaries.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Leases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Company leases office space and office equipment under operating and capital leases. Future minimum lease payments under these leases as of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2013 are as follows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r>
      <w:tr>
        <w:trPr>
          <w:trHeight w:val="203"/>
        </w:trPr>
        <w:tc>
          <w:tcPr>
            <w:tcW w:w="16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6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828</w:t>
            </w:r>
          </w:p>
        </w:tc>
        <w:tc>
          <w:tcPr>
            <w:tcW w:w="7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2015</w:t>
            </w: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2017</w:t>
            </w: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3,024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Total principal obligations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Long-term capital lease</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On November 28, 2011, the Company entered into a lease agreement for 4,327 net useable square feet of office space in Groton, Connecticut. The Lease terminates on January 31, 2015, but may be extended by Amarin for a period of three years. Under the Lease, Amarin pays monthly rent of approximately $8,500.</w:t>
      </w:r>
    </w:p>
    <w:p>
      <w:pPr>
        <w:spacing w:after="0" w:line="6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 September 30, 2011, the Company entered into an agreement for 320 square feet of office space at 2 Pembroke House, Upper Pembroke Street 28-32 in Dublin, Ireland. The agreement began November 1, 2011 and terminates on October 31, 2014 and can be extended automatically for successive one year periods. Monthly rent is approximately €2,700 (approximately $3,500). The agreement can be terminated by either party with three months prior written notice.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July 1, 2011, the Company leased 9,747 square feet of office space in Bedminster, New Jersey. The lease, as amended, terminates on March 31, 2018, and may also be terminated with six months prior notice. On December 6, 2011 the Company leased an additional 2,142 square feet of space in the same location. On December 15, 2012 and May 8, 2013, the Company leased an additional 2,601 and 10,883 square feet of space, respectively, in the same location. Effective December 31, 2013, the December 6, 2011 lease was terminated.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during the years ended 2013, 2012 and 2011 was approximately $1.0 million, $0.6 million, and $0.5 million,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Lease Liability</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2005 the Company ceased using office space in Ely, Cambridgeshire. Amarin is obligated to pay rent, service charges and rates to the end of the lease, which expires in November 2014. The premises have been sublet through November 2014. In December 2013, the Company ceased using the office space in Groton, Connecticut. The Company is obligated to pay rent through the end of the lease in January 2015. Liabilities for exited lease facilities at December 31, 2013 and 2012 were $0.1 million and $17 thousand, respectively, and are included within the consolidated balance sheets under accrued expenses and other long-term liabilities.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right="180" w:hanging="325"/>
        <w:spacing w:after="0" w:line="323"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Company’s active pharmaceutical ingredient, or API, supply agreement with Nisshin Pharma, Inc. (“Nisshin”), provided for minimum supply purchase obligations on behalf of the Company to enable Amarin to maintain exclusivity with this supplier, and to prevent potential termination of the agreement based on estimated minimum purchase requirements. As of December 31, 2013, the API aggregate minimum purchase obligations under this supply agreement had been achieved and as a result, the Company has no future minimum purchase obligation from Nisshin.</w:t>
      </w:r>
    </w:p>
    <w:p>
      <w:pPr>
        <w:spacing w:after="0" w:line="16" w:lineRule="exact"/>
        <w:rPr>
          <w:rFonts w:ascii="Arial" w:cs="Arial" w:eastAsia="Arial" w:hAnsi="Arial"/>
          <w:sz w:val="15"/>
          <w:szCs w:val="15"/>
          <w:color w:val="auto"/>
        </w:rPr>
      </w:pPr>
    </w:p>
    <w:p>
      <w:pPr>
        <w:ind w:left="900" w:hanging="325"/>
        <w:spacing w:after="0" w:line="285"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2011, the Company entered into agreements with two additional suppliers, Chemport, Inc. (“Chemport”) and BASF (formerly Equateq Limited) for the supply of API materials for Vascepa. In 2012, the Company agreed to terms with a fourth API supplier, Slanmhor Pharmaceutical, Inc., or Slanmhor. These agreements include requirements for the suppliers to qualify their materials and facilities with applicable regulatory authorities including the FDA. The Company will incur certain costs associated with the qualification of product produced by these suppliers as described below. In each case, following qualification of the supplier for the manufacture of API for commercial sale, these agreements include annual purchase levels to enable Amarin to maintain exclusivity with each respective supplier, and to prevent potential termination of the agreements. Chemport and BASF were approved by the FDA to manufacture API for commercial sale in April 2013. On December 30, 2013, we issued a notice of termination of our API agreement to BASF as a result of BASF’s non-compliance with the terms of such agreement. BASF is entitled to a 60-day cure period. If the agreement is not terminated and BASF successfully completes validation of their manufacturing process for the production of Vascepa API, the Company will be subject to minimum purchase obligations. The Company has begun to purchase commercial supply from Chemport. The agreement with Chemport contains a provision requiring the Company to pay Chemport in cash for any shortfall in the minimum purchase obligations. The minimum purchase commitment was achieved in 2013. The agreement with Slanmhor contains a provision requiring the Company to pay Slanmhor in cash for any shortfall in the minimum purchase obligations, which will become effective upon the approval for manufacture by the FDA of supply from Slanmhor. The 2011 supply agreements include commitments for the Company to fund (i) development fees up to a maximum of $0.5 million (ii) material purchases of up to $5.0 million for initial raw materials, which amount will be credited against future API purchases and (iii) a raw material purchase commitment of $1.1 million. We have paid $3.1 million related to these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commitments through December 31, 2013. Under these agreements, during the year ended December 31, 2013, the Company made payments of $6.9 million and $0.1 million to Chemport and BASF, respectively. The agreement with Slanmhor provides for development fees of up to $2.3 million and a commitment of up to $15.0 million, which will be credited against future API material purchases. We have paid $6.2 million related to these commitments through December 31, 2013. The $15.0 million commitment fee is contingent upon the mutually agreed upon expansion of Slanmhor’s API manufacturing capacity. Under this agreement, during the year ended December 31, 2013, the Company made payments of $6.1 million to Slanmhor related to stability and technical batches and advances on future API purchases.</w:t>
      </w:r>
    </w:p>
    <w:p>
      <w:pPr>
        <w:spacing w:after="0" w:line="39" w:lineRule="exact"/>
        <w:rPr>
          <w:sz w:val="20"/>
          <w:szCs w:val="20"/>
          <w:color w:val="auto"/>
        </w:rPr>
      </w:pPr>
    </w:p>
    <w:p>
      <w:pPr>
        <w:ind w:left="900" w:right="40" w:hanging="325"/>
        <w:spacing w:after="0" w:line="291"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Concurrent with its entry into one of the two agreements entered into in 2011 for the supply of API materials for Vascepa, the Company agreed to make a non-controlling minority share equity investment in the supplier of up to $3.3 million. The Company invested $1.7 million under this agreement in July 2011 and the remaining $1.6 million during 2012. In September 2013, the Company entered into an equity sale and purchase agreement between this supplier and a third party in which the Company agreed to sell approximately $1.3 million of its investment in the supplier to the third party at cost. This transaction closed in the first quarter of 2014. The carrying amount of $3.3 million as of December 31, 2013 and 2012 is included in other long term assets and is accounted for under the cost method.</w:t>
      </w:r>
    </w:p>
    <w:p>
      <w:pPr>
        <w:spacing w:after="0" w:line="39" w:lineRule="exact"/>
        <w:rPr>
          <w:rFonts w:ascii="Arial" w:cs="Arial" w:eastAsia="Arial" w:hAnsi="Arial"/>
          <w:sz w:val="16"/>
          <w:szCs w:val="16"/>
          <w:color w:val="auto"/>
        </w:rPr>
      </w:pPr>
    </w:p>
    <w:p>
      <w:pPr>
        <w:ind w:left="900" w:right="80" w:hanging="325"/>
        <w:spacing w:after="0" w:line="289"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Under the 2004 share repurchase agreement with Laxdale Limited, or Laxdale, upon receipt of marketing approval in the U.S. and/or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$12.4 million at December 31, 2013) for each of the two potential marketing approvals. Upon approval of Vascepa by the FDA on July 26, 2012, the Company capitalized this first Laxdale milestone ($11.6 million on July 26, 2012) as an intangible asset. This long-term asset will be amortized over the estimated useful life of the intellectual property the Company acquired from Laxdale and the Company recognized amortization expense of $0.6 million during the year ended December 31, 2013. The Company paid $12.1 million in cash in November 2012 in settlement of this liability and recognized a currency exchange loss of $0.5 million.</w:t>
      </w:r>
    </w:p>
    <w:p>
      <w:pPr>
        <w:spacing w:after="0" w:line="37" w:lineRule="exact"/>
        <w:rPr>
          <w:sz w:val="20"/>
          <w:szCs w:val="20"/>
          <w:color w:val="auto"/>
        </w:rPr>
      </w:pPr>
    </w:p>
    <w:p>
      <w:pPr>
        <w:ind w:left="920" w:right="180"/>
        <w:spacing w:after="0" w:line="298" w:lineRule="auto"/>
        <w:rPr>
          <w:sz w:val="20"/>
          <w:szCs w:val="20"/>
          <w:color w:val="auto"/>
        </w:rPr>
      </w:pPr>
      <w:r>
        <w:rPr>
          <w:rFonts w:ascii="Arial" w:cs="Arial" w:eastAsia="Arial" w:hAnsi="Arial"/>
          <w:sz w:val="16"/>
          <w:szCs w:val="16"/>
          <w:color w:val="auto"/>
        </w:rPr>
        <w:t>Also under the Laxdale agreement,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$8.2 million at December 31, 2013) for each of the two potential market approvals (i.e. £10 million maximum, or approximately $16.5 million at December 31, 2013).</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has no provision for any of the obligations above since the amounts are either not probable or estimable at December 31, 2013.</w:t>
      </w:r>
    </w:p>
    <w:p>
      <w:pPr>
        <w:spacing w:after="0" w:line="269"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12, 2013, the Company completed a public offering of 21,700,000 ADSs. The underwriters purchased the ADSs from Amarin at a price of $5.60 per ADS, resulting in net proceeds to Amarin of approximately $121.2 million, after deducting estimated offering expenses payable by the Company. Amarin also granted the underwriters a 30-day option to purchase an additional 3,255,000 ADSs, which was not exercised. The stated use of proceeds in connection with this offering were as follows: primarily to continue the commercial launch of Vascepa capsules in the MARINE indication, prepare for and commercially launch Vascepa in the ANCHOR indication, if approved, advance the Company’s REDUCE-IT cardiovascular outcomes trial, and for general corporate and working capital purposes.</w:t>
      </w:r>
    </w:p>
    <w:p>
      <w:pPr>
        <w:spacing w:after="0" w:line="6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During the years ended December 31, 2013 and 2012, as a result of the exercise of stock options the Company issued 386,000 and 3,380,413 shares, respectively, resulting in gross and net proceeds of $0.6 million for the year ended December 31, 2013 and $8.2 million for the year ended December 31, 2012.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During the years ended December 31, 2013 and 2012, as a result of the exercise of warrants the Company issued 147,050 and 11,047,579 shares, respectively, resulting in gross and net proceeds of $0.2 million for the year ended December 31, 2013 and $16.7 million for the year ended December 31, 2012.</w:t>
      </w:r>
    </w:p>
    <w:p>
      <w:pPr>
        <w:spacing w:after="0" w:line="6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August and September of 2013, the Company granted a total of 44,000 restricted stock units (“RSUs”) to several employees under the Amarin Corporation plc 2011 Stock Incentive Plan (“2011 Plan”). These RSUs vest upon the achievement of certain operational milestones. In the year ended December 31, 2013, as a result of the operational milestones not being achieved, all of these RSU’s were forfeited and no shares were issued as a result of vesting. The Company recorded no expense during the year ended December 31, 2013 related to the vesting of these RSUs.</w:t>
      </w:r>
    </w:p>
    <w:p>
      <w:pPr>
        <w:spacing w:after="0" w:line="11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July 2013, the Company granted a total of 54,000 deferred stock units (“DSUs”) to members of the Company’s Board of Directors under the Amarin Corporation plc 2011 Stock Incentive Plan (“2011 Plan”). As of December 31, 2013, none of these DSU’s were forfeited and no shares were issued as a result of vesting. The DSU’s vest over a three year period. The DSUs will become fully vested upon a change of control of the Company. Upon termination of service to the Company, each Director shall be entitled to a payment equal to the fair market value of one share of Amarin common stock, which is required to be made in shares. The Company recorded expense during the year ended December 31, 2013 of $31 thousand related to the vesting of these DSUs.</w:t>
      </w:r>
    </w:p>
    <w:p>
      <w:pPr>
        <w:spacing w:after="0" w:line="116"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In January 2013, the Company granted 454,875 RSUs to several employees under the 2011 Plan. These RSUs vest upon the achievement of certain operational milestones. In the year ended December 31, 2013, as a result of the operational milestones not being achieved, all of these RSU’s were forfeited and no shares were issued as a result of vesting. The Company recorded no expense during the year ended December 31, 2013 related to the vesting of these RSUs.</w:t>
      </w:r>
    </w:p>
    <w:p>
      <w:pPr>
        <w:spacing w:after="0" w:line="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February 2012, the Company granted 584,400 RSUs to several employees under the 2011 Plan. As of December 31, 2013, a total of 251,818 RSUs were forfeited. These RSUs vest upon the achievement of certain regulatory and time-based milestones.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Compensation Committee in shares or a combination of cash or shares. During the years ended December 31, 2013 and 2012, the Company issued 93,048 and 97,398 shares, respectively, as a result of the vesting of these RSUs. The fair value of the RSUs was determined on the date of grant, and compensation expense related to the RSUs is recognized once the related milestone is deemed probable. During the years ended December 31, 2013 and 2012, the Company recorded expense of $0.3 million and $1.4 million, respectively, related to the vesting of these RSUs.</w:t>
      </w:r>
    </w:p>
    <w:p>
      <w:pPr>
        <w:spacing w:after="0" w:line="19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As of December 31, 2013 and 2012, interest and penalties related to any uncertain tax positions have been insignificant. The Company recognizes interest and penalties related to uncertain tax positions within the provision for income taxes. The total amount of unrecognized tax benefits that would affect the Company’s effective tax rate if recognized is $1.7 million as of December 31, 2013, as compared to $1.2 million as of December 31, 2012.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total amounts of unrecognized tax benefits for the years ended December 31, 2013, 2012 and 2011: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Beginning uncertain tax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$1,243</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Current year—increases</w:t>
            </w:r>
          </w:p>
        </w:tc>
        <w:tc>
          <w:tcPr>
            <w:tcW w:w="500" w:type="dxa"/>
            <w:vAlign w:val="bottom"/>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294</w:t>
            </w:r>
          </w:p>
        </w:tc>
        <w:tc>
          <w:tcPr>
            <w:tcW w:w="3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year—decreases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Ending uncertain tax benefits</w:t>
            </w: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1,674</w:t>
            </w:r>
          </w:p>
        </w:tc>
        <w:tc>
          <w:tcPr>
            <w:tcW w:w="22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1,243</w:t>
            </w:r>
          </w:p>
        </w:tc>
        <w:tc>
          <w:tcPr>
            <w:tcW w:w="3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files income tax returns in the U.S., Ireland and United Kingdom. The Company remains subject to tax examinations in the following jurisdictions as of December 31,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980" w:type="dxa"/>
            <w:vAlign w:val="bottom"/>
            <w:gridSpan w:val="3"/>
          </w:tcPr>
          <w:p>
            <w:pPr>
              <w:ind w:left="460"/>
              <w:spacing w:after="0"/>
              <w:rPr>
                <w:sz w:val="20"/>
                <w:szCs w:val="20"/>
                <w:color w:val="auto"/>
              </w:rPr>
            </w:pPr>
            <w:r>
              <w:rPr>
                <w:rFonts w:ascii="Arial" w:cs="Arial" w:eastAsia="Arial" w:hAnsi="Arial"/>
                <w:sz w:val="14"/>
                <w:szCs w:val="14"/>
                <w:b w:val="1"/>
                <w:bCs w:val="1"/>
                <w:color w:val="auto"/>
              </w:rPr>
              <w:t>Jurisdiction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4"/>
              </w:rPr>
              <w:t>Tax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 (Federal and State)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ind w:left="220"/>
              <w:spacing w:after="0" w:line="203" w:lineRule="exact"/>
              <w:rPr>
                <w:sz w:val="20"/>
                <w:szCs w:val="20"/>
                <w:color w:val="auto"/>
              </w:rPr>
            </w:pPr>
            <w:r>
              <w:rPr>
                <w:rFonts w:ascii="Arial" w:cs="Arial" w:eastAsia="Arial" w:hAnsi="Arial"/>
                <w:sz w:val="18"/>
                <w:szCs w:val="18"/>
                <w:color w:val="auto"/>
                <w:w w:val="88"/>
              </w:rPr>
              <w:t>2010-2013</w:t>
            </w:r>
          </w:p>
        </w:tc>
        <w:tc>
          <w:tcPr>
            <w:tcW w:w="1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6"/>
          </w:tcPr>
          <w:p>
            <w:pPr>
              <w:ind w:left="660"/>
              <w:spacing w:after="0"/>
              <w:rPr>
                <w:sz w:val="20"/>
                <w:szCs w:val="20"/>
                <w:color w:val="auto"/>
              </w:rPr>
            </w:pPr>
            <w:r>
              <w:rPr>
                <w:rFonts w:ascii="Arial" w:cs="Arial" w:eastAsia="Arial" w:hAnsi="Arial"/>
                <w:sz w:val="18"/>
                <w:szCs w:val="18"/>
                <w:color w:val="auto"/>
                <w:w w:val="88"/>
              </w:rPr>
              <w:t>2008-2013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6"/>
            <w:shd w:val="clear" w:color="auto" w:fill="CCEEFF"/>
          </w:tcPr>
          <w:p>
            <w:pPr>
              <w:ind w:left="660"/>
              <w:spacing w:after="0"/>
              <w:rPr>
                <w:sz w:val="20"/>
                <w:szCs w:val="20"/>
                <w:color w:val="auto"/>
              </w:rPr>
            </w:pPr>
            <w:r>
              <w:rPr>
                <w:rFonts w:ascii="Arial" w:cs="Arial" w:eastAsia="Arial" w:hAnsi="Arial"/>
                <w:sz w:val="18"/>
                <w:szCs w:val="18"/>
                <w:color w:val="auto"/>
                <w:w w:val="88"/>
              </w:rPr>
              <w:t>2012-2013</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6"/>
        </w:trPr>
        <w:tc>
          <w:tcPr>
            <w:tcW w:w="6720" w:type="dxa"/>
            <w:vAlign w:val="bottom"/>
            <w:gridSpan w:val="6"/>
          </w:tcPr>
          <w:p>
            <w:pPr>
              <w:spacing w:after="0"/>
              <w:rPr>
                <w:sz w:val="20"/>
                <w:szCs w:val="20"/>
                <w:color w:val="auto"/>
              </w:rPr>
            </w:pPr>
            <w:r>
              <w:rPr>
                <w:rFonts w:ascii="Arial" w:cs="Arial" w:eastAsia="Arial" w:hAnsi="Arial"/>
                <w:sz w:val="18"/>
                <w:szCs w:val="18"/>
                <w:color w:val="auto"/>
                <w:w w:val="88"/>
              </w:rPr>
              <w:t>The Company expects gross liabilities of $254,000 to expire in 2014 based on statutory lapses.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6360" w:type="dxa"/>
            <w:vAlign w:val="bottom"/>
            <w:gridSpan w:val="4"/>
          </w:tcPr>
          <w:p>
            <w:pPr>
              <w:spacing w:after="0"/>
              <w:rPr>
                <w:sz w:val="20"/>
                <w:szCs w:val="20"/>
                <w:color w:val="auto"/>
              </w:rPr>
            </w:pPr>
            <w:r>
              <w:rPr>
                <w:rFonts w:ascii="Arial" w:cs="Arial" w:eastAsia="Arial" w:hAnsi="Arial"/>
                <w:sz w:val="18"/>
                <w:szCs w:val="18"/>
                <w:color w:val="auto"/>
                <w:w w:val="91"/>
              </w:rPr>
              <w:t>The components of loss from operations before taxes were as follows at 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5"/>
          </w:tcPr>
          <w:p>
            <w:pPr>
              <w:jc w:val="right"/>
              <w:ind w:right="512"/>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Ireland and United Kingdom</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(160,187)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72"/>
              <w:spacing w:after="0"/>
              <w:rPr>
                <w:sz w:val="20"/>
                <w:szCs w:val="20"/>
                <w:color w:val="auto"/>
              </w:rPr>
            </w:pPr>
            <w:r>
              <w:rPr>
                <w:rFonts w:ascii="Arial" w:cs="Arial" w:eastAsia="Arial" w:hAnsi="Arial"/>
                <w:sz w:val="18"/>
                <w:szCs w:val="18"/>
                <w:color w:val="auto"/>
                <w:w w:val="88"/>
              </w:rPr>
              <w:t>(171,942)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(67,629)</w:t>
            </w:r>
          </w:p>
        </w:tc>
      </w:tr>
      <w:tr>
        <w:trPr>
          <w:trHeight w:val="27"/>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(169,421)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w w:val="88"/>
              </w:rPr>
              <w:t>(170,068)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(66,610)</w:t>
            </w: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(benefit) expense from income taxes shown in the accompanying consolidated statements of operations consists of the following for fiscal 2013, 2012 and 2011: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Federal-U.S.</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10,265</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$ 3,908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State-U.S.</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8"/>
                <w:szCs w:val="18"/>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12,830</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$ 5,009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Federal-U.S.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(4,065)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(2,803)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(1,936)</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State-U.S.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(911)</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16"/>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Ireland and United Kingdom</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(33,106)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(22,515)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(5,566)</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valuation allowance</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33,106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22,515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120" w:type="dxa"/>
            <w:vAlign w:val="bottom"/>
            <w:shd w:val="clear" w:color="auto" w:fill="CCEEFF"/>
          </w:tcPr>
          <w:p>
            <w:pPr>
              <w:spacing w:after="0"/>
              <w:rPr>
                <w:sz w:val="18"/>
                <w:szCs w:val="18"/>
                <w:color w:val="auto"/>
              </w:rPr>
            </w:pP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(3,434)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(3,714)</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(2,493)</w:t>
            </w:r>
          </w:p>
        </w:tc>
      </w:tr>
      <w:tr>
        <w:trPr>
          <w:trHeight w:val="28"/>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40" w:type="dxa"/>
            <w:vAlign w:val="bottom"/>
            <w:gridSpan w:val="2"/>
          </w:tcPr>
          <w:p>
            <w:pPr>
              <w:jc w:val="right"/>
              <w:ind w:right="1020"/>
              <w:spacing w:after="0"/>
              <w:rPr>
                <w:sz w:val="20"/>
                <w:szCs w:val="20"/>
                <w:color w:val="auto"/>
              </w:rPr>
            </w:pPr>
            <w:r>
              <w:rPr>
                <w:rFonts w:ascii="Arial" w:cs="Arial" w:eastAsia="Arial" w:hAnsi="Arial"/>
                <w:sz w:val="18"/>
                <w:szCs w:val="18"/>
                <w:color w:val="auto"/>
              </w:rPr>
              <w:t>F-28</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(benefit) expense from income taxes differs from the amount computed by applying the statutory income tax rate to income before taxes due to the following for fiscal 2013, 2012 and 2011: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Benefits from taxes at statutory rate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(42,355)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(42,517)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(16,652)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Rate differential</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18,494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13,249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reserves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33,106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22,515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12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Permanent &amp; other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6,809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Warrant derivative liabilities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(11,984)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2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is subject to corporate tax rate in Ireland of 25% for non-trading activities and 12.5% for trading activities. For the years ended December 31, 2013, 2012 and 2011,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effect of each type of temporary difference comprising the net deferred tax asset at December 31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Net operating losses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85,724</w:t>
            </w:r>
          </w:p>
        </w:tc>
        <w:tc>
          <w:tcPr>
            <w:tcW w:w="4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55,086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Other reserves and accrued liabilities</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101,414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64,875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(88,999)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(55,894)</w:t>
            </w: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assesses whether it is more-likely-than-not that the Company will realize its deferred tax assets. The Company determined that it was more-likely-than-not that the Irish, UK, and Israeli net operating losses and the related deferred tax assets would not be realized in future periods and a full valuation allowance has been provided for all periods.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combined Irish, UK, and Israeli net operating loss carryforwards of $528.2 million, which do not expire. In addition, the Company has available U.S. Federal tax credit carryforwards of $4.1 million and state tax credit carryforwards of $1.8 million. These carryforwards, which will expire starting between 2029 and 2032 may be used to offset future taxable income, if any.</w:t>
      </w:r>
    </w:p>
    <w:p>
      <w:pPr>
        <w:spacing w:after="0" w:line="140"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The Company recognized a tax benefit related to the extension of 2012 research and development credits into 2013 and recorded a discrete benefit of approximately $1.9 million.</w:t>
      </w:r>
    </w:p>
    <w:p>
      <w:pPr>
        <w:spacing w:after="0" w:line="207"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and Stock Based Compensation</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On April 29, 2011 the Board, upon the recommendation of the Remuneration Committee, adopted the 2011 Stock Incentive Plan (“2011 Plan”), which was approved by the Company’s shareholders on July 12, 2011.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2011 Plan replaced the Company’s 2002 Stock Option Plan (“2002 Plan”), which expired on January 1, 2012. The maximum number of the Company’s Ordinary Shares of £0.50 each or any ADS’s, as to be issued under the 2011 Plan shall not exceed the sum of (i) 3.5 million newly authorized Shares available for award and (ii) the number of Shares that remained available for grants under the Company’s 2002 Plan and (iii) the number of Shares underlying then outstanding awards under the 2002 Plan that could be subsequently forfeited, cancelled, expire or are otherwise terminated. The award of stock options (both incentive and non-qualified options) and restricted stock units, and awards of unrestricted Shares to Directors are permitted. The 2011 Plan is administered by the Remuneration Committee of our Board of Directors and expires on July 12, 2021.</w:t>
      </w:r>
    </w:p>
    <w:p>
      <w:pPr>
        <w:spacing w:after="0" w:line="12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the grants under the 2011 Plan, the Company grants nonqualified stock options to employees to purchase the Company’s ordinary shares. These grants are made pursuant to employment agreements on terms consistent with the 2011 Plan.</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terms of the 2011 Plan, and grants made pursuant to employment agreements, options typically vest over a four year period, expire after a 10 year term and are granted at an exercise price equal to the closing price of the Company’s American Depository Shares on the grant date. The following table summarizes all stock option activity for the year ended December 31, 2013: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05"/>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Weighted</w:t>
            </w:r>
          </w:p>
        </w:tc>
        <w:tc>
          <w:tcPr>
            <w:tcW w:w="14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140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tcPr>
          <w:p>
            <w:pPr>
              <w:jc w:val="right"/>
              <w:ind w:right="365"/>
              <w:spacing w:after="0" w:line="149" w:lineRule="exact"/>
              <w:rPr>
                <w:sz w:val="20"/>
                <w:szCs w:val="20"/>
                <w:color w:val="auto"/>
              </w:rPr>
            </w:pPr>
            <w:r>
              <w:rPr>
                <w:rFonts w:ascii="Arial" w:cs="Arial" w:eastAsia="Arial" w:hAnsi="Arial"/>
                <w:sz w:val="14"/>
                <w:szCs w:val="14"/>
                <w:b w:val="1"/>
                <w:bCs w:val="1"/>
                <w:color w:val="auto"/>
              </w:rPr>
              <w:t>Contractual</w:t>
            </w: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Price</w:t>
            </w:r>
          </w:p>
        </w:tc>
        <w:tc>
          <w:tcPr>
            <w:tcW w:w="1400" w:type="dxa"/>
            <w:vAlign w:val="bottom"/>
          </w:tcPr>
          <w:p>
            <w:pPr>
              <w:jc w:val="center"/>
              <w:ind w:right="105"/>
              <w:spacing w:after="0"/>
              <w:rPr>
                <w:sz w:val="20"/>
                <w:szCs w:val="20"/>
                <w:color w:val="auto"/>
              </w:rPr>
            </w:pPr>
            <w:r>
              <w:rPr>
                <w:rFonts w:ascii="Arial" w:cs="Arial" w:eastAsia="Arial" w:hAnsi="Arial"/>
                <w:sz w:val="14"/>
                <w:szCs w:val="14"/>
                <w:b w:val="1"/>
                <w:bCs w:val="1"/>
                <w:color w:val="auto"/>
                <w:w w:val="87"/>
              </w:rPr>
              <w:t>Term</w:t>
            </w:r>
          </w:p>
        </w:tc>
        <w:tc>
          <w:tcPr>
            <w:tcW w:w="18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85"/>
              </w:rPr>
              <w:t>(in thousands, except for per share amounts)</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7.49</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Cancelled/Expired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10.83</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w:t>
            </w:r>
          </w:p>
        </w:tc>
        <w:tc>
          <w:tcPr>
            <w:tcW w:w="1400" w:type="dxa"/>
            <w:vAlign w:val="bottom"/>
            <w:shd w:val="clear" w:color="auto" w:fill="CCEEFF"/>
          </w:tcPr>
          <w:p>
            <w:pPr>
              <w:jc w:val="right"/>
              <w:ind w:right="365"/>
              <w:spacing w:after="0"/>
              <w:rPr>
                <w:sz w:val="20"/>
                <w:szCs w:val="20"/>
                <w:color w:val="auto"/>
              </w:rPr>
            </w:pPr>
            <w:r>
              <w:rPr>
                <w:rFonts w:ascii="Arial" w:cs="Arial" w:eastAsia="Arial" w:hAnsi="Arial"/>
                <w:sz w:val="18"/>
                <w:szCs w:val="18"/>
                <w:color w:val="auto"/>
              </w:rPr>
              <w:t>7.4 years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2013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vMerge w:val="restart"/>
          </w:tcPr>
          <w:p>
            <w:pPr>
              <w:jc w:val="right"/>
              <w:ind w:right="365"/>
              <w:spacing w:after="0"/>
              <w:rPr>
                <w:sz w:val="20"/>
                <w:szCs w:val="20"/>
                <w:color w:val="auto"/>
              </w:rPr>
            </w:pPr>
            <w:r>
              <w:rPr>
                <w:rFonts w:ascii="Arial" w:cs="Arial" w:eastAsia="Arial" w:hAnsi="Arial"/>
                <w:sz w:val="18"/>
                <w:szCs w:val="18"/>
                <w:color w:val="auto"/>
              </w:rPr>
              <w:t>7.1 years</w:t>
            </w:r>
          </w:p>
        </w:tc>
        <w:tc>
          <w:tcPr>
            <w:tcW w:w="180" w:type="dxa"/>
            <w:vAlign w:val="bottom"/>
            <w:vMerge w:val="restart"/>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7,077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5.87</w:t>
            </w:r>
          </w:p>
        </w:tc>
        <w:tc>
          <w:tcPr>
            <w:tcW w:w="14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6.57</w:t>
            </w:r>
          </w:p>
        </w:tc>
        <w:tc>
          <w:tcPr>
            <w:tcW w:w="1400" w:type="dxa"/>
            <w:vAlign w:val="bottom"/>
            <w:shd w:val="clear" w:color="auto" w:fill="CCEEFF"/>
          </w:tcPr>
          <w:p>
            <w:pPr>
              <w:jc w:val="right"/>
              <w:ind w:right="365"/>
              <w:spacing w:after="0"/>
              <w:rPr>
                <w:sz w:val="20"/>
                <w:szCs w:val="20"/>
                <w:color w:val="auto"/>
              </w:rPr>
            </w:pPr>
            <w:r>
              <w:rPr>
                <w:rFonts w:ascii="Arial" w:cs="Arial" w:eastAsia="Arial" w:hAnsi="Arial"/>
                <w:sz w:val="18"/>
                <w:szCs w:val="18"/>
                <w:color w:val="auto"/>
              </w:rPr>
              <w:t>7.4 years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 at December 31, 2013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fair value of the stock options granted during the years ended December 31, 2013, 2012 and 2011 was $6.18, $8.79 and $8.61, respectively.</w:t>
      </w:r>
    </w:p>
    <w:p>
      <w:pPr>
        <w:spacing w:after="0" w:line="2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years ended December 31, 2013 and 2012, the Company received cash of $0.6 million and $8.3 million from the exercise of options. The intrinsic value of options exercised during 2013 was $2.4 million and $34.1 million during 2012. As of December 31, 2013 and 2012, there was $15.7 million and $41.8 million of unrecognized stock-based compensation expense related to unvested stock option share-based compensation arrangements granted under the Company’s stock award plans. This expense is expected to be recognized over a weighted-average period of approximately 2.2 years. There was $(0.4) million and $11.3 million for the years ended December 31, 2013 and 2012, respectively, reflected as a (provision) benefit within the consolidated statement of cash flows related to excess tax (provision) benefits on the U.S. federal level that have been realized as an (increase) reduction in taxes payable. The Company recognizes compensation expense for the fair values of those awards which have graded vesting on a straight line basis.</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fair value of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based on the short-cut method based 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term and vesting period. The risk-free interest rate is based on zero-coupon U.S. Treasury securities with a maturity term approximating the expected life of the option at the date of grant. No dividend yield has been assumed as the Company does not currently pay dividends on its common stock and does not anticipate doing so in the foreseeable future. Estimated forfeitures are based on the Company’s historical forfeiture activity.</w:t>
      </w:r>
    </w:p>
    <w:p>
      <w:pPr>
        <w:spacing w:after="0" w:line="107" w:lineRule="exact"/>
        <w:rPr>
          <w:sz w:val="20"/>
          <w:szCs w:val="20"/>
          <w:color w:val="auto"/>
        </w:rPr>
      </w:pPr>
    </w:p>
    <w:p>
      <w:pPr>
        <w:jc w:val="both"/>
        <w:ind w:right="340"/>
        <w:spacing w:after="0" w:line="323" w:lineRule="auto"/>
        <w:rPr>
          <w:sz w:val="20"/>
          <w:szCs w:val="20"/>
          <w:color w:val="auto"/>
        </w:rPr>
      </w:pPr>
      <w:r>
        <w:rPr>
          <w:rFonts w:ascii="Arial" w:cs="Arial" w:eastAsia="Arial" w:hAnsi="Arial"/>
          <w:sz w:val="15"/>
          <w:szCs w:val="15"/>
          <w:color w:val="auto"/>
        </w:rPr>
        <w:t>Employee stock options granted prior to June 30, 2009 generally vested over a three-year service period. Employee stock options granted after June 30, 2009 generally vest over a four-year service period and all stock options are settled by the issuance of new shares. Compensation expense recognized for all option grants is net of estimated forfeitures and is recognized over the awards’ respective requisite service periods. The Company recorded compensation expense in relation to stock options of $14.3 million, $16.7 million and $9.2 million for the years ended December 31, 2013, 2012 and 2011,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For 2013, 2012 and 2011, the Company used the following assumptions to estimate the fair value of share-based payment awards: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3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210"/>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0.91% - 2.07%</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0.81% - 1.39%</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2.03% - 2.56%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91% - 110%</w:t>
            </w:r>
          </w:p>
        </w:tc>
        <w:tc>
          <w:tcPr>
            <w:tcW w:w="3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109% - 111%</w:t>
            </w:r>
          </w:p>
        </w:tc>
        <w:tc>
          <w:tcPr>
            <w:tcW w:w="3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105% - 112%</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2011 Plan also allows for granting of restricted stock unit awards under the terms of the Plan. The majority of the restricted stock units vest upon the achievement of various performance conditions such as FDA approval. Additionally, there is a service condition tied to each performance condition achieved. The Company estimated the fair value of the restricted stock units using the market price of its common stock on the date of grant. The fair value of restricted stock units is amortized on a straight-line basis over the vesting period. The following table presents the restricted stock unit activity for the years ended December 31, 2013 and 2012.</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Weighted Average</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 Fair</w:t>
            </w: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Outstanding—as of January 1, 2013</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Granted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6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2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36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(729)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Outstanding—as of December 31, 2013</w:t>
            </w:r>
          </w:p>
        </w:tc>
        <w:tc>
          <w:tcPr>
            <w:tcW w:w="13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recorded compensation expense in relation to restricted stock units of $0.4 million, $1.4 million and zero for the years ended December 31, 2013, 2012 and 2011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stock-based compensation expense related to stock based awards for the period ended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gridSpan w:val="4"/>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11,848</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14,375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14,685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18,075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100" w:type="dxa"/>
            <w:vAlign w:val="bottom"/>
            <w:shd w:val="clear" w:color="auto" w:fill="CCEEFF"/>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00" w:type="dxa"/>
            <w:vAlign w:val="bottom"/>
            <w:gridSpan w:val="2"/>
          </w:tcPr>
          <w:p>
            <w:pPr>
              <w:jc w:val="right"/>
              <w:ind w:right="1320"/>
              <w:spacing w:after="0"/>
              <w:rPr>
                <w:sz w:val="20"/>
                <w:szCs w:val="20"/>
                <w:color w:val="auto"/>
              </w:rPr>
            </w:pPr>
            <w:r>
              <w:rPr>
                <w:rFonts w:ascii="Arial" w:cs="Arial" w:eastAsia="Arial" w:hAnsi="Arial"/>
                <w:sz w:val="18"/>
                <w:szCs w:val="18"/>
                <w:color w:val="auto"/>
              </w:rPr>
              <w:t>F-31</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makes available a 401(k) plan for its U.S. employees to which it made contributions in prior years. The Company did not make any contributions in 2013, 2012 or 2011.</w:t>
      </w:r>
    </w:p>
    <w:p>
      <w:pPr>
        <w:spacing w:after="0" w:line="207" w:lineRule="exact"/>
        <w:rPr>
          <w:sz w:val="20"/>
          <w:szCs w:val="20"/>
          <w:color w:val="auto"/>
        </w:rPr>
      </w:pPr>
    </w:p>
    <w:p>
      <w:pPr>
        <w:ind w:left="240" w:right="8840" w:hanging="232"/>
        <w:spacing w:after="0" w:line="391" w:lineRule="auto"/>
        <w:tabs>
          <w:tab w:leader="none" w:pos="48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 </w:t>
      </w:r>
      <w:r>
        <w:rPr>
          <w:rFonts w:ascii="Arial" w:cs="Arial" w:eastAsia="Arial" w:hAnsi="Arial"/>
          <w:sz w:val="16"/>
          <w:szCs w:val="16"/>
          <w:i w:val="1"/>
          <w:iCs w:val="1"/>
          <w:u w:val="single" w:color="auto"/>
          <w:color w:val="auto"/>
        </w:rPr>
        <w:t>October 2009 Private Placement</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Several of Amarin’s current and former directors and funds connected with them purchased approximately 36.0 million of its ADSs (in the form of common stock) in the October 2009 private placement, including: (i) 17 million ADSs purchased by funds managed by Abingworth LLP, where Dr. Joseph Anderson, a former Director of Amarin, is a partner; (ii) 7 million ADSs purchased by Orbimed Advisors LLC, where Dr. Carl L. Gordon, a former Director of Amarin, is a General Partner; (iii) 7 million ADSs purchased by Sofinnova Venture Partners VII, L.P., where Dr. James I. Healy, a Director of Amarin, is a Managing General Partner; and (iv) 5 million ADSs purchased by Fountain Healthcare Partners Fund 1, L.P. Fountain Healthcare Partners Ltd. is the sole General Partner of Fountain Healthcare Partners Fund 1, L.P. Dr. Manus Rogan is a Managing Partner of Fountain Healthcare Partners Ltd. and until December 2011 was a non-executive director of Amarin. In addition, for every ADS purchased, the investor received warrants to purchase 0.5 of an ADS. Of the $6.9 million warrant derivative liability at December 31, 2013, the fair value of the warrants held by the current and former directors of the Company and their related investment funds amounted to $4.5 million.</w:t>
      </w:r>
    </w:p>
    <w:p>
      <w:pPr>
        <w:spacing w:after="0" w:line="195"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part of a program to reduce costs and increase operational efficiencies, in October 2013, the Company announced a plan to streamline operations to better align its cost structure with current market conditions by reducing its global workforce by approximately 50%. In connection with this program, the Company recorded $2.8 million in charges for severance and related benefits to reduce the Company’s workforce during the quarter ended December 31, 2013, of which $0.2 million is recorded in research and development expense and $2.6 million is recorded in selling, general and administrative expense in the accompanying consolidated statement of operations. The Company does not expect to incur any additional charges related to this program subsequent to December 31, 2013 and expects to make all remaining payments in the first half of 2014.</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restructuring charges, which are included in accrued expenses and other current liabilities in the accompanying consolidated balance sheet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are summarized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1"/>
              </w:rPr>
              <w:t>Employee Severance</w:t>
            </w:r>
          </w:p>
        </w:tc>
      </w:tr>
      <w:tr>
        <w:trPr>
          <w:trHeight w:val="161"/>
        </w:trPr>
        <w:tc>
          <w:tcPr>
            <w:tcW w:w="9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and Benefits</w:t>
            </w:r>
          </w:p>
        </w:tc>
      </w:tr>
      <w:tr>
        <w:trPr>
          <w:trHeight w:val="210"/>
        </w:trPr>
        <w:tc>
          <w:tcPr>
            <w:tcW w:w="9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2013</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2,781</w:t>
            </w:r>
          </w:p>
        </w:tc>
        <w:tc>
          <w:tcPr>
            <w:tcW w:w="8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(2,646)</w:t>
            </w: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520" w:firstLine="8"/>
        <w:spacing w:after="0" w:line="347" w:lineRule="auto"/>
        <w:tabs>
          <w:tab w:leader="none" w:pos="46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Summarized Financial Information (Unaudited) </w:t>
      </w:r>
      <w:r>
        <w:rPr>
          <w:rFonts w:ascii="Arial" w:cs="Arial" w:eastAsia="Arial" w:hAnsi="Arial"/>
          <w:sz w:val="18"/>
          <w:szCs w:val="18"/>
          <w:i w:val="1"/>
          <w:iCs w:val="1"/>
          <w:u w:val="single" w:color="auto"/>
          <w:color w:val="auto"/>
        </w:rPr>
        <w:t>Immaterial Restatement</w:t>
      </w:r>
    </w:p>
    <w:p>
      <w:pPr>
        <w:spacing w:after="0" w:line="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operating results reflected net losses for each fiscal quarter during the years ended December 31, 2013 and 2012. During certain of these quarters, net loss included gains recorded on changes in the fair value of the warrant derivative liability (See Note 2). The diluted earnings per share amounts for certain quarterly periods have been restated to reflect the increase in loss per share which occurs if such gains recorded on changes in the fair value of the warrant derivative liability are excluded from the calculation of net loss. The diluted weighted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average share amounts for such quarterly periods have also been adjusted to reflect the incremental outstanding shares utilizing the treasury stock method assuming the warrants associated with the derivative liability had been exercised. For the year ended December 31, 2012, changes in the fair value of the warrant derivative liability resulted in a net loss and as a result, there was no impact of the quarterly restatements to diluted net loss per share on our consolidated financial statements for that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2"/>
          </w:tcPr>
          <w:p>
            <w:pPr>
              <w:jc w:val="right"/>
              <w:ind w:right="812"/>
              <w:spacing w:after="0"/>
              <w:rPr>
                <w:sz w:val="20"/>
                <w:szCs w:val="20"/>
                <w:color w:val="auto"/>
              </w:rPr>
            </w:pPr>
            <w:r>
              <w:rPr>
                <w:rFonts w:ascii="Arial" w:cs="Arial" w:eastAsia="Arial" w:hAnsi="Arial"/>
                <w:sz w:val="14"/>
                <w:szCs w:val="14"/>
                <w:b w:val="1"/>
                <w:bCs w:val="1"/>
                <w:color w:val="auto"/>
                <w:w w:val="92"/>
              </w:rPr>
              <w:t>Fiscal year ended December 31, 2013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1st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w w:val="88"/>
              </w:rPr>
              <w:t>2nd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3rd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5"/>
              </w:rPr>
              <w:t>4th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Quarter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Quarter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Quarter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right"/>
              <w:ind w:right="740"/>
              <w:spacing w:after="0" w:line="129" w:lineRule="exact"/>
              <w:rPr>
                <w:sz w:val="20"/>
                <w:szCs w:val="20"/>
                <w:color w:val="auto"/>
              </w:rPr>
            </w:pPr>
            <w:r>
              <w:rPr>
                <w:rFonts w:ascii="Arial" w:cs="Arial" w:eastAsia="Arial" w:hAnsi="Arial"/>
                <w:sz w:val="12"/>
                <w:szCs w:val="12"/>
                <w:b w:val="1"/>
                <w:bCs w:val="1"/>
                <w:color w:val="auto"/>
                <w:w w:val="77"/>
              </w:rPr>
              <w:t>As</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w w:val="89"/>
              </w:rPr>
              <w:t>As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As</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4"/>
                <w:szCs w:val="14"/>
                <w:b w:val="1"/>
                <w:bCs w:val="1"/>
                <w:color w:val="auto"/>
              </w:rPr>
              <w:t>As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right"/>
              <w:ind w:right="672"/>
              <w:spacing w:after="0" w:line="129" w:lineRule="exact"/>
              <w:rPr>
                <w:sz w:val="20"/>
                <w:szCs w:val="20"/>
                <w:color w:val="auto"/>
              </w:rPr>
            </w:pPr>
            <w:r>
              <w:rPr>
                <w:rFonts w:ascii="Arial" w:cs="Arial" w:eastAsia="Arial" w:hAnsi="Arial"/>
                <w:sz w:val="14"/>
                <w:szCs w:val="14"/>
                <w:b w:val="1"/>
                <w:bCs w:val="1"/>
                <w:color w:val="auto"/>
              </w:rPr>
              <w:t>As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77"/>
              </w:rPr>
              <w:t>As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480" w:type="dxa"/>
            <w:vAlign w:val="bottom"/>
            <w:gridSpan w:val="2"/>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Restated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50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Restated</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Reported</w:t>
            </w:r>
          </w:p>
        </w:tc>
        <w:tc>
          <w:tcPr>
            <w:tcW w:w="4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12"/>
          </w:tcPr>
          <w:p>
            <w:pPr>
              <w:ind w:left="60"/>
              <w:spacing w:after="0" w:line="155" w:lineRule="exact"/>
              <w:rPr>
                <w:sz w:val="20"/>
                <w:szCs w:val="20"/>
                <w:color w:val="auto"/>
              </w:rPr>
            </w:pPr>
            <w:r>
              <w:rPr>
                <w:rFonts w:ascii="Arial" w:cs="Arial" w:eastAsia="Arial" w:hAnsi="Arial"/>
                <w:sz w:val="14"/>
                <w:szCs w:val="14"/>
                <w:b w:val="1"/>
                <w:bCs w:val="1"/>
                <w:color w:val="auto"/>
              </w:rPr>
              <w:t>(In thousands, except per share amounts)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4"/>
              </w:rPr>
              <w:t>2,342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2,342</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5,500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5,500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8,403</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4"/>
          </w:tcPr>
          <w:p>
            <w:pPr>
              <w:jc w:val="right"/>
              <w:ind w:right="32"/>
              <w:spacing w:after="0"/>
              <w:rPr>
                <w:sz w:val="20"/>
                <w:szCs w:val="20"/>
                <w:color w:val="auto"/>
              </w:rPr>
            </w:pPr>
            <w:r>
              <w:rPr>
                <w:rFonts w:ascii="Arial" w:cs="Arial" w:eastAsia="Arial" w:hAnsi="Arial"/>
                <w:sz w:val="18"/>
                <w:szCs w:val="18"/>
                <w:color w:val="auto"/>
              </w:rPr>
              <w:t>(62,158)</w:t>
            </w:r>
          </w:p>
        </w:tc>
        <w:tc>
          <w:tcPr>
            <w:tcW w:w="320" w:type="dxa"/>
            <w:vAlign w:val="bottom"/>
          </w:tcPr>
          <w:p>
            <w:pPr>
              <w:spacing w:after="0"/>
              <w:rPr>
                <w:sz w:val="18"/>
                <w:szCs w:val="18"/>
                <w:color w:val="auto"/>
              </w:rPr>
            </w:pPr>
          </w:p>
        </w:tc>
        <w:tc>
          <w:tcPr>
            <w:tcW w:w="860" w:type="dxa"/>
            <w:vAlign w:val="bottom"/>
            <w:gridSpan w:val="4"/>
          </w:tcPr>
          <w:p>
            <w:pPr>
              <w:jc w:val="right"/>
              <w:ind w:right="72"/>
              <w:spacing w:after="0"/>
              <w:rPr>
                <w:sz w:val="20"/>
                <w:szCs w:val="20"/>
                <w:color w:val="auto"/>
              </w:rPr>
            </w:pPr>
            <w:r>
              <w:rPr>
                <w:rFonts w:ascii="Arial" w:cs="Arial" w:eastAsia="Arial" w:hAnsi="Arial"/>
                <w:sz w:val="18"/>
                <w:szCs w:val="18"/>
                <w:color w:val="auto"/>
              </w:rPr>
              <w:t>(62,158)</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(39,774)</w:t>
            </w:r>
          </w:p>
        </w:tc>
        <w:tc>
          <w:tcPr>
            <w:tcW w:w="400" w:type="dxa"/>
            <w:vAlign w:val="bottom"/>
          </w:tcPr>
          <w:p>
            <w:pPr>
              <w:spacing w:after="0"/>
              <w:rPr>
                <w:sz w:val="18"/>
                <w:szCs w:val="18"/>
                <w:color w:val="auto"/>
              </w:rPr>
            </w:pPr>
          </w:p>
        </w:tc>
        <w:tc>
          <w:tcPr>
            <w:tcW w:w="1080" w:type="dxa"/>
            <w:vAlign w:val="bottom"/>
            <w:gridSpan w:val="4"/>
          </w:tcPr>
          <w:p>
            <w:pPr>
              <w:jc w:val="right"/>
              <w:ind w:right="312"/>
              <w:spacing w:after="0"/>
              <w:rPr>
                <w:sz w:val="20"/>
                <w:szCs w:val="20"/>
                <w:color w:val="auto"/>
              </w:rPr>
            </w:pPr>
            <w:r>
              <w:rPr>
                <w:rFonts w:ascii="Arial" w:cs="Arial" w:eastAsia="Arial" w:hAnsi="Arial"/>
                <w:sz w:val="18"/>
                <w:szCs w:val="18"/>
                <w:color w:val="auto"/>
              </w:rPr>
              <w:t>(39,774)</w:t>
            </w:r>
          </w:p>
        </w:tc>
        <w:tc>
          <w:tcPr>
            <w:tcW w:w="1180" w:type="dxa"/>
            <w:vAlign w:val="bottom"/>
            <w:gridSpan w:val="5"/>
          </w:tcPr>
          <w:p>
            <w:pPr>
              <w:jc w:val="right"/>
              <w:ind w:right="352"/>
              <w:spacing w:after="0"/>
              <w:rPr>
                <w:sz w:val="20"/>
                <w:szCs w:val="20"/>
                <w:color w:val="auto"/>
              </w:rPr>
            </w:pPr>
            <w:r>
              <w:rPr>
                <w:rFonts w:ascii="Arial" w:cs="Arial" w:eastAsia="Arial" w:hAnsi="Arial"/>
                <w:sz w:val="18"/>
                <w:szCs w:val="18"/>
                <w:color w:val="auto"/>
              </w:rPr>
              <w:t>(48,884)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6"/>
              </w:rPr>
              <w:t>(48,884)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42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2"/>
              <w:spacing w:after="0"/>
              <w:rPr>
                <w:sz w:val="20"/>
                <w:szCs w:val="20"/>
                <w:color w:val="auto"/>
              </w:rPr>
            </w:pPr>
            <w:r>
              <w:rPr>
                <w:rFonts w:ascii="Arial" w:cs="Arial" w:eastAsia="Arial" w:hAnsi="Arial"/>
                <w:sz w:val="18"/>
                <w:szCs w:val="18"/>
                <w:color w:val="auto"/>
                <w:w w:val="93"/>
              </w:rPr>
              <w:t>(0.41)</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8"/>
                <w:szCs w:val="18"/>
                <w:color w:val="auto"/>
              </w:rPr>
              <w:t>(0.41)</w:t>
            </w: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40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(0.26)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52"/>
              <w:spacing w:after="0"/>
              <w:rPr>
                <w:sz w:val="20"/>
                <w:szCs w:val="20"/>
                <w:color w:val="auto"/>
              </w:rPr>
            </w:pPr>
            <w:r>
              <w:rPr>
                <w:rFonts w:ascii="Arial" w:cs="Arial" w:eastAsia="Arial" w:hAnsi="Arial"/>
                <w:sz w:val="18"/>
                <w:szCs w:val="18"/>
                <w:color w:val="auto"/>
              </w:rPr>
              <w:t>(0.29)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3"/>
              </w:rPr>
              <w:t>(0.41)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(0.43)</w:t>
            </w: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(0.29)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jc w:val="right"/>
              <w:ind w:right="112"/>
              <w:spacing w:after="0"/>
              <w:rPr>
                <w:sz w:val="20"/>
                <w:szCs w:val="20"/>
                <w:color w:val="auto"/>
              </w:rPr>
            </w:pPr>
            <w:r>
              <w:rPr>
                <w:rFonts w:ascii="Arial" w:cs="Arial" w:eastAsia="Arial" w:hAnsi="Arial"/>
                <w:sz w:val="14"/>
                <w:szCs w:val="14"/>
                <w:b w:val="1"/>
                <w:bCs w:val="1"/>
                <w:color w:val="auto"/>
                <w:w w:val="92"/>
              </w:rPr>
              <w:t>Fiscal year ended December 31, 2012</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w w:val="88"/>
              </w:rPr>
              <w:t>1st</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w w:val="88"/>
              </w:rPr>
              <w:t>2nd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3rd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w w:val="95"/>
              </w:rPr>
              <w:t>4th</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Quarter</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Quarter</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Quarter</w:t>
            </w: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w w:val="90"/>
              </w:rPr>
              <w:t>Quarter</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259"/>
              <w:spacing w:after="0" w:line="129" w:lineRule="exact"/>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As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72"/>
              <w:spacing w:after="0" w:line="129" w:lineRule="exact"/>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As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552"/>
              <w:spacing w:after="0" w:line="129" w:lineRule="exact"/>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center"/>
              <w:ind w:right="32"/>
              <w:spacing w:after="0" w:line="129" w:lineRule="exact"/>
              <w:rPr>
                <w:sz w:val="20"/>
                <w:szCs w:val="20"/>
                <w:color w:val="auto"/>
              </w:rPr>
            </w:pPr>
            <w:r>
              <w:rPr>
                <w:rFonts w:ascii="Arial" w:cs="Arial" w:eastAsia="Arial" w:hAnsi="Arial"/>
                <w:sz w:val="14"/>
                <w:szCs w:val="14"/>
                <w:b w:val="1"/>
                <w:bCs w:val="1"/>
                <w:color w:val="auto"/>
                <w:w w:val="77"/>
              </w:rPr>
              <w:t>As</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12"/>
              <w:spacing w:after="0" w:line="129" w:lineRule="exact"/>
              <w:rPr>
                <w:sz w:val="20"/>
                <w:szCs w:val="20"/>
                <w:color w:val="auto"/>
              </w:rPr>
            </w:pPr>
            <w:r>
              <w:rPr>
                <w:rFonts w:ascii="Arial" w:cs="Arial" w:eastAsia="Arial" w:hAnsi="Arial"/>
                <w:sz w:val="14"/>
                <w:szCs w:val="14"/>
                <w:b w:val="1"/>
                <w:bCs w:val="1"/>
                <w:color w:val="auto"/>
                <w:w w:val="89"/>
              </w:rPr>
              <w:t>As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77"/>
              </w:rPr>
              <w:t>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tcPr>
          <w:p>
            <w:pPr>
              <w:spacing w:after="0"/>
              <w:rPr>
                <w:sz w:val="14"/>
                <w:szCs w:val="14"/>
                <w:color w:val="auto"/>
              </w:rPr>
            </w:pPr>
          </w:p>
        </w:tc>
        <w:tc>
          <w:tcPr>
            <w:tcW w:w="11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Restated</w:t>
            </w:r>
          </w:p>
        </w:tc>
        <w:tc>
          <w:tcPr>
            <w:tcW w:w="120" w:type="dxa"/>
            <w:vAlign w:val="bottom"/>
          </w:tcPr>
          <w:p>
            <w:pPr>
              <w:spacing w:after="0"/>
              <w:rPr>
                <w:sz w:val="14"/>
                <w:szCs w:val="14"/>
                <w:color w:val="auto"/>
              </w:rPr>
            </w:pPr>
          </w:p>
        </w:tc>
        <w:tc>
          <w:tcPr>
            <w:tcW w:w="7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4"/>
              </w:rPr>
              <w:t>Reported</w:t>
            </w:r>
          </w:p>
        </w:tc>
        <w:tc>
          <w:tcPr>
            <w:tcW w:w="280" w:type="dxa"/>
            <w:vAlign w:val="bottom"/>
          </w:tcPr>
          <w:p>
            <w:pPr>
              <w:spacing w:after="0"/>
              <w:rPr>
                <w:sz w:val="14"/>
                <w:szCs w:val="14"/>
                <w:color w:val="auto"/>
              </w:rPr>
            </w:pPr>
          </w:p>
        </w:tc>
        <w:tc>
          <w:tcPr>
            <w:tcW w:w="11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Restated</w:t>
            </w:r>
          </w:p>
        </w:tc>
        <w:tc>
          <w:tcPr>
            <w:tcW w:w="60" w:type="dxa"/>
            <w:vAlign w:val="bottom"/>
          </w:tcPr>
          <w:p>
            <w:pPr>
              <w:spacing w:after="0"/>
              <w:rPr>
                <w:sz w:val="14"/>
                <w:szCs w:val="14"/>
                <w:color w:val="auto"/>
              </w:rPr>
            </w:pPr>
          </w:p>
        </w:tc>
        <w:tc>
          <w:tcPr>
            <w:tcW w:w="10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94"/>
              </w:rPr>
              <w:t>Reported</w:t>
            </w:r>
          </w:p>
        </w:tc>
        <w:tc>
          <w:tcPr>
            <w:tcW w:w="40" w:type="dxa"/>
            <w:vAlign w:val="bottom"/>
          </w:tcPr>
          <w:p>
            <w:pPr>
              <w:spacing w:after="0"/>
              <w:rPr>
                <w:sz w:val="14"/>
                <w:szCs w:val="14"/>
                <w:color w:val="auto"/>
              </w:rPr>
            </w:pPr>
          </w:p>
        </w:tc>
        <w:tc>
          <w:tcPr>
            <w:tcW w:w="1140" w:type="dxa"/>
            <w:vAlign w:val="bottom"/>
            <w:gridSpan w:val="4"/>
          </w:tcPr>
          <w:p>
            <w:pPr>
              <w:jc w:val="center"/>
              <w:ind w:right="332"/>
              <w:spacing w:after="0"/>
              <w:rPr>
                <w:sz w:val="20"/>
                <w:szCs w:val="20"/>
                <w:color w:val="auto"/>
              </w:rPr>
            </w:pPr>
            <w:r>
              <w:rPr>
                <w:rFonts w:ascii="Arial" w:cs="Arial" w:eastAsia="Arial" w:hAnsi="Arial"/>
                <w:sz w:val="14"/>
                <w:szCs w:val="14"/>
                <w:b w:val="1"/>
                <w:bCs w:val="1"/>
                <w:color w:val="auto"/>
                <w:w w:val="84"/>
              </w:rPr>
              <w:t>Restated</w:t>
            </w:r>
          </w:p>
        </w:tc>
        <w:tc>
          <w:tcPr>
            <w:tcW w:w="20" w:type="dxa"/>
            <w:vAlign w:val="bottom"/>
          </w:tcPr>
          <w:p>
            <w:pPr>
              <w:spacing w:after="0"/>
              <w:rPr>
                <w:sz w:val="14"/>
                <w:szCs w:val="14"/>
                <w:color w:val="auto"/>
              </w:rPr>
            </w:pPr>
          </w:p>
        </w:tc>
        <w:tc>
          <w:tcPr>
            <w:tcW w:w="74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87"/>
              </w:rPr>
              <w:t>Reported</w:t>
            </w:r>
          </w:p>
        </w:tc>
        <w:tc>
          <w:tcPr>
            <w:tcW w:w="380" w:type="dxa"/>
            <w:vAlign w:val="bottom"/>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9"/>
          </w:tcPr>
          <w:p>
            <w:pPr>
              <w:jc w:val="right"/>
              <w:spacing w:after="0" w:line="142" w:lineRule="exact"/>
              <w:rPr>
                <w:sz w:val="20"/>
                <w:szCs w:val="20"/>
                <w:color w:val="auto"/>
              </w:rPr>
            </w:pPr>
            <w:r>
              <w:rPr>
                <w:rFonts w:ascii="Arial" w:cs="Arial" w:eastAsia="Arial" w:hAnsi="Arial"/>
                <w:sz w:val="14"/>
                <w:szCs w:val="14"/>
                <w:b w:val="1"/>
                <w:bCs w:val="1"/>
                <w:color w:val="auto"/>
                <w:w w:val="87"/>
              </w:rPr>
              <w:t>(In thousands, except per share amounts)</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spacing w:after="0"/>
              <w:rPr>
                <w:sz w:val="12"/>
                <w:szCs w:val="12"/>
                <w:color w:val="auto"/>
              </w:rPr>
            </w:pPr>
          </w:p>
        </w:tc>
        <w:tc>
          <w:tcPr>
            <w:tcW w:w="560" w:type="dxa"/>
            <w:vAlign w:val="bottom"/>
            <w:gridSpan w:val="2"/>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spacing w:after="0"/>
              <w:rPr>
                <w:sz w:val="12"/>
                <w:szCs w:val="12"/>
                <w:color w:val="auto"/>
              </w:rPr>
            </w:pPr>
          </w:p>
        </w:tc>
        <w:tc>
          <w:tcPr>
            <w:tcW w:w="480" w:type="dxa"/>
            <w:vAlign w:val="bottom"/>
            <w:gridSpan w:val="2"/>
            <w:shd w:val="clear" w:color="auto" w:fill="CCEEFF"/>
          </w:tcPr>
          <w:p>
            <w:pPr>
              <w:spacing w:after="0"/>
              <w:rPr>
                <w:sz w:val="12"/>
                <w:szCs w:val="12"/>
                <w:color w:val="auto"/>
              </w:rPr>
            </w:pPr>
          </w:p>
        </w:tc>
        <w:tc>
          <w:tcPr>
            <w:tcW w:w="540" w:type="dxa"/>
            <w:vAlign w:val="bottom"/>
            <w:gridSpan w:val="2"/>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spacing w:after="0"/>
              <w:rPr>
                <w:sz w:val="12"/>
                <w:szCs w:val="12"/>
                <w:color w:val="auto"/>
              </w:rPr>
            </w:pPr>
          </w:p>
        </w:tc>
        <w:tc>
          <w:tcPr>
            <w:tcW w:w="180" w:type="dxa"/>
            <w:vAlign w:val="bottom"/>
            <w:gridSpan w:val="2"/>
            <w:shd w:val="clear" w:color="auto" w:fill="CCEEFF"/>
          </w:tcPr>
          <w:p>
            <w:pPr>
              <w:spacing w:after="0"/>
              <w:rPr>
                <w:sz w:val="12"/>
                <w:szCs w:val="12"/>
                <w:color w:val="auto"/>
              </w:rPr>
            </w:pPr>
          </w:p>
        </w:tc>
        <w:tc>
          <w:tcPr>
            <w:tcW w:w="560" w:type="dxa"/>
            <w:vAlign w:val="bottom"/>
            <w:gridSpan w:val="2"/>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spacing w:after="0"/>
              <w:rPr>
                <w:sz w:val="12"/>
                <w:szCs w:val="12"/>
                <w:color w:val="auto"/>
              </w:rPr>
            </w:pPr>
          </w:p>
        </w:tc>
        <w:tc>
          <w:tcPr>
            <w:tcW w:w="460" w:type="dxa"/>
            <w:vAlign w:val="bottom"/>
            <w:gridSpan w:val="2"/>
            <w:shd w:val="clear" w:color="auto" w:fill="CCEEFF"/>
          </w:tcPr>
          <w:p>
            <w:pPr>
              <w:spacing w:after="0"/>
              <w:rPr>
                <w:sz w:val="12"/>
                <w:szCs w:val="12"/>
                <w:color w:val="auto"/>
              </w:rPr>
            </w:pPr>
          </w:p>
        </w:tc>
        <w:tc>
          <w:tcPr>
            <w:tcW w:w="66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12"/>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(88,285)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9"/>
              </w:rPr>
              <w:t>(88,285)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(53,904)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w w:val="86"/>
              </w:rPr>
              <w:t>(53,904)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(26,426)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w w:val="89"/>
              </w:rPr>
              <w:t>(26,426)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(10,569)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Net loss per share :</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(0.38)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(0.18)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ind w:left="420"/>
              <w:spacing w:after="0"/>
              <w:rPr>
                <w:sz w:val="20"/>
                <w:szCs w:val="20"/>
                <w:color w:val="auto"/>
              </w:rPr>
            </w:pPr>
            <w:r>
              <w:rPr>
                <w:rFonts w:ascii="Arial" w:cs="Arial" w:eastAsia="Arial" w:hAnsi="Arial"/>
                <w:sz w:val="18"/>
                <w:szCs w:val="18"/>
                <w:color w:val="auto"/>
              </w:rPr>
              <w:t>Diluted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(0.65)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72"/>
              <w:spacing w:after="0"/>
              <w:rPr>
                <w:sz w:val="20"/>
                <w:szCs w:val="20"/>
                <w:color w:val="auto"/>
              </w:rPr>
            </w:pPr>
            <w:r>
              <w:rPr>
                <w:rFonts w:ascii="Arial" w:cs="Arial" w:eastAsia="Arial" w:hAnsi="Arial"/>
                <w:sz w:val="18"/>
                <w:szCs w:val="18"/>
                <w:color w:val="auto"/>
              </w:rPr>
              <w:t>(0.38)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(0.18)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312"/>
              <w:spacing w:after="0"/>
              <w:rPr>
                <w:sz w:val="20"/>
                <w:szCs w:val="20"/>
                <w:color w:val="auto"/>
              </w:rPr>
            </w:pPr>
            <w:r>
              <w:rPr>
                <w:rFonts w:ascii="Arial" w:cs="Arial" w:eastAsia="Arial" w:hAnsi="Arial"/>
                <w:sz w:val="18"/>
                <w:szCs w:val="18"/>
                <w:color w:val="auto"/>
              </w:rPr>
              <w:t>(0.28)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80" w:hanging="472"/>
        <w:spacing w:after="0"/>
        <w:tabs>
          <w:tab w:leader="none" w:pos="4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January 8, 2014, the Company granted a total of 2,082,000 RSUs and 2,605,500 stock options to employees under the 2011 Plan. The RSU’s vest annually over a three year period and the stock options vest monthly over a four year period.</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 February 21, 2014, in connection with the July 26, 2012 approval of the MARINE indication, the FDA denied a grant of New Chemical Entity (NCE) marketing exclusivity to Vascepa and granted three-year marketing exclusivity. Such three-year exclusivity extends through July 25, 2015 and can be supplemented by a 30-month stay triggered after patent infringement litigation initiated by Amarin following a valid notice to Amarin of the filing of an application to the FDA seeking approval of a generic version of Vascepa. FDA marketing exclusivity is separate from, and in addition to, patent protection, trade secrets and manufacturing barriers to entry which also help protect Vascepa against generic competition.</w:t>
      </w:r>
    </w:p>
    <w:p>
      <w:pPr>
        <w:spacing w:after="0" w:line="116"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On February 27, 2014, the Company filed a lawsuit against the FDA that challenges FDA’s denial of the Company’s request for five-year exclusivity for Vascepa based on the Company’s reading of the relevant statute and inconsistency with FDA’s past actions. The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expires, and if necessary, set aside FDA’s premature acceptance of any such application.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140" w:type="dxa"/>
            <w:vAlign w:val="bottom"/>
            <w:gridSpan w:val="3"/>
          </w:tcPr>
          <w:p>
            <w:pPr>
              <w:ind w:left="400"/>
              <w:spacing w:after="0"/>
              <w:rPr>
                <w:sz w:val="20"/>
                <w:szCs w:val="20"/>
                <w:color w:val="auto"/>
              </w:rPr>
            </w:pPr>
            <w:r>
              <w:rPr>
                <w:rFonts w:ascii="Arial" w:cs="Arial" w:eastAsia="Arial" w:hAnsi="Arial"/>
                <w:sz w:val="18"/>
                <w:szCs w:val="18"/>
                <w:b w:val="1"/>
                <w:bCs w:val="1"/>
                <w:color w:val="auto"/>
              </w:rPr>
              <w:t>Subsidiaries of the Registrant as of December 31, 2013</w:t>
            </w:r>
          </w:p>
        </w:tc>
        <w:tc>
          <w:tcPr>
            <w:tcW w:w="0" w:type="dxa"/>
            <w:vAlign w:val="bottom"/>
          </w:tcPr>
          <w:p>
            <w:pPr>
              <w:spacing w:after="0"/>
              <w:rPr>
                <w:sz w:val="1"/>
                <w:szCs w:val="1"/>
                <w:color w:val="auto"/>
              </w:rPr>
            </w:pPr>
          </w:p>
        </w:tc>
      </w:tr>
      <w:tr>
        <w:trPr>
          <w:trHeight w:val="353"/>
        </w:trPr>
        <w:tc>
          <w:tcPr>
            <w:tcW w:w="3280" w:type="dxa"/>
            <w:vAlign w:val="bottom"/>
            <w:gridSpan w:val="3"/>
          </w:tcPr>
          <w:p>
            <w:pPr>
              <w:spacing w:after="0"/>
              <w:rPr>
                <w:sz w:val="20"/>
                <w:szCs w:val="20"/>
                <w:color w:val="auto"/>
              </w:rPr>
            </w:pPr>
            <w:r>
              <w:rPr>
                <w:rFonts w:ascii="Arial" w:cs="Arial" w:eastAsia="Arial" w:hAnsi="Arial"/>
                <w:sz w:val="14"/>
                <w:szCs w:val="14"/>
                <w:color w:val="auto"/>
              </w:rPr>
              <w:t>Name</w:t>
            </w:r>
          </w:p>
        </w:tc>
        <w:tc>
          <w:tcPr>
            <w:tcW w:w="278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4"/>
                <w:szCs w:val="14"/>
                <w:color w:val="auto"/>
              </w:rPr>
              <w:t>Jurisdiction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Pharmaceuticals Ireland Limited</w:t>
            </w:r>
          </w:p>
        </w:tc>
        <w:tc>
          <w:tcPr>
            <w:tcW w:w="27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7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Neuroscience Limited</w:t>
            </w:r>
          </w:p>
        </w:tc>
        <w:tc>
          <w:tcPr>
            <w:tcW w:w="27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Corsicanto Ltd.</w:t>
            </w:r>
          </w:p>
        </w:tc>
        <w:tc>
          <w:tcPr>
            <w:tcW w:w="27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Ester Neurosciences Limited</w:t>
            </w:r>
          </w:p>
        </w:tc>
        <w:tc>
          <w:tcPr>
            <w:tcW w:w="278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Nos. 333-163704 and 333-170505 on Form F-3, Registration Statement No. 333-173132 on Form S-3 and Registration Statement Nos. 333-146839, 333-143358, 333-132520, 333-110704, 333-101775, 333-84152, 333-168054, 333-176877, 333-168055, 333-180180 and 333-183160 on Form S-8 of our reports dated February 27, 2014 relating to the consolidated financial statements of Amarin Corporation plc and subsidiaries and the effectiveness of Amarin Corporation plc’s internal control over financial reporting, appearing in this Annual Report on Form 10-K of Amarin Corporation plc for the year ended December 31, 2013.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Date: February 27, 2014</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J. Farrell, certify that:</w:t>
      </w:r>
    </w:p>
    <w:p>
      <w:pPr>
        <w:spacing w:after="0" w:line="9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1740" w:type="dxa"/>
        <w:tblCellMar>
          <w:top w:w="0" w:type="dxa"/>
          <w:left w:w="0" w:type="dxa"/>
          <w:bottom w:w="0" w:type="dxa"/>
          <w:right w:w="0" w:type="dxa"/>
        </w:tblCellMar>
      </w:tblP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Date: February 27, 2014</w:t>
            </w:r>
          </w:p>
        </w:tc>
        <w:tc>
          <w:tcPr>
            <w:tcW w:w="624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0"/>
              </w:rPr>
              <w:t>/s/ Michael J. Farrell</w:t>
            </w:r>
          </w:p>
        </w:tc>
      </w:tr>
      <w:tr>
        <w:trPr>
          <w:trHeight w:val="202"/>
        </w:trPr>
        <w:tc>
          <w:tcPr>
            <w:tcW w:w="3440" w:type="dxa"/>
            <w:vAlign w:val="bottom"/>
          </w:tcPr>
          <w:p>
            <w:pPr>
              <w:spacing w:after="0"/>
              <w:rPr>
                <w:sz w:val="17"/>
                <w:szCs w:val="17"/>
                <w:color w:val="auto"/>
              </w:rPr>
            </w:pPr>
          </w:p>
        </w:tc>
        <w:tc>
          <w:tcPr>
            <w:tcW w:w="624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1"/>
              </w:rPr>
              <w:t>Michael J. Farrell</w:t>
            </w:r>
          </w:p>
        </w:tc>
      </w:tr>
      <w:tr>
        <w:trPr>
          <w:trHeight w:val="216"/>
        </w:trPr>
        <w:tc>
          <w:tcPr>
            <w:tcW w:w="3440" w:type="dxa"/>
            <w:vAlign w:val="bottom"/>
          </w:tcPr>
          <w:p>
            <w:pPr>
              <w:spacing w:after="0"/>
              <w:rPr>
                <w:sz w:val="18"/>
                <w:szCs w:val="18"/>
                <w:color w:val="auto"/>
              </w:rPr>
            </w:pPr>
          </w:p>
        </w:tc>
        <w:tc>
          <w:tcPr>
            <w:tcW w:w="6240" w:type="dxa"/>
            <w:vAlign w:val="bottom"/>
          </w:tcPr>
          <w:p>
            <w:pPr>
              <w:jc w:val="center"/>
              <w:ind w:left="112"/>
              <w:spacing w:after="0"/>
              <w:rPr>
                <w:sz w:val="20"/>
                <w:szCs w:val="20"/>
                <w:color w:val="auto"/>
              </w:rPr>
            </w:pPr>
            <w:r>
              <w:rPr>
                <w:rFonts w:ascii="Arial" w:cs="Arial" w:eastAsia="Arial" w:hAnsi="Arial"/>
                <w:sz w:val="18"/>
                <w:szCs w:val="18"/>
                <w:color w:val="auto"/>
                <w:w w:val="92"/>
              </w:rPr>
              <w:t>Controller</w:t>
            </w:r>
          </w:p>
        </w:tc>
      </w:tr>
      <w:tr>
        <w:trPr>
          <w:trHeight w:val="222"/>
        </w:trPr>
        <w:tc>
          <w:tcPr>
            <w:tcW w:w="3440" w:type="dxa"/>
            <w:vAlign w:val="bottom"/>
          </w:tcPr>
          <w:p>
            <w:pPr>
              <w:spacing w:after="0"/>
              <w:rPr>
                <w:sz w:val="19"/>
                <w:szCs w:val="19"/>
                <w:color w:val="auto"/>
              </w:rPr>
            </w:pPr>
          </w:p>
        </w:tc>
        <w:tc>
          <w:tcPr>
            <w:tcW w:w="6240" w:type="dxa"/>
            <w:vAlign w:val="bottom"/>
          </w:tcPr>
          <w:p>
            <w:pPr>
              <w:jc w:val="center"/>
              <w:ind w:left="132"/>
              <w:spacing w:after="0"/>
              <w:rPr>
                <w:sz w:val="20"/>
                <w:szCs w:val="20"/>
                <w:color w:val="auto"/>
              </w:rPr>
            </w:pPr>
            <w:r>
              <w:rPr>
                <w:rFonts w:ascii="Arial" w:cs="Arial" w:eastAsia="Arial" w:hAnsi="Arial"/>
                <w:sz w:val="18"/>
                <w:szCs w:val="18"/>
                <w:color w:val="auto"/>
                <w:w w:val="91"/>
              </w:rPr>
              <w:t>(Principal Financial Officer)</w:t>
            </w:r>
          </w:p>
        </w:tc>
      </w:tr>
    </w:tbl>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and Michael J. Farrell, Controller (Principal Financial Officer) of the Company, each hereby certifies that, to the best of his knowledge:</w:t>
      </w:r>
    </w:p>
    <w:p>
      <w:pPr>
        <w:spacing w:after="0" w:line="26" w:lineRule="exact"/>
        <w:rPr>
          <w:sz w:val="20"/>
          <w:szCs w:val="20"/>
          <w:color w:val="auto"/>
        </w:rPr>
      </w:pPr>
    </w:p>
    <w:p>
      <w:pPr>
        <w:ind w:left="460" w:right="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2013, to which this Certification is attached as Exhibit 32.1 (the “Annual Report”) fully complies with the requirements of Section 13(a) or 15(d) of the Securities Exchange Act; and</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February 27, 2014</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Farrell</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February 27, 2014</w:t>
            </w:r>
          </w:p>
        </w:tc>
        <w:tc>
          <w:tcPr>
            <w:tcW w:w="5600" w:type="dxa"/>
            <w:vAlign w:val="bottom"/>
          </w:tcPr>
          <w:p>
            <w:pPr>
              <w:spacing w:after="0"/>
              <w:rPr>
                <w:sz w:val="20"/>
                <w:szCs w:val="20"/>
                <w:color w:val="auto"/>
              </w:rPr>
            </w:pPr>
            <w:r>
              <w:rPr>
                <w:rFonts w:ascii="Arial" w:cs="Arial" w:eastAsia="Arial" w:hAnsi="Arial"/>
                <w:sz w:val="18"/>
                <w:szCs w:val="18"/>
                <w:color w:val="auto"/>
              </w:rPr>
              <w:t>Michael J. Farrell</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Controller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lowerRoman"/>
      <w:start w:val="4"/>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lowerLetter"/>
      <w:start w:val="2"/>
    </w:lvl>
  </w:abstractNum>
  <w:abstractNum w:abstractNumId="25">
    <w:nsid w:val="57E4CCAF"/>
    <w:multiLevelType w:val="hybridMultilevel"/>
    <w:lvl w:ilvl="0">
      <w:lvlJc w:val="left"/>
      <w:lvlText w:val="(%1)"/>
      <w:numFmt w:val="lowerLetter"/>
      <w:start w:val="4"/>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3"/>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2"/>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2"/>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4"/>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01"/>
    </w:lvl>
  </w:abstractNum>
  <w:abstractNum w:abstractNumId="38">
    <w:nsid w:val="79A1DEAA"/>
    <w:multiLevelType w:val="hybridMultilevel"/>
    <w:lvl w:ilvl="0">
      <w:lvlJc w:val="left"/>
      <w:lvlText w:val="%1"/>
      <w:numFmt w:val="decimal"/>
      <w:start w:val="101"/>
    </w:lvl>
  </w:abstractNum>
  <w:abstractNum w:abstractNumId="39">
    <w:nsid w:val="75C6C33A"/>
    <w:multiLevelType w:val="hybridMultilevel"/>
    <w:lvl w:ilvl="0">
      <w:lvlJc w:val="left"/>
      <w:lvlText w:val="%1"/>
      <w:numFmt w:val="decimal"/>
      <w:start w:val="10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2"/>
    </w:lvl>
  </w:abstractNum>
  <w:abstractNum w:abstractNumId="44">
    <w:nsid w:val="4F4EF005"/>
    <w:multiLevelType w:val="hybridMultilevel"/>
    <w:lvl w:ilvl="0">
      <w:lvlJc w:val="left"/>
      <w:lvlText w:val="(%1)"/>
      <w:numFmt w:val="lowerRoman"/>
      <w:start w:val="1"/>
    </w:lvl>
  </w:abstractNum>
  <w:abstractNum w:abstractNumId="45">
    <w:nsid w:val="23F9C13C"/>
    <w:multiLevelType w:val="hybridMultilevel"/>
    <w:lvl w:ilvl="0">
      <w:lvlJc w:val="left"/>
      <w:lvlText w:val="(%1)"/>
      <w:numFmt w:val="lowerRoman"/>
      <w:start w:val="1"/>
    </w:lvl>
  </w:abstractNum>
  <w:abstractNum w:abstractNumId="46">
    <w:nsid w:val="649BB77C"/>
    <w:multiLevelType w:val="hybridMultilevel"/>
    <w:lvl w:ilvl="0">
      <w:lvlJc w:val="left"/>
      <w:lvlText w:val="(%1)"/>
      <w:numFmt w:val="decimal"/>
      <w:start w:val="3"/>
    </w:lvl>
  </w:abstractNum>
  <w:abstractNum w:abstractNumId="47">
    <w:nsid w:val="275AC794"/>
    <w:multiLevelType w:val="hybridMultilevel"/>
    <w:lvl w:ilvl="0">
      <w:lvlJc w:val="left"/>
      <w:lvlText w:val="(%1)"/>
      <w:numFmt w:val="decimal"/>
      <w:start w:val="4"/>
    </w:lvl>
  </w:abstractNum>
  <w:abstractNum w:abstractNumId="48">
    <w:nsid w:val="39386575"/>
    <w:multiLevelType w:val="hybridMultilevel"/>
    <w:lvl w:ilvl="0">
      <w:lvlJc w:val="left"/>
      <w:lvlText w:val="(%1)"/>
      <w:numFmt w:val="decimal"/>
      <w:start w:val="5"/>
    </w:lvl>
  </w:abstractNum>
  <w:abstractNum w:abstractNumId="49">
    <w:nsid w:val="1CF10FD8"/>
    <w:multiLevelType w:val="hybridMultilevel"/>
    <w:lvl w:ilvl="0">
      <w:lvlJc w:val="left"/>
      <w:lvlText w:val="(%1)"/>
      <w:numFmt w:val="decimal"/>
      <w:start w:val="8"/>
    </w:lvl>
  </w:abstractNum>
  <w:abstractNum w:abstractNumId="50">
    <w:nsid w:val="180115BE"/>
    <w:multiLevelType w:val="hybridMultilevel"/>
    <w:lvl w:ilvl="0">
      <w:lvlJc w:val="left"/>
      <w:lvlText w:val="(%1)"/>
      <w:numFmt w:val="decimal"/>
      <w:start w:val="9"/>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decimal"/>
      <w:start w:val="10"/>
    </w:lvl>
  </w:abstractNum>
  <w:abstractNum w:abstractNumId="54">
    <w:nsid w:val="15B5AF5C"/>
    <w:multiLevelType w:val="hybridMultilevel"/>
    <w:lvl w:ilvl="0">
      <w:lvlJc w:val="left"/>
      <w:lvlText w:val="(%1)"/>
      <w:numFmt w:val="decimal"/>
      <w:start w:val="11"/>
    </w:lvl>
  </w:abstractNum>
  <w:abstractNum w:abstractNumId="55">
    <w:nsid w:val="741226BB"/>
    <w:multiLevelType w:val="hybridMultilevel"/>
    <w:lvl w:ilvl="0">
      <w:lvlJc w:val="left"/>
      <w:lvlText w:val="(%1)"/>
      <w:numFmt w:val="decimal"/>
      <w:start w:val="12"/>
    </w:lvl>
  </w:abstractNum>
  <w:abstractNum w:abstractNumId="56">
    <w:nsid w:val="D34B6A8"/>
    <w:multiLevelType w:val="hybridMultilevel"/>
    <w:lvl w:ilvl="0">
      <w:lvlJc w:val="left"/>
      <w:lvlText w:val="(%1)"/>
      <w:numFmt w:val="decimal"/>
      <w:start w:val="13"/>
    </w:lvl>
  </w:abstractNum>
  <w:abstractNum w:abstractNumId="57">
    <w:nsid w:val="10233C99"/>
    <w:multiLevelType w:val="hybridMultilevel"/>
    <w:lvl w:ilvl="0">
      <w:lvlJc w:val="left"/>
      <w:lvlText w:val="(%1)"/>
      <w:numFmt w:val="decimal"/>
      <w:start w:val="14"/>
    </w:lvl>
  </w:abstractNum>
  <w:abstractNum w:abstractNumId="58">
    <w:nsid w:val="3F6AB60F"/>
    <w:multiLevelType w:val="hybridMultilevel"/>
    <w:lvl w:ilvl="0">
      <w:lvlJc w:val="left"/>
      <w:lvlText w:val="(%1)"/>
      <w:numFmt w:val="decimal"/>
      <w:start w:val="15"/>
    </w:lvl>
  </w:abstractNum>
  <w:abstractNum w:abstractNumId="59">
    <w:nsid w:val="61574095"/>
    <w:multiLevelType w:val="hybridMultilevel"/>
    <w:lvl w:ilvl="0">
      <w:lvlJc w:val="left"/>
      <w:lvlText w:val="(%1)"/>
      <w:numFmt w:val="decimal"/>
      <w:start w:val="16"/>
    </w:lvl>
  </w:abstractNum>
  <w:abstractNum w:abstractNumId="60">
    <w:nsid w:val="7E0C57B1"/>
    <w:multiLevelType w:val="hybridMultilevel"/>
    <w:lvl w:ilvl="0">
      <w:lvlJc w:val="left"/>
      <w:lvlText w:val="(%1)"/>
      <w:numFmt w:val="decimal"/>
      <w:start w:val="17"/>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2019-12-06T08:01:03Z</dcterms:created>
  <dcterms:modified xsi:type="dcterms:W3CDTF">2019-12-06T08:01:03Z</dcterms:modified>
</cp:coreProperties>
</file>