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6" w:lineRule="exact"/>
        <w:rPr>
          <w:sz w:val="24"/>
          <w:szCs w:val="24"/>
          <w:color w:val="auto"/>
        </w:rPr>
      </w:pPr>
    </w:p>
    <w:p>
      <w:pPr>
        <w:ind w:left="3660" w:right="1620" w:hanging="3652"/>
        <w:spacing w:after="0" w:line="258" w:lineRule="auto"/>
        <w:tabs>
          <w:tab w:leader="none" w:pos="445"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8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5760" w:type="dxa"/>
            <w:vAlign w:val="bottom"/>
          </w:tcPr>
          <w:p>
            <w:pPr>
              <w:jc w:val="center"/>
              <w:ind w:right="1359"/>
              <w:spacing w:after="0"/>
              <w:rPr>
                <w:sz w:val="20"/>
                <w:szCs w:val="20"/>
                <w:color w:val="auto"/>
              </w:rPr>
            </w:pPr>
            <w:r>
              <w:rPr>
                <w:rFonts w:ascii="Arial" w:cs="Arial" w:eastAsia="Arial" w:hAnsi="Arial"/>
                <w:sz w:val="18"/>
                <w:szCs w:val="18"/>
                <w:b w:val="1"/>
                <w:bCs w:val="1"/>
                <w:color w:val="auto"/>
                <w:w w:val="89"/>
              </w:rPr>
              <w:t>England and Wales</w:t>
            </w:r>
          </w:p>
        </w:tc>
        <w:tc>
          <w:tcPr>
            <w:tcW w:w="2800" w:type="dxa"/>
            <w:vAlign w:val="bottom"/>
          </w:tcPr>
          <w:p>
            <w:pPr>
              <w:jc w:val="center"/>
              <w:ind w:left="1401"/>
              <w:spacing w:after="0"/>
              <w:rPr>
                <w:sz w:val="20"/>
                <w:szCs w:val="20"/>
                <w:color w:val="auto"/>
              </w:rPr>
            </w:pPr>
            <w:r>
              <w:rPr>
                <w:rFonts w:ascii="Arial" w:cs="Arial" w:eastAsia="Arial" w:hAnsi="Arial"/>
                <w:sz w:val="18"/>
                <w:szCs w:val="18"/>
                <w:b w:val="1"/>
                <w:bCs w:val="1"/>
                <w:color w:val="auto"/>
                <w:w w:val="90"/>
              </w:rPr>
              <w:t>Not applicable</w:t>
            </w:r>
          </w:p>
        </w:tc>
      </w:tr>
      <w:tr>
        <w:trPr>
          <w:trHeight w:val="153"/>
        </w:trPr>
        <w:tc>
          <w:tcPr>
            <w:tcW w:w="5760" w:type="dxa"/>
            <w:vAlign w:val="bottom"/>
          </w:tcPr>
          <w:p>
            <w:pPr>
              <w:jc w:val="center"/>
              <w:ind w:right="1339"/>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2800" w:type="dxa"/>
            <w:vAlign w:val="bottom"/>
          </w:tcPr>
          <w:p>
            <w:pPr>
              <w:jc w:val="center"/>
              <w:ind w:left="140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760" w:type="dxa"/>
            <w:vAlign w:val="bottom"/>
          </w:tcPr>
          <w:p>
            <w:pPr>
              <w:jc w:val="center"/>
              <w:ind w:right="1359"/>
              <w:spacing w:after="0"/>
              <w:rPr>
                <w:sz w:val="20"/>
                <w:szCs w:val="20"/>
                <w:color w:val="auto"/>
              </w:rPr>
            </w:pPr>
            <w:r>
              <w:rPr>
                <w:rFonts w:ascii="Arial" w:cs="Arial" w:eastAsia="Arial" w:hAnsi="Arial"/>
                <w:sz w:val="14"/>
                <w:szCs w:val="14"/>
                <w:b w:val="1"/>
                <w:bCs w:val="1"/>
                <w:color w:val="auto"/>
                <w:w w:val="94"/>
              </w:rPr>
              <w:t>Incorporation or Organization)</w:t>
            </w:r>
          </w:p>
        </w:tc>
        <w:tc>
          <w:tcPr>
            <w:tcW w:w="2800" w:type="dxa"/>
            <w:vAlign w:val="bottom"/>
          </w:tcPr>
          <w:p>
            <w:pPr>
              <w:jc w:val="center"/>
              <w:ind w:left="13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5760" w:type="dxa"/>
            <w:vAlign w:val="bottom"/>
          </w:tcPr>
          <w:p>
            <w:pPr>
              <w:jc w:val="center"/>
              <w:ind w:right="1399"/>
              <w:spacing w:after="0"/>
              <w:rPr>
                <w:sz w:val="20"/>
                <w:szCs w:val="20"/>
                <w:color w:val="auto"/>
              </w:rPr>
            </w:pPr>
            <w:r>
              <w:rPr>
                <w:rFonts w:ascii="Arial" w:cs="Arial" w:eastAsia="Arial" w:hAnsi="Arial"/>
                <w:sz w:val="18"/>
                <w:szCs w:val="18"/>
                <w:b w:val="1"/>
                <w:bCs w:val="1"/>
                <w:color w:val="auto"/>
                <w:w w:val="92"/>
              </w:rPr>
              <w:t>Iconic Offices, The Greenway, Block C Ardilaun Court,</w:t>
            </w:r>
          </w:p>
        </w:tc>
        <w:tc>
          <w:tcPr>
            <w:tcW w:w="2800" w:type="dxa"/>
            <w:vAlign w:val="bottom"/>
          </w:tcPr>
          <w:p>
            <w:pPr>
              <w:jc w:val="center"/>
              <w:ind w:left="1401"/>
              <w:spacing w:after="0"/>
              <w:rPr>
                <w:sz w:val="20"/>
                <w:szCs w:val="20"/>
                <w:color w:val="auto"/>
              </w:rPr>
            </w:pPr>
            <w:r>
              <w:rPr>
                <w:rFonts w:ascii="Arial" w:cs="Arial" w:eastAsia="Arial" w:hAnsi="Arial"/>
                <w:sz w:val="18"/>
                <w:szCs w:val="18"/>
                <w:b w:val="1"/>
                <w:bCs w:val="1"/>
                <w:color w:val="auto"/>
                <w:w w:val="94"/>
              </w:rPr>
              <w:t>Dublin 2, Ireland</w:t>
            </w:r>
          </w:p>
        </w:tc>
      </w:tr>
      <w:tr>
        <w:trPr>
          <w:trHeight w:val="234"/>
        </w:trPr>
        <w:tc>
          <w:tcPr>
            <w:tcW w:w="5760" w:type="dxa"/>
            <w:vAlign w:val="bottom"/>
          </w:tcPr>
          <w:p>
            <w:pPr>
              <w:jc w:val="center"/>
              <w:ind w:right="1359"/>
              <w:spacing w:after="0"/>
              <w:rPr>
                <w:sz w:val="20"/>
                <w:szCs w:val="20"/>
                <w:color w:val="auto"/>
              </w:rPr>
            </w:pPr>
            <w:r>
              <w:rPr>
                <w:rFonts w:ascii="Arial" w:cs="Arial" w:eastAsia="Arial" w:hAnsi="Arial"/>
                <w:sz w:val="18"/>
                <w:szCs w:val="18"/>
                <w:b w:val="1"/>
                <w:bCs w:val="1"/>
                <w:color w:val="auto"/>
                <w:w w:val="87"/>
              </w:rPr>
              <w:t>112 – 114 St Stephens Green</w:t>
            </w:r>
          </w:p>
        </w:tc>
        <w:tc>
          <w:tcPr>
            <w:tcW w:w="2800" w:type="dxa"/>
            <w:vAlign w:val="bottom"/>
          </w:tcPr>
          <w:p>
            <w:pPr>
              <w:spacing w:after="0"/>
              <w:rPr>
                <w:sz w:val="20"/>
                <w:szCs w:val="20"/>
                <w:color w:val="auto"/>
              </w:rPr>
            </w:pPr>
          </w:p>
        </w:tc>
      </w:tr>
      <w:tr>
        <w:trPr>
          <w:trHeight w:val="190"/>
        </w:trPr>
        <w:tc>
          <w:tcPr>
            <w:tcW w:w="5760" w:type="dxa"/>
            <w:vAlign w:val="bottom"/>
          </w:tcPr>
          <w:p>
            <w:pPr>
              <w:jc w:val="center"/>
              <w:ind w:right="13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800" w:type="dxa"/>
            <w:vAlign w:val="bottom"/>
          </w:tcPr>
          <w:p>
            <w:pPr>
              <w:jc w:val="center"/>
              <w:ind w:left="1381"/>
              <w:spacing w:after="0"/>
              <w:rPr>
                <w:sz w:val="20"/>
                <w:szCs w:val="20"/>
                <w:color w:val="auto"/>
              </w:rPr>
            </w:pPr>
            <w:r>
              <w:rPr>
                <w:rFonts w:ascii="Arial" w:cs="Arial" w:eastAsia="Arial" w:hAnsi="Arial"/>
                <w:sz w:val="14"/>
                <w:szCs w:val="14"/>
                <w:b w:val="1"/>
                <w:bCs w:val="1"/>
                <w:color w:val="auto"/>
                <w:w w:val="95"/>
              </w:rPr>
              <w:t>(Zip Code)</w:t>
            </w:r>
          </w:p>
        </w:tc>
      </w:tr>
    </w:tbl>
    <w:p>
      <w:pPr>
        <w:spacing w:after="0" w:line="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0"/>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16"/>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American Depositary Shares (ADS(s)), each ADS</w:t>
            </w:r>
          </w:p>
        </w:tc>
        <w:tc>
          <w:tcPr>
            <w:tcW w:w="22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r>
      <w:tr>
        <w:trPr>
          <w:trHeight w:val="203"/>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representing the right to receive one (1) Ordinary Share of</w:t>
            </w:r>
          </w:p>
        </w:tc>
        <w:tc>
          <w:tcPr>
            <w:tcW w:w="226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r>
      <w:tr>
        <w:trPr>
          <w:trHeight w:val="206"/>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Amarin Corporation plc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AMRN</w:t>
            </w: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1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408,291,815 common shares were outstanding as of October 27, 2023, including 387,902,637 shares held as American Depositary Shares (ADSs), each representing one Ordinary Share, 50 pence par value per share, and 20,389,178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00" w:type="dxa"/>
            <w:vAlign w:val="bottom"/>
            <w:gridSpan w:val="13"/>
          </w:tcPr>
          <w:p>
            <w:pPr>
              <w:jc w:val="center"/>
              <w:ind w:right="1880"/>
              <w:spacing w:after="0"/>
              <w:rPr>
                <w:sz w:val="20"/>
                <w:szCs w:val="20"/>
                <w:color w:val="auto"/>
              </w:rPr>
            </w:pPr>
            <w:r>
              <w:rPr>
                <w:rFonts w:ascii="Arial" w:cs="Arial" w:eastAsia="Arial" w:hAnsi="Arial"/>
                <w:sz w:val="18"/>
                <w:szCs w:val="18"/>
                <w:b w:val="1"/>
                <w:bCs w:val="1"/>
                <w:color w:val="0000FF"/>
                <w:w w:val="94"/>
              </w:rPr>
              <w:t>PART I – Financial Information</w:t>
            </w:r>
          </w:p>
        </w:tc>
        <w:tc>
          <w:tcPr>
            <w:tcW w:w="1020" w:type="dxa"/>
            <w:vAlign w:val="bottom"/>
          </w:tcPr>
          <w:p>
            <w:pPr>
              <w:spacing w:after="0"/>
              <w:rPr>
                <w:sz w:val="24"/>
                <w:szCs w:val="24"/>
                <w:color w:val="auto"/>
              </w:rPr>
            </w:pPr>
          </w:p>
        </w:tc>
      </w:tr>
      <w:tr>
        <w:trPr>
          <w:trHeight w:val="412"/>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314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246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gridSpan w:val="18"/>
          </w:tcPr>
          <w:p>
            <w:pPr>
              <w:spacing w:after="0" w:line="202" w:lineRule="exact"/>
              <w:rPr>
                <w:sz w:val="20"/>
                <w:szCs w:val="20"/>
                <w:color w:val="auto"/>
              </w:rPr>
            </w:pPr>
            <w:r>
              <w:rPr>
                <w:rFonts w:ascii="Arial" w:cs="Arial" w:eastAsia="Arial" w:hAnsi="Arial"/>
                <w:sz w:val="18"/>
                <w:szCs w:val="18"/>
                <w:color w:val="0000FF"/>
              </w:rPr>
              <w:t>Condensed Consolidated Balance Sheets as of September 30, 2023 and December 31, 2022</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Arial" w:cs="Arial" w:eastAsia="Arial" w:hAnsi="Arial"/>
                <w:sz w:val="18"/>
                <w:szCs w:val="18"/>
                <w:color w:val="0000FF"/>
                <w:w w:val="92"/>
              </w:rPr>
              <w:t>Condensed Consolidated Statements of Operations for the three and nine months ended September 30, 2023 and 2022</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Arial" w:cs="Arial" w:eastAsia="Arial" w:hAnsi="Arial"/>
                <w:sz w:val="18"/>
                <w:szCs w:val="18"/>
                <w:color w:val="0000FF"/>
                <w:w w:val="92"/>
              </w:rPr>
              <w:t>Condensed Consolidated Statement of Changes in Stockholders’ Equity for the nine months ended September 30, 2023</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400" w:type="dxa"/>
            <w:vAlign w:val="bottom"/>
            <w:tcBorders>
              <w:top w:val="single" w:sz="8" w:color="0000FF"/>
            </w:tcBorders>
            <w:gridSpan w:val="16"/>
          </w:tcPr>
          <w:p>
            <w:pPr>
              <w:spacing w:after="0" w:line="196" w:lineRule="exact"/>
              <w:rPr>
                <w:sz w:val="20"/>
                <w:szCs w:val="20"/>
                <w:color w:val="auto"/>
              </w:rPr>
            </w:pPr>
            <w:r>
              <w:rPr>
                <w:rFonts w:ascii="Arial" w:cs="Arial" w:eastAsia="Arial" w:hAnsi="Arial"/>
                <w:sz w:val="18"/>
                <w:szCs w:val="18"/>
                <w:color w:val="0000FF"/>
              </w:rPr>
              <w:t>and 2022</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2023 and 2022</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86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860" w:type="dxa"/>
            <w:vAlign w:val="bottom"/>
            <w:gridSpan w:val="1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86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gridSpan w:val="11"/>
          </w:tcPr>
          <w:p>
            <w:pPr>
              <w:jc w:val="center"/>
              <w:ind w:right="3360"/>
              <w:spacing w:after="0"/>
              <w:rPr>
                <w:sz w:val="20"/>
                <w:szCs w:val="20"/>
                <w:color w:val="auto"/>
              </w:rPr>
            </w:pPr>
            <w:r>
              <w:rPr>
                <w:rFonts w:ascii="Arial" w:cs="Arial" w:eastAsia="Arial" w:hAnsi="Arial"/>
                <w:sz w:val="18"/>
                <w:szCs w:val="18"/>
                <w:b w:val="1"/>
                <w:bCs w:val="1"/>
                <w:color w:val="0000FF"/>
                <w:w w:val="96"/>
              </w:rPr>
              <w:t>PART II – Other Information</w:t>
            </w:r>
          </w:p>
        </w:tc>
        <w:tc>
          <w:tcPr>
            <w:tcW w:w="1020" w:type="dxa"/>
            <w:vAlign w:val="bottom"/>
          </w:tcPr>
          <w:p>
            <w:pPr>
              <w:spacing w:after="0"/>
              <w:rPr>
                <w:sz w:val="24"/>
                <w:szCs w:val="24"/>
                <w:color w:val="auto"/>
              </w:rPr>
            </w:pPr>
          </w:p>
        </w:tc>
      </w:tr>
      <w:tr>
        <w:trPr>
          <w:trHeight w:val="372"/>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3220" w:type="dxa"/>
            <w:vAlign w:val="bottom"/>
            <w:gridSpan w:val="7"/>
          </w:tcPr>
          <w:p>
            <w:pPr>
              <w:spacing w:after="0"/>
              <w:rPr>
                <w:sz w:val="20"/>
                <w:szCs w:val="20"/>
                <w:color w:val="auto"/>
              </w:rPr>
            </w:pPr>
            <w:r>
              <w:rPr>
                <w:rFonts w:ascii="Arial" w:cs="Arial" w:eastAsia="Arial" w:hAnsi="Arial"/>
                <w:sz w:val="18"/>
                <w:szCs w:val="18"/>
                <w:color w:val="0000FF"/>
              </w:rPr>
              <w:t>Legal Proceedings</w:t>
            </w:r>
          </w:p>
        </w:tc>
        <w:tc>
          <w:tcPr>
            <w:tcW w:w="2280" w:type="dxa"/>
            <w:vAlign w:val="bottom"/>
            <w:tcBorders>
              <w:top w:val="single" w:sz="8" w:color="0000FF"/>
            </w:tcBorders>
            <w:gridSpan w:val="4"/>
          </w:tcPr>
          <w:p>
            <w:pPr>
              <w:spacing w:after="0"/>
              <w:rPr>
                <w:sz w:val="24"/>
                <w:szCs w:val="24"/>
                <w:color w:val="auto"/>
              </w:rPr>
            </w:pPr>
          </w:p>
        </w:tc>
        <w:tc>
          <w:tcPr>
            <w:tcW w:w="336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886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86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886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886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72"/>
        </w:trPr>
        <w:tc>
          <w:tcPr>
            <w:tcW w:w="136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68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10"/>
          </w:tcPr>
          <w:p>
            <w:pPr>
              <w:jc w:val="right"/>
              <w:ind w:right="4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September 30, 2023</w:t>
            </w:r>
          </w:p>
        </w:tc>
        <w:tc>
          <w:tcPr>
            <w:tcW w:w="220" w:type="dxa"/>
            <w:vAlign w:val="bottom"/>
          </w:tcPr>
          <w:p>
            <w:pPr>
              <w:spacing w:after="0"/>
              <w:rPr>
                <w:sz w:val="16"/>
                <w:szCs w:val="16"/>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2022</w:t>
            </w:r>
          </w:p>
        </w:tc>
      </w:tr>
      <w:tr>
        <w:trPr>
          <w:trHeight w:val="237"/>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270,814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217,666</w:t>
            </w:r>
          </w:p>
        </w:tc>
        <w:tc>
          <w:tcPr>
            <w:tcW w:w="100" w:type="dxa"/>
            <w:vAlign w:val="bottom"/>
            <w:shd w:val="clear" w:color="auto" w:fill="CFF0FC"/>
          </w:tcPr>
          <w:p>
            <w:pPr>
              <w:spacing w:after="0"/>
              <w:rPr>
                <w:sz w:val="21"/>
                <w:szCs w:val="2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r>
      <w:tr>
        <w:trPr>
          <w:trHeight w:val="249"/>
        </w:trPr>
        <w:tc>
          <w:tcPr>
            <w:tcW w:w="7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49,848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91,695</w:t>
            </w:r>
          </w:p>
        </w:tc>
        <w:tc>
          <w:tcPr>
            <w:tcW w:w="100" w:type="dxa"/>
            <w:vAlign w:val="bottom"/>
            <w:shd w:val="clear" w:color="auto" w:fill="CFF0FC"/>
          </w:tcPr>
          <w:p>
            <w:pPr>
              <w:spacing w:after="0"/>
              <w:rPr>
                <w:sz w:val="21"/>
                <w:szCs w:val="2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122,400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130,990</w:t>
            </w:r>
          </w:p>
        </w:tc>
        <w:tc>
          <w:tcPr>
            <w:tcW w:w="100" w:type="dxa"/>
            <w:vAlign w:val="bottom"/>
          </w:tcPr>
          <w:p>
            <w:pPr>
              <w:spacing w:after="0"/>
              <w:rPr>
                <w:sz w:val="20"/>
                <w:szCs w:val="20"/>
                <w:color w:val="auto"/>
              </w:rPr>
            </w:pPr>
          </w:p>
        </w:tc>
      </w:tr>
      <w:tr>
        <w:trPr>
          <w:trHeight w:val="249"/>
        </w:trPr>
        <w:tc>
          <w:tcPr>
            <w:tcW w:w="7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254,461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228,732</w:t>
            </w:r>
          </w:p>
        </w:tc>
        <w:tc>
          <w:tcPr>
            <w:tcW w:w="100" w:type="dxa"/>
            <w:vAlign w:val="bottom"/>
            <w:shd w:val="clear" w:color="auto" w:fill="CFF0FC"/>
          </w:tcPr>
          <w:p>
            <w:pPr>
              <w:spacing w:after="0"/>
              <w:rPr>
                <w:sz w:val="21"/>
                <w:szCs w:val="2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19,464</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19,492</w:t>
            </w:r>
          </w:p>
        </w:tc>
        <w:tc>
          <w:tcPr>
            <w:tcW w:w="100" w:type="dxa"/>
            <w:vAlign w:val="bottom"/>
          </w:tcPr>
          <w:p>
            <w:pPr>
              <w:spacing w:after="0"/>
              <w:rPr>
                <w:sz w:val="20"/>
                <w:szCs w:val="20"/>
                <w:color w:val="auto"/>
              </w:rPr>
            </w:pPr>
          </w:p>
        </w:tc>
      </w:tr>
      <w:tr>
        <w:trPr>
          <w:trHeight w:val="236"/>
        </w:trPr>
        <w:tc>
          <w:tcPr>
            <w:tcW w:w="75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717,511</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689,098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0"/>
                <w:szCs w:val="20"/>
                <w:color w:val="auto"/>
              </w:rPr>
            </w:pPr>
          </w:p>
        </w:tc>
      </w:tr>
      <w:tr>
        <w:trPr>
          <w:trHeight w:val="249"/>
        </w:trPr>
        <w:tc>
          <w:tcPr>
            <w:tcW w:w="7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FF0FC"/>
          </w:tcPr>
          <w:p>
            <w:pPr>
              <w:spacing w:after="0"/>
              <w:rPr>
                <w:sz w:val="21"/>
                <w:szCs w:val="2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Long-term inventory</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91,792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163,620</w:t>
            </w:r>
          </w:p>
        </w:tc>
        <w:tc>
          <w:tcPr>
            <w:tcW w:w="100" w:type="dxa"/>
            <w:vAlign w:val="bottom"/>
          </w:tcPr>
          <w:p>
            <w:pPr>
              <w:spacing w:after="0"/>
              <w:rPr>
                <w:sz w:val="20"/>
                <w:szCs w:val="20"/>
                <w:color w:val="auto"/>
              </w:rPr>
            </w:pPr>
          </w:p>
        </w:tc>
      </w:tr>
      <w:tr>
        <w:trPr>
          <w:trHeight w:val="249"/>
        </w:trPr>
        <w:tc>
          <w:tcPr>
            <w:tcW w:w="7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9,074</w:t>
            </w:r>
          </w:p>
        </w:tc>
        <w:tc>
          <w:tcPr>
            <w:tcW w:w="100" w:type="dxa"/>
            <w:vAlign w:val="bottom"/>
            <w:shd w:val="clear" w:color="auto" w:fill="CFF0FC"/>
          </w:tcPr>
          <w:p>
            <w:pPr>
              <w:spacing w:after="0"/>
              <w:rPr>
                <w:sz w:val="21"/>
                <w:szCs w:val="2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Intangible asset, net</w:t>
            </w: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54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839,031</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886,179</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53,362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64,602</w:t>
            </w:r>
          </w:p>
        </w:tc>
        <w:tc>
          <w:tcPr>
            <w:tcW w:w="100" w:type="dxa"/>
            <w:vAlign w:val="bottom"/>
            <w:shd w:val="clear" w:color="auto" w:fill="CFF0FC"/>
          </w:tcPr>
          <w:p>
            <w:pPr>
              <w:spacing w:after="0"/>
              <w:rPr>
                <w:sz w:val="21"/>
                <w:szCs w:val="2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211,304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192,678</w:t>
            </w: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Current deferred revenue</w:t>
            </w: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4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266,691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259,479</w:t>
            </w:r>
          </w:p>
        </w:tc>
        <w:tc>
          <w:tcPr>
            <w:tcW w:w="100" w:type="dxa"/>
            <w:vAlign w:val="bottom"/>
          </w:tcPr>
          <w:p>
            <w:pPr>
              <w:spacing w:after="0"/>
              <w:rPr>
                <w:sz w:val="20"/>
                <w:szCs w:val="20"/>
                <w:color w:val="auto"/>
              </w:rPr>
            </w:pPr>
          </w:p>
        </w:tc>
      </w:tr>
      <w:tr>
        <w:trPr>
          <w:trHeight w:val="243"/>
        </w:trPr>
        <w:tc>
          <w:tcPr>
            <w:tcW w:w="7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Long-term deferred revenue</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2,949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13,147</w:t>
            </w:r>
          </w:p>
        </w:tc>
        <w:tc>
          <w:tcPr>
            <w:tcW w:w="100" w:type="dxa"/>
            <w:vAlign w:val="bottom"/>
          </w:tcPr>
          <w:p>
            <w:pPr>
              <w:spacing w:after="0"/>
              <w:rPr>
                <w:sz w:val="20"/>
                <w:szCs w:val="20"/>
                <w:color w:val="auto"/>
              </w:rPr>
            </w:pPr>
          </w:p>
        </w:tc>
      </w:tr>
      <w:tr>
        <w:trPr>
          <w:trHeight w:val="249"/>
        </w:trPr>
        <w:tc>
          <w:tcPr>
            <w:tcW w:w="7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Long-term operating lease liability</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10,015</w:t>
            </w:r>
          </w:p>
        </w:tc>
        <w:tc>
          <w:tcPr>
            <w:tcW w:w="100" w:type="dxa"/>
            <w:vAlign w:val="bottom"/>
            <w:shd w:val="clear" w:color="auto" w:fill="CFF0FC"/>
          </w:tcPr>
          <w:p>
            <w:pPr>
              <w:spacing w:after="0"/>
              <w:rPr>
                <w:sz w:val="21"/>
                <w:szCs w:val="2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20"/>
                <w:szCs w:val="20"/>
                <w:color w:val="auto"/>
              </w:rPr>
            </w:pPr>
          </w:p>
        </w:tc>
      </w:tr>
      <w:tr>
        <w:trPr>
          <w:trHeight w:val="236"/>
        </w:trPr>
        <w:tc>
          <w:tcPr>
            <w:tcW w:w="75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285,883</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290,846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40" w:type="dxa"/>
            <w:vAlign w:val="bottom"/>
          </w:tcPr>
          <w:p>
            <w:pPr>
              <w:ind w:left="200"/>
              <w:spacing w:after="0"/>
              <w:rPr>
                <w:sz w:val="20"/>
                <w:szCs w:val="20"/>
                <w:color w:val="auto"/>
              </w:rPr>
            </w:pPr>
            <w:r>
              <w:rPr>
                <w:rFonts w:ascii="Arial" w:cs="Arial" w:eastAsia="Arial" w:hAnsi="Arial"/>
                <w:sz w:val="18"/>
                <w:szCs w:val="18"/>
                <w:color w:val="auto"/>
              </w:rPr>
              <w:t>Commitments and contingencies (Note 5)</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540" w:type="dxa"/>
            <w:vAlign w:val="bottom"/>
          </w:tcPr>
          <w:p>
            <w:pPr>
              <w:ind w:left="380"/>
              <w:spacing w:after="0"/>
              <w:rPr>
                <w:sz w:val="20"/>
                <w:szCs w:val="20"/>
                <w:color w:val="auto"/>
              </w:rPr>
            </w:pPr>
            <w:r>
              <w:rPr>
                <w:rFonts w:ascii="Arial" w:cs="Arial" w:eastAsia="Arial" w:hAnsi="Arial"/>
                <w:sz w:val="18"/>
                <w:szCs w:val="18"/>
                <w:color w:val="auto"/>
                <w:w w:val="92"/>
              </w:rPr>
              <w:t>Common stock, £0.50 par, unlimited authorized; 417,744,958 shares issued, 408,551,020 shares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tcPr>
          <w:p>
            <w:pPr>
              <w:ind w:left="380"/>
              <w:spacing w:after="0"/>
              <w:rPr>
                <w:sz w:val="20"/>
                <w:szCs w:val="20"/>
                <w:color w:val="auto"/>
              </w:rPr>
            </w:pPr>
            <w:r>
              <w:rPr>
                <w:rFonts w:ascii="Arial" w:cs="Arial" w:eastAsia="Arial" w:hAnsi="Arial"/>
                <w:sz w:val="18"/>
                <w:szCs w:val="18"/>
                <w:color w:val="auto"/>
              </w:rPr>
              <w:t>outstanding as of September 30, 2023; 412,333,087 shares issued, 404,346,256 shares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outstanding as of December 31, 2022</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302,318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299,002</w:t>
            </w:r>
          </w:p>
        </w:tc>
        <w:tc>
          <w:tcPr>
            <w:tcW w:w="100" w:type="dxa"/>
            <w:vAlign w:val="bottom"/>
          </w:tcPr>
          <w:p>
            <w:pPr>
              <w:spacing w:after="0"/>
              <w:rPr>
                <w:sz w:val="20"/>
                <w:szCs w:val="20"/>
                <w:color w:val="auto"/>
              </w:rPr>
            </w:pPr>
          </w:p>
        </w:tc>
      </w:tr>
      <w:tr>
        <w:trPr>
          <w:trHeight w:val="250"/>
        </w:trPr>
        <w:tc>
          <w:tcPr>
            <w:tcW w:w="7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1,895,155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1,885,352</w:t>
            </w:r>
          </w:p>
        </w:tc>
        <w:tc>
          <w:tcPr>
            <w:tcW w:w="100" w:type="dxa"/>
            <w:vAlign w:val="bottom"/>
            <w:shd w:val="clear" w:color="auto" w:fill="CFF0FC"/>
          </w:tcPr>
          <w:p>
            <w:pPr>
              <w:spacing w:after="0"/>
              <w:rPr>
                <w:sz w:val="21"/>
                <w:szCs w:val="21"/>
                <w:color w:val="auto"/>
              </w:rPr>
            </w:pPr>
          </w:p>
        </w:tc>
      </w:tr>
      <w:tr>
        <w:trPr>
          <w:trHeight w:val="215"/>
        </w:trPr>
        <w:tc>
          <w:tcPr>
            <w:tcW w:w="7540" w:type="dxa"/>
            <w:vAlign w:val="bottom"/>
          </w:tcPr>
          <w:p>
            <w:pPr>
              <w:ind w:left="380"/>
              <w:spacing w:after="0"/>
              <w:rPr>
                <w:sz w:val="20"/>
                <w:szCs w:val="20"/>
                <w:color w:val="auto"/>
              </w:rPr>
            </w:pPr>
            <w:r>
              <w:rPr>
                <w:rFonts w:ascii="Arial" w:cs="Arial" w:eastAsia="Arial" w:hAnsi="Arial"/>
                <w:sz w:val="18"/>
                <w:szCs w:val="18"/>
                <w:color w:val="auto"/>
                <w:w w:val="93"/>
              </w:rPr>
              <w:t>Treasury stock; 9,193,938 shares as of September 30, 2023; 7,986,831 shares as of December</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31, 2022</w:t>
            </w:r>
          </w:p>
        </w:tc>
        <w:tc>
          <w:tcPr>
            <w:tcW w:w="1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(63,743 )</w:t>
            </w:r>
          </w:p>
        </w:tc>
        <w:tc>
          <w:tcPr>
            <w:tcW w:w="22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(61,770 )</w:t>
            </w:r>
          </w:p>
        </w:tc>
      </w:tr>
      <w:tr>
        <w:trPr>
          <w:trHeight w:val="243"/>
        </w:trPr>
        <w:tc>
          <w:tcPr>
            <w:tcW w:w="7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(1,580,582 )</w:t>
            </w:r>
          </w:p>
        </w:tc>
        <w:tc>
          <w:tcPr>
            <w:tcW w:w="2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(1,527,251 )</w:t>
            </w:r>
          </w:p>
        </w:tc>
      </w:tr>
      <w:tr>
        <w:trPr>
          <w:trHeight w:val="237"/>
        </w:trPr>
        <w:tc>
          <w:tcPr>
            <w:tcW w:w="7540" w:type="dxa"/>
            <w:vAlign w:val="bottom"/>
            <w:tcBorders>
              <w:top w:val="single" w:sz="8" w:color="CFF0FC"/>
            </w:tcBorders>
          </w:tcPr>
          <w:p>
            <w:pPr>
              <w:ind w:left="7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553,148</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595,333</w:t>
            </w:r>
          </w:p>
        </w:tc>
        <w:tc>
          <w:tcPr>
            <w:tcW w:w="100" w:type="dxa"/>
            <w:vAlign w:val="bottom"/>
            <w:tcBorders>
              <w:top w:val="single" w:sz="8" w:color="CFF0FC"/>
            </w:tcBorders>
          </w:tcPr>
          <w:p>
            <w:pPr>
              <w:spacing w:after="0"/>
              <w:rPr>
                <w:sz w:val="20"/>
                <w:szCs w:val="20"/>
                <w:color w:val="auto"/>
              </w:rPr>
            </w:pPr>
          </w:p>
        </w:tc>
      </w:tr>
      <w:tr>
        <w:trPr>
          <w:trHeight w:val="279"/>
        </w:trPr>
        <w:tc>
          <w:tcPr>
            <w:tcW w:w="75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839,031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886,179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-4542790</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-4542790</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-3608070</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-2647950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-1696720</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-351155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jc w:val="right"/>
              <w:ind w:right="581"/>
              <w:spacing w:after="0"/>
              <w:rPr>
                <w:sz w:val="20"/>
                <w:szCs w:val="20"/>
                <w:color w:val="auto"/>
              </w:rPr>
            </w:pPr>
            <w:r>
              <w:rPr>
                <w:rFonts w:ascii="Arial" w:cs="Arial" w:eastAsia="Arial" w:hAnsi="Arial"/>
                <w:sz w:val="14"/>
                <w:szCs w:val="14"/>
                <w:b w:val="1"/>
                <w:bCs w:val="1"/>
                <w:color w:val="auto"/>
                <w:w w:val="96"/>
              </w:rPr>
              <w:t>Three months ended September 30,</w:t>
            </w:r>
          </w:p>
        </w:tc>
        <w:tc>
          <w:tcPr>
            <w:tcW w:w="260" w:type="dxa"/>
            <w:vAlign w:val="bottom"/>
          </w:tcPr>
          <w:p>
            <w:pPr>
              <w:spacing w:after="0"/>
              <w:rPr>
                <w:sz w:val="16"/>
                <w:szCs w:val="16"/>
                <w:color w:val="auto"/>
              </w:rPr>
            </w:pPr>
          </w:p>
        </w:tc>
        <w:tc>
          <w:tcPr>
            <w:tcW w:w="276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69"/>
        </w:trPr>
        <w:tc>
          <w:tcPr>
            <w:tcW w:w="48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89,222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214,744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277,004</w:t>
            </w:r>
          </w:p>
        </w:tc>
        <w:tc>
          <w:tcPr>
            <w:tcW w:w="100" w:type="dxa"/>
            <w:vAlign w:val="bottom"/>
            <w:shd w:val="clear" w:color="auto" w:fill="CFF0FC"/>
          </w:tcPr>
          <w:p>
            <w:pPr>
              <w:spacing w:after="0"/>
              <w:rPr>
                <w:sz w:val="20"/>
                <w:szCs w:val="20"/>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Licensing and royalty revenue</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0"/>
                <w:szCs w:val="20"/>
                <w:color w:val="auto"/>
              </w:rPr>
            </w:pPr>
          </w:p>
        </w:tc>
      </w:tr>
      <w:tr>
        <w:trPr>
          <w:trHeight w:val="243"/>
        </w:trPr>
        <w:tc>
          <w:tcPr>
            <w:tcW w:w="4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revenue, net</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66,056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89,878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232,198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278,948</w:t>
            </w:r>
          </w:p>
        </w:tc>
        <w:tc>
          <w:tcPr>
            <w:tcW w:w="100" w:type="dxa"/>
            <w:vAlign w:val="bottom"/>
            <w:shd w:val="clear" w:color="auto" w:fill="CFF0FC"/>
          </w:tcPr>
          <w:p>
            <w:pPr>
              <w:spacing w:after="0"/>
              <w:rPr>
                <w:sz w:val="21"/>
                <w:szCs w:val="21"/>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23,560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23,941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72,553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81,990</w:t>
            </w:r>
          </w:p>
        </w:tc>
        <w:tc>
          <w:tcPr>
            <w:tcW w:w="100" w:type="dxa"/>
            <w:vAlign w:val="bottom"/>
          </w:tcPr>
          <w:p>
            <w:pPr>
              <w:spacing w:after="0"/>
              <w:rPr>
                <w:sz w:val="20"/>
                <w:szCs w:val="20"/>
                <w:color w:val="auto"/>
              </w:rPr>
            </w:pPr>
          </w:p>
        </w:tc>
      </w:tr>
      <w:tr>
        <w:trPr>
          <w:trHeight w:val="243"/>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Cost of goods sold - restructuring inventory</w:t>
            </w: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12,674</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39,228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120,417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178,880</w:t>
            </w:r>
          </w:p>
        </w:tc>
        <w:tc>
          <w:tcPr>
            <w:tcW w:w="100" w:type="dxa"/>
            <w:vAlign w:val="bottom"/>
          </w:tcPr>
          <w:p>
            <w:pPr>
              <w:spacing w:after="0"/>
              <w:rPr>
                <w:sz w:val="20"/>
                <w:szCs w:val="20"/>
                <w:color w:val="auto"/>
              </w:rPr>
            </w:pPr>
          </w:p>
        </w:tc>
      </w:tr>
      <w:tr>
        <w:trPr>
          <w:trHeight w:val="24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8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45,457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58,745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155,997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236,285</w:t>
            </w:r>
          </w:p>
        </w:tc>
        <w:tc>
          <w:tcPr>
            <w:tcW w:w="100" w:type="dxa"/>
            <w:vAlign w:val="bottom"/>
          </w:tcPr>
          <w:p>
            <w:pPr>
              <w:spacing w:after="0"/>
              <w:rPr>
                <w:sz w:val="20"/>
                <w:szCs w:val="20"/>
                <w:color w:val="auto"/>
              </w:rPr>
            </w:pPr>
          </w:p>
        </w:tc>
      </w:tr>
      <w:tr>
        <w:trPr>
          <w:trHeight w:val="249"/>
        </w:trPr>
        <w:tc>
          <w:tcPr>
            <w:tcW w:w="4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25,172</w:t>
            </w:r>
          </w:p>
        </w:tc>
        <w:tc>
          <w:tcPr>
            <w:tcW w:w="100" w:type="dxa"/>
            <w:vAlign w:val="bottom"/>
            <w:shd w:val="clear" w:color="auto" w:fill="CFF0FC"/>
          </w:tcPr>
          <w:p>
            <w:pPr>
              <w:spacing w:after="0"/>
              <w:rPr>
                <w:sz w:val="21"/>
                <w:szCs w:val="21"/>
                <w:color w:val="auto"/>
              </w:rPr>
            </w:pPr>
          </w:p>
        </w:tc>
      </w:tr>
      <w:tr>
        <w:trPr>
          <w:trHeight w:val="237"/>
        </w:trPr>
        <w:tc>
          <w:tcPr>
            <w:tcW w:w="484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13,706</w:t>
            </w:r>
          </w:p>
        </w:tc>
        <w:tc>
          <w:tcPr>
            <w:tcW w:w="100" w:type="dxa"/>
            <w:vAlign w:val="bottom"/>
          </w:tcPr>
          <w:p>
            <w:pPr>
              <w:spacing w:after="0"/>
              <w:rPr>
                <w:sz w:val="20"/>
                <w:szCs w:val="20"/>
                <w:color w:val="auto"/>
              </w:rPr>
            </w:pPr>
          </w:p>
        </w:tc>
      </w:tr>
      <w:tr>
        <w:trPr>
          <w:trHeight w:val="237"/>
        </w:trPr>
        <w:tc>
          <w:tcPr>
            <w:tcW w:w="48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51,273</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68,003</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183,168</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275,163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 xml:space="preserve">(21,451 </w:t>
            </w:r>
            <w:r>
              <w:rPr>
                <w:rFonts w:ascii="Arial" w:cs="Arial" w:eastAsia="Arial" w:hAnsi="Arial"/>
                <w:sz w:val="18"/>
                <w:szCs w:val="18"/>
                <w:color w:val="auto"/>
                <w:highlight w:val="white"/>
              </w:rPr>
              <w:t>)</w:t>
            </w:r>
          </w:p>
        </w:tc>
        <w:tc>
          <w:tcPr>
            <w:tcW w:w="300" w:type="dxa"/>
            <w:vAlign w:val="bottom"/>
          </w:tcPr>
          <w:p>
            <w:pPr>
              <w:spacing w:after="0"/>
              <w:rPr>
                <w:sz w:val="20"/>
                <w:szCs w:val="20"/>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(5,144 </w:t>
            </w:r>
            <w:r>
              <w:rPr>
                <w:rFonts w:ascii="Arial" w:cs="Arial" w:eastAsia="Arial" w:hAnsi="Arial"/>
                <w:sz w:val="18"/>
                <w:szCs w:val="18"/>
                <w:color w:val="auto"/>
                <w:highlight w:val="white"/>
              </w:rPr>
              <w:t>)</w:t>
            </w:r>
          </w:p>
        </w:tc>
        <w:tc>
          <w:tcPr>
            <w:tcW w:w="260" w:type="dxa"/>
            <w:vAlign w:val="bottom"/>
          </w:tcPr>
          <w:p>
            <w:pPr>
              <w:spacing w:after="0"/>
              <w:rPr>
                <w:sz w:val="20"/>
                <w:szCs w:val="20"/>
                <w:color w:val="auto"/>
              </w:rPr>
            </w:pPr>
          </w:p>
        </w:tc>
        <w:tc>
          <w:tcPr>
            <w:tcW w:w="132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(62,751 </w:t>
            </w:r>
            <w:r>
              <w:rPr>
                <w:rFonts w:ascii="Arial" w:cs="Arial" w:eastAsia="Arial" w:hAnsi="Arial"/>
                <w:sz w:val="18"/>
                <w:szCs w:val="18"/>
                <w:color w:val="auto"/>
                <w:highlight w:val="white"/>
              </w:rPr>
              <w:t>)</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xml:space="preserve">(96,283 </w:t>
            </w:r>
            <w:r>
              <w:rPr>
                <w:rFonts w:ascii="Arial" w:cs="Arial" w:eastAsia="Arial" w:hAnsi="Arial"/>
                <w:sz w:val="18"/>
                <w:szCs w:val="18"/>
                <w:color w:val="auto"/>
                <w:highlight w:val="white"/>
              </w:rPr>
              <w:t>)</w:t>
            </w:r>
          </w:p>
        </w:tc>
      </w:tr>
      <w:tr>
        <w:trPr>
          <w:trHeight w:val="24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FF0FC"/>
          </w:tcPr>
          <w:p>
            <w:pPr>
              <w:spacing w:after="0"/>
              <w:rPr>
                <w:sz w:val="21"/>
                <w:szCs w:val="21"/>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(575 )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(1,990 )</w:t>
            </w:r>
          </w:p>
        </w:tc>
      </w:tr>
      <w:tr>
        <w:trPr>
          <w:trHeight w:val="24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 before taxes</w:t>
            </w:r>
          </w:p>
        </w:tc>
        <w:tc>
          <w:tcPr>
            <w:tcW w:w="2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(51,221</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(97,032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48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(501 )</w:t>
            </w:r>
          </w:p>
        </w:tc>
        <w:tc>
          <w:tcPr>
            <w:tcW w:w="300" w:type="dxa"/>
            <w:vAlign w:val="bottom"/>
          </w:tcPr>
          <w:p>
            <w:pPr>
              <w:spacing w:after="0"/>
              <w:rPr>
                <w:sz w:val="20"/>
                <w:szCs w:val="20"/>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(1,257 )</w:t>
            </w:r>
          </w:p>
        </w:tc>
        <w:tc>
          <w:tcPr>
            <w:tcW w:w="260" w:type="dxa"/>
            <w:vAlign w:val="bottom"/>
          </w:tcPr>
          <w:p>
            <w:pPr>
              <w:spacing w:after="0"/>
              <w:rPr>
                <w:sz w:val="20"/>
                <w:szCs w:val="20"/>
                <w:color w:val="auto"/>
              </w:rPr>
            </w:pPr>
          </w:p>
        </w:tc>
        <w:tc>
          <w:tcPr>
            <w:tcW w:w="1320" w:type="dxa"/>
            <w:vAlign w:val="bottom"/>
            <w:gridSpan w:val="2"/>
          </w:tcPr>
          <w:p>
            <w:pPr>
              <w:jc w:val="right"/>
              <w:ind w:right="101"/>
              <w:spacing w:after="0"/>
              <w:rPr>
                <w:sz w:val="20"/>
                <w:szCs w:val="20"/>
                <w:color w:val="auto"/>
              </w:rPr>
            </w:pPr>
            <w:r>
              <w:rPr>
                <w:rFonts w:ascii="Arial" w:cs="Arial" w:eastAsia="Arial" w:hAnsi="Arial"/>
                <w:sz w:val="18"/>
                <w:szCs w:val="18"/>
                <w:color w:val="auto"/>
              </w:rPr>
              <w:t>(2,110 )</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(9,627 )</w:t>
            </w:r>
          </w:p>
        </w:tc>
      </w:tr>
      <w:tr>
        <w:trPr>
          <w:trHeight w:val="276"/>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(53,331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Loss per share:</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4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(0.05 )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(0.01 )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(0.13 )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(0.27 )</w:t>
            </w:r>
          </w:p>
        </w:tc>
      </w:tr>
      <w:tr>
        <w:trPr>
          <w:trHeight w:val="237"/>
        </w:trPr>
        <w:tc>
          <w:tcPr>
            <w:tcW w:w="48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(0.05 )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(0.01 )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1"/>
              <w:spacing w:after="0"/>
              <w:rPr>
                <w:sz w:val="20"/>
                <w:szCs w:val="20"/>
                <w:color w:val="auto"/>
              </w:rPr>
            </w:pPr>
            <w:r>
              <w:rPr>
                <w:rFonts w:ascii="Arial" w:cs="Arial" w:eastAsia="Arial" w:hAnsi="Arial"/>
                <w:sz w:val="18"/>
                <w:szCs w:val="18"/>
                <w:color w:val="auto"/>
              </w:rPr>
              <w:t>(0.13 )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(0.27 )</w:t>
            </w:r>
          </w:p>
        </w:tc>
      </w:tr>
      <w:tr>
        <w:trPr>
          <w:trHeight w:val="24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84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408,417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404,614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407,489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399,944</w:t>
            </w:r>
          </w:p>
        </w:tc>
        <w:tc>
          <w:tcPr>
            <w:tcW w:w="100" w:type="dxa"/>
            <w:vAlign w:val="bottom"/>
          </w:tcPr>
          <w:p>
            <w:pPr>
              <w:spacing w:after="0"/>
              <w:rPr>
                <w:sz w:val="20"/>
                <w:szCs w:val="20"/>
                <w:color w:val="auto"/>
              </w:rPr>
            </w:pPr>
          </w:p>
        </w:tc>
      </w:tr>
      <w:tr>
        <w:trPr>
          <w:trHeight w:val="249"/>
        </w:trPr>
        <w:tc>
          <w:tcPr>
            <w:tcW w:w="4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408,417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404,614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407,489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399,944</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-2853690</wp:posOffset>
            </wp:positionV>
            <wp:extent cx="774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-2853690</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-2853690</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-2853690</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-950595</wp:posOffset>
            </wp:positionV>
            <wp:extent cx="311150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00" cy="179705"/>
                    </a:xfrm>
                    <a:prstGeom prst="rect">
                      <a:avLst/>
                    </a:prstGeom>
                    <a:noFill/>
                  </pic:spPr>
                </pic:pic>
              </a:graphicData>
            </a:graphic>
          </wp:anchor>
        </w:drawing>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37"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Common</w:t>
            </w:r>
          </w:p>
        </w:tc>
        <w:tc>
          <w:tcPr>
            <w:tcW w:w="260" w:type="dxa"/>
            <w:vAlign w:val="bottom"/>
          </w:tcPr>
          <w:p>
            <w:pPr>
              <w:spacing w:after="0"/>
              <w:rPr>
                <w:sz w:val="12"/>
                <w:szCs w:val="12"/>
                <w:color w:val="auto"/>
              </w:rPr>
            </w:pPr>
          </w:p>
        </w:tc>
        <w:tc>
          <w:tcPr>
            <w:tcW w:w="132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94"/>
              </w:rPr>
              <w:t>Treasury</w:t>
            </w:r>
          </w:p>
        </w:tc>
        <w:tc>
          <w:tcPr>
            <w:tcW w:w="140" w:type="dxa"/>
            <w:vAlign w:val="bottom"/>
          </w:tcPr>
          <w:p>
            <w:pPr>
              <w:spacing w:after="0"/>
              <w:rPr>
                <w:sz w:val="12"/>
                <w:szCs w:val="12"/>
                <w:color w:val="auto"/>
              </w:rPr>
            </w:pPr>
          </w:p>
        </w:tc>
        <w:tc>
          <w:tcPr>
            <w:tcW w:w="760" w:type="dxa"/>
            <w:vAlign w:val="bottom"/>
          </w:tcPr>
          <w:p>
            <w:pPr>
              <w:jc w:val="center"/>
              <w:ind w:right="69"/>
              <w:spacing w:after="0"/>
              <w:rPr>
                <w:sz w:val="20"/>
                <w:szCs w:val="20"/>
                <w:color w:val="auto"/>
              </w:rPr>
            </w:pPr>
            <w:r>
              <w:rPr>
                <w:rFonts w:ascii="Arial" w:cs="Arial" w:eastAsia="Arial" w:hAnsi="Arial"/>
                <w:sz w:val="13"/>
                <w:szCs w:val="13"/>
                <w:b w:val="1"/>
                <w:bCs w:val="1"/>
                <w:color w:val="auto"/>
                <w:w w:val="95"/>
              </w:rPr>
              <w:t>Common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980" w:type="dxa"/>
            <w:vAlign w:val="bottom"/>
            <w:gridSpan w:val="2"/>
          </w:tcPr>
          <w:p>
            <w:pPr>
              <w:jc w:val="center"/>
              <w:ind w:right="268"/>
              <w:spacing w:after="0"/>
              <w:rPr>
                <w:sz w:val="20"/>
                <w:szCs w:val="20"/>
                <w:color w:val="auto"/>
              </w:rPr>
            </w:pPr>
            <w:r>
              <w:rPr>
                <w:rFonts w:ascii="Arial" w:cs="Arial" w:eastAsia="Arial" w:hAnsi="Arial"/>
                <w:sz w:val="13"/>
                <w:szCs w:val="13"/>
                <w:b w:val="1"/>
                <w:bCs w:val="1"/>
                <w:color w:val="auto"/>
                <w:w w:val="94"/>
              </w:rPr>
              <w:t>Treasury</w:t>
            </w:r>
          </w:p>
        </w:tc>
        <w:tc>
          <w:tcPr>
            <w:tcW w:w="100" w:type="dxa"/>
            <w:vAlign w:val="bottom"/>
          </w:tcPr>
          <w:p>
            <w:pPr>
              <w:spacing w:after="0"/>
              <w:rPr>
                <w:sz w:val="12"/>
                <w:szCs w:val="12"/>
                <w:color w:val="auto"/>
              </w:rPr>
            </w:pPr>
          </w:p>
        </w:tc>
        <w:tc>
          <w:tcPr>
            <w:tcW w:w="1100" w:type="dxa"/>
            <w:vAlign w:val="bottom"/>
            <w:gridSpan w:val="2"/>
          </w:tcPr>
          <w:p>
            <w:pPr>
              <w:jc w:val="center"/>
              <w:ind w:right="248"/>
              <w:spacing w:after="0"/>
              <w:rPr>
                <w:sz w:val="20"/>
                <w:szCs w:val="20"/>
                <w:color w:val="auto"/>
              </w:rPr>
            </w:pPr>
            <w:r>
              <w:rPr>
                <w:rFonts w:ascii="Arial" w:cs="Arial" w:eastAsia="Arial" w:hAnsi="Arial"/>
                <w:sz w:val="13"/>
                <w:szCs w:val="13"/>
                <w:b w:val="1"/>
                <w:bCs w:val="1"/>
                <w:color w:val="auto"/>
                <w:w w:val="95"/>
              </w:rPr>
              <w:t>Accumulated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Shares</w:t>
            </w:r>
          </w:p>
        </w:tc>
        <w:tc>
          <w:tcPr>
            <w:tcW w:w="260" w:type="dxa"/>
            <w:vAlign w:val="bottom"/>
          </w:tcPr>
          <w:p>
            <w:pPr>
              <w:spacing w:after="0"/>
              <w:rPr>
                <w:sz w:val="15"/>
                <w:szCs w:val="15"/>
                <w:color w:val="auto"/>
              </w:rPr>
            </w:pPr>
          </w:p>
        </w:tc>
        <w:tc>
          <w:tcPr>
            <w:tcW w:w="1320" w:type="dxa"/>
            <w:vAlign w:val="bottom"/>
            <w:gridSpan w:val="2"/>
          </w:tcPr>
          <w:p>
            <w:pPr>
              <w:jc w:val="center"/>
              <w:ind w:right="188"/>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5"/>
                <w:szCs w:val="15"/>
                <w:color w:val="auto"/>
              </w:rPr>
            </w:pPr>
          </w:p>
        </w:tc>
        <w:tc>
          <w:tcPr>
            <w:tcW w:w="760" w:type="dxa"/>
            <w:vAlign w:val="bottom"/>
          </w:tcPr>
          <w:p>
            <w:pPr>
              <w:jc w:val="center"/>
              <w:ind w:right="89"/>
              <w:spacing w:after="0"/>
              <w:rPr>
                <w:sz w:val="20"/>
                <w:szCs w:val="20"/>
                <w:color w:val="auto"/>
              </w:rPr>
            </w:pPr>
            <w:r>
              <w:rPr>
                <w:rFonts w:ascii="Arial" w:cs="Arial" w:eastAsia="Arial" w:hAnsi="Arial"/>
                <w:sz w:val="13"/>
                <w:szCs w:val="13"/>
                <w:b w:val="1"/>
                <w:bCs w:val="1"/>
                <w:color w:val="auto"/>
                <w:w w:val="90"/>
              </w:rPr>
              <w:t>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980" w:type="dxa"/>
            <w:vAlign w:val="bottom"/>
            <w:gridSpan w:val="2"/>
          </w:tcPr>
          <w:p>
            <w:pPr>
              <w:jc w:val="center"/>
              <w:ind w:right="268"/>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1100" w:type="dxa"/>
            <w:vAlign w:val="bottom"/>
            <w:gridSpan w:val="2"/>
          </w:tcPr>
          <w:p>
            <w:pPr>
              <w:jc w:val="center"/>
              <w:ind w:right="248"/>
              <w:spacing w:after="0"/>
              <w:rPr>
                <w:sz w:val="20"/>
                <w:szCs w:val="20"/>
                <w:color w:val="auto"/>
              </w:rPr>
            </w:pPr>
            <w:r>
              <w:rPr>
                <w:rFonts w:ascii="Arial" w:cs="Arial" w:eastAsia="Arial" w:hAnsi="Arial"/>
                <w:sz w:val="13"/>
                <w:szCs w:val="13"/>
                <w:b w:val="1"/>
                <w:bCs w:val="1"/>
                <w:color w:val="auto"/>
                <w:w w:val="95"/>
              </w:rPr>
              <w:t>Deficit</w:t>
            </w: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2022</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412,333,087</w:t>
            </w:r>
          </w:p>
        </w:tc>
        <w:tc>
          <w:tcPr>
            <w:tcW w:w="26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(7,986,831</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299,002</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1,885,352</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(61,770</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(1,527,251</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595,333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4"/>
                <w:szCs w:val="14"/>
                <w:color w:val="auto"/>
              </w:rPr>
              <w:t>1,232,263</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2,514,948</w:t>
            </w:r>
          </w:p>
        </w:tc>
        <w:tc>
          <w:tcPr>
            <w:tcW w:w="15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(827,523 )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(1,539 )</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(1,507 )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(1,507 )</w:t>
            </w: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5,556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for the period</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(16,460 )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(16,460 )</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March 31, 2023</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416,080,298</w:t>
            </w:r>
          </w:p>
        </w:tc>
        <w:tc>
          <w:tcPr>
            <w:tcW w:w="260" w:type="dxa"/>
            <w:vAlign w:val="bottom"/>
          </w:tcPr>
          <w:p>
            <w:pPr>
              <w:spacing w:after="0"/>
              <w:rPr>
                <w:sz w:val="14"/>
                <w:szCs w:val="14"/>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(8,814,354 )</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301,285</w:t>
            </w: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1,890,496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(63,277 )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(1,543,711 )</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584,793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840" w:type="dxa"/>
            <w:vAlign w:val="bottom"/>
            <w:shd w:val="clear" w:color="auto" w:fill="CFF0FC"/>
          </w:tcPr>
          <w:p>
            <w:pPr>
              <w:ind w:left="20"/>
              <w:spacing w:after="0" w:line="124" w:lineRule="exact"/>
              <w:rPr>
                <w:sz w:val="20"/>
                <w:szCs w:val="20"/>
                <w:color w:val="auto"/>
              </w:rPr>
            </w:pPr>
            <w:r>
              <w:rPr>
                <w:rFonts w:ascii="Arial" w:cs="Arial" w:eastAsia="Arial" w:hAnsi="Arial"/>
                <w:sz w:val="14"/>
                <w:szCs w:val="14"/>
                <w:color w:val="auto"/>
              </w:rPr>
              <w:t>Issuance of common stock under employee</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205,861</w:t>
            </w:r>
          </w:p>
        </w:tc>
        <w:tc>
          <w:tcPr>
            <w:tcW w:w="260" w:type="dxa"/>
            <w:vAlign w:val="bottom"/>
            <w:shd w:val="clear" w:color="auto" w:fill="CFF0FC"/>
          </w:tcPr>
          <w:p>
            <w:pPr>
              <w:spacing w:after="0"/>
              <w:rPr>
                <w:sz w:val="10"/>
                <w:szCs w:val="10"/>
                <w:color w:val="auto"/>
              </w:rPr>
            </w:pPr>
          </w:p>
        </w:tc>
        <w:tc>
          <w:tcPr>
            <w:tcW w:w="1320" w:type="dxa"/>
            <w:vAlign w:val="bottom"/>
            <w:gridSpan w:val="2"/>
            <w:vMerge w:val="restart"/>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84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stock purchase plan</w:t>
            </w:r>
          </w:p>
        </w:tc>
        <w:tc>
          <w:tcPr>
            <w:tcW w:w="110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20" w:type="dxa"/>
            <w:vAlign w:val="bottom"/>
            <w:gridSpan w:val="2"/>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100" w:type="dxa"/>
            <w:vAlign w:val="bottom"/>
            <w:gridSpan w:val="2"/>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840" w:type="dxa"/>
            <w:vAlign w:val="bottom"/>
            <w:vMerge w:val="continue"/>
            <w:shd w:val="clear" w:color="auto" w:fill="CFF0FC"/>
          </w:tcPr>
          <w:p>
            <w:pPr>
              <w:spacing w:after="0"/>
              <w:rPr>
                <w:sz w:val="6"/>
                <w:szCs w:val="6"/>
                <w:color w:val="auto"/>
              </w:rPr>
            </w:pPr>
          </w:p>
        </w:tc>
        <w:tc>
          <w:tcPr>
            <w:tcW w:w="110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4"/>
                <w:szCs w:val="14"/>
                <w:color w:val="auto"/>
              </w:rPr>
              <w:t>6,000</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800,242</w:t>
            </w:r>
          </w:p>
        </w:tc>
        <w:tc>
          <w:tcPr>
            <w:tcW w:w="15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(144,240 )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(490 )</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(187 )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(187 )</w:t>
            </w: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for the period</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(17,560 )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(17,560 )</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June 30, 2023</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417,092,401</w:t>
            </w:r>
          </w:p>
        </w:tc>
        <w:tc>
          <w:tcPr>
            <w:tcW w:w="260" w:type="dxa"/>
            <w:vAlign w:val="bottom"/>
          </w:tcPr>
          <w:p>
            <w:pPr>
              <w:spacing w:after="0"/>
              <w:rPr>
                <w:sz w:val="14"/>
                <w:szCs w:val="14"/>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(8,958,594 )</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301,906</w:t>
            </w: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1,891,957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(63,464 )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(1,561,271 )</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569,128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Exercise of stock options</w:t>
            </w:r>
          </w:p>
        </w:tc>
        <w:tc>
          <w:tcPr>
            <w:tcW w:w="11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1,500</w:t>
            </w: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4"/>
                <w:szCs w:val="14"/>
                <w:color w:val="auto"/>
              </w:rPr>
              <w:t>651,057</w:t>
            </w:r>
          </w:p>
        </w:tc>
        <w:tc>
          <w:tcPr>
            <w:tcW w:w="1580" w:type="dxa"/>
            <w:vAlign w:val="bottom"/>
            <w:gridSpan w:val="3"/>
          </w:tcPr>
          <w:p>
            <w:pPr>
              <w:jc w:val="right"/>
              <w:ind w:right="108"/>
              <w:spacing w:after="0"/>
              <w:rPr>
                <w:sz w:val="20"/>
                <w:szCs w:val="20"/>
                <w:color w:val="auto"/>
              </w:rPr>
            </w:pPr>
            <w:r>
              <w:rPr>
                <w:rFonts w:ascii="Arial" w:cs="Arial" w:eastAsia="Arial" w:hAnsi="Arial"/>
                <w:sz w:val="14"/>
                <w:szCs w:val="14"/>
                <w:color w:val="auto"/>
              </w:rPr>
              <w:t>(235,344 )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(411 )</w:t>
            </w:r>
          </w:p>
        </w:tc>
        <w:tc>
          <w:tcPr>
            <w:tcW w:w="120" w:type="dxa"/>
            <w:vAlign w:val="bottom"/>
          </w:tcPr>
          <w:p>
            <w:pPr>
              <w:spacing w:after="0"/>
              <w:rPr>
                <w:sz w:val="15"/>
                <w:szCs w:val="15"/>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(279 )</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(279 )</w:t>
            </w: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rPr>
                <w:sz w:val="20"/>
                <w:szCs w:val="20"/>
                <w:color w:val="auto"/>
              </w:rPr>
            </w:pPr>
            <w:r>
              <w:rPr>
                <w:rFonts w:ascii="Arial" w:cs="Arial" w:eastAsia="Arial" w:hAnsi="Arial"/>
                <w:sz w:val="14"/>
                <w:szCs w:val="14"/>
                <w:color w:val="auto"/>
              </w:rPr>
              <w:t>Loss for the period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(19,311 )</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(19,311 )</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September 30, 2023</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417,744,958</w:t>
            </w: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(9,193,938</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302,318</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1,895,155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(63,743</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(1,580,582</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553,148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Common</w:t>
            </w:r>
          </w:p>
        </w:tc>
        <w:tc>
          <w:tcPr>
            <w:tcW w:w="260" w:type="dxa"/>
            <w:vAlign w:val="bottom"/>
          </w:tcPr>
          <w:p>
            <w:pPr>
              <w:spacing w:after="0"/>
              <w:rPr>
                <w:sz w:val="12"/>
                <w:szCs w:val="12"/>
                <w:color w:val="auto"/>
              </w:rPr>
            </w:pPr>
          </w:p>
        </w:tc>
        <w:tc>
          <w:tcPr>
            <w:tcW w:w="132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94"/>
              </w:rPr>
              <w:t>Treasury</w:t>
            </w:r>
          </w:p>
        </w:tc>
        <w:tc>
          <w:tcPr>
            <w:tcW w:w="140" w:type="dxa"/>
            <w:vAlign w:val="bottom"/>
          </w:tcPr>
          <w:p>
            <w:pPr>
              <w:spacing w:after="0"/>
              <w:rPr>
                <w:sz w:val="12"/>
                <w:szCs w:val="12"/>
                <w:color w:val="auto"/>
              </w:rPr>
            </w:pPr>
          </w:p>
        </w:tc>
        <w:tc>
          <w:tcPr>
            <w:tcW w:w="760" w:type="dxa"/>
            <w:vAlign w:val="bottom"/>
          </w:tcPr>
          <w:p>
            <w:pPr>
              <w:jc w:val="center"/>
              <w:ind w:right="69"/>
              <w:spacing w:after="0"/>
              <w:rPr>
                <w:sz w:val="20"/>
                <w:szCs w:val="20"/>
                <w:color w:val="auto"/>
              </w:rPr>
            </w:pPr>
            <w:r>
              <w:rPr>
                <w:rFonts w:ascii="Arial" w:cs="Arial" w:eastAsia="Arial" w:hAnsi="Arial"/>
                <w:sz w:val="13"/>
                <w:szCs w:val="13"/>
                <w:b w:val="1"/>
                <w:bCs w:val="1"/>
                <w:color w:val="auto"/>
                <w:w w:val="95"/>
              </w:rPr>
              <w:t>Common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980" w:type="dxa"/>
            <w:vAlign w:val="bottom"/>
            <w:gridSpan w:val="2"/>
          </w:tcPr>
          <w:p>
            <w:pPr>
              <w:jc w:val="center"/>
              <w:ind w:right="268"/>
              <w:spacing w:after="0"/>
              <w:rPr>
                <w:sz w:val="20"/>
                <w:szCs w:val="20"/>
                <w:color w:val="auto"/>
              </w:rPr>
            </w:pPr>
            <w:r>
              <w:rPr>
                <w:rFonts w:ascii="Arial" w:cs="Arial" w:eastAsia="Arial" w:hAnsi="Arial"/>
                <w:sz w:val="13"/>
                <w:szCs w:val="13"/>
                <w:b w:val="1"/>
                <w:bCs w:val="1"/>
                <w:color w:val="auto"/>
                <w:w w:val="94"/>
              </w:rPr>
              <w:t>Treasury</w:t>
            </w:r>
          </w:p>
        </w:tc>
        <w:tc>
          <w:tcPr>
            <w:tcW w:w="100" w:type="dxa"/>
            <w:vAlign w:val="bottom"/>
          </w:tcPr>
          <w:p>
            <w:pPr>
              <w:spacing w:after="0"/>
              <w:rPr>
                <w:sz w:val="12"/>
                <w:szCs w:val="12"/>
                <w:color w:val="auto"/>
              </w:rPr>
            </w:pPr>
          </w:p>
        </w:tc>
        <w:tc>
          <w:tcPr>
            <w:tcW w:w="1100" w:type="dxa"/>
            <w:vAlign w:val="bottom"/>
            <w:gridSpan w:val="2"/>
          </w:tcPr>
          <w:p>
            <w:pPr>
              <w:jc w:val="center"/>
              <w:ind w:right="248"/>
              <w:spacing w:after="0"/>
              <w:rPr>
                <w:sz w:val="20"/>
                <w:szCs w:val="20"/>
                <w:color w:val="auto"/>
              </w:rPr>
            </w:pPr>
            <w:r>
              <w:rPr>
                <w:rFonts w:ascii="Arial" w:cs="Arial" w:eastAsia="Arial" w:hAnsi="Arial"/>
                <w:sz w:val="13"/>
                <w:szCs w:val="13"/>
                <w:b w:val="1"/>
                <w:bCs w:val="1"/>
                <w:color w:val="auto"/>
                <w:w w:val="95"/>
              </w:rPr>
              <w:t>Accumulated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Shares</w:t>
            </w:r>
          </w:p>
        </w:tc>
        <w:tc>
          <w:tcPr>
            <w:tcW w:w="260" w:type="dxa"/>
            <w:vAlign w:val="bottom"/>
          </w:tcPr>
          <w:p>
            <w:pPr>
              <w:spacing w:after="0"/>
              <w:rPr>
                <w:sz w:val="15"/>
                <w:szCs w:val="15"/>
                <w:color w:val="auto"/>
              </w:rPr>
            </w:pPr>
          </w:p>
        </w:tc>
        <w:tc>
          <w:tcPr>
            <w:tcW w:w="1320" w:type="dxa"/>
            <w:vAlign w:val="bottom"/>
            <w:gridSpan w:val="2"/>
          </w:tcPr>
          <w:p>
            <w:pPr>
              <w:jc w:val="center"/>
              <w:ind w:right="188"/>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5"/>
                <w:szCs w:val="15"/>
                <w:color w:val="auto"/>
              </w:rPr>
            </w:pPr>
          </w:p>
        </w:tc>
        <w:tc>
          <w:tcPr>
            <w:tcW w:w="760" w:type="dxa"/>
            <w:vAlign w:val="bottom"/>
          </w:tcPr>
          <w:p>
            <w:pPr>
              <w:jc w:val="center"/>
              <w:ind w:right="89"/>
              <w:spacing w:after="0"/>
              <w:rPr>
                <w:sz w:val="20"/>
                <w:szCs w:val="20"/>
                <w:color w:val="auto"/>
              </w:rPr>
            </w:pPr>
            <w:r>
              <w:rPr>
                <w:rFonts w:ascii="Arial" w:cs="Arial" w:eastAsia="Arial" w:hAnsi="Arial"/>
                <w:sz w:val="13"/>
                <w:szCs w:val="13"/>
                <w:b w:val="1"/>
                <w:bCs w:val="1"/>
                <w:color w:val="auto"/>
                <w:w w:val="90"/>
              </w:rPr>
              <w:t>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980" w:type="dxa"/>
            <w:vAlign w:val="bottom"/>
            <w:gridSpan w:val="2"/>
          </w:tcPr>
          <w:p>
            <w:pPr>
              <w:jc w:val="center"/>
              <w:ind w:right="268"/>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1100" w:type="dxa"/>
            <w:vAlign w:val="bottom"/>
            <w:gridSpan w:val="2"/>
          </w:tcPr>
          <w:p>
            <w:pPr>
              <w:jc w:val="center"/>
              <w:ind w:right="248"/>
              <w:spacing w:after="0"/>
              <w:rPr>
                <w:sz w:val="20"/>
                <w:szCs w:val="20"/>
                <w:color w:val="auto"/>
              </w:rPr>
            </w:pPr>
            <w:r>
              <w:rPr>
                <w:rFonts w:ascii="Arial" w:cs="Arial" w:eastAsia="Arial" w:hAnsi="Arial"/>
                <w:sz w:val="13"/>
                <w:szCs w:val="13"/>
                <w:b w:val="1"/>
                <w:bCs w:val="1"/>
                <w:color w:val="auto"/>
                <w:w w:val="95"/>
              </w:rPr>
              <w:t>Deficit</w:t>
            </w: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404,084,775</w:t>
            </w:r>
          </w:p>
        </w:tc>
        <w:tc>
          <w:tcPr>
            <w:tcW w:w="26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(7,486,767</w:t>
            </w:r>
          </w:p>
        </w:tc>
        <w:tc>
          <w:tcPr>
            <w:tcW w:w="240" w:type="dxa"/>
            <w:vAlign w:val="bottom"/>
          </w:tcPr>
          <w:p>
            <w:pPr>
              <w:jc w:val="right"/>
              <w:ind w:right="108"/>
              <w:spacing w:after="0"/>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294,027</w:t>
            </w:r>
          </w:p>
        </w:tc>
        <w:tc>
          <w:tcPr>
            <w:tcW w:w="2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1,855,246</w:t>
            </w:r>
          </w:p>
        </w:tc>
        <w:tc>
          <w:tcPr>
            <w:tcW w:w="2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(60,726</w:t>
            </w:r>
          </w:p>
        </w:tc>
        <w:tc>
          <w:tcPr>
            <w:tcW w:w="220" w:type="dxa"/>
            <w:vAlign w:val="bottom"/>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(1,421,448</w:t>
            </w:r>
          </w:p>
        </w:tc>
        <w:tc>
          <w:tcPr>
            <w:tcW w:w="220" w:type="dxa"/>
            <w:vAlign w:val="bottom"/>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667,099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10,602</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4"/>
                <w:szCs w:val="14"/>
                <w:color w:val="auto"/>
              </w:rPr>
              <w:t>493,381</w:t>
            </w:r>
          </w:p>
        </w:tc>
        <w:tc>
          <w:tcPr>
            <w:tcW w:w="1580" w:type="dxa"/>
            <w:vAlign w:val="bottom"/>
            <w:gridSpan w:val="3"/>
          </w:tcPr>
          <w:p>
            <w:pPr>
              <w:jc w:val="right"/>
              <w:ind w:right="108"/>
              <w:spacing w:after="0"/>
              <w:rPr>
                <w:sz w:val="20"/>
                <w:szCs w:val="20"/>
                <w:color w:val="auto"/>
              </w:rPr>
            </w:pPr>
            <w:r>
              <w:rPr>
                <w:rFonts w:ascii="Arial" w:cs="Arial" w:eastAsia="Arial" w:hAnsi="Arial"/>
                <w:sz w:val="14"/>
                <w:szCs w:val="14"/>
                <w:color w:val="auto"/>
              </w:rPr>
              <w:t>(161,083 )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(331 )</w:t>
            </w:r>
          </w:p>
        </w:tc>
        <w:tc>
          <w:tcPr>
            <w:tcW w:w="120" w:type="dxa"/>
            <w:vAlign w:val="bottom"/>
          </w:tcPr>
          <w:p>
            <w:pPr>
              <w:spacing w:after="0"/>
              <w:rPr>
                <w:sz w:val="15"/>
                <w:szCs w:val="15"/>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(535 )</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(535 )</w:t>
            </w: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Arial" w:cs="Arial" w:eastAsia="Arial" w:hAnsi="Arial"/>
                <w:sz w:val="14"/>
                <w:szCs w:val="14"/>
                <w:color w:val="auto"/>
              </w:rPr>
              <w:t>Loss for the period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(31,563 )</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(31,563 )</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March 31,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404,588,758</w:t>
            </w: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(7,647,850</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294,364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1,861,017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(61,261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(1,453,011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641,109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840" w:type="dxa"/>
            <w:vAlign w:val="bottom"/>
          </w:tcPr>
          <w:p>
            <w:pPr>
              <w:ind w:left="20"/>
              <w:spacing w:after="0" w:line="124" w:lineRule="exact"/>
              <w:rPr>
                <w:sz w:val="20"/>
                <w:szCs w:val="20"/>
                <w:color w:val="auto"/>
              </w:rPr>
            </w:pPr>
            <w:r>
              <w:rPr>
                <w:rFonts w:ascii="Arial" w:cs="Arial" w:eastAsia="Arial" w:hAnsi="Arial"/>
                <w:sz w:val="14"/>
                <w:szCs w:val="14"/>
                <w:color w:val="auto"/>
              </w:rPr>
              <w:t>Issuance of common stock under employee</w:t>
            </w: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rPr>
                <w:sz w:val="20"/>
                <w:szCs w:val="20"/>
                <w:color w:val="auto"/>
              </w:rPr>
            </w:pPr>
            <w:r>
              <w:rPr>
                <w:rFonts w:ascii="Arial" w:cs="Arial" w:eastAsia="Arial" w:hAnsi="Arial"/>
                <w:sz w:val="14"/>
                <w:szCs w:val="14"/>
                <w:color w:val="auto"/>
              </w:rPr>
              <w:t>stock purchase plan</w:t>
            </w:r>
          </w:p>
        </w:tc>
        <w:tc>
          <w:tcPr>
            <w:tcW w:w="1100" w:type="dxa"/>
            <w:vAlign w:val="bottom"/>
          </w:tcPr>
          <w:p>
            <w:pPr>
              <w:jc w:val="right"/>
              <w:spacing w:after="0"/>
              <w:rPr>
                <w:sz w:val="20"/>
                <w:szCs w:val="20"/>
                <w:color w:val="auto"/>
              </w:rPr>
            </w:pPr>
            <w:r>
              <w:rPr>
                <w:rFonts w:ascii="Arial" w:cs="Arial" w:eastAsia="Arial" w:hAnsi="Arial"/>
                <w:sz w:val="14"/>
                <w:szCs w:val="14"/>
                <w:color w:val="auto"/>
              </w:rPr>
              <w:t>265,214</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14,645</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4"/>
                <w:szCs w:val="14"/>
                <w:color w:val="auto"/>
              </w:rPr>
              <w:t>187,835</w:t>
            </w:r>
          </w:p>
        </w:tc>
        <w:tc>
          <w:tcPr>
            <w:tcW w:w="1580" w:type="dxa"/>
            <w:vAlign w:val="bottom"/>
            <w:gridSpan w:val="3"/>
          </w:tcPr>
          <w:p>
            <w:pPr>
              <w:jc w:val="right"/>
              <w:ind w:right="108"/>
              <w:spacing w:after="0"/>
              <w:rPr>
                <w:sz w:val="20"/>
                <w:szCs w:val="20"/>
                <w:color w:val="auto"/>
              </w:rPr>
            </w:pPr>
            <w:r>
              <w:rPr>
                <w:rFonts w:ascii="Arial" w:cs="Arial" w:eastAsia="Arial" w:hAnsi="Arial"/>
                <w:sz w:val="14"/>
                <w:szCs w:val="14"/>
                <w:color w:val="auto"/>
              </w:rPr>
              <w:t>(61,551 )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(120 )</w:t>
            </w:r>
          </w:p>
        </w:tc>
        <w:tc>
          <w:tcPr>
            <w:tcW w:w="120" w:type="dxa"/>
            <w:vAlign w:val="bottom"/>
          </w:tcPr>
          <w:p>
            <w:pPr>
              <w:spacing w:after="0"/>
              <w:rPr>
                <w:sz w:val="15"/>
                <w:szCs w:val="15"/>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(158 )</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8,646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Arial" w:cs="Arial" w:eastAsia="Arial" w:hAnsi="Arial"/>
                <w:sz w:val="14"/>
                <w:szCs w:val="14"/>
                <w:color w:val="auto"/>
              </w:rPr>
              <w:t>Loss for the period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(69,956 )</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(69,956 )</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405,056,452</w:t>
            </w: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(7,709,401</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294,659</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1,869,770</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(61,419</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(1,522,967</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580,043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840" w:type="dxa"/>
            <w:vAlign w:val="bottom"/>
          </w:tcPr>
          <w:p>
            <w:pPr>
              <w:ind w:left="20"/>
              <w:spacing w:after="0" w:line="124" w:lineRule="exact"/>
              <w:rPr>
                <w:sz w:val="20"/>
                <w:szCs w:val="20"/>
                <w:color w:val="auto"/>
              </w:rPr>
            </w:pPr>
            <w:r>
              <w:rPr>
                <w:rFonts w:ascii="Arial" w:cs="Arial" w:eastAsia="Arial" w:hAnsi="Arial"/>
                <w:sz w:val="14"/>
                <w:szCs w:val="14"/>
                <w:color w:val="auto"/>
              </w:rPr>
              <w:t>Issuance of common stock for milestone</w:t>
            </w: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rPr>
                <w:sz w:val="20"/>
                <w:szCs w:val="20"/>
                <w:color w:val="auto"/>
              </w:rPr>
            </w:pPr>
            <w:r>
              <w:rPr>
                <w:rFonts w:ascii="Arial" w:cs="Arial" w:eastAsia="Arial" w:hAnsi="Arial"/>
                <w:sz w:val="14"/>
                <w:szCs w:val="14"/>
                <w:color w:val="auto"/>
              </w:rPr>
              <w:t>payment</w:t>
            </w:r>
          </w:p>
        </w:tc>
        <w:tc>
          <w:tcPr>
            <w:tcW w:w="1100" w:type="dxa"/>
            <w:vAlign w:val="bottom"/>
          </w:tcPr>
          <w:p>
            <w:pPr>
              <w:jc w:val="right"/>
              <w:spacing w:after="0"/>
              <w:rPr>
                <w:sz w:val="20"/>
                <w:szCs w:val="20"/>
                <w:color w:val="auto"/>
              </w:rPr>
            </w:pPr>
            <w:r>
              <w:rPr>
                <w:rFonts w:ascii="Arial" w:cs="Arial" w:eastAsia="Arial" w:hAnsi="Arial"/>
                <w:sz w:val="14"/>
                <w:szCs w:val="14"/>
                <w:color w:val="auto"/>
              </w:rPr>
              <w:t>5,817,942</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3,461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4,742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8,056</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4"/>
                <w:szCs w:val="14"/>
                <w:color w:val="auto"/>
              </w:rPr>
              <w:t>777,590</w:t>
            </w:r>
          </w:p>
        </w:tc>
        <w:tc>
          <w:tcPr>
            <w:tcW w:w="1580" w:type="dxa"/>
            <w:vAlign w:val="bottom"/>
            <w:gridSpan w:val="3"/>
          </w:tcPr>
          <w:p>
            <w:pPr>
              <w:jc w:val="right"/>
              <w:ind w:right="108"/>
              <w:spacing w:after="0"/>
              <w:rPr>
                <w:sz w:val="20"/>
                <w:szCs w:val="20"/>
                <w:color w:val="auto"/>
              </w:rPr>
            </w:pPr>
            <w:r>
              <w:rPr>
                <w:rFonts w:ascii="Arial" w:cs="Arial" w:eastAsia="Arial" w:hAnsi="Arial"/>
                <w:sz w:val="14"/>
                <w:szCs w:val="14"/>
                <w:color w:val="auto"/>
              </w:rPr>
              <w:t>(121,684 )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(471 )</w:t>
            </w:r>
          </w:p>
        </w:tc>
        <w:tc>
          <w:tcPr>
            <w:tcW w:w="120" w:type="dxa"/>
            <w:vAlign w:val="bottom"/>
          </w:tcPr>
          <w:p>
            <w:pPr>
              <w:spacing w:after="0"/>
              <w:rPr>
                <w:sz w:val="15"/>
                <w:szCs w:val="15"/>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(166 )</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Arial" w:cs="Arial" w:eastAsia="Arial" w:hAnsi="Arial"/>
                <w:sz w:val="14"/>
                <w:szCs w:val="14"/>
                <w:color w:val="auto"/>
              </w:rPr>
              <w:t>Loss for the period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(5,140 )</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(5,140 )</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September 30,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411,660,040</w:t>
            </w: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(7,831,085</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298,596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1,878,923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(61,585</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(1,528,107</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587,827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-4276725</wp:posOffset>
            </wp:positionV>
            <wp:extent cx="7747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-4276725</wp:posOffset>
            </wp:positionV>
            <wp:extent cx="7747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-4276725</wp:posOffset>
            </wp:positionV>
            <wp:extent cx="6858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-4276725</wp:posOffset>
            </wp:positionV>
            <wp:extent cx="6858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-4276725</wp:posOffset>
            </wp:positionV>
            <wp:extent cx="6858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-4276725</wp:posOffset>
            </wp:positionV>
            <wp:extent cx="6858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-4276725</wp:posOffset>
            </wp:positionV>
            <wp:extent cx="6858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-3479800</wp:posOffset>
            </wp:positionV>
            <wp:extent cx="7747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-3479800</wp:posOffset>
            </wp:positionV>
            <wp:extent cx="7747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-3479800</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-3479800</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-3479800</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-3479800</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-2767965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-2750820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-2767965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-2750820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-2767965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-2750820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-2767965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-2750820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-2767965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-2750820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-2767965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-2750820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-1619250</wp:posOffset>
            </wp:positionV>
            <wp:extent cx="4629150" cy="231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29150" cy="23177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-822325</wp:posOffset>
            </wp:positionV>
            <wp:extent cx="4629150" cy="231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29150" cy="23177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-24765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jc w:val="right"/>
              <w:ind w:right="45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69"/>
        </w:trPr>
        <w:tc>
          <w:tcPr>
            <w:tcW w:w="70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0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(53,331 )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(106,659 )</w:t>
            </w:r>
          </w:p>
        </w:tc>
      </w:tr>
      <w:tr>
        <w:trPr>
          <w:trHeight w:val="24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r>
      <w:tr>
        <w:trPr>
          <w:trHeight w:val="249"/>
        </w:trPr>
        <w:tc>
          <w:tcPr>
            <w:tcW w:w="7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 amortization of investments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(2,583 )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FF0FC"/>
          </w:tcPr>
          <w:p>
            <w:pPr>
              <w:spacing w:after="0"/>
              <w:rPr>
                <w:sz w:val="21"/>
                <w:szCs w:val="21"/>
                <w:color w:val="auto"/>
              </w:rPr>
            </w:pP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19,601</w:t>
            </w:r>
          </w:p>
        </w:tc>
        <w:tc>
          <w:tcPr>
            <w:tcW w:w="100" w:type="dxa"/>
            <w:vAlign w:val="bottom"/>
          </w:tcPr>
          <w:p>
            <w:pPr>
              <w:spacing w:after="0"/>
              <w:rPr>
                <w:sz w:val="20"/>
                <w:szCs w:val="20"/>
                <w:color w:val="auto"/>
              </w:rPr>
            </w:pPr>
          </w:p>
        </w:tc>
      </w:tr>
      <w:tr>
        <w:trPr>
          <w:trHeight w:val="249"/>
        </w:trPr>
        <w:tc>
          <w:tcPr>
            <w:tcW w:w="7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Amortization of intangible asset</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100" w:type="dxa"/>
            <w:vAlign w:val="bottom"/>
            <w:shd w:val="clear" w:color="auto" w:fill="CFF0FC"/>
          </w:tcPr>
          <w:p>
            <w:pPr>
              <w:spacing w:after="0"/>
              <w:rPr>
                <w:sz w:val="21"/>
                <w:szCs w:val="21"/>
                <w:color w:val="auto"/>
              </w:rPr>
            </w:pPr>
          </w:p>
        </w:tc>
      </w:tr>
      <w:tr>
        <w:trPr>
          <w:trHeight w:val="237"/>
        </w:trPr>
        <w:tc>
          <w:tcPr>
            <w:tcW w:w="70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40,274</w:t>
            </w:r>
          </w:p>
        </w:tc>
        <w:tc>
          <w:tcPr>
            <w:tcW w:w="100" w:type="dxa"/>
            <w:vAlign w:val="bottom"/>
            <w:shd w:val="clear" w:color="auto" w:fill="CFF0FC"/>
          </w:tcPr>
          <w:p>
            <w:pPr>
              <w:spacing w:after="0"/>
              <w:rPr>
                <w:sz w:val="21"/>
                <w:szCs w:val="21"/>
                <w:color w:val="auto"/>
              </w:rPr>
            </w:pP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46,099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(59,640 )</w:t>
            </w:r>
          </w:p>
        </w:tc>
      </w:tr>
      <w:tr>
        <w:trPr>
          <w:trHeight w:val="249"/>
        </w:trPr>
        <w:tc>
          <w:tcPr>
            <w:tcW w:w="7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(5,706 )</w:t>
            </w: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(313 )</w:t>
            </w:r>
          </w:p>
        </w:tc>
        <w:tc>
          <w:tcPr>
            <w:tcW w:w="320" w:type="dxa"/>
            <w:vAlign w:val="bottom"/>
          </w:tcPr>
          <w:p>
            <w:pPr>
              <w:spacing w:after="0"/>
              <w:rPr>
                <w:sz w:val="20"/>
                <w:szCs w:val="20"/>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receivable</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FF0FC"/>
          </w:tcPr>
          <w:p>
            <w:pPr>
              <w:spacing w:after="0"/>
              <w:rPr>
                <w:sz w:val="21"/>
                <w:szCs w:val="21"/>
                <w:color w:val="auto"/>
              </w:rPr>
            </w:pP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(10,372 )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(1,012 )</w:t>
            </w:r>
          </w:p>
        </w:tc>
      </w:tr>
      <w:tr>
        <w:trPr>
          <w:trHeight w:val="249"/>
        </w:trPr>
        <w:tc>
          <w:tcPr>
            <w:tcW w:w="7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payable and other current liabilities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(74,672 )</w:t>
            </w: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(1,413 )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20"/>
                <w:szCs w:val="20"/>
                <w:color w:val="auto"/>
              </w:rPr>
            </w:pPr>
          </w:p>
        </w:tc>
      </w:tr>
      <w:tr>
        <w:trPr>
          <w:trHeight w:val="237"/>
        </w:trPr>
        <w:tc>
          <w:tcPr>
            <w:tcW w:w="70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9"/>
        </w:trPr>
        <w:tc>
          <w:tcPr>
            <w:tcW w:w="70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Purchase of furniture, fixtures and equipment</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Maturities of securities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160,997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240,614</w:t>
            </w:r>
          </w:p>
        </w:tc>
        <w:tc>
          <w:tcPr>
            <w:tcW w:w="100" w:type="dxa"/>
            <w:vAlign w:val="bottom"/>
          </w:tcPr>
          <w:p>
            <w:pPr>
              <w:spacing w:after="0"/>
              <w:rPr>
                <w:sz w:val="20"/>
                <w:szCs w:val="20"/>
                <w:color w:val="auto"/>
              </w:rPr>
            </w:pPr>
          </w:p>
        </w:tc>
      </w:tr>
      <w:tr>
        <w:trPr>
          <w:trHeight w:val="243"/>
        </w:trPr>
        <w:tc>
          <w:tcPr>
            <w:tcW w:w="7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Purchases of securities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(115,496 )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(37,507 )</w:t>
            </w:r>
          </w:p>
        </w:tc>
      </w:tr>
      <w:tr>
        <w:trPr>
          <w:trHeight w:val="236"/>
        </w:trPr>
        <w:tc>
          <w:tcPr>
            <w:tcW w:w="7040" w:type="dxa"/>
            <w:vAlign w:val="bottom"/>
            <w:tcBorders>
              <w:top w:val="single" w:sz="8" w:color="CFF0FC"/>
            </w:tcBorders>
          </w:tcPr>
          <w:p>
            <w:pPr>
              <w:ind w:left="54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45,477</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203,107</w:t>
            </w:r>
          </w:p>
        </w:tc>
        <w:tc>
          <w:tcPr>
            <w:tcW w:w="100" w:type="dxa"/>
            <w:vAlign w:val="bottom"/>
            <w:tcBorders>
              <w:top w:val="single" w:sz="8" w:color="CFF0FC"/>
            </w:tcBorders>
          </w:tcPr>
          <w:p>
            <w:pPr>
              <w:spacing w:after="0"/>
              <w:rPr>
                <w:sz w:val="20"/>
                <w:szCs w:val="20"/>
                <w:color w:val="auto"/>
              </w:rPr>
            </w:pPr>
          </w:p>
        </w:tc>
      </w:tr>
      <w:tr>
        <w:trPr>
          <w:trHeight w:val="24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Proceeds from the sale of common stock, net of transaction costs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r>
      <w:tr>
        <w:trPr>
          <w:trHeight w:val="249"/>
        </w:trPr>
        <w:tc>
          <w:tcPr>
            <w:tcW w:w="7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Proceeds from exercise of stock options, net of transaction costs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1"/>
                <w:szCs w:val="21"/>
                <w:color w:val="auto"/>
              </w:rPr>
            </w:pP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Taxes paid related to stock-based awards</w:t>
            </w:r>
          </w:p>
        </w:tc>
        <w:tc>
          <w:tcPr>
            <w:tcW w:w="2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(1,973 )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(859 )</w:t>
            </w:r>
          </w:p>
        </w:tc>
      </w:tr>
      <w:tr>
        <w:trPr>
          <w:trHeight w:val="237"/>
        </w:trPr>
        <w:tc>
          <w:tcPr>
            <w:tcW w:w="70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NET INCREASE IN CASH AND CASH EQUIVALENTS AND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0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53,149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21,046</w:t>
            </w:r>
          </w:p>
        </w:tc>
        <w:tc>
          <w:tcPr>
            <w:tcW w:w="100" w:type="dxa"/>
            <w:vAlign w:val="bottom"/>
          </w:tcPr>
          <w:p>
            <w:pPr>
              <w:spacing w:after="0"/>
              <w:rPr>
                <w:sz w:val="20"/>
                <w:szCs w:val="20"/>
                <w:color w:val="auto"/>
              </w:rPr>
            </w:pPr>
          </w:p>
        </w:tc>
      </w:tr>
      <w:tr>
        <w:trPr>
          <w:trHeight w:val="243"/>
        </w:trPr>
        <w:tc>
          <w:tcPr>
            <w:tcW w:w="7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CASH AND CASH EQUIVALENTS AND RESTRICTED CASH, BEGINNING OF PERIOD</w:t>
            </w: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218,189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223,372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40" w:type="dxa"/>
            <w:vAlign w:val="bottom"/>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271,338</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244,418</w:t>
            </w:r>
          </w:p>
        </w:tc>
        <w:tc>
          <w:tcPr>
            <w:tcW w:w="100" w:type="dxa"/>
            <w:vAlign w:val="bottom"/>
          </w:tcPr>
          <w:p>
            <w:pPr>
              <w:spacing w:after="0"/>
              <w:rPr>
                <w:sz w:val="20"/>
                <w:szCs w:val="20"/>
                <w:color w:val="auto"/>
              </w:rPr>
            </w:pPr>
          </w:p>
        </w:tc>
      </w:tr>
      <w:tr>
        <w:trPr>
          <w:trHeight w:val="20"/>
        </w:trPr>
        <w:tc>
          <w:tcPr>
            <w:tcW w:w="7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7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(1,103 )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(1,490 )</w:t>
            </w:r>
          </w:p>
        </w:tc>
      </w:tr>
      <w:tr>
        <w:trPr>
          <w:trHeight w:val="224"/>
        </w:trPr>
        <w:tc>
          <w:tcPr>
            <w:tcW w:w="70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Supplemental disclosure of non-cash transactions:</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9"/>
        </w:trPr>
        <w:tc>
          <w:tcPr>
            <w:tcW w:w="7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Initial recognition of operating lease right-of-use asset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FF0FC"/>
          </w:tcPr>
          <w:p>
            <w:pPr>
              <w:spacing w:after="0"/>
              <w:rPr>
                <w:sz w:val="21"/>
                <w:szCs w:val="21"/>
                <w:color w:val="auto"/>
              </w:rPr>
            </w:pPr>
          </w:p>
        </w:tc>
      </w:tr>
      <w:tr>
        <w:trPr>
          <w:trHeight w:val="237"/>
        </w:trPr>
        <w:tc>
          <w:tcPr>
            <w:tcW w:w="7040" w:type="dxa"/>
            <w:vAlign w:val="bottom"/>
          </w:tcPr>
          <w:p>
            <w:pPr>
              <w:ind w:left="360"/>
              <w:spacing w:after="0"/>
              <w:rPr>
                <w:sz w:val="20"/>
                <w:szCs w:val="20"/>
                <w:color w:val="auto"/>
              </w:rPr>
            </w:pPr>
            <w:r>
              <w:rPr>
                <w:rFonts w:ascii="Arial" w:cs="Arial" w:eastAsia="Arial" w:hAnsi="Arial"/>
                <w:sz w:val="18"/>
                <w:szCs w:val="18"/>
                <w:color w:val="auto"/>
              </w:rPr>
              <w:t>Initial recognition of furniture, fixtures and equipment lease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7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-3196590</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-3196590</wp:posOffset>
            </wp:positionV>
            <wp:extent cx="6032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-2571115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-2571115</wp:posOffset>
            </wp:positionV>
            <wp:extent cx="6032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-1619250</wp:posOffset>
            </wp:positionV>
            <wp:extent cx="68580" cy="300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-1619250</wp:posOffset>
            </wp:positionV>
            <wp:extent cx="60325" cy="300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-1165225</wp:posOffset>
            </wp:positionV>
            <wp:extent cx="6858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-1165225</wp:posOffset>
            </wp:positionV>
            <wp:extent cx="6032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-513715</wp:posOffset>
            </wp:positionV>
            <wp:extent cx="107188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61595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 and Basis of Presentation</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Amarin Corporation plc, or Amarin, or the Company, is a pharmaceutical company focused on the commercialization and development of therapeutics to improve cardiovascular, or CV, health and reduce CV risk. Most of the Company’s historical revenue and sales, marketing and administrative activities and costs have been associated with commercial operations in the United States, or the U.S. The Company has launched commercial operations in certain European countries, such as the United Kingdom, or the UK, and Spain and continues pre-launch commercial activities throughout the rest of Europe. The Company’s operations outside of the U.S. and Europe are in varying stages of development and commercialization with reliance on third-party commercial partners in select geographies, including China and Canada.</w:t>
      </w:r>
    </w:p>
    <w:p>
      <w:pPr>
        <w:spacing w:after="0" w:line="8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Company’s lead product, VASCEPA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(icosapent ethyl), was first approved by the U.S. Food and Drug Administration, or U.S. FDA, in July 2012 for use as an adjunct to diet to reduce triglyceride, or TG, levels in adult patients with severe (</w:t>
      </w:r>
      <w:r>
        <w:rPr>
          <w:rFonts w:ascii="Arial" w:cs="Arial" w:eastAsia="Arial" w:hAnsi="Arial"/>
          <w:sz w:val="17"/>
          <w:szCs w:val="17"/>
          <w:u w:val="single" w:color="auto"/>
          <w:color w:val="auto"/>
        </w:rPr>
        <w:t>&gt;</w:t>
      </w:r>
      <w:r>
        <w:rPr>
          <w:rFonts w:ascii="Arial" w:cs="Arial" w:eastAsia="Arial" w:hAnsi="Arial"/>
          <w:sz w:val="17"/>
          <w:szCs w:val="17"/>
          <w:color w:val="auto"/>
        </w:rPr>
        <w:t>500 mg/dL) hypertriglyceridemia. In January 2013, the Company launched 1-gram size VASCEPA in the U.S. and in October 2016, introduced a 0.5-gram capsule size. On December 13, 2019, the U.S. FDA approved another indication and label expansion for VASCEPA based on the results of the Company’s long-term cardiovascular outcomes trial, REDUCE-IT</w:t>
      </w:r>
      <w:r>
        <w:rPr>
          <w:rFonts w:ascii="Arial" w:cs="Arial" w:eastAsia="Arial" w:hAnsi="Arial"/>
          <w:sz w:val="23"/>
          <w:szCs w:val="23"/>
          <w:color w:val="auto"/>
          <w:vertAlign w:val="superscript"/>
        </w:rPr>
        <w:t>®</w:t>
      </w:r>
      <w:r>
        <w:rPr>
          <w:rFonts w:ascii="Arial" w:cs="Arial" w:eastAsia="Arial" w:hAnsi="Arial"/>
          <w:sz w:val="17"/>
          <w:szCs w:val="17"/>
          <w:color w:val="auto"/>
        </w:rPr>
        <w:t>, or Reduction of Cardiovascular Events with EPA – Intervention Trial. VASCEPA is approved by the U.S. FDA as an adjunct to maximally tolerated statin therapy for reducing persistent cardiovascular risk in select high risk patients.</w:t>
      </w:r>
    </w:p>
    <w:p>
      <w:pPr>
        <w:spacing w:after="0" w:line="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first U.S. FDA-approved use of its drug, for use to reduce severely high triglyceride levels, which is known as the MARINE indication. The Company sought appeals of the Nevada Court judgment up to the United States Supreme Court, but the Company was unsuccessful. As a result, the following generic versions of VASCEPA have obtained U.S. FDA approval with labeling consistent with the MARINE indication of VASCEPA and have entered the U.S. market:</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p>
        </w:tc>
        <w:tc>
          <w:tcPr>
            <w:tcW w:w="2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FDA MARINE Indication</w:t>
            </w:r>
          </w:p>
        </w:tc>
        <w:tc>
          <w:tcPr>
            <w:tcW w:w="26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1-gram Launch Date</w:t>
            </w:r>
          </w:p>
        </w:tc>
        <w:tc>
          <w:tcPr>
            <w:tcW w:w="26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0.5-gram Launch Date</w:t>
            </w: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Approval</w:t>
            </w:r>
          </w:p>
        </w:tc>
        <w:tc>
          <w:tcPr>
            <w:tcW w:w="26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Hikma Pharmaceuticals USA Inc.</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May 2020</w:t>
            </w:r>
          </w:p>
        </w:tc>
        <w:tc>
          <w:tcPr>
            <w:tcW w:w="260" w:type="dxa"/>
            <w:vAlign w:val="bottom"/>
            <w:shd w:val="clear" w:color="auto" w:fill="CFF0FC"/>
          </w:tcPr>
          <w:p>
            <w:pPr>
              <w:spacing w:after="0"/>
              <w:rPr>
                <w:sz w:val="20"/>
                <w:szCs w:val="20"/>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November 2020</w:t>
            </w:r>
          </w:p>
        </w:tc>
        <w:tc>
          <w:tcPr>
            <w:tcW w:w="26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March 2023</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Dr. Reddy’s Laboratories, Inc.</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August 2020</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2021</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June 2023</w:t>
            </w:r>
          </w:p>
        </w:tc>
        <w:tc>
          <w:tcPr>
            <w:tcW w:w="0" w:type="dxa"/>
            <w:vAlign w:val="bottom"/>
          </w:tcPr>
          <w:p>
            <w:pPr>
              <w:spacing w:after="0"/>
              <w:rPr>
                <w:sz w:val="1"/>
                <w:szCs w:val="1"/>
                <w:color w:val="auto"/>
              </w:rPr>
            </w:pPr>
          </w:p>
        </w:tc>
      </w:tr>
      <w:tr>
        <w:trPr>
          <w:trHeight w:val="24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Teva Pharmaceuticals USA, Inc.</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2020</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2023</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2022</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Apotex, Inc.</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June 2021</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January 2022</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Zydus Lifesciences</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April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Strides Pharma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September 2023</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26, 2021, the European Commission, or EC, approved the marketing authorization application for VAZKEPA, hereinafter along with the U.S. brand name VASCEPA, collectively referred to as VASCEPA, in the European Union, or EU, to reduce the risk of cardiovascular events in high-risk, statin-treated adult patients who have elevated triglycerides (</w:t>
      </w:r>
      <w:r>
        <w:rPr>
          <w:rFonts w:ascii="Arial" w:cs="Arial" w:eastAsia="Arial" w:hAnsi="Arial"/>
          <w:sz w:val="18"/>
          <w:szCs w:val="18"/>
          <w:u w:val="single" w:color="auto"/>
          <w:color w:val="auto"/>
        </w:rPr>
        <w:t>&gt;</w:t>
      </w:r>
      <w:r>
        <w:rPr>
          <w:rFonts w:ascii="Arial" w:cs="Arial" w:eastAsia="Arial" w:hAnsi="Arial"/>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Collectively, CHMP, EMA, EC and MHRA are referred to herein as the European Regulatory Authorities.</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2020, the Company announced topline results from the Phase 3 clinical trial of VASCEPA conducted by the Company’s partner in China. On June 1, 2023, the Company announced that the National Medical Products Administration, or NMPA, granted approval for VASCEPA under the MARINE indication and launched commercially in October 2023. On February 23, 2022, the Hong Kong Department of Health concluded their evaluation and approved the use of VASCEPA under the REDUCE-IT indication.</w:t>
      </w:r>
    </w:p>
    <w:p>
      <w:pPr>
        <w:spacing w:after="0" w:line="7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Company currently has strategic collaborations to develop and commercialize VASCEPA in select territories outside the United States and Europe. Amarin is responsible for supplying VASCEPA to all markets in which the product is sold, including the United States and Europe, as well as in countries where the drug is promoted and sold via collaboration with third-party companies that compensate Amarin for such supply. Amarin is not responsible for providing any generic company with drug product. The Company operates in one business segment.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condensed consolidated financial statements included herein have been prepared by the Company in accordance with accounting principles generally accepted in the United States,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2022, or the Form 10-K, filed with the SEC. The balance sheet amounts in this report were derived from the Company’s audited consolidated financial statements included in the Form 10-K.</w:t>
      </w:r>
    </w:p>
    <w:p>
      <w:pPr>
        <w:spacing w:after="0" w:line="6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nine months ended September 30, 2023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5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7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September 30, 2023, the Company had total assets of $839.0 million, of which $320.7 million consisted of cash and short-term investments. More specifically, the Company had current assets of $717.5 million, including cash and cash equivalents of $270.8 million, short-term investments of $49.8 million, accounts receivable, net, of $122.4 million and current inventory of $254.5 million. In addition, as of September 30, 2023, the Company had long-term inventory of $91.8 million. As of September 30, 2023, the Company had no debt outstanding.</w:t>
      </w:r>
    </w:p>
    <w:p>
      <w:pPr>
        <w:spacing w:after="0" w:line="27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accordance with Accounting Standards Codification, or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7—Revenue Recognition.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experienced any significant credit losses. All customer accounts are actively managed and no losses in excess of amounts reserved are currently expected.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of accounts receivable reserves on the gross trade accounts receivable balances as of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03"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6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173,172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187,418</w:t>
            </w:r>
          </w:p>
        </w:tc>
        <w:tc>
          <w:tcPr>
            <w:tcW w:w="80" w:type="dxa"/>
            <w:vAlign w:val="bottom"/>
            <w:shd w:val="clear" w:color="auto" w:fill="CFF0FC"/>
          </w:tcPr>
          <w:p>
            <w:pPr>
              <w:spacing w:after="0"/>
              <w:rPr>
                <w:sz w:val="20"/>
                <w:szCs w:val="20"/>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Trade allowances</w:t>
            </w: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(38,790 )</w:t>
            </w: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(44,626 )</w:t>
            </w:r>
          </w:p>
        </w:tc>
      </w:tr>
      <w:tr>
        <w:trPr>
          <w:trHeight w:val="24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1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(11,982 )</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(11,802 )</w:t>
            </w:r>
          </w:p>
        </w:tc>
      </w:tr>
      <w:tr>
        <w:trPr>
          <w:trHeight w:val="237"/>
        </w:trPr>
        <w:tc>
          <w:tcPr>
            <w:tcW w:w="56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122,400</w:t>
            </w:r>
          </w:p>
        </w:tc>
        <w:tc>
          <w:tcPr>
            <w:tcW w:w="2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130,990</w:t>
            </w:r>
          </w:p>
        </w:tc>
        <w:tc>
          <w:tcPr>
            <w:tcW w:w="80" w:type="dxa"/>
            <w:vAlign w:val="bottom"/>
            <w:tcBorders>
              <w:top w:val="single" w:sz="8" w:color="CFF0FC"/>
            </w:tcBorders>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-187960</wp:posOffset>
            </wp:positionV>
            <wp:extent cx="5143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5143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next 12 months. The Company classifies finished goods expected to be sold within the next 12 months,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7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7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Excess tax benefits and deficiencies that arise upon vesting or exercise of stock-based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including the Internal Revenue Service, or IRS, and state tax authorities. The Company is currently under audit by the IRS for its 2018 and 2019 U.S. income tax returns. An audit by the New Jersey Department of Treasury for the years 2012 to 2015 was closed in April 2023. Although the outcome of tax audits is always uncertain and could result in significant cash tax payments, the Company does not believe the outcome of these audits will have a material adverse effect on its condensed consolidated financial position or results of operations.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from the exercise of stock options and vesting of restricted stock units calculated using the treasury stock method. In periods with reported net operating losses, all stock options and restricted stock units outstanding are deemed anti-dilutive such that basic and diluted net loss per share are equal.</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 w:name="page10"/>
    <w:bookmarkEnd w:id="9"/>
    <w:p>
      <w:pPr>
        <w:ind w:right="26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and nine months ended September 30, 2023 and 2022 are as follows:</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960" w:type="dxa"/>
            <w:vAlign w:val="bottom"/>
            <w:gridSpan w:val="6"/>
          </w:tcPr>
          <w:p>
            <w:pPr>
              <w:jc w:val="right"/>
              <w:ind w:right="270"/>
              <w:spacing w:after="0"/>
              <w:rPr>
                <w:sz w:val="20"/>
                <w:szCs w:val="20"/>
                <w:color w:val="auto"/>
              </w:rPr>
            </w:pPr>
            <w:r>
              <w:rPr>
                <w:rFonts w:ascii="Arial" w:cs="Arial" w:eastAsia="Arial" w:hAnsi="Arial"/>
                <w:sz w:val="14"/>
                <w:szCs w:val="14"/>
                <w:b w:val="1"/>
                <w:bCs w:val="1"/>
                <w:color w:val="auto"/>
                <w:w w:val="96"/>
              </w:rPr>
              <w:t>For the Three Months Ended September</w:t>
            </w:r>
          </w:p>
        </w:tc>
        <w:tc>
          <w:tcPr>
            <w:tcW w:w="100" w:type="dxa"/>
            <w:vAlign w:val="bottom"/>
          </w:tcPr>
          <w:p>
            <w:pPr>
              <w:spacing w:after="0"/>
              <w:rPr>
                <w:sz w:val="14"/>
                <w:szCs w:val="14"/>
                <w:color w:val="auto"/>
              </w:rPr>
            </w:pPr>
          </w:p>
        </w:tc>
        <w:tc>
          <w:tcPr>
            <w:tcW w:w="266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w w:val="92"/>
              </w:rPr>
              <w:t>For the Nine Months Ended September</w:t>
            </w:r>
          </w:p>
        </w:tc>
      </w:tr>
      <w:tr>
        <w:trPr>
          <w:trHeight w:val="185"/>
        </w:trPr>
        <w:tc>
          <w:tcPr>
            <w:tcW w:w="4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(53,331</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4380" w:type="dxa"/>
            <w:vAlign w:val="bottom"/>
          </w:tcPr>
          <w:p>
            <w:pPr>
              <w:spacing w:after="0"/>
              <w:rPr>
                <w:sz w:val="20"/>
                <w:szCs w:val="20"/>
                <w:color w:val="auto"/>
              </w:rPr>
            </w:pPr>
            <w:r>
              <w:rPr>
                <w:rFonts w:ascii="Arial" w:cs="Arial" w:eastAsia="Arial" w:hAnsi="Arial"/>
                <w:sz w:val="18"/>
                <w:szCs w:val="18"/>
                <w:color w:val="auto"/>
                <w:w w:val="95"/>
              </w:rPr>
              <w:t>Weighted average shares outstanding—basic and diluted</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408,417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404,614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407,489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399,944</w:t>
            </w:r>
          </w:p>
        </w:tc>
        <w:tc>
          <w:tcPr>
            <w:tcW w:w="100" w:type="dxa"/>
            <w:vAlign w:val="bottom"/>
          </w:tcPr>
          <w:p>
            <w:pPr>
              <w:spacing w:after="0"/>
              <w:rPr>
                <w:sz w:val="20"/>
                <w:szCs w:val="20"/>
                <w:color w:val="auto"/>
              </w:rPr>
            </w:pPr>
          </w:p>
        </w:tc>
      </w:tr>
      <w:tr>
        <w:trPr>
          <w:trHeight w:val="249"/>
        </w:trPr>
        <w:tc>
          <w:tcPr>
            <w:tcW w:w="4380" w:type="dxa"/>
            <w:vAlign w:val="bottom"/>
            <w:shd w:val="clear" w:color="auto" w:fill="CFF0FC"/>
          </w:tcPr>
          <w:p>
            <w:pPr>
              <w:spacing w:after="0" w:line="249" w:lineRule="exact"/>
              <w:rPr>
                <w:sz w:val="20"/>
                <w:szCs w:val="20"/>
                <w:color w:val="auto"/>
              </w:rPr>
            </w:pPr>
            <w:r>
              <w:rPr>
                <w:rFonts w:ascii="Arial" w:cs="Arial" w:eastAsia="Arial" w:hAnsi="Arial"/>
                <w:sz w:val="18"/>
                <w:szCs w:val="18"/>
                <w:color w:val="auto"/>
              </w:rPr>
              <w:t xml:space="preserve">Net loss per share—basic and diluted </w:t>
            </w:r>
            <w:r>
              <w:rPr>
                <w:rFonts w:ascii="Arial" w:cs="Arial" w:eastAsia="Arial" w:hAnsi="Arial"/>
                <w:sz w:val="24"/>
                <w:szCs w:val="24"/>
                <w:color w:val="auto"/>
                <w:vertAlign w:val="superscript"/>
              </w:rPr>
              <w:t>(1)</w:t>
            </w: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(0.05 )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(0.01 )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(0.13 )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(0.27 )</w:t>
            </w:r>
          </w:p>
        </w:tc>
      </w:tr>
    </w:tbl>
    <w:p>
      <w:pPr>
        <w:spacing w:after="0" w:line="202" w:lineRule="exact"/>
        <w:rPr>
          <w:sz w:val="20"/>
          <w:szCs w:val="20"/>
          <w:color w:val="auto"/>
        </w:rPr>
      </w:pPr>
    </w:p>
    <w:p>
      <w:pPr>
        <w:ind w:left="600" w:right="80" w:firstLine="7"/>
        <w:spacing w:after="0" w:line="342" w:lineRule="auto"/>
        <w:tabs>
          <w:tab w:leader="none" w:pos="85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Excluding the licensing revenue change in estimate and Medicaid change in estimate, both discussed in </w:t>
      </w:r>
      <w:r>
        <w:rPr>
          <w:rFonts w:ascii="Arial" w:cs="Arial" w:eastAsia="Arial" w:hAnsi="Arial"/>
          <w:sz w:val="16"/>
          <w:szCs w:val="16"/>
          <w:i w:val="1"/>
          <w:iCs w:val="1"/>
          <w:color w:val="auto"/>
        </w:rPr>
        <w:t>Note 7 – Revenue Recognition</w:t>
      </w:r>
      <w:r>
        <w:rPr>
          <w:rFonts w:ascii="Arial" w:cs="Arial" w:eastAsia="Arial" w:hAnsi="Arial"/>
          <w:sz w:val="16"/>
          <w:szCs w:val="16"/>
          <w:color w:val="auto"/>
        </w:rPr>
        <w:t>, net loss per share basic and diluted for the three and nine months ended September 30, 2023 would have been $(0.06) and $(0.19), respectively.</w:t>
      </w:r>
    </w:p>
    <w:p>
      <w:pPr>
        <w:spacing w:after="0" w:line="1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For the three and nine months ended September 30, 2023 and 2022, the following potentially dilutive securities were not included in the computation of net loss per share because the effect would be anti-dilutive or because performance criteria were not yet met for awards contingent upon such measures: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2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220" w:type="dxa"/>
            <w:vAlign w:val="bottom"/>
          </w:tcPr>
          <w:p>
            <w:pPr>
              <w:spacing w:after="0"/>
              <w:rPr>
                <w:sz w:val="16"/>
                <w:szCs w:val="16"/>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100" w:type="dxa"/>
            <w:vAlign w:val="bottom"/>
          </w:tcPr>
          <w:p>
            <w:pPr>
              <w:spacing w:after="0"/>
              <w:rPr>
                <w:sz w:val="16"/>
                <w:szCs w:val="16"/>
                <w:color w:val="auto"/>
              </w:rPr>
            </w:pPr>
          </w:p>
        </w:tc>
      </w:tr>
      <w:tr>
        <w:trPr>
          <w:trHeight w:val="169"/>
        </w:trPr>
        <w:tc>
          <w:tcPr>
            <w:tcW w:w="43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80" w:type="dxa"/>
            <w:vAlign w:val="bottom"/>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4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240" w:type="dxa"/>
            <w:vAlign w:val="bottom"/>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14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27,797</w:t>
            </w:r>
          </w:p>
        </w:tc>
        <w:tc>
          <w:tcPr>
            <w:tcW w:w="20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19,040</w:t>
            </w:r>
          </w:p>
        </w:tc>
        <w:tc>
          <w:tcPr>
            <w:tcW w:w="2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27,797</w:t>
            </w:r>
          </w:p>
        </w:tc>
        <w:tc>
          <w:tcPr>
            <w:tcW w:w="18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19,040</w:t>
            </w:r>
          </w:p>
        </w:tc>
        <w:tc>
          <w:tcPr>
            <w:tcW w:w="100" w:type="dxa"/>
            <w:vAlign w:val="bottom"/>
            <w:shd w:val="clear" w:color="auto" w:fill="CFF0FC"/>
          </w:tcPr>
          <w:p>
            <w:pPr>
              <w:spacing w:after="0"/>
              <w:rPr>
                <w:sz w:val="20"/>
                <w:szCs w:val="20"/>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280" w:type="dxa"/>
            <w:vAlign w:val="bottom"/>
          </w:tcPr>
          <w:p>
            <w:pPr>
              <w:jc w:val="right"/>
              <w:spacing w:after="0"/>
              <w:rPr>
                <w:sz w:val="20"/>
                <w:szCs w:val="20"/>
                <w:color w:val="auto"/>
              </w:rPr>
            </w:pPr>
            <w:r>
              <w:rPr>
                <w:rFonts w:ascii="Arial" w:cs="Arial" w:eastAsia="Arial" w:hAnsi="Arial"/>
                <w:sz w:val="18"/>
                <w:szCs w:val="18"/>
                <w:color w:val="auto"/>
              </w:rPr>
              <w:t>13,676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14,663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13,676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14,663</w:t>
            </w:r>
          </w:p>
        </w:tc>
        <w:tc>
          <w:tcPr>
            <w:tcW w:w="100" w:type="dxa"/>
            <w:vAlign w:val="bottom"/>
          </w:tcPr>
          <w:p>
            <w:pPr>
              <w:spacing w:after="0"/>
              <w:rPr>
                <w:sz w:val="20"/>
                <w:szCs w:val="20"/>
                <w:color w:val="auto"/>
              </w:rPr>
            </w:pPr>
          </w:p>
        </w:tc>
      </w:tr>
    </w:tbl>
    <w:p>
      <w:pPr>
        <w:spacing w:after="0" w:line="3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30%, 36%, and 29%, respectively, of gross product sales for the nine months ended September 30, 2023, and represented 37%, 37%, and 22%, respectively, of the gross accounts receivable balance as of September 30, 2023. Customers A, B, and C accounted for 26%, 36%, and 31%, respectively, of gross product sales for the nine months ended September 30, 2022 and represented 41%, 32%, and 22%, respectively, of the gross accounts receivable balance as of September 30, 2022. The Company has not experienced any significant write-offs of its accounts receivable. All customer accounts are actively managed and no losses in excess of amounts reserved are currently expected.</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7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right="680"/>
        <w:spacing w:after="0" w:line="277" w:lineRule="auto"/>
        <w:rPr>
          <w:sz w:val="20"/>
          <w:szCs w:val="20"/>
          <w:color w:val="auto"/>
        </w:rPr>
      </w:pPr>
      <w:r>
        <w:rPr>
          <w:rFonts w:ascii="Arial" w:cs="Arial" w:eastAsia="Arial" w:hAnsi="Arial"/>
          <w:sz w:val="18"/>
          <w:szCs w:val="18"/>
          <w:color w:val="auto"/>
        </w:rPr>
        <w:t>to manufacture VASCEPA or VASCEPA API will remain qualified to do so to its specifications or that these and any future suppliers will have the manufacturing capacity to meet potential global demand for VASCEPA.</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4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(e.g., interest rates, yield curves) and inputs that are derived principally from or corroborated by observable market data by correlation or other means (market corroborated inputs).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Level 3—Unobservable inputs that reflect the Company’s estimates of the assumptions that market participants would use in pricing the asset or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develops these inputs based on the best information available, including its own data.</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tables present information about the estimated fair value of the Company’s assets and liabilities as of September 30, 2023 and December 31, 2022 and indicate the fair value hierarchy of the valuation techniques the Company utilized to determine such fair value:</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Money Market Fund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179,173</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179,173</w:t>
            </w:r>
          </w:p>
        </w:tc>
        <w:tc>
          <w:tcPr>
            <w:tcW w:w="7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24,686</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Agency Securities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18,762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18,762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Repo Securities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3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232,240</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203,859</w:t>
            </w:r>
          </w:p>
        </w:tc>
        <w:tc>
          <w:tcPr>
            <w:tcW w:w="26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28,381</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Money Market Fund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81,870</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81,870</w:t>
            </w:r>
          </w:p>
        </w:tc>
        <w:tc>
          <w:tcPr>
            <w:tcW w:w="7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62,347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62,347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28,416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28,416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Repo Securities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Agency Securities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1,554</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Non-US Government Securities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77"/>
        </w:trPr>
        <w:tc>
          <w:tcPr>
            <w:tcW w:w="3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192,307</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86,541</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105,766</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-2296795</wp:posOffset>
            </wp:positionV>
            <wp:extent cx="6858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-2296795</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-2296795</wp:posOffset>
            </wp:positionV>
            <wp:extent cx="603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-2296795</wp:posOffset>
            </wp:positionV>
            <wp:extent cx="6032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investments are stated at amortized cost, which approximates fair value. The Company does not intend to sell these investment securities and the contractual maturities are not greater than 24 months. Those with original maturities greater than 90 days and maturities less than 12 months are included in short-term investments on its condensed consolidated balance sheet. Those with remaining maturities in excess of 12 months are included in long-term investments on its condensed consolidated balance sheet.</w:t>
      </w:r>
    </w:p>
    <w:p>
      <w:pPr>
        <w:spacing w:after="0" w:line="7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Unrealized gains or losses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nine months ended September 30, 2023 and 2022 was a gain of less than $0.1 million and a loss of $0.7 million, respectively. Interest on investments is reported in interest income.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carrying amounts of accounts payable and accrued liabilities approximate fair value because of their short-term nature.</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Restructuring</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 Company identifies a restructuring event as a program that is planned and controlled by management, and materially changes either the scope of the Company's business or the manner in which that business is conducted. The accounting for involuntary termination benefits that are provided pursuant to a one-time benefit arrangement are accounted for under </w:t>
      </w:r>
      <w:r>
        <w:rPr>
          <w:rFonts w:ascii="Arial" w:cs="Arial" w:eastAsia="Arial" w:hAnsi="Arial"/>
          <w:sz w:val="17"/>
          <w:szCs w:val="17"/>
          <w:i w:val="1"/>
          <w:iCs w:val="1"/>
          <w:color w:val="auto"/>
        </w:rPr>
        <w:t>ASC 420 – Exit or Disposal Cost Obligations</w:t>
      </w:r>
      <w:r>
        <w:rPr>
          <w:rFonts w:ascii="Arial" w:cs="Arial" w:eastAsia="Arial" w:hAnsi="Arial"/>
          <w:sz w:val="17"/>
          <w:szCs w:val="17"/>
          <w:color w:val="auto"/>
        </w:rPr>
        <w:t xml:space="preserve"> whereas involuntary termination benefits that are part of an ongoing written or substantive plan are accounted for under </w:t>
      </w:r>
      <w:r>
        <w:rPr>
          <w:rFonts w:ascii="Arial" w:cs="Arial" w:eastAsia="Arial" w:hAnsi="Arial"/>
          <w:sz w:val="17"/>
          <w:szCs w:val="17"/>
          <w:i w:val="1"/>
          <w:iCs w:val="1"/>
          <w:color w:val="auto"/>
        </w:rPr>
        <w:t>ASC 712 – Compensation – Nonretirement Postemployment Benefits.</w:t>
      </w:r>
      <w:r>
        <w:rPr>
          <w:rFonts w:ascii="Arial" w:cs="Arial" w:eastAsia="Arial" w:hAnsi="Arial"/>
          <w:sz w:val="17"/>
          <w:szCs w:val="17"/>
          <w:color w:val="auto"/>
        </w:rPr>
        <w:t xml:space="preserve"> The Company accrues a liability for termination benefits under ASC 712 when it is probable that a liability has been incurred and the amount can be reasonably estimated and under ASC 420 when the termination benefits are communicated.</w:t>
      </w:r>
    </w:p>
    <w:p>
      <w:pPr>
        <w:spacing w:after="0" w:line="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June 2023, the Company approved and subsequently announced on July 18, 2023, an Organizational Restructuring Plan, or ORP, to right-size and strengthen the Company. As part of the plan, the Company completed a reduction of its entire U.S. sales field force, as well as a reduction of approximately 30% of the non-sales positions. The Company maintained its managed care and trade organization to support U.S. commercial efforts. During the nine months ended September 30, 2023, the Company recognized approximately $10.7 million within restructuring expense on the condensed consolidated statement of operations related to the reduction in force, substantially all of which are cash expenditures.</w:t>
      </w:r>
    </w:p>
    <w:p>
      <w:pPr>
        <w:spacing w:after="0" w:line="6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continued to assess its contractual supplier purchase obligations and has taken steps to amend supplier agreements to align supply arrangements with current and future market demand. As a result of the ongoing assessment, the Company recognized $12.7 million and $3.1 million during the three months ended September 30, 2023 and 2022, respectively, and $39.2 million and $18.1 million during the nine months ended September 30, 2023 and 2022, respectively, within cost of goods sold - restructuring inventory on the condensed consolidated statement of operations. The Company continues to negotiate with other contract suppliers to align its supply arrangements with current and future global demand which may result in additional costs to the Company.</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6, 2022, the Company announced a Comprehensive Cost Reduction Plan, or CRP, which included an organizational restructuring plan to address the shifts within the Company’s U.S. business. As part of the plan, the Company completed a reduction of its U.S. field force from approximately 300 sales representatives to approximately 75 sales representatives. During the three months ended June 30, 2022, the Company recognized approximately $10.2 million within restructuring expense on the condensed consolidated statement of operations related to the reduction in force, substantially all of which was cash expenditures.</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August 19, 2022, the Company announced that after the conclusion of the fourth and final round of negotiations in Germany with the National Association of Statutory Health Insurance Funds, or GKV-SV, a viable agreement on the reimbursement price of VAZKEPA in Germany could not be reached. As a result, the Company discontinued its German business operations effective September 1, 2022. During the year ended December 31, 2022, the Company recognized approximately $4.4 million within restructuring expense on the condensed consolidated statement of operations, substantially all of which was cash expenditures.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the Company's restructuring charges for the three and nine months ended September 30, 2023 and 2022:</w:t>
      </w:r>
    </w:p>
    <w:p>
      <w:pPr>
        <w:spacing w:after="0" w:line="33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6"/>
              </w:rPr>
              <w:t>For the Nine Months Ended September 30,</w:t>
            </w:r>
          </w:p>
        </w:tc>
        <w:tc>
          <w:tcPr>
            <w:tcW w:w="100" w:type="dxa"/>
            <w:vAlign w:val="bottom"/>
          </w:tcPr>
          <w:p>
            <w:pPr>
              <w:spacing w:after="0"/>
              <w:rPr>
                <w:sz w:val="16"/>
                <w:szCs w:val="16"/>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Employee restructuring separation</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charges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9,353</w:t>
            </w:r>
          </w:p>
        </w:tc>
        <w:tc>
          <w:tcPr>
            <w:tcW w:w="100" w:type="dxa"/>
            <w:vAlign w:val="bottom"/>
            <w:shd w:val="clear" w:color="auto" w:fill="CFF0FC"/>
          </w:tcPr>
          <w:p>
            <w:pPr>
              <w:spacing w:after="0"/>
              <w:rPr>
                <w:sz w:val="21"/>
                <w:szCs w:val="21"/>
                <w:color w:val="auto"/>
              </w:rPr>
            </w:pPr>
          </w:p>
        </w:tc>
      </w:tr>
      <w:tr>
        <w:trPr>
          <w:trHeight w:val="250"/>
        </w:trPr>
        <w:tc>
          <w:tcPr>
            <w:tcW w:w="3200" w:type="dxa"/>
            <w:vAlign w:val="bottom"/>
          </w:tcPr>
          <w:p>
            <w:pPr>
              <w:spacing w:after="0"/>
              <w:rPr>
                <w:sz w:val="20"/>
                <w:szCs w:val="20"/>
                <w:color w:val="auto"/>
              </w:rPr>
            </w:pPr>
            <w:r>
              <w:rPr>
                <w:rFonts w:ascii="Arial" w:cs="Arial" w:eastAsia="Arial" w:hAnsi="Arial"/>
                <w:sz w:val="18"/>
                <w:szCs w:val="18"/>
                <w:color w:val="auto"/>
              </w:rPr>
              <w:t>Vendor contract charges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21"/>
                <w:szCs w:val="21"/>
                <w:color w:val="auto"/>
              </w:rPr>
            </w:pPr>
          </w:p>
        </w:tc>
      </w:tr>
      <w:tr>
        <w:trPr>
          <w:trHeight w:val="277"/>
        </w:trPr>
        <w:tc>
          <w:tcPr>
            <w:tcW w:w="3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restructuring expense</w:t>
            </w:r>
          </w:p>
        </w:tc>
        <w:tc>
          <w:tcPr>
            <w:tcW w:w="20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50"/>
        </w:trPr>
        <w:tc>
          <w:tcPr>
            <w:tcW w:w="3200" w:type="dxa"/>
            <w:vAlign w:val="bottom"/>
          </w:tcPr>
          <w:p>
            <w:pPr>
              <w:spacing w:after="0"/>
              <w:rPr>
                <w:sz w:val="20"/>
                <w:szCs w:val="20"/>
                <w:color w:val="auto"/>
              </w:rPr>
            </w:pPr>
            <w:r>
              <w:rPr>
                <w:rFonts w:ascii="Arial" w:cs="Arial" w:eastAsia="Arial" w:hAnsi="Arial"/>
                <w:sz w:val="18"/>
                <w:szCs w:val="18"/>
                <w:color w:val="auto"/>
              </w:rPr>
              <w:t>Restructuring inventory</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12,674</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39,228</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18,078</w:t>
            </w:r>
          </w:p>
        </w:tc>
        <w:tc>
          <w:tcPr>
            <w:tcW w:w="100" w:type="dxa"/>
            <w:vAlign w:val="bottom"/>
          </w:tcPr>
          <w:p>
            <w:pPr>
              <w:spacing w:after="0"/>
              <w:rPr>
                <w:sz w:val="21"/>
                <w:szCs w:val="21"/>
                <w:color w:val="auto"/>
              </w:rPr>
            </w:pPr>
          </w:p>
        </w:tc>
      </w:tr>
      <w:tr>
        <w:trPr>
          <w:trHeight w:val="257"/>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forfeitures</w:t>
            </w:r>
          </w:p>
        </w:tc>
        <w:tc>
          <w:tcPr>
            <w:tcW w:w="20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Total restructuring costs incurred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14,419</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6,708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51,005</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32,375</w:t>
            </w:r>
          </w:p>
        </w:tc>
        <w:tc>
          <w:tcPr>
            <w:tcW w:w="100" w:type="dxa"/>
            <w:vAlign w:val="bottom"/>
          </w:tcPr>
          <w:p>
            <w:pPr>
              <w:spacing w:after="0"/>
              <w:rPr>
                <w:sz w:val="20"/>
                <w:szCs w:val="20"/>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-548005</wp:posOffset>
            </wp:positionV>
            <wp:extent cx="3411855" cy="196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11855" cy="19685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-187960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-187960</wp:posOffset>
            </wp:positionV>
            <wp:extent cx="6032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6032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 in restructuring liability which is included within accrued expenses and other current liabilities: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85"/>
        </w:trPr>
        <w:tc>
          <w:tcPr>
            <w:tcW w:w="58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40" w:type="dxa"/>
            <w:vAlign w:val="bottom"/>
          </w:tcPr>
          <w:p>
            <w:pPr>
              <w:spacing w:after="0"/>
              <w:rPr>
                <w:sz w:val="16"/>
                <w:szCs w:val="16"/>
                <w:color w:val="auto"/>
              </w:rPr>
            </w:pPr>
          </w:p>
        </w:tc>
        <w:tc>
          <w:tcPr>
            <w:tcW w:w="352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rPr>
              <w:t>Restructuring Liability</w:t>
            </w:r>
          </w:p>
        </w:tc>
      </w:tr>
      <w:tr>
        <w:trPr>
          <w:trHeight w:val="237"/>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3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ind w:left="140"/>
              <w:spacing w:after="0"/>
              <w:rPr>
                <w:sz w:val="20"/>
                <w:szCs w:val="20"/>
                <w:color w:val="auto"/>
              </w:rPr>
            </w:pPr>
            <w:r>
              <w:rPr>
                <w:rFonts w:ascii="Arial" w:cs="Arial" w:eastAsia="Arial" w:hAnsi="Arial"/>
                <w:sz w:val="18"/>
                <w:szCs w:val="18"/>
                <w:color w:val="auto"/>
              </w:rPr>
              <w:t>Costs incurred</w:t>
            </w:r>
          </w:p>
        </w:tc>
        <w:tc>
          <w:tcPr>
            <w:tcW w:w="740" w:type="dxa"/>
            <w:vAlign w:val="bottom"/>
          </w:tcPr>
          <w:p>
            <w:pPr>
              <w:spacing w:after="0"/>
              <w:rPr>
                <w:sz w:val="20"/>
                <w:szCs w:val="20"/>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51,005</w:t>
            </w:r>
          </w:p>
        </w:tc>
        <w:tc>
          <w:tcPr>
            <w:tcW w:w="100" w:type="dxa"/>
            <w:vAlign w:val="bottom"/>
          </w:tcPr>
          <w:p>
            <w:pPr>
              <w:spacing w:after="0"/>
              <w:rPr>
                <w:sz w:val="20"/>
                <w:szCs w:val="20"/>
                <w:color w:val="auto"/>
              </w:rPr>
            </w:pPr>
          </w:p>
        </w:tc>
      </w:tr>
      <w:tr>
        <w:trPr>
          <w:trHeight w:val="243"/>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w:t>
            </w:r>
          </w:p>
        </w:tc>
        <w:tc>
          <w:tcPr>
            <w:tcW w:w="740" w:type="dxa"/>
            <w:vAlign w:val="bottom"/>
            <w:shd w:val="clear" w:color="auto" w:fill="CFF0FC"/>
          </w:tcPr>
          <w:p>
            <w:pPr>
              <w:spacing w:after="0"/>
              <w:rPr>
                <w:sz w:val="21"/>
                <w:szCs w:val="21"/>
                <w:color w:val="auto"/>
              </w:rPr>
            </w:pPr>
          </w:p>
        </w:tc>
        <w:tc>
          <w:tcPr>
            <w:tcW w:w="3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(21,518 )</w:t>
            </w:r>
          </w:p>
        </w:tc>
      </w:tr>
      <w:tr>
        <w:trPr>
          <w:trHeight w:val="236"/>
        </w:trPr>
        <w:tc>
          <w:tcPr>
            <w:tcW w:w="58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September 30, 2023</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3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29,679</w:t>
            </w:r>
          </w:p>
        </w:tc>
        <w:tc>
          <w:tcPr>
            <w:tcW w:w="100" w:type="dxa"/>
            <w:vAlign w:val="bottom"/>
            <w:tcBorders>
              <w:top w:val="single" w:sz="8" w:color="CFF0FC"/>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has evaluated all recently issued accounting pronouncements through the date of the financial statements and found that no recently issued accounting pronouncements, when adopted, will have a material impact on the Company’s condensed consolidated financial position, results of operations, and cash flows, or do not apply to the Company’s operations.</w:t>
      </w:r>
    </w:p>
    <w:p>
      <w:pPr>
        <w:spacing w:after="0" w:line="28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Intangible Asset</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Intangible asset consists of website development costs and milestone payments to the former shareholders of Laxdale related to the 2004 acquisition of the rights to VASCEPA, which is the result of VASCEPA receiving marketing approval in the U.S. for the first indication in 2012, the expanded label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September 30, 2023, the intangible asset has an estimated weighted-average remaining life of 7.3 years. The carrying value as of September 30, 2023 and December 31, 2022 is as follows: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8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September 30, 2023</w:t>
            </w:r>
          </w:p>
        </w:tc>
        <w:tc>
          <w:tcPr>
            <w:tcW w:w="10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December 31, 2022</w:t>
            </w:r>
          </w:p>
        </w:tc>
      </w:tr>
      <w:tr>
        <w:trPr>
          <w:trHeight w:val="23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32,859</w:t>
            </w: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32,859</w:t>
            </w:r>
          </w:p>
        </w:tc>
        <w:tc>
          <w:tcPr>
            <w:tcW w:w="80" w:type="dxa"/>
            <w:vAlign w:val="bottom"/>
            <w:shd w:val="clear" w:color="auto" w:fill="CFF0FC"/>
          </w:tcPr>
          <w:p>
            <w:pPr>
              <w:spacing w:after="0"/>
              <w:rPr>
                <w:sz w:val="20"/>
                <w:szCs w:val="20"/>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(13,183 )</w:t>
            </w:r>
          </w:p>
        </w:tc>
        <w:tc>
          <w:tcPr>
            <w:tcW w:w="1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(11,079 )</w:t>
            </w:r>
          </w:p>
        </w:tc>
      </w:tr>
      <w:tr>
        <w:trPr>
          <w:trHeight w:val="277"/>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19,676</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-24765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Inventory</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regulatory authorities. Inventories as of September 30, 2023 and December 31, 2022 consist of the following:</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8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September 30, 2023</w:t>
            </w:r>
          </w:p>
        </w:tc>
        <w:tc>
          <w:tcPr>
            <w:tcW w:w="18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c>
          <w:tcPr>
            <w:tcW w:w="80" w:type="dxa"/>
            <w:vAlign w:val="bottom"/>
          </w:tcPr>
          <w:p>
            <w:pPr>
              <w:spacing w:after="0"/>
              <w:rPr>
                <w:sz w:val="16"/>
                <w:szCs w:val="16"/>
                <w:color w:val="auto"/>
              </w:rPr>
            </w:pPr>
          </w:p>
        </w:tc>
      </w:tr>
      <w:tr>
        <w:trPr>
          <w:trHeight w:val="23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146,514</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126,391</w:t>
            </w:r>
          </w:p>
        </w:tc>
        <w:tc>
          <w:tcPr>
            <w:tcW w:w="80" w:type="dxa"/>
            <w:vAlign w:val="bottom"/>
            <w:shd w:val="clear" w:color="auto" w:fill="CFF0FC"/>
          </w:tcPr>
          <w:p>
            <w:pPr>
              <w:spacing w:after="0"/>
              <w:rPr>
                <w:sz w:val="20"/>
                <w:szCs w:val="20"/>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52,297</w:t>
            </w:r>
          </w:p>
        </w:tc>
        <w:tc>
          <w:tcPr>
            <w:tcW w:w="80" w:type="dxa"/>
            <w:vAlign w:val="bottom"/>
          </w:tcPr>
          <w:p>
            <w:pPr>
              <w:spacing w:after="0"/>
              <w:rPr>
                <w:sz w:val="20"/>
                <w:szCs w:val="20"/>
                <w:color w:val="auto"/>
              </w:rPr>
            </w:pPr>
          </w:p>
        </w:tc>
      </w:tr>
      <w:tr>
        <w:trPr>
          <w:trHeight w:val="24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199,344</w:t>
            </w:r>
          </w:p>
        </w:tc>
        <w:tc>
          <w:tcPr>
            <w:tcW w:w="1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213,664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5840" w:type="dxa"/>
            <w:vAlign w:val="bottom"/>
          </w:tcPr>
          <w:p>
            <w:pPr>
              <w:spacing w:after="0" w:line="243" w:lineRule="exact"/>
              <w:rPr>
                <w:sz w:val="20"/>
                <w:szCs w:val="20"/>
                <w:color w:val="auto"/>
              </w:rPr>
            </w:pPr>
            <w:r>
              <w:rPr>
                <w:rFonts w:ascii="Arial" w:cs="Arial" w:eastAsia="Arial" w:hAnsi="Arial"/>
                <w:sz w:val="18"/>
                <w:szCs w:val="18"/>
                <w:color w:val="auto"/>
              </w:rPr>
              <w:t xml:space="preserve">Total inventory </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346,253</w:t>
            </w:r>
          </w:p>
        </w:tc>
        <w:tc>
          <w:tcPr>
            <w:tcW w:w="60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392,352</w:t>
            </w:r>
          </w:p>
        </w:tc>
        <w:tc>
          <w:tcPr>
            <w:tcW w:w="8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-187960</wp:posOffset>
            </wp:positionV>
            <wp:extent cx="5143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74" w:lineRule="exact"/>
        <w:rPr>
          <w:sz w:val="20"/>
          <w:szCs w:val="20"/>
          <w:color w:val="auto"/>
        </w:rPr>
      </w:pPr>
    </w:p>
    <w:p>
      <w:pPr>
        <w:ind w:left="1360" w:right="1780" w:hanging="4"/>
        <w:spacing w:after="0" w:line="257" w:lineRule="auto"/>
        <w:tabs>
          <w:tab w:leader="none" w:pos="1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inventory consists of both current inventory and long-term inventory. During the nine months ended September 30, 2023, approximately $3.4 million of inventory was expensed through cost of goods sold for both product dating and non-product dating unsellable inventory. During the nine months ended September 30, 2022 approximately $9.6 million of finished goods were expensed through cost of goods sold related to unsellable inventory not related to product dating.</w:t>
      </w:r>
    </w:p>
    <w:p>
      <w:pPr>
        <w:spacing w:after="0" w:line="8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As of September 30, 2023 and December 31, 2022, the Company had $91.8 million and $163.6 million of long-term inventory, respectively, as consumption is expected beyond the Company's operating cycle of twelve months.</w:t>
      </w:r>
    </w:p>
    <w:p>
      <w:pPr>
        <w:spacing w:after="0" w:line="2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Amarin accrues a liability for legal contingencies when it believes that it is both probable that a liability has been incurred and that it can reasonably estimate the amount of the loss. Amarin reviews these accruals and adjusts them to reflect ongoing negotiations, settlements, rulings, advice of legal counsel and other relevant information. To the extent new information is obtained and Amarin’s views on the probable outcomes of claims, suits, assessments, investigations or legal proceedings change, changes in Amarin’s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Amarin provides disclosure of the possible loss or range of loss. If a reasonable estimate cannot be made, however, Amarin will provide disclosure to that effect.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i w:val="1"/>
          <w:iCs w:val="1"/>
          <w:u w:val="single" w:color="auto"/>
          <w:color w:val="auto"/>
        </w:rPr>
        <w:t>Litigation Updates</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Amarin intends to vigorously enforce its intellectual property rights relating to VASCEPA, but cannot predict the outcome of these lawsuits described below, those lawsuits described in the Company's Form 10-K or any subsequently filed lawsuits. Except as described below, there have been no material updates to our litigation as reported in the Company’s Form 10-K.</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April 2021, Dr. Reddy’s filed a complaint against the Company in the United States District Court for the District of New Jersey, Civil action No.21-cv-10309, alleging various antitrust violations stemming from alleged anticompetitive practices related to the supply of active pharmaceutical ingredient of VASCEPA. The complaint also includes a related state law tortious interference claim. Damages sought include recovery for alleged economic harm to Dr. Reddy’s, payors and consumers, treble damages and other costs and fees. Injunctive relief against the alleged violative activities is also being sought by Dr. Reddy’s. In addition, in February 2023, Hikma filed a complaint against the Company in the United States District Court District of New Jersey (case no. 3:23-cv-01016) with allegations consistent with Dr. Reddy's complaint. Amarin believes it has valid defenses and will vigorously defend against the claims. Such litigation can be lengthy, costly and could materially affect and disrupt our business.</w:t>
      </w:r>
    </w:p>
    <w:p>
      <w:pPr>
        <w:spacing w:after="0" w:line="6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Amarin is named as a defendant in six antitrust class action lawsuits in the District Court for the District of New Jersey, as displayed in the table below. Each of the six antitrust class action lawsuits allege Amarin and its co-defendant suppliers violated state and federal antitrust laws by monopolizing and engaging in a conspiracy to restrain trade in the icosapent ethyl drug and API markets.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Borders>
              <w:bottom w:val="single" w:sz="8" w:color="auto"/>
            </w:tcBorders>
          </w:tcPr>
          <w:p>
            <w:pPr>
              <w:ind w:left="3540"/>
              <w:spacing w:after="0"/>
              <w:rPr>
                <w:sz w:val="20"/>
                <w:szCs w:val="20"/>
                <w:color w:val="auto"/>
              </w:rPr>
            </w:pPr>
            <w:r>
              <w:rPr>
                <w:rFonts w:ascii="Arial" w:cs="Arial" w:eastAsia="Arial" w:hAnsi="Arial"/>
                <w:sz w:val="14"/>
                <w:szCs w:val="14"/>
                <w:b w:val="1"/>
                <w:bCs w:val="1"/>
                <w:color w:val="auto"/>
              </w:rPr>
              <w:t>Lawsuits</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Civil Action #</w:t>
            </w:r>
          </w:p>
        </w:tc>
        <w:tc>
          <w:tcPr>
            <w:tcW w:w="160" w:type="dxa"/>
            <w:vAlign w:val="bottom"/>
          </w:tcPr>
          <w:p>
            <w:pPr>
              <w:spacing w:after="0"/>
              <w:rPr>
                <w:sz w:val="16"/>
                <w:szCs w:val="16"/>
                <w:color w:val="auto"/>
              </w:rPr>
            </w:pPr>
          </w:p>
        </w:tc>
        <w:tc>
          <w:tcPr>
            <w:tcW w:w="20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Direct/Indirect Purchasers</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Uniformed Fire Officers Association Family Protection Plan Local 854</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21-12061</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Indirect Purchaser</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Uniformed Fire Officers Association for Retired Fire Officers Family Protection Plan</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21-12061</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Indirect Purchaser</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The International Union of Operating Engineers Locals 137, 137A, 137B, 137C, 137R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21-12416</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Indirect Purchaser</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KPH Healthcare Services, Inc.</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21-12747</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Direct Purchaser</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Local 464A United Food and Commercial Workers Union Welfare Service Benefit Fund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21-13009</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Direct Purchaser</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Teamsters Health &amp; Welfare Fund of Philadelphia and Vicinity</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21-13406</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Indirect Purchaser</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Such antitrust litigation, and antitrust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October 21, 2021, a purported investor in the Company's publicly traded securities filed a putative class action lawsuit against Amarin Corporation plc, the former chief executive officer and the former chief financial officer in the U.S. District Court for the District of New Jersey, Vincent Dang v. Amarin Corporation plc, John F. Thero and Michael W. Kalb, No. 1:21-cv-19212 (D.N.J. Oct. 21, 2021). A subsequent case, Dorfman v. Amarin Corporation plc, et al., No. 3:21-cv-19911 (D.N.J. filed Nov. 10, 2021), was filed in November 2021. In December 2021, several Amarin shareholders moved to consolidate the cases and appoint a lead plaintiff and lead counsel pursuant to the Private Securities Litigation Reform Act. The complaints in these actions are nearly identical and allege that the Company misled investors by allegedly downplaying the risk associated with the Company's ANDA litigation described above and the risk that certain of the Company's patents related to the MARINE indication would be invalidated. Based on these allegations, plaintiff alleges that he purchased securities at an inflated share price and brings claims under the Securities and Exchange Act of 1934 seeking unspecified monetary damages and attorneys' fees and costs. On January 13, 2023, lead plaintiff filed an amended complaint that also named the former general counsel, and again alleged that the Company made false statements regarding the ANDA Litigation as well as about the REDUCE-IT indication and VASCEPA’s financial prospects resulting from REDUCE-IT. All Defendants have moved to dismiss the amended complaint. The Company believes it has valid defenses and will vigorously defend against the claims but cannot predict the outcome. The Company is unable to reasonably estimate the loss exposure, if any, associated with these claims.</w:t>
      </w:r>
    </w:p>
    <w:p>
      <w:pPr>
        <w:spacing w:after="0" w:line="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On March 29, 2023, purported investors in the Company’s publicly traded securities filed a derivative lawsuit, naming as defendants the Company’s former general counsel, the Company’s trial counsel for the ANDA litigation, and the Company as nominal defendant, in the Superior Court of New Jersey, Law Division, Monmouth County, captioned </w:t>
      </w:r>
      <w:r>
        <w:rPr>
          <w:rFonts w:ascii="Arial" w:cs="Arial" w:eastAsia="Arial" w:hAnsi="Arial"/>
          <w:sz w:val="18"/>
          <w:szCs w:val="18"/>
          <w:i w:val="1"/>
          <w:iCs w:val="1"/>
          <w:color w:val="auto"/>
        </w:rPr>
        <w:t>Anne Abramson, John Lissandrello, Georgette Appiano, and Andrew Bondarowicz v. Amarin Corporation plc,</w:t>
      </w:r>
      <w:r>
        <w:rPr>
          <w:rFonts w:ascii="Arial" w:cs="Arial" w:eastAsia="Arial" w:hAnsi="Arial"/>
          <w:sz w:val="18"/>
          <w:szCs w:val="18"/>
          <w:color w:val="auto"/>
        </w:rPr>
        <w:t xml:space="preserve"> </w:t>
      </w:r>
      <w:r>
        <w:rPr>
          <w:rFonts w:ascii="Arial" w:cs="Arial" w:eastAsia="Arial" w:hAnsi="Arial"/>
          <w:sz w:val="18"/>
          <w:szCs w:val="18"/>
          <w:i w:val="1"/>
          <w:iCs w:val="1"/>
          <w:color w:val="auto"/>
        </w:rPr>
        <w:t>Covington &amp; Burling, LLP, Joseph T. Kennedy, and John Does A-Z</w:t>
      </w:r>
      <w:r>
        <w:rPr>
          <w:rFonts w:ascii="Arial" w:cs="Arial" w:eastAsia="Arial" w:hAnsi="Arial"/>
          <w:sz w:val="18"/>
          <w:szCs w:val="18"/>
          <w:color w:val="auto"/>
        </w:rPr>
        <w:t>, No. MON-L-000984-23 (N.J. Super. Ct. Law Div. Mar. 29, 2023). The complaint</w:t>
      </w:r>
      <w:r>
        <w:rPr>
          <w:rFonts w:ascii="Arial" w:cs="Arial" w:eastAsia="Arial" w:hAnsi="Arial"/>
          <w:sz w:val="18"/>
          <w:szCs w:val="18"/>
          <w:i w:val="1"/>
          <w:iCs w:val="1"/>
          <w:color w:val="auto"/>
        </w:rPr>
        <w:t xml:space="preserve"> </w:t>
      </w:r>
      <w:r>
        <w:rPr>
          <w:rFonts w:ascii="Arial" w:cs="Arial" w:eastAsia="Arial" w:hAnsi="Arial"/>
          <w:sz w:val="18"/>
          <w:szCs w:val="18"/>
          <w:color w:val="auto"/>
        </w:rPr>
        <w:t>alleged that the defendants failed to exercise appropriate diligence and due care in their conduct of the ANDA litigation. Based on those allegations, the complaint alleged that the defendants committed legal malpractice and sought monetary damages and attorneys’ fees and costs. On April 8, 2023, the plaintiffs voluntarily dismissed this case without prejudice.</w:t>
      </w:r>
    </w:p>
    <w:p>
      <w:pPr>
        <w:spacing w:after="0" w:line="8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On March 31, 2023, the Company’s former chief executive officer, Karim Mikhail, filed a complaint against the Company and certain of its affiliates in the Superior Court of New Jersey, Law Division – Somerset County, captioned </w:t>
      </w:r>
      <w:r>
        <w:rPr>
          <w:rFonts w:ascii="Arial" w:cs="Arial" w:eastAsia="Arial" w:hAnsi="Arial"/>
          <w:sz w:val="18"/>
          <w:szCs w:val="18"/>
          <w:i w:val="1"/>
          <w:iCs w:val="1"/>
          <w:color w:val="auto"/>
        </w:rPr>
        <w:t>Mikhail v. Amarin Corporation, plc</w:t>
      </w:r>
      <w:r>
        <w:rPr>
          <w:rFonts w:ascii="Arial" w:cs="Arial" w:eastAsia="Arial" w:hAnsi="Arial"/>
          <w:sz w:val="18"/>
          <w:szCs w:val="18"/>
          <w:color w:val="auto"/>
        </w:rPr>
        <w:t xml:space="preserve"> (Docket No. SOM-L-000366-23), concerning Mr. Mikhail’s alleged “constructive termination” from the Company. The complaint seeks unspecified damages arising from claims for breaches of his employment agreement, Executive Severance and Change of Control Plan, and the implied covenant of good faith and fair dealing. On April 3, 2023, the case moved to the United States District Court for the District of New Jersey (Civ. No. 3:23-cv-01856). On June 30, 2023, all defendants moved to dismiss this case without prejudice.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ind w:right="80"/>
        <w:spacing w:after="0" w:line="277" w:lineRule="auto"/>
        <w:rPr>
          <w:sz w:val="20"/>
          <w:szCs w:val="20"/>
          <w:color w:val="auto"/>
        </w:rPr>
      </w:pPr>
      <w:r>
        <w:rPr>
          <w:rFonts w:ascii="Arial" w:cs="Arial" w:eastAsia="Arial" w:hAnsi="Arial"/>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76"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continues to negotiate with contract suppliers to align its supply arrangements with current and future global demand which may result in additional costs to the Company. As of the date of filing of this Quarterly Report, the Company has a total of approximately $59.0 million in future contractual purchase obligations without consideration to ongoing discussions with other suppliers. In addition, the Company has total obligations of $42.5 million contingent on either certain suppliers obtaining regulatory approval in Europe or pricing reimbursement in certain European countries not occurring by June 30, 2024.</w:t>
      </w:r>
    </w:p>
    <w:p>
      <w:pPr>
        <w:spacing w:after="0" w:line="8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During the three months ended September 30, 2023, the Company determined that it was probable that the Company would not be able to obtain pricing reimbursement in certain countries outlined within renegotiated supply agreements by June 30, 2024. The Company's reasonable estimate of the liability is a range between $8.0 million and $15.8 million, with no amount within that range a better estimate than any other amount; accordingly an $8.0 million provision was recognized in cost of goods sold - restructuring inventory on the condensed consolidated statement of operations. The ultimate resolution of the matter could result in up to an additional $7.8 million of the amount accrued.</w:t>
      </w:r>
    </w:p>
    <w:p>
      <w:pPr>
        <w:spacing w:after="0" w:line="6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of such former shareholders) of £5 million (approximately $6.1 million as of September 30, 2023) for any such market approval.</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no provision for any of these obligations, except the $8.0 million provision noted above, since the amounts are either not paid or payable as of September 30, 2023.</w:t>
      </w:r>
    </w:p>
    <w:p>
      <w:pPr>
        <w:spacing w:after="0" w:line="2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Equity</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1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 xml:space="preserve">During the nine months ended September 30, 2023 and 2022, in addition to ordinary shares issued as described in </w:t>
      </w:r>
      <w:r>
        <w:rPr>
          <w:rFonts w:ascii="Arial" w:cs="Arial" w:eastAsia="Arial" w:hAnsi="Arial"/>
          <w:sz w:val="16"/>
          <w:szCs w:val="16"/>
          <w:i w:val="1"/>
          <w:iCs w:val="1"/>
          <w:color w:val="auto"/>
        </w:rPr>
        <w:t>Incentive Equity Awards</w:t>
      </w:r>
      <w:r>
        <w:rPr>
          <w:rFonts w:ascii="Arial" w:cs="Arial" w:eastAsia="Arial" w:hAnsi="Arial"/>
          <w:sz w:val="16"/>
          <w:szCs w:val="16"/>
          <w:color w:val="auto"/>
        </w:rPr>
        <w:t xml:space="preserve"> below, the Company issued 205,861 and 265,214 ordinary shares, respectively, under the Amarin Corporation plc 2017 Employee Stock Purchase Plan.</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aggregate number of stock options and restricted stock units, or RSUs, outstanding under the Amarin Corporation plc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Stock Incentive Plan, or the 2020 Plan, as of September 30, 2023:</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0" w:type="dxa"/>
            <w:vAlign w:val="bottom"/>
          </w:tcPr>
          <w:p>
            <w:pPr>
              <w:spacing w:after="0"/>
              <w:rPr>
                <w:sz w:val="16"/>
                <w:szCs w:val="16"/>
                <w:color w:val="auto"/>
              </w:rPr>
            </w:pPr>
          </w:p>
        </w:tc>
        <w:tc>
          <w:tcPr>
            <w:tcW w:w="3500" w:type="dxa"/>
            <w:vAlign w:val="bottom"/>
            <w:gridSpan w:val="3"/>
          </w:tcPr>
          <w:p>
            <w:pPr>
              <w:jc w:val="right"/>
              <w:ind w:right="1240"/>
              <w:spacing w:after="0"/>
              <w:rPr>
                <w:sz w:val="20"/>
                <w:szCs w:val="20"/>
                <w:color w:val="auto"/>
              </w:rPr>
            </w:pPr>
            <w:r>
              <w:rPr>
                <w:rFonts w:ascii="Arial" w:cs="Arial" w:eastAsia="Arial" w:hAnsi="Arial"/>
                <w:sz w:val="14"/>
                <w:szCs w:val="14"/>
                <w:b w:val="1"/>
                <w:bCs w:val="1"/>
                <w:color w:val="auto"/>
              </w:rPr>
              <w:t>September 30, 2023</w:t>
            </w:r>
          </w:p>
        </w:tc>
      </w:tr>
      <w:tr>
        <w:trPr>
          <w:trHeight w:val="236"/>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stock options</w:t>
            </w:r>
          </w:p>
        </w:tc>
        <w:tc>
          <w:tcPr>
            <w:tcW w:w="3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27,796,736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 of outstanding shares on a fully-diluted basis</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6 %</w:t>
            </w:r>
          </w:p>
        </w:tc>
      </w:tr>
      <w:tr>
        <w:trPr>
          <w:trHeight w:val="249"/>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RSUs</w:t>
            </w:r>
          </w:p>
        </w:tc>
        <w:tc>
          <w:tcPr>
            <w:tcW w:w="3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13,676,317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 of outstanding shares on a fully-diluted basis</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3 %</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equity awards activity during the nine months ended September 30, 2023 and 2022:</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5" w:name="page16"/>
    <w:bookmarkEnd w:id="15"/>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shares issued for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18"/>
          <w:szCs w:val="18"/>
          <w:color w:val="auto"/>
        </w:rPr>
        <w:t>Gross and net proceeds from stock option exercises</w:t>
      </w:r>
      <w:r>
        <w:rPr>
          <w:sz w:val="20"/>
          <w:szCs w:val="20"/>
          <w:color w:val="auto"/>
        </w:rPr>
        <w:tab/>
      </w:r>
      <w:r>
        <w:rPr>
          <w:rFonts w:ascii="Arial" w:cs="Arial" w:eastAsia="Arial" w:hAnsi="Arial"/>
          <w:sz w:val="13"/>
          <w:szCs w:val="13"/>
          <w:color w:val="auto"/>
        </w:rPr>
        <w: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right="800"/>
        <w:spacing w:after="0" w:line="310" w:lineRule="auto"/>
        <w:rPr>
          <w:sz w:val="20"/>
          <w:szCs w:val="20"/>
          <w:color w:val="auto"/>
        </w:rPr>
      </w:pPr>
      <w:r>
        <w:rPr>
          <w:rFonts w:ascii="Arial" w:cs="Arial" w:eastAsia="Arial" w:hAnsi="Arial"/>
          <w:sz w:val="15"/>
          <w:szCs w:val="15"/>
          <w:color w:val="auto"/>
        </w:rPr>
        <w:t xml:space="preserve">Shares retained for settlement of employee tax obligations ─ RSUs Common shares issued in settlement of vested Performance-based RSUs </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right="420"/>
        <w:spacing w:after="0" w:line="258" w:lineRule="auto"/>
        <w:rPr>
          <w:sz w:val="20"/>
          <w:szCs w:val="20"/>
          <w:color w:val="auto"/>
        </w:rPr>
      </w:pPr>
      <w:r>
        <w:rPr>
          <w:rFonts w:ascii="Arial" w:cs="Arial" w:eastAsia="Arial" w:hAnsi="Arial"/>
          <w:sz w:val="18"/>
          <w:szCs w:val="18"/>
          <w:color w:val="auto"/>
        </w:rPr>
        <w:t>Shares retained for settlement of employee tax obligations ─ Performance-based RSUs</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15240</wp:posOffset>
            </wp:positionV>
            <wp:extent cx="33343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60" w:type="dxa"/>
            <w:vAlign w:val="bottom"/>
          </w:tcPr>
          <w:p>
            <w:pPr>
              <w:jc w:val="right"/>
              <w:ind w:right="1393"/>
              <w:spacing w:after="0"/>
              <w:rPr>
                <w:sz w:val="20"/>
                <w:szCs w:val="20"/>
                <w:color w:val="auto"/>
              </w:rPr>
            </w:pPr>
            <w:r>
              <w:rPr>
                <w:rFonts w:ascii="Arial" w:cs="Arial" w:eastAsia="Arial" w:hAnsi="Arial"/>
                <w:sz w:val="14"/>
                <w:szCs w:val="14"/>
                <w:b w:val="1"/>
                <w:bCs w:val="1"/>
                <w:color w:val="auto"/>
                <w:w w:val="83"/>
              </w:rPr>
              <w:t>2023</w:t>
            </w:r>
          </w:p>
        </w:tc>
        <w:tc>
          <w:tcPr>
            <w:tcW w:w="5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2022</w:t>
            </w:r>
          </w:p>
        </w:tc>
      </w:tr>
      <w:tr>
        <w:trPr>
          <w:trHeight w:val="224"/>
        </w:trPr>
        <w:tc>
          <w:tcPr>
            <w:tcW w:w="1760" w:type="dxa"/>
            <w:vAlign w:val="bottom"/>
          </w:tcPr>
          <w:p>
            <w:pPr>
              <w:jc w:val="right"/>
              <w:ind w:right="333"/>
              <w:spacing w:after="0"/>
              <w:rPr>
                <w:sz w:val="20"/>
                <w:szCs w:val="20"/>
                <w:color w:val="auto"/>
              </w:rPr>
            </w:pPr>
            <w:r>
              <w:rPr>
                <w:rFonts w:ascii="Arial" w:cs="Arial" w:eastAsia="Arial" w:hAnsi="Arial"/>
                <w:sz w:val="18"/>
                <w:szCs w:val="18"/>
                <w:color w:val="auto"/>
              </w:rPr>
              <w:t>1,239,763</w:t>
            </w:r>
          </w:p>
        </w:tc>
        <w:tc>
          <w:tcPr>
            <w:tcW w:w="5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33,303</w:t>
            </w:r>
          </w:p>
        </w:tc>
      </w:tr>
      <w:tr>
        <w:trPr>
          <w:trHeight w:val="242"/>
        </w:trPr>
        <w:tc>
          <w:tcPr>
            <w:tcW w:w="1760" w:type="dxa"/>
            <w:vAlign w:val="bottom"/>
          </w:tcPr>
          <w:p>
            <w:pPr>
              <w:jc w:val="right"/>
              <w:ind w:right="333"/>
              <w:spacing w:after="0"/>
              <w:rPr>
                <w:sz w:val="20"/>
                <w:szCs w:val="20"/>
                <w:color w:val="auto"/>
              </w:rPr>
            </w:pPr>
            <w:r>
              <w:rPr>
                <w:rFonts w:ascii="Arial" w:cs="Arial" w:eastAsia="Arial" w:hAnsi="Arial"/>
                <w:sz w:val="18"/>
                <w:szCs w:val="18"/>
                <w:color w:val="auto"/>
              </w:rPr>
              <w:t>1,878,000</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59,000</w:t>
            </w:r>
          </w:p>
        </w:tc>
      </w:tr>
      <w:tr>
        <w:trPr>
          <w:trHeight w:val="243"/>
        </w:trPr>
        <w:tc>
          <w:tcPr>
            <w:tcW w:w="1760" w:type="dxa"/>
            <w:vAlign w:val="bottom"/>
          </w:tcPr>
          <w:p>
            <w:pPr>
              <w:jc w:val="right"/>
              <w:ind w:right="333"/>
              <w:spacing w:after="0"/>
              <w:rPr>
                <w:sz w:val="20"/>
                <w:szCs w:val="20"/>
                <w:color w:val="auto"/>
              </w:rPr>
            </w:pPr>
            <w:r>
              <w:rPr>
                <w:rFonts w:ascii="Arial" w:cs="Arial" w:eastAsia="Arial" w:hAnsi="Arial"/>
                <w:sz w:val="18"/>
                <w:szCs w:val="18"/>
                <w:color w:val="auto"/>
              </w:rPr>
              <w:t>3,624,207</w:t>
            </w:r>
          </w:p>
        </w:tc>
        <w:tc>
          <w:tcPr>
            <w:tcW w:w="5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1,458,806</w:t>
            </w:r>
          </w:p>
        </w:tc>
      </w:tr>
      <w:tr>
        <w:trPr>
          <w:trHeight w:val="243"/>
        </w:trPr>
        <w:tc>
          <w:tcPr>
            <w:tcW w:w="1760" w:type="dxa"/>
            <w:vAlign w:val="bottom"/>
          </w:tcPr>
          <w:p>
            <w:pPr>
              <w:jc w:val="right"/>
              <w:ind w:right="333"/>
              <w:spacing w:after="0"/>
              <w:rPr>
                <w:sz w:val="20"/>
                <w:szCs w:val="20"/>
                <w:color w:val="auto"/>
              </w:rPr>
            </w:pPr>
            <w:r>
              <w:rPr>
                <w:rFonts w:ascii="Arial" w:cs="Arial" w:eastAsia="Arial" w:hAnsi="Arial"/>
                <w:sz w:val="18"/>
                <w:szCs w:val="18"/>
                <w:color w:val="auto"/>
              </w:rPr>
              <w:t>1,063,987</w:t>
            </w:r>
          </w:p>
        </w:tc>
        <w:tc>
          <w:tcPr>
            <w:tcW w:w="5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344,318</w:t>
            </w:r>
          </w:p>
        </w:tc>
      </w:tr>
      <w:tr>
        <w:trPr>
          <w:trHeight w:val="256"/>
        </w:trPr>
        <w:tc>
          <w:tcPr>
            <w:tcW w:w="1760" w:type="dxa"/>
            <w:vAlign w:val="bottom"/>
          </w:tcPr>
          <w:p>
            <w:pPr>
              <w:jc w:val="right"/>
              <w:ind w:right="333"/>
              <w:spacing w:after="0"/>
              <w:rPr>
                <w:sz w:val="20"/>
                <w:szCs w:val="20"/>
                <w:color w:val="auto"/>
              </w:rPr>
            </w:pPr>
            <w:r>
              <w:rPr>
                <w:rFonts w:ascii="Arial" w:cs="Arial" w:eastAsia="Arial" w:hAnsi="Arial"/>
                <w:sz w:val="18"/>
                <w:szCs w:val="18"/>
                <w:color w:val="auto"/>
              </w:rPr>
              <w:t>342,040</w:t>
            </w:r>
          </w:p>
        </w:tc>
        <w:tc>
          <w:tcPr>
            <w:tcW w:w="5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1"/>
        </w:trPr>
        <w:tc>
          <w:tcPr>
            <w:tcW w:w="1760" w:type="dxa"/>
            <w:vAlign w:val="bottom"/>
          </w:tcPr>
          <w:p>
            <w:pPr>
              <w:jc w:val="right"/>
              <w:ind w:right="333"/>
              <w:spacing w:after="0"/>
              <w:rPr>
                <w:sz w:val="20"/>
                <w:szCs w:val="20"/>
                <w:color w:val="auto"/>
              </w:rPr>
            </w:pPr>
            <w:r>
              <w:rPr>
                <w:rFonts w:ascii="Arial" w:cs="Arial" w:eastAsia="Arial" w:hAnsi="Arial"/>
                <w:sz w:val="18"/>
                <w:szCs w:val="18"/>
                <w:color w:val="auto"/>
              </w:rPr>
              <w:t>143,120</w:t>
            </w:r>
          </w:p>
        </w:tc>
        <w:tc>
          <w:tcPr>
            <w:tcW w:w="5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-1002665</wp:posOffset>
            </wp:positionV>
            <wp:extent cx="15430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6240" w:space="720"/>
            <w:col w:w="4280"/>
          </w:cols>
          <w:pgMar w:left="320" w:top="414" w:right="339" w:bottom="1440" w:gutter="0" w:footer="0" w:header="0"/>
        </w:sectPr>
      </w:pPr>
    </w:p>
    <w:p>
      <w:pPr>
        <w:ind w:left="760" w:right="38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Performance-based RSUs vested in connection with the achievement of certain performance conditions during the year. These performance-based RSUs will vest over a three-year period based on continuous service from the grant date.</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July 2023, in connection with the implementation of a retention program, the Company granted a total of 3,978,300 stock options to employees under the 2020 Plan. The options vest 50% on both January 1, 2024 and January 1, 2025, respectively.</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July 2023, the Company granted a total of 1,209,824 RSUs and 3,629,465 stock options to members of the Company's Board of Directors under the 2020 Plan and in accordance with the Company's non-employee director compensation policy. The RSUs vest in equal installments over a three-year period upon the earlier of the anniversary of the grant date or the Company’s annual general meeting of shareholders in such anniversary year, and are subject to deferred settlement upon the director’s separation of service with the Company. The stock options vest in full upon the earlier of the one-year anniversary of the grant date or the Company’s annual general meeting of shareholders in such anniversary year.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July 2023, the Company granted 5,000,000 stock options to Patrick Holt in connection with his appointment as President and Chief Executive Officer, which will vest upon achievement of specified stock price conditions for the Company.</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2023, the Company granted a total of 7,775,850 RSUs and 4,297,500 stock options to employees under the 2020 Plan. The RSUs vest annually over a three-year period and the stock options vest quarterly over a four-year period with a one-year cliff vesting. Also in February 2023, the Company granted a total of 1,368,800 RSUs to employees under the 2020 Plan that vest upon the achievement of specified sales and operational performance conditions.</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June 2022, the Company granted a total of 661,459 RSUs and 817,873 stock options to members of the Company’s Board of Directors under the 2020 Plan and in accordance with the Company's non-employee director compensation policy. The RSUs vest in equal installments over a three-year period upon the earlier of the anniversary of the grant date or the Company’s annual general meeting of shareholders in such anniversary year, and are subject to deferred settlement upon the director’s separation of service with the Company. The stock options vest in full upon the earlier of the one-year anniversary of the grant date or the Company’s annual general meeting of shareholders in such anniversary year.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2022, the Company granted a total of 5,987,500 RSUs and 1,976,600 stock options to employees under the 2020 Plan. The RSUs vest annually over a three-year period and the stock options vest quarterly over a four-year period with a one-year cliff vesting. Also in February 2022, the Company granted a total of 1,089,500 RSUs to employees under the 2020 Plan that vest upon the achievement of specified sales and operational performance conditions.</w:t>
      </w:r>
    </w:p>
    <w:p>
      <w:pPr>
        <w:spacing w:after="0" w:line="7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January 2022 and May 2022, the Company granted a total of 81,082 and 360,000 RSUs, respectively, and 103,569 and 447,438 stock options, respectively, to newly appointed members of the Company’s Board of Directors under the 2020 Plan and in accordance with the Company's non-employee director compensation policy. The RSUs vest in equal installments over a three-year period upon the anniversary of the grant date, and are subject to deferred settlement upon the director’s separation of service with the Company. The stock options vested in full upon the one-year anniversary of the grant date.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26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Revenue Recognition</w:t>
      </w:r>
    </w:p>
    <w:p>
      <w:pPr>
        <w:spacing w:after="0" w:line="121"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The Company sells VASCEPA principally to a limited number of major wholesalers, as well as selected regional wholesalers and specialty pharmacy providers in the United States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6" w:name="page17"/>
    <w:bookmarkEnd w:id="16"/>
    <w:p>
      <w:pPr>
        <w:spacing w:after="0" w:line="275" w:lineRule="auto"/>
        <w:rPr>
          <w:sz w:val="20"/>
          <w:szCs w:val="20"/>
          <w:color w:val="auto"/>
        </w:rPr>
      </w:pPr>
      <w:r>
        <w:rPr>
          <w:rFonts w:ascii="Arial" w:cs="Arial" w:eastAsia="Arial" w:hAnsi="Arial"/>
          <w:sz w:val="17"/>
          <w:szCs w:val="17"/>
          <w:color w:val="auto"/>
        </w:rPr>
        <w:t>Revenues from product sales are recognized when the distributor obtains control of the Company’s product, which occurs at a point in time, typically upon delivery to the distributor. Payments from distributors are generally received 45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Arial" w:cs="Arial" w:eastAsia="Arial" w:hAnsi="Arial"/>
          <w:sz w:val="17"/>
          <w:szCs w:val="17"/>
          <w:color w:val="00B050"/>
        </w:rPr>
        <w:t>.</w:t>
      </w:r>
      <w:r>
        <w:rPr>
          <w:rFonts w:ascii="Arial" w:cs="Arial" w:eastAsia="Arial" w:hAnsi="Arial"/>
          <w:sz w:val="17"/>
          <w:szCs w:val="17"/>
          <w:color w:val="auto"/>
        </w:rPr>
        <w:t xml:space="preserve"> The Company calculates gross product revenues generally based on the wholesale acquisition cost or list price that the Company charges its distributors for VASCEPA.</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76" w:lineRule="exact"/>
        <w:rPr>
          <w:sz w:val="20"/>
          <w:szCs w:val="20"/>
          <w:color w:val="auto"/>
        </w:rPr>
      </w:pPr>
    </w:p>
    <w:p>
      <w:pPr>
        <w:ind w:left="520" w:right="20" w:firstLine="509"/>
        <w:spacing w:after="0" w:line="296"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in the U.S. and Europe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53" w:lineRule="exact"/>
        <w:rPr>
          <w:sz w:val="20"/>
          <w:szCs w:val="20"/>
          <w:color w:val="auto"/>
        </w:rPr>
      </w:pPr>
    </w:p>
    <w:p>
      <w:pPr>
        <w:ind w:left="520" w:firstLine="509"/>
        <w:spacing w:after="0" w:line="285" w:lineRule="auto"/>
        <w:rPr>
          <w:sz w:val="20"/>
          <w:szCs w:val="20"/>
          <w:color w:val="auto"/>
        </w:rPr>
      </w:pPr>
      <w:r>
        <w:rPr>
          <w:rFonts w:ascii="Arial" w:cs="Arial" w:eastAsia="Arial" w:hAnsi="Arial"/>
          <w:sz w:val="16"/>
          <w:szCs w:val="16"/>
          <w:i w:val="1"/>
          <w:iCs w:val="1"/>
          <w:color w:val="auto"/>
        </w:rPr>
        <w:t xml:space="preserve">Rebates, Chargebacks and Discounts: </w:t>
      </w:r>
      <w:r>
        <w:rPr>
          <w:rFonts w:ascii="Arial" w:cs="Arial" w:eastAsia="Arial" w:hAnsi="Arial"/>
          <w:sz w:val="16"/>
          <w:szCs w:val="16"/>
          <w:color w:val="auto"/>
        </w:rPr>
        <w:t>The Company contracts with Medicaid, Medicare, other government agencies and various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 For the three and nine months ending September 30, 2023, the Company recognized $6.5 million and $15.1 million related to a change in estimate primarily for the Medicaid rebate provision as a result of a change in the percentage of business within the Medicaid segment, with a related reduction in net loss by $6.5 million and $15.1 million in the three and nine months ended September 30, 2023, respectively. Excluding this change in estimate, net loss per share basic and diluted for the three and nine months ended September 30, 2023 would have been $(0.06) and $(0.17), respectively.</w:t>
      </w:r>
    </w:p>
    <w:p>
      <w:pPr>
        <w:spacing w:after="0" w:line="63" w:lineRule="exact"/>
        <w:rPr>
          <w:sz w:val="20"/>
          <w:szCs w:val="20"/>
          <w:color w:val="auto"/>
        </w:rPr>
      </w:pPr>
    </w:p>
    <w:p>
      <w:pPr>
        <w:ind w:left="520" w:right="120" w:firstLine="509"/>
        <w:spacing w:after="0" w:line="252"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The Company’s distributors have the right to return unopened unprescribed VASCEPA during the 18-month period</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left="520" w:right="20"/>
        <w:spacing w:after="0" w:line="293" w:lineRule="auto"/>
        <w:rPr>
          <w:sz w:val="20"/>
          <w:szCs w:val="20"/>
          <w:color w:val="auto"/>
        </w:rPr>
      </w:pPr>
      <w:r>
        <w:rPr>
          <w:rFonts w:ascii="Arial" w:cs="Arial" w:eastAsia="Arial" w:hAnsi="Arial"/>
          <w:sz w:val="16"/>
          <w:szCs w:val="16"/>
          <w:color w:val="auto"/>
        </w:rPr>
        <w:t>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56" w:lineRule="exact"/>
        <w:rPr>
          <w:sz w:val="20"/>
          <w:szCs w:val="20"/>
          <w:color w:val="auto"/>
        </w:rPr>
      </w:pPr>
    </w:p>
    <w:p>
      <w:pPr>
        <w:ind w:left="520" w:firstLine="509"/>
        <w:spacing w:after="0" w:line="289"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Trade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Rebates,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6"/>
                <w:szCs w:val="16"/>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Allowances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and Discounts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Returns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Incentives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2022</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44,626</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136,093</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8,746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2,056</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191,521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67,003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531,700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13,364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613,701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(15,113 )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(250 )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(15,257 )</w:t>
            </w: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(30,450 )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(442,673 )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(953 )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(11,732 )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(485,808 )</w:t>
            </w: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(42,389 )</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(75,297 )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(1,219 )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(1,008 )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(119,913 )</w:t>
            </w:r>
          </w:p>
        </w:tc>
        <w:tc>
          <w:tcPr>
            <w:tcW w:w="0" w:type="dxa"/>
            <w:vAlign w:val="bottom"/>
          </w:tcPr>
          <w:p>
            <w:pPr>
              <w:spacing w:after="0"/>
              <w:rPr>
                <w:sz w:val="1"/>
                <w:szCs w:val="1"/>
                <w:color w:val="auto"/>
              </w:rPr>
            </w:pPr>
          </w:p>
        </w:tc>
      </w:tr>
      <w:tr>
        <w:trPr>
          <w:trHeight w:val="239"/>
        </w:trPr>
        <w:tc>
          <w:tcPr>
            <w:tcW w:w="45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Balance as of September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38,790</w:t>
            </w:r>
          </w:p>
        </w:tc>
        <w:tc>
          <w:tcPr>
            <w:tcW w:w="20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134,710</w:t>
            </w: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7,958</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2,786</w:t>
            </w:r>
          </w:p>
        </w:tc>
        <w:tc>
          <w:tcPr>
            <w:tcW w:w="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184,244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9"/>
              </w:rPr>
              <w:t>Trade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Rebates,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4"/>
              </w:rPr>
              <w:t>Product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Chargebacks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6"/>
                <w:szCs w:val="16"/>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Allowances</w:t>
            </w:r>
          </w:p>
        </w:tc>
        <w:tc>
          <w:tcPr>
            <w:tcW w:w="20" w:type="dxa"/>
            <w:vAlign w:val="bottom"/>
          </w:tcPr>
          <w:p>
            <w:pPr>
              <w:spacing w:after="0"/>
              <w:rPr>
                <w:sz w:val="16"/>
                <w:szCs w:val="16"/>
                <w:color w:val="auto"/>
              </w:rPr>
            </w:pPr>
          </w:p>
        </w:tc>
        <w:tc>
          <w:tcPr>
            <w:tcW w:w="12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and Discounts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4"/>
              </w:rPr>
              <w:t>Returns</w:t>
            </w:r>
          </w:p>
        </w:tc>
        <w:tc>
          <w:tcPr>
            <w:tcW w:w="100" w:type="dxa"/>
            <w:vAlign w:val="bottom"/>
          </w:tcPr>
          <w:p>
            <w:pPr>
              <w:spacing w:after="0"/>
              <w:rPr>
                <w:sz w:val="16"/>
                <w:szCs w:val="16"/>
                <w:color w:val="auto"/>
              </w:rPr>
            </w:pPr>
          </w:p>
        </w:tc>
        <w:tc>
          <w:tcPr>
            <w:tcW w:w="10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Incentives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2021</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86,636</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184,726</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8,090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2,745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282,197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71,164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490,995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584,945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(26,746 )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(360,256 )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(19,423 )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(406,425 )</w:t>
            </w: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(83,398 )</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(176,107 )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(1,408 )</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(2,630 )</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(263,543 )</w:t>
            </w:r>
          </w:p>
        </w:tc>
        <w:tc>
          <w:tcPr>
            <w:tcW w:w="0" w:type="dxa"/>
            <w:vAlign w:val="bottom"/>
          </w:tcPr>
          <w:p>
            <w:pPr>
              <w:spacing w:after="0"/>
              <w:rPr>
                <w:sz w:val="1"/>
                <w:szCs w:val="1"/>
                <w:color w:val="auto"/>
              </w:rPr>
            </w:pPr>
          </w:p>
        </w:tc>
      </w:tr>
      <w:tr>
        <w:trPr>
          <w:trHeight w:val="238"/>
        </w:trPr>
        <w:tc>
          <w:tcPr>
            <w:tcW w:w="45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Balance as of September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47,656</w:t>
            </w:r>
          </w:p>
        </w:tc>
        <w:tc>
          <w:tcPr>
            <w:tcW w:w="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140,525</w:t>
            </w:r>
          </w:p>
        </w:tc>
        <w:tc>
          <w:tcPr>
            <w:tcW w:w="6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8,420</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1,740</w:t>
            </w:r>
          </w:p>
        </w:tc>
        <w:tc>
          <w:tcPr>
            <w:tcW w:w="12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198,341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-1593850</wp:posOffset>
            </wp:positionV>
            <wp:extent cx="685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-1593850</wp:posOffset>
            </wp:positionV>
            <wp:extent cx="685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-1593850</wp:posOffset>
            </wp:positionV>
            <wp:extent cx="685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-1593850</wp:posOffset>
            </wp:positionV>
            <wp:extent cx="60325"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-1593850</wp:posOffset>
            </wp:positionV>
            <wp:extent cx="60325"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-187960</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-187960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032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032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9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Licensing Revenue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ind w:right="300"/>
        <w:spacing w:after="0" w:line="259"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7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the license to the Company’s intellectual property is determined to be distinct from the other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During the three months ended June 30, 2023, the Company adjusted the measure of performance and recognized an additional $5.0 million and $5.3 million of license revenue relating to Eddingpharm (Asia) Macao Commercial Offshore Limited, or Edding, and HLS Therapeutics Inc., or HLS, respectively. Excluding this change in estimate, net loss per share basic and diluted for the nine months ended September 30, 2023 would have been $(0.16). Refer to </w:t>
      </w:r>
      <w:r>
        <w:rPr>
          <w:rFonts w:ascii="Arial" w:cs="Arial" w:eastAsia="Arial" w:hAnsi="Arial"/>
          <w:sz w:val="16"/>
          <w:szCs w:val="16"/>
          <w:i w:val="1"/>
          <w:iCs w:val="1"/>
          <w:color w:val="auto"/>
        </w:rPr>
        <w:t>Note 8—Development, Commercialization and Supply Agreements</w:t>
      </w:r>
      <w:r>
        <w:rPr>
          <w:rFonts w:ascii="Arial" w:cs="Arial" w:eastAsia="Arial" w:hAnsi="Arial"/>
          <w:sz w:val="16"/>
          <w:szCs w:val="16"/>
          <w:color w:val="auto"/>
        </w:rPr>
        <w:t xml:space="preserve"> for further details.</w:t>
      </w:r>
    </w:p>
    <w:p>
      <w:pPr>
        <w:spacing w:after="0" w:line="6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60" w:lineRule="exact"/>
        <w:rPr>
          <w:sz w:val="20"/>
          <w:szCs w:val="20"/>
          <w:color w:val="auto"/>
        </w:rPr>
      </w:pPr>
    </w:p>
    <w:p>
      <w:pPr>
        <w:jc w:val="both"/>
        <w:ind w:right="120"/>
        <w:spacing w:after="0" w:line="275"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Development, Commercialization and Supply Agreements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In-licenses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Mochida Pharmaceutical Co., Ltd.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w:t>
      </w:r>
    </w:p>
    <w:p>
      <w:pPr>
        <w:spacing w:after="0" w:line="8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7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 January 2023 and 2022, the Company exercised certain rights under the agreement, resulting in payments of $1.0 million in each of such periods to Mochida, which was recorded as research and development expense in the condensed consolidated statement of operations.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auto"/>
        </w:rPr>
        <w:t>Out-licenses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left="580"/>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February 2015, the Company entered into a Development, Commercialization and Supply Agreement, or the DCS Agreement, with Edding related to the development and commercialization of VASCEPA in Mainland China, Hong Kong, Macau and Taiwan, or collectively, the China Territory. Under the terms of the DCS Agreement, the Company granted to Edding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8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12 months’ prior notice. Neither party may assign or transfer the DCS Agreement without the prior consent of the other party, provided that the Company may assign the DCS Agreement in the event of a change of control transaction.</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was used to seek regulatory approval in Mainland China. The Company received approval of VASCEPA under the REDUCE-IT indication in Hong Kong in February 2022 and under the MARINE indication in Mainland China in the second quarter of 2023. Following approval of VASCEPA in Mainland China under the MARINE indication, the Company received a non-refundable $5.0 million milestone payment.</w:t>
      </w:r>
    </w:p>
    <w:p>
      <w:pPr>
        <w:spacing w:after="0" w:line="7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$148.0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As of September 30, 2023 the Company has received $6.0 million relating to milestone payments. Achievement of regulatory approval for a third indication is not probable. The achievement of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7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68"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The transaction price includes the $15.0 million up-front consideration received, the $1.0 million milestone payment received related to the successful submission of the CTA for the MARINE indication, and the $5.0 million milestone payment received related to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right="20"/>
        <w:spacing w:after="0" w:line="255" w:lineRule="auto"/>
        <w:rPr>
          <w:sz w:val="20"/>
          <w:szCs w:val="20"/>
          <w:color w:val="auto"/>
        </w:rPr>
      </w:pPr>
      <w:r>
        <w:rPr>
          <w:rFonts w:ascii="Arial" w:cs="Arial" w:eastAsia="Arial" w:hAnsi="Arial"/>
          <w:sz w:val="18"/>
          <w:szCs w:val="18"/>
          <w:color w:val="auto"/>
        </w:rPr>
        <w:t>approval of VASCEPA under the MARINE indication. 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second quarter of 2023, Edding received regulatory approval in China under the MARINE indication and pursuit of additional indications outside of the REDUCE-IT indication is not probable. As a result, the Company re-evaluated the performance period and determined that completion of the remaining performance obligations was estimated to be by the end of December 2025. The effect of this change in estimate from the previously received up-front payment and prior year milestone payments was an increase of $5.0 million in licensing revenue and a related reduction in net loss by $5.0 million in the nine months ended September 30, 2023. In addition, the Company recognized $3.9 million related to the milestone payment received in the second quarter for the MARINE indication approval and the remaining $1.1 million will be recognized over the remaining performance period through December 2025. The change in estimate resulted in the remaining performance period decreasing from 11 years to 3 years for recognizing the remaining deferred revenue.</w:t>
      </w:r>
    </w:p>
    <w:p>
      <w:pPr>
        <w:spacing w:after="0" w:line="8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the nine months ended September 30, 2023 and 2022, the Company recognized $9.7 million and $0.4 million, respectively, as licensing revenue related to the up-front and milestone payments received in connection with the Edding agreement. From contract inception through September 30, 2023 and December 31, 2022, the Company recognized $17.5 million and $7.7 million, respectively, as licensing revenue under the DCS Agreement concurrent with the input measure of support hours provided by Amarin to Edding in achieving the combined development and regulatory performance obligation, which in the Company’s judgment is the best measure of progress towards satisfying this performance obligation. The remaining transaction price of $4.5 million and $9.3 million is recorded in deferred revenue as of September 30, 2023 and December 31, 2022, respectively, on the condensed consolidated balance sheets.</w:t>
      </w:r>
    </w:p>
    <w:p>
      <w:pPr>
        <w:spacing w:after="0" w:line="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recognized net product revenue of $0.3 million for the three and nine months ended September 30, 2023 related to sales to Edding (none in 2022).</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approval of VASCEPA under the MARINE and REDUCE-IT indications in the following countries: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Country</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MARINE</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REDUCE-IT</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Launch Date</w:t>
            </w:r>
          </w:p>
        </w:tc>
      </w:tr>
      <w:tr>
        <w:trPr>
          <w:trHeight w:val="236"/>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Lebanon</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2018</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August 2021</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2018</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United Arab Emirates</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July 2018</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October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February 2019</w:t>
            </w:r>
          </w:p>
        </w:tc>
      </w:tr>
      <w:tr>
        <w:trPr>
          <w:trHeight w:val="24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Qatar</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2019</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April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Bahrain</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6"/>
              </w:rPr>
              <w:t>April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6"/>
              </w:rPr>
              <w:t>April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4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Kuwait</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2023</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2023</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September 2023</w:t>
            </w:r>
          </w:p>
        </w:tc>
      </w:tr>
    </w:tbl>
    <w:p>
      <w:pPr>
        <w:spacing w:after="0" w:line="10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recognized net product revenue of $1.4 million and $2.0 million for the three and nine months ended September 30, 2023, respectively, related to sales to Biologix (none in 2022).</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September 2017, the Company entered into an agreement with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240"/>
        <w:spacing w:after="0" w:line="259" w:lineRule="auto"/>
        <w:rPr>
          <w:sz w:val="20"/>
          <w:szCs w:val="20"/>
          <w:color w:val="auto"/>
        </w:rPr>
      </w:pPr>
      <w:r>
        <w:rPr>
          <w:rFonts w:ascii="Arial" w:cs="Arial" w:eastAsia="Arial" w:hAnsi="Arial"/>
          <w:sz w:val="18"/>
          <w:szCs w:val="18"/>
          <w:color w:val="auto"/>
        </w:rPr>
        <w:t>In addition, in January 2020, HLS obtained regulatory exclusivity from the Office of Patented Medicines and Liaison, or OPML, and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7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8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the second quarter of 2023, the Company concluded support for regulatory activities and pursuit of additional indications was deemed to be not probable. As a result, the Company re-evaluated the performance period and determined that all remaining performance obligations were satisfied as of June 30, 2023, resulting in a decrease of the previous performance period of eight years. The effect of this change in estimate was the remaining transaction price of $5.3 million being recognized in licensing revenue and a related reduction in net loss by $5.3 million in the nine months ended September 30, 2023 from the previously received up-front payment and prior year milestone payments.</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nine months ended September 30, 2023 and 2022, the Company recognized $5.6 million and $0.5 million, respectively, as licensing revenue related to up-front and milestone payments received in connection with the HLS agreement. From the contract’s inception through September 30, 2023 and December 31, 2022, the Company has recognized $13.8 million and $8.2 million, respectively.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As of December 31, 2022, the remaining transaction price of $5.6 million is recorded in deferred revenue on the condensed consolidated balance sheets. The Company fully recognized the transaction price as of June 30, 2023.</w:t>
      </w:r>
    </w:p>
    <w:p>
      <w:pPr>
        <w:spacing w:after="0" w:line="8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Company recognized net product revenue of nil and $0.6 million for the three months ended September 30, 2023 and 2022, respectively, and $1.6 million and $2.9 million for the nine months ended September 30, 2023 and 2022, respectively, related to sales to HLS.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CSL Seqirus</w:t>
      </w:r>
    </w:p>
    <w:p>
      <w:pPr>
        <w:spacing w:after="0" w:line="1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addition to the up-front payment, the Company will be eligible to receive event-related milestone payments of approximately $8.0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5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assessed this arrangement in accordance with Topic 606 and concluded that the contract counterparty, CSL, is a customer. The Company identified the following distinct performance obligations at the inception of the contract: an exclusive license to use its trademarks in connection with the importation, distribution, promotion, marketing and sale of VASCEPA in the Australia and New Zealand territories.</w:t>
      </w:r>
    </w:p>
    <w:p>
      <w:pPr>
        <w:spacing w:after="0" w:line="5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transaction price includes the $0.5 million up-front consideration. Any consideration related to event-based or product-based milestones will be recognized when the related milestone events occur and therefore have also been excluded from the transaction</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ind w:right="200"/>
        <w:spacing w:after="0" w:line="277" w:lineRule="auto"/>
        <w:rPr>
          <w:sz w:val="20"/>
          <w:szCs w:val="20"/>
          <w:color w:val="auto"/>
        </w:rPr>
      </w:pPr>
      <w:r>
        <w:rPr>
          <w:rFonts w:ascii="Arial" w:cs="Arial" w:eastAsia="Arial" w:hAnsi="Arial"/>
          <w:sz w:val="18"/>
          <w:szCs w:val="18"/>
          <w:color w:val="auto"/>
        </w:rPr>
        <w:t>price. The Company will re-evaluate the transaction price in each reporting period and as uncertain events are resolved or other changes in circumstances occur.</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nine months ended September 30, 2023, the Company recognized $0.5 million as licensing revenue related to the up-front payment received in connection with the CSL agreement (none in 2022).</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Lotus Pharmaceuticals</w:t>
      </w:r>
    </w:p>
    <w:p>
      <w:pPr>
        <w:spacing w:after="0" w:line="11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July 2023, the Company entered into a distribution agreement with Lotus Pharmaceuticals, or Lotus, to commercialize and distribute VAZKEPA in South Korea and nine countries in Southeast Asia. The Company received an up-front payment of $0.3 million and is eligible to receive event-related and product-related milestone payments. The Company will be responsible for supplying finished product to Lotus at a pre-defined supply price.</w:t>
      </w:r>
    </w:p>
    <w:p>
      <w:pPr>
        <w:spacing w:after="0" w:line="4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Company assessed this arrangement in accordance with Topic 606 and concluded that the contract counterparty, Lotus, is a customer. The Company identified the following distinct performance obligations at the inception of the contract: an exclusive license to use its trademarks in connection with the importation, distribution, promotion, marketing and sale of VASCEPA in the South Korea and Southeast Asian territories.</w:t>
      </w:r>
    </w:p>
    <w:p>
      <w:pPr>
        <w:spacing w:after="0" w:line="5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transaction price includes the $0.3 million up-front consideration.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three and nine months ended September 30, 2023, the Company recognized $0.3 million as licensing revenue related to the up-front payment received in connection with the Lotus agreement (none in 2022).</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changes in the balances of the Company’s contract assets and liabilities during the nine months ended September 30, 2023 and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8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4"/>
              </w:rPr>
              <w:t>Balance at Beginning</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ind w:right="356"/>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r>
      <w:tr>
        <w:trPr>
          <w:trHeight w:val="185"/>
        </w:trPr>
        <w:tc>
          <w:tcPr>
            <w:tcW w:w="45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6"/>
                <w:szCs w:val="16"/>
                <w:color w:val="auto"/>
              </w:rPr>
            </w:pP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of Period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6"/>
                <w:szCs w:val="16"/>
                <w:color w:val="auto"/>
              </w:rPr>
            </w:pP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End of Period</w:t>
            </w:r>
          </w:p>
        </w:tc>
        <w:tc>
          <w:tcPr>
            <w:tcW w:w="100" w:type="dxa"/>
            <w:vAlign w:val="bottom"/>
          </w:tcPr>
          <w:p>
            <w:pPr>
              <w:spacing w:after="0"/>
              <w:rPr>
                <w:sz w:val="16"/>
                <w:szCs w:val="16"/>
                <w:color w:val="auto"/>
              </w:rPr>
            </w:pPr>
          </w:p>
        </w:tc>
      </w:tr>
      <w:tr>
        <w:trPr>
          <w:trHeight w:val="230"/>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Nine months ended September 30, 2023:</w:t>
            </w:r>
          </w:p>
        </w:tc>
        <w:tc>
          <w:tcPr>
            <w:tcW w:w="280" w:type="dxa"/>
            <w:vAlign w:val="bottom"/>
            <w:tcBorders>
              <w:top w:val="single" w:sz="8" w:color="auto"/>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63"/>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454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Deferred revenue </w:t>
            </w:r>
            <w:r>
              <w:rPr>
                <w:rFonts w:ascii="Arial" w:cs="Arial" w:eastAsia="Arial" w:hAnsi="Arial"/>
                <w:sz w:val="24"/>
                <w:szCs w:val="24"/>
                <w:color w:val="auto"/>
                <w:vertAlign w:val="superscript"/>
              </w:rPr>
              <w:t>(1)</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15,346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5,000</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(15,372 )</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r>
      <w:tr>
        <w:trPr>
          <w:trHeight w:val="256"/>
        </w:trPr>
        <w:tc>
          <w:tcPr>
            <w:tcW w:w="45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 2022:</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16,709</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(1,012 )</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15,697</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jc w:val="both"/>
        <w:ind w:right="300" w:firstLine="8"/>
        <w:spacing w:after="0" w:line="263"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approximately $15.0 million reduction consists of recognition of $5.0 million and $5.3 million relating to the change in estimate for Edding and HLS, respectively, as well as recognizing, based on the revised timeline $3.9 million for the MARINE indication approval in China achieved during the three months ended June 30, 2023.</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nine months ended September 30, 2023 and 2022, the Company recognized the following revenues as a result of changes in the contract asset and contract liability balances in the respective periods: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Revenue recognized in the period from:</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Amounts included in contract liability at the beginning of the period</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11,479</w:t>
            </w:r>
          </w:p>
        </w:tc>
        <w:tc>
          <w:tcPr>
            <w:tcW w:w="3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FF0FC"/>
          </w:tcPr>
          <w:p>
            <w:pPr>
              <w:spacing w:after="0"/>
              <w:rPr>
                <w:sz w:val="20"/>
                <w:szCs w:val="20"/>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1,722</w:t>
            </w:r>
          </w:p>
        </w:tc>
        <w:tc>
          <w:tcPr>
            <w:tcW w:w="7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34" w:lineRule="exact"/>
        <w:rPr>
          <w:sz w:val="20"/>
          <w:szCs w:val="20"/>
          <w:color w:val="auto"/>
        </w:rPr>
      </w:pPr>
    </w:p>
    <w:p>
      <w:pPr>
        <w:ind w:left="520" w:right="10240" w:hanging="512"/>
        <w:spacing w:after="0" w:line="523" w:lineRule="auto"/>
        <w:tabs>
          <w:tab w:leader="none" w:pos="371"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Leases </w:t>
      </w:r>
      <w:r>
        <w:rPr>
          <w:rFonts w:ascii="Arial" w:cs="Arial" w:eastAsia="Arial" w:hAnsi="Arial"/>
          <w:sz w:val="13"/>
          <w:szCs w:val="13"/>
          <w:i w:val="1"/>
          <w:iCs w:val="1"/>
          <w:color w:val="auto"/>
        </w:rPr>
        <w:t>Lessee</w:t>
      </w:r>
    </w:p>
    <w:p>
      <w:pPr>
        <w:ind w:right="60"/>
        <w:spacing w:after="0" w:line="253" w:lineRule="auto"/>
        <w:rPr>
          <w:sz w:val="20"/>
          <w:szCs w:val="20"/>
          <w:color w:val="auto"/>
        </w:rPr>
      </w:pPr>
      <w:r>
        <w:rPr>
          <w:rFonts w:ascii="Arial" w:cs="Arial" w:eastAsia="Arial" w:hAnsi="Arial"/>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right="240"/>
        <w:spacing w:after="0" w:line="311" w:lineRule="auto"/>
        <w:rPr>
          <w:sz w:val="20"/>
          <w:szCs w:val="20"/>
          <w:color w:val="auto"/>
        </w:rPr>
      </w:pPr>
      <w:r>
        <w:rPr>
          <w:rFonts w:ascii="Arial" w:cs="Arial" w:eastAsia="Arial" w:hAnsi="Arial"/>
          <w:sz w:val="16"/>
          <w:szCs w:val="16"/>
          <w:color w:val="auto"/>
        </w:rPr>
        <w:t>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4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On February 5, 2019, the Company entered into a lease agreement for office space in Bridgewater, New Jersey, or the New Jersey Lease. The New Jersey Lease commenced on August 15, 2019, or the New Jersey Commencement Date, for an 11-year period, with two five-year renewal options. Subject to the terms of the New Jersey Lease, the Company will have a one-time option to terminate the agreement effective on the first day of the 97</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after the New Jersey Commencement Date upon advance written notice and a termination payment specified in the Lease. Under the New Jersey Lease, the Company paid monthly rent of approximately $0.1 million for the first year following the New Jersey Commencement Date, and such rent increases by a nominal percentage every year following the first anniversary of the New Jersey Commencement Date. In addition, Amarin receives certain abatements subject to the limitations in the New Jersey Lease.</w:t>
      </w:r>
    </w:p>
    <w:p>
      <w:pPr>
        <w:spacing w:after="0" w:line="8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November 17, 2021, the Company entered into a lease agreement for new office space in Zug Switzerland, or the Zug Lease. The Zug Lease commenced on February 1, 2022, or the Zug Commencement Date, for a five-year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w:t>
      </w:r>
    </w:p>
    <w:p>
      <w:pPr>
        <w:spacing w:after="0" w:line="7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September 13, 2022, the Company entered into a lease agreement for new office space in Dublin, Ireland, or the Dublin Lease. The Dublin Lease commenced on October 1, 2022, or the Dublin Commencement Date, for a two-year period. Under the Dublin Lease, the Company will pay annual rent of approximately $0.4 million during the duration of the lease term.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real estate leases, the Company leases various vehicles with terms ranging from month-to-month up to 36 months.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2023 and December 31, 2022, the total operating lease liability is $10.9 million and $11.6 million, respectively, and the total operating lease right-of-use asset is $8.5 million and $9.1 million, respectively.</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lease expense for the three and nine months ended September 30, 2023 is approximately $0.9 million and $2.4 million, respectively. The lease expense for the three and nine months ended September 30, 2022 is approximately $0.7 million and $1.9 million, respectively.</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September 30,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Undiscounted lease payments</w:t>
            </w:r>
          </w:p>
        </w:tc>
      </w:tr>
      <w:tr>
        <w:trPr>
          <w:trHeight w:val="237"/>
        </w:trPr>
        <w:tc>
          <w:tcPr>
            <w:tcW w:w="9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24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FF0FC"/>
          </w:tcPr>
          <w:p>
            <w:pPr>
              <w:spacing w:after="0"/>
              <w:rPr>
                <w:sz w:val="20"/>
                <w:szCs w:val="20"/>
                <w:color w:val="auto"/>
              </w:rPr>
            </w:pP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20"/>
                <w:szCs w:val="20"/>
                <w:color w:val="auto"/>
              </w:rPr>
            </w:pPr>
          </w:p>
        </w:tc>
      </w:tr>
      <w:tr>
        <w:trPr>
          <w:trHeight w:val="24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FF0FC"/>
          </w:tcPr>
          <w:p>
            <w:pPr>
              <w:spacing w:after="0"/>
              <w:rPr>
                <w:sz w:val="21"/>
                <w:szCs w:val="21"/>
                <w:color w:val="auto"/>
              </w:rPr>
            </w:pP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0"/>
                <w:szCs w:val="20"/>
                <w:color w:val="auto"/>
              </w:rPr>
            </w:pPr>
          </w:p>
        </w:tc>
      </w:tr>
      <w:tr>
        <w:trPr>
          <w:trHeight w:val="24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FF0FC"/>
          </w:tcPr>
          <w:p>
            <w:pPr>
              <w:spacing w:after="0"/>
              <w:rPr>
                <w:sz w:val="21"/>
                <w:szCs w:val="21"/>
                <w:color w:val="auto"/>
              </w:rPr>
            </w:pPr>
          </w:p>
        </w:tc>
      </w:tr>
      <w:tr>
        <w:trPr>
          <w:trHeight w:val="243"/>
        </w:trPr>
        <w:tc>
          <w:tcPr>
            <w:tcW w:w="902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2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21"/>
                <w:szCs w:val="21"/>
                <w:color w:val="auto"/>
              </w:rPr>
            </w:pPr>
          </w:p>
        </w:tc>
      </w:tr>
      <w:tr>
        <w:trPr>
          <w:trHeight w:val="237"/>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undiscounted payments</w:t>
            </w:r>
          </w:p>
        </w:tc>
        <w:tc>
          <w:tcPr>
            <w:tcW w:w="2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020" w:type="dxa"/>
            <w:vAlign w:val="bottom"/>
          </w:tcPr>
          <w:p>
            <w:pPr>
              <w:ind w:left="20"/>
              <w:spacing w:after="0"/>
              <w:rPr>
                <w:sz w:val="20"/>
                <w:szCs w:val="20"/>
                <w:color w:val="auto"/>
              </w:rPr>
            </w:pPr>
            <w:r>
              <w:rPr>
                <w:rFonts w:ascii="Arial" w:cs="Arial" w:eastAsia="Arial" w:hAnsi="Arial"/>
                <w:sz w:val="18"/>
                <w:szCs w:val="18"/>
                <w:color w:val="auto"/>
              </w:rPr>
              <w:t>Discount Adjustments</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(4,320 )</w:t>
            </w:r>
          </w:p>
        </w:tc>
      </w:tr>
      <w:tr>
        <w:trPr>
          <w:trHeight w:val="237"/>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operating lease liability</w:t>
            </w:r>
          </w:p>
        </w:tc>
        <w:tc>
          <w:tcPr>
            <w:tcW w:w="24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FF0FC"/>
          </w:tcPr>
          <w:p>
            <w:pPr>
              <w:spacing w:after="0"/>
              <w:rPr>
                <w:sz w:val="20"/>
                <w:szCs w:val="20"/>
                <w:color w:val="auto"/>
              </w:rPr>
            </w:pP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Lessor</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38"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On January 20, 2023, the Company entered into a sublease agreement for 50,000-square feet of the 67,747-square foot New Jersey Lease and included within the sublease are furniture, fixtures and equipment, collectively the Sublease. The Sublease commenced on February 1, 2023, or the Sublease Commencement Date, for a 7.5-year period. Under the Sublease, the Company will be paid monthly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120"/>
        <w:spacing w:after="0" w:line="263" w:lineRule="auto"/>
        <w:rPr>
          <w:sz w:val="20"/>
          <w:szCs w:val="20"/>
          <w:color w:val="auto"/>
        </w:rPr>
      </w:pPr>
      <w:r>
        <w:rPr>
          <w:rFonts w:ascii="Arial" w:cs="Arial" w:eastAsia="Arial" w:hAnsi="Arial"/>
          <w:sz w:val="18"/>
          <w:szCs w:val="18"/>
          <w:color w:val="auto"/>
        </w:rPr>
        <w:t>rent of approximately $0.1 million for the first year following the Sublease Commencement Date, and such rent increases by a nominal percentage every year following the first anniversary of the Sublease Commencement Date. In addition, Amarin will provide certain abatements subject to the limitations in the Lease.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are as follows:</w:t>
      </w:r>
    </w:p>
    <w:p>
      <w:pPr>
        <w:sectPr>
          <w:pgSz w:w="11900" w:h="16838" w:orient="portrait"/>
          <w:cols w:equalWidth="0" w:num="1">
            <w:col w:w="11240"/>
          </w:cols>
          <w:pgMar w:left="320" w:top="449" w:right="339" w:bottom="1440" w:gutter="0" w:footer="0" w:header="0"/>
        </w:sectPr>
      </w:pPr>
    </w:p>
    <w:p>
      <w:pPr>
        <w:spacing w:after="0" w:line="203" w:lineRule="exact"/>
        <w:rPr>
          <w:sz w:val="20"/>
          <w:szCs w:val="20"/>
          <w:color w:val="auto"/>
        </w:rPr>
      </w:pPr>
    </w:p>
    <w:p>
      <w:pPr>
        <w:jc w:val="center"/>
        <w:ind w:left="5240"/>
        <w:spacing w:after="0"/>
        <w:rPr>
          <w:sz w:val="20"/>
          <w:szCs w:val="20"/>
          <w:color w:val="auto"/>
        </w:rPr>
      </w:pPr>
      <w:r>
        <w:rPr>
          <w:rFonts w:ascii="Arial" w:cs="Arial" w:eastAsia="Arial" w:hAnsi="Arial"/>
          <w:sz w:val="13"/>
          <w:szCs w:val="13"/>
          <w:b w:val="1"/>
          <w:bCs w:val="1"/>
          <w:u w:val="single" w:color="auto"/>
          <w:color w:val="auto"/>
        </w:rPr>
        <w:t>For the Three Months Ended September 30,</w:t>
      </w:r>
    </w:p>
    <w:p>
      <w:pPr>
        <w:spacing w:after="0" w:line="134"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22225</wp:posOffset>
            </wp:positionV>
            <wp:extent cx="18688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14"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2023</w:t>
      </w:r>
    </w:p>
    <w:p>
      <w:pPr>
        <w:spacing w:after="0" w:line="24" w:lineRule="exact"/>
        <w:rPr>
          <w:sz w:val="20"/>
          <w:szCs w:val="20"/>
          <w:color w:val="auto"/>
        </w:rPr>
      </w:pPr>
    </w:p>
    <w:p>
      <w:pPr>
        <w:sectPr>
          <w:pgSz w:w="11900" w:h="16838" w:orient="portrait"/>
          <w:cols w:equalWidth="0" w:num="2">
            <w:col w:w="7940" w:space="400"/>
            <w:col w:w="2900"/>
          </w:cols>
          <w:pgMar w:left="320" w:top="449"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0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Interest income from sales-type leases</w:t>
            </w:r>
          </w:p>
        </w:tc>
        <w:tc>
          <w:tcPr>
            <w:tcW w:w="200" w:type="dxa"/>
            <w:vAlign w:val="bottom"/>
            <w:shd w:val="clear" w:color="auto" w:fill="CFF0FC"/>
          </w:tcPr>
          <w:p>
            <w:pPr>
              <w:spacing w:after="0"/>
              <w:rPr>
                <w:sz w:val="22"/>
                <w:szCs w:val="22"/>
                <w:color w:val="auto"/>
              </w:rPr>
            </w:pPr>
          </w:p>
        </w:tc>
        <w:tc>
          <w:tcPr>
            <w:tcW w:w="1300" w:type="dxa"/>
            <w:vAlign w:val="bottom"/>
            <w:tcBorders>
              <w:top w:val="single" w:sz="8" w:color="auto"/>
            </w:tcBorders>
            <w:shd w:val="clear" w:color="auto" w:fill="CFF0FC"/>
          </w:tcPr>
          <w:p>
            <w:pPr>
              <w:jc w:val="right"/>
              <w:ind w:right="1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22"/>
                <w:szCs w:val="22"/>
                <w:color w:val="auto"/>
              </w:rPr>
            </w:pPr>
          </w:p>
        </w:tc>
        <w:tc>
          <w:tcPr>
            <w:tcW w:w="1400" w:type="dxa"/>
            <w:vAlign w:val="bottom"/>
            <w:tcBorders>
              <w:top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2"/>
                <w:szCs w:val="22"/>
                <w:color w:val="auto"/>
              </w:rPr>
            </w:pPr>
          </w:p>
        </w:tc>
      </w:tr>
      <w:tr>
        <w:trPr>
          <w:trHeight w:val="26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Operating lease income</w:t>
            </w:r>
          </w:p>
        </w:tc>
        <w:tc>
          <w:tcPr>
            <w:tcW w:w="1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2"/>
                <w:szCs w:val="22"/>
                <w:color w:val="auto"/>
              </w:rPr>
            </w:pPr>
          </w:p>
        </w:tc>
      </w:tr>
      <w:tr>
        <w:trPr>
          <w:trHeight w:val="257"/>
        </w:trPr>
        <w:tc>
          <w:tcPr>
            <w:tcW w:w="5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Loss recognized at commencement date of sales type lease</w:t>
            </w:r>
          </w:p>
        </w:tc>
        <w:tc>
          <w:tcPr>
            <w:tcW w:w="130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(61 )</w:t>
            </w:r>
          </w:p>
        </w:tc>
      </w:tr>
      <w:tr>
        <w:trPr>
          <w:trHeight w:val="257"/>
        </w:trPr>
        <w:tc>
          <w:tcPr>
            <w:tcW w:w="520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Borders>
              <w:top w:val="single" w:sz="8" w:color="CFF0FC"/>
            </w:tcBorders>
          </w:tcPr>
          <w:p>
            <w:pPr>
              <w:spacing w:after="0"/>
              <w:rPr>
                <w:sz w:val="22"/>
                <w:szCs w:val="22"/>
                <w:color w:val="auto"/>
              </w:rPr>
            </w:pPr>
          </w:p>
        </w:tc>
        <w:tc>
          <w:tcPr>
            <w:tcW w:w="1400" w:type="dxa"/>
            <w:vAlign w:val="bottom"/>
            <w:tcBorders>
              <w:top w:val="single" w:sz="8" w:color="auto"/>
            </w:tcBorders>
          </w:tcPr>
          <w:p>
            <w:pPr>
              <w:jc w:val="right"/>
              <w:ind w:right="1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top w:val="single" w:sz="8" w:color="CFF0F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180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sales type lease and operating lease receivables as of September 30, 2023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8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9"/>
              </w:rPr>
              <w:t>Sales-Type Leases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16"/>
                <w:szCs w:val="16"/>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3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20"/>
                <w:szCs w:val="20"/>
                <w:color w:val="auto"/>
              </w:rPr>
            </w:pP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color w:val="auto"/>
              </w:rPr>
              <w:t>2024</w:t>
            </w: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r>
      <w:tr>
        <w:trPr>
          <w:trHeight w:val="24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FF0FC"/>
          </w:tcPr>
          <w:p>
            <w:pPr>
              <w:spacing w:after="0"/>
              <w:rPr>
                <w:sz w:val="21"/>
                <w:szCs w:val="21"/>
                <w:color w:val="auto"/>
              </w:rPr>
            </w:pP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color w:val="auto"/>
              </w:rPr>
              <w:t>2026</w:t>
            </w: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0"/>
                <w:szCs w:val="20"/>
                <w:color w:val="auto"/>
              </w:rPr>
            </w:pPr>
          </w:p>
        </w:tc>
      </w:tr>
      <w:tr>
        <w:trPr>
          <w:trHeight w:val="24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FF0FC"/>
          </w:tcPr>
          <w:p>
            <w:pPr>
              <w:spacing w:after="0"/>
              <w:rPr>
                <w:sz w:val="21"/>
                <w:szCs w:val="2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3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21"/>
                <w:szCs w:val="21"/>
                <w:color w:val="auto"/>
              </w:rPr>
            </w:pPr>
          </w:p>
        </w:tc>
      </w:tr>
      <w:tr>
        <w:trPr>
          <w:trHeight w:val="237"/>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060" w:type="dxa"/>
            <w:vAlign w:val="bottom"/>
            <w:gridSpan w:val="2"/>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100" w:type="dxa"/>
            <w:vAlign w:val="bottom"/>
            <w:shd w:val="clear" w:color="auto" w:fill="CFF0FC"/>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3880" w:type="dxa"/>
            <w:vAlign w:val="bottom"/>
          </w:tcPr>
          <w:p>
            <w:pPr>
              <w:jc w:val="right"/>
              <w:ind w:right="155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25" w:name="page26"/>
    <w:bookmarkEnd w:id="25"/>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2022, or our Annual Report, and under Part II, Item IA, “Risk Factors” of this Quarterly Report.</w:t>
      </w:r>
    </w:p>
    <w:p>
      <w:pPr>
        <w:spacing w:after="0" w:line="7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6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09"/>
        <w:spacing w:after="0" w:line="250" w:lineRule="auto"/>
        <w:rPr>
          <w:sz w:val="20"/>
          <w:szCs w:val="20"/>
          <w:color w:val="auto"/>
        </w:rPr>
      </w:pPr>
      <w:r>
        <w:rPr>
          <w:rFonts w:ascii="Arial" w:cs="Arial" w:eastAsia="Arial" w:hAnsi="Arial"/>
          <w:sz w:val="17"/>
          <w:szCs w:val="17"/>
          <w:color w:val="auto"/>
        </w:rPr>
        <w:t>We are a pharmaceutical company focused on the commercialization and development of therapeutics to improve cardiovascular, or CV, health and reduce CV risk. Our commercialized product, VASCEPA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we commercially launched in 2013. On December 13, 2019, the U.S. FDA approved an indication and label expansion for VASCEPA based on the landmark results of our cardiovascular outcomes trial, REDUCE-IT</w:t>
      </w:r>
      <w:r>
        <w:rPr>
          <w:rFonts w:ascii="Arial" w:cs="Arial" w:eastAsia="Arial" w:hAnsi="Arial"/>
          <w:sz w:val="23"/>
          <w:szCs w:val="23"/>
          <w:color w:val="auto"/>
          <w:vertAlign w:val="superscript"/>
        </w:rPr>
        <w:t>®</w:t>
      </w:r>
      <w:r>
        <w:rPr>
          <w:rFonts w:ascii="Arial" w:cs="Arial" w:eastAsia="Arial" w:hAnsi="Arial"/>
          <w:sz w:val="17"/>
          <w:szCs w:val="17"/>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Arial" w:cs="Arial" w:eastAsia="Arial" w:hAnsi="Arial"/>
          <w:sz w:val="23"/>
          <w:szCs w:val="23"/>
          <w:color w:val="auto"/>
          <w:vertAlign w:val="superscript"/>
        </w:rPr>
        <w:t>®</w:t>
      </w:r>
      <w:r>
        <w:rPr>
          <w:rFonts w:ascii="Arial" w:cs="Arial" w:eastAsia="Arial" w:hAnsi="Arial"/>
          <w:sz w:val="17"/>
          <w:szCs w:val="17"/>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On June 1, 2023, we announced that regulatory approval from the National Medical Products Administration, or NMPA, for VASCEPA in Mainland China was received by our partner for the MARINE indication.</w:t>
      </w:r>
    </w:p>
    <w:p>
      <w:pPr>
        <w:spacing w:after="0" w:line="94"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United States in which VASCEPA is sold and under regulatory review are not subject to the U.S. patent litigation and judgment described below and no similar litigation is pending outside of the United States.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Organizational Restructuring Program</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 July 18, 2023, we announced that we were implementing a new Organizational Restructuring Program, or the ORP, resulting in the elimination and consolidation of certain roles across our organization, both in the U.S. and abroad, representing a reduction of our total employee base by approximately 30% from current levels. The ORP was implemented following a review of our business and to better position the organization for a new strategic focus. We expect the ORP will reduce operating costs by approximately $40.0 million annually. Our refocused strategic priorities and restructuring plan focuses on three core areas:</w:t>
      </w:r>
    </w:p>
    <w:p>
      <w:pPr>
        <w:spacing w:after="0" w:line="80" w:lineRule="exact"/>
        <w:rPr>
          <w:sz w:val="20"/>
          <w:szCs w:val="20"/>
          <w:color w:val="auto"/>
        </w:rPr>
      </w:pPr>
    </w:p>
    <w:p>
      <w:pPr>
        <w:ind w:left="1020" w:right="140" w:hanging="503"/>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Maximizing U.S. Cash Flow Through Streamlined Model: </w:t>
      </w:r>
      <w:r>
        <w:rPr>
          <w:rFonts w:ascii="Arial" w:cs="Arial" w:eastAsia="Arial" w:hAnsi="Arial"/>
          <w:sz w:val="18"/>
          <w:szCs w:val="18"/>
          <w:color w:val="auto"/>
        </w:rPr>
        <w:t>We intend to maintain VASCEPA as a cost-competitive option to generics while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implementing a reduction in force of all U.S. sales force positions and approximately 30% of non-sales positions. We intend to maintain our managed care and trade organization to support these efforts. We intend to continue to explore innovative approaches to driving revenue to maintain our leadership position in the icosapent ethyl, or IPE, market.</w:t>
      </w:r>
    </w:p>
    <w:p>
      <w:pPr>
        <w:spacing w:after="0" w:line="78" w:lineRule="exact"/>
        <w:rPr>
          <w:rFonts w:ascii="Arial" w:cs="Arial" w:eastAsia="Arial" w:hAnsi="Arial"/>
          <w:sz w:val="18"/>
          <w:szCs w:val="18"/>
          <w:color w:val="auto"/>
        </w:rPr>
      </w:pPr>
    </w:p>
    <w:p>
      <w:pPr>
        <w:ind w:left="1020" w:right="800" w:hanging="503"/>
        <w:spacing w:after="0" w:line="274"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European Redesign: </w:t>
      </w:r>
      <w:r>
        <w:rPr>
          <w:rFonts w:ascii="Arial" w:cs="Arial" w:eastAsia="Arial" w:hAnsi="Arial"/>
          <w:sz w:val="17"/>
          <w:szCs w:val="17"/>
          <w:color w:val="auto"/>
        </w:rPr>
        <w:t>We redesigned our commercial infrastructure in Europe to better align with pricing and reimbursement status,</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potential and progress to date, as well as streamline certain cross-geographic functions</w:t>
      </w: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1020"/>
        <w:spacing w:after="0" w:line="277" w:lineRule="auto"/>
        <w:rPr>
          <w:sz w:val="20"/>
          <w:szCs w:val="20"/>
          <w:color w:val="auto"/>
        </w:rPr>
      </w:pPr>
      <w:r>
        <w:rPr>
          <w:rFonts w:ascii="Arial" w:cs="Arial" w:eastAsia="Arial" w:hAnsi="Arial"/>
          <w:sz w:val="18"/>
          <w:szCs w:val="18"/>
          <w:color w:val="auto"/>
        </w:rPr>
        <w:t>and better leverage learnings across countries. In addition, we intend to continue to advance our pricing and reimbursement activities to drive access in remaining geographies, including those where progress has been delayed.</w:t>
      </w:r>
    </w:p>
    <w:p>
      <w:pPr>
        <w:spacing w:after="0" w:line="62" w:lineRule="exact"/>
        <w:rPr>
          <w:sz w:val="20"/>
          <w:szCs w:val="20"/>
          <w:color w:val="auto"/>
        </w:rPr>
      </w:pPr>
    </w:p>
    <w:p>
      <w:pPr>
        <w:ind w:left="1020" w:right="200" w:hanging="503"/>
        <w:spacing w:after="0" w:line="342"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Expanding Upon International Partnerships: </w:t>
      </w:r>
      <w:r>
        <w:rPr>
          <w:rFonts w:ascii="Arial" w:cs="Arial" w:eastAsia="Arial" w:hAnsi="Arial"/>
          <w:sz w:val="16"/>
          <w:szCs w:val="16"/>
          <w:color w:val="auto"/>
        </w:rPr>
        <w:t>We intend to work on generating revenue from our partnerships in key international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Canada, MENA, China, South Korea, Australia and New Zealand and will continue to explore additional partnerships.</w:t>
      </w:r>
    </w:p>
    <w:p>
      <w:pPr>
        <w:spacing w:after="0" w:line="124" w:lineRule="exact"/>
        <w:rPr>
          <w:sz w:val="20"/>
          <w:szCs w:val="20"/>
          <w:color w:val="auto"/>
        </w:rPr>
      </w:pPr>
    </w:p>
    <w:p>
      <w:pPr>
        <w:ind w:right="1420" w:firstLine="509"/>
        <w:spacing w:after="0" w:line="277" w:lineRule="auto"/>
        <w:rPr>
          <w:sz w:val="20"/>
          <w:szCs w:val="20"/>
          <w:color w:val="auto"/>
        </w:rPr>
      </w:pPr>
      <w:r>
        <w:rPr>
          <w:rFonts w:ascii="Arial" w:cs="Arial" w:eastAsia="Arial" w:hAnsi="Arial"/>
          <w:sz w:val="18"/>
          <w:szCs w:val="18"/>
          <w:color w:val="auto"/>
        </w:rPr>
        <w:t>In addition, Patrick Holt was appointed to serve as the Company's President and Chief Executive Officer and as a member of the Board, effective July 18, 2023.</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more than 20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VASCEPA have obtained U.S. FDA approval with labeling consistent with the MARINE indication and have entered the U.S. market:</w:t>
      </w:r>
    </w:p>
    <w:p>
      <w:pPr>
        <w:spacing w:after="0" w:line="7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p>
        </w:tc>
        <w:tc>
          <w:tcPr>
            <w:tcW w:w="2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FDA MARINE Indication</w:t>
            </w:r>
          </w:p>
        </w:tc>
        <w:tc>
          <w:tcPr>
            <w:tcW w:w="26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1-gram Launch Date</w:t>
            </w:r>
          </w:p>
        </w:tc>
        <w:tc>
          <w:tcPr>
            <w:tcW w:w="26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0.5-gram Launch Date</w:t>
            </w: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Approval</w:t>
            </w:r>
          </w:p>
        </w:tc>
        <w:tc>
          <w:tcPr>
            <w:tcW w:w="26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Hikma Pharmaceuticals USA Inc.</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May 2020</w:t>
            </w:r>
          </w:p>
        </w:tc>
        <w:tc>
          <w:tcPr>
            <w:tcW w:w="260" w:type="dxa"/>
            <w:vAlign w:val="bottom"/>
            <w:shd w:val="clear" w:color="auto" w:fill="CFF0FC"/>
          </w:tcPr>
          <w:p>
            <w:pPr>
              <w:spacing w:after="0"/>
              <w:rPr>
                <w:sz w:val="20"/>
                <w:szCs w:val="20"/>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November 2020</w:t>
            </w:r>
          </w:p>
        </w:tc>
        <w:tc>
          <w:tcPr>
            <w:tcW w:w="26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March 2023</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Dr. Reddy’s Laboratories, Inc.</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August 2020</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2021</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June 2023</w:t>
            </w:r>
          </w:p>
        </w:tc>
        <w:tc>
          <w:tcPr>
            <w:tcW w:w="0" w:type="dxa"/>
            <w:vAlign w:val="bottom"/>
          </w:tcPr>
          <w:p>
            <w:pPr>
              <w:spacing w:after="0"/>
              <w:rPr>
                <w:sz w:val="1"/>
                <w:szCs w:val="1"/>
                <w:color w:val="auto"/>
              </w:rPr>
            </w:pPr>
          </w:p>
        </w:tc>
      </w:tr>
      <w:tr>
        <w:trPr>
          <w:trHeight w:val="24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Teva Pharmaceuticals USA, Inc.</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2020</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2023</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2022</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Apotex, Inc.</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June 2021</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January 2022</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Zydus Lifesciences</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April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Strides Pharma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September 2023</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59690</wp:posOffset>
            </wp:positionV>
            <wp:extent cx="5212080" cy="25717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208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76" w:lineRule="exact"/>
        <w:rPr>
          <w:sz w:val="20"/>
          <w:szCs w:val="20"/>
          <w:color w:val="auto"/>
        </w:rPr>
      </w:pPr>
    </w:p>
    <w:p>
      <w:pPr>
        <w:ind w:right="660" w:firstLine="509"/>
        <w:spacing w:after="0" w:line="274" w:lineRule="auto"/>
        <w:rPr>
          <w:sz w:val="20"/>
          <w:szCs w:val="20"/>
          <w:color w:val="auto"/>
        </w:rPr>
      </w:pPr>
      <w:r>
        <w:rPr>
          <w:rFonts w:ascii="Arial" w:cs="Arial" w:eastAsia="Arial" w:hAnsi="Arial"/>
          <w:sz w:val="17"/>
          <w:szCs w:val="17"/>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w:t>
      </w: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7" w:name="page28"/>
    <w:bookmarkEnd w:id="27"/>
    <w:p>
      <w:pPr>
        <w:spacing w:after="0" w:line="259" w:lineRule="auto"/>
        <w:rPr>
          <w:sz w:val="20"/>
          <w:szCs w:val="20"/>
          <w:color w:val="auto"/>
        </w:rPr>
      </w:pPr>
      <w:r>
        <w:rPr>
          <w:rFonts w:ascii="Arial" w:cs="Arial" w:eastAsia="Arial" w:hAnsi="Arial"/>
          <w:sz w:val="18"/>
          <w:szCs w:val="18"/>
          <w:color w:val="auto"/>
        </w:rPr>
        <w:t>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We are not responsible for the accuracy of this vendor's information and we do not receive prescription data directly from retail pharmacies.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2021, we received marketing authorization and regulatory approval in the EU, England, Wales and Scotland.</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Launch of VAZKEPA in individual countries depends on the timing of achieving product reimbursement on a country-by-country basis. To date we have filed 15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general organization reimbursement. In countries where individual price reimbursement is allowed prior to national reimbursement, product can be made available on a patient-by-patient basis, while the national reimbursements negotiations are ongoing. In all countries, securing adequate reimbursement is a requisite for commercial success of any therapeutic. The time required to secure reimbursement tends to vary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Quarterly Report, we have received and made VAZKEPA available under individual reimbursement or received national reimbursement and launched commercial operations in the following countries, respectively.</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Country</w:t>
            </w:r>
          </w:p>
        </w:tc>
        <w:tc>
          <w:tcPr>
            <w:tcW w:w="2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7"/>
              </w:rPr>
              <w:t>Individual</w:t>
            </w:r>
          </w:p>
        </w:tc>
        <w:tc>
          <w:tcPr>
            <w:tcW w:w="2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National</w:t>
            </w:r>
          </w:p>
        </w:tc>
        <w:tc>
          <w:tcPr>
            <w:tcW w:w="24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Product Availability</w:t>
            </w:r>
          </w:p>
        </w:tc>
        <w:tc>
          <w:tcPr>
            <w:tcW w:w="24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Launch Date</w:t>
            </w:r>
          </w:p>
        </w:tc>
        <w:tc>
          <w:tcPr>
            <w:tcW w:w="0" w:type="dxa"/>
            <w:vAlign w:val="bottom"/>
          </w:tcPr>
          <w:p>
            <w:pPr>
              <w:spacing w:after="0"/>
              <w:rPr>
                <w:sz w:val="1"/>
                <w:szCs w:val="1"/>
                <w:color w:val="auto"/>
              </w:rPr>
            </w:pPr>
          </w:p>
        </w:tc>
      </w:tr>
      <w:tr>
        <w:trPr>
          <w:trHeight w:val="185"/>
        </w:trPr>
        <w:tc>
          <w:tcPr>
            <w:tcW w:w="32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Sweden</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March 2022</w:t>
            </w: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r>
              <w:rPr>
                <w:rFonts w:ascii="Arial" w:cs="Arial" w:eastAsia="Arial" w:hAnsi="Arial"/>
                <w:sz w:val="18"/>
                <w:szCs w:val="18"/>
                <w:color w:val="auto"/>
              </w:rPr>
              <w:t>Finland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October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r>
        <w:trPr>
          <w:trHeight w:val="24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England/Wales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July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October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October 2022</w:t>
            </w: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r>
              <w:rPr>
                <w:rFonts w:ascii="Arial" w:cs="Arial" w:eastAsia="Arial" w:hAnsi="Arial"/>
                <w:sz w:val="18"/>
                <w:szCs w:val="18"/>
                <w:color w:val="auto"/>
              </w:rPr>
              <w:t>Spain</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July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September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September 2023</w:t>
            </w:r>
          </w:p>
        </w:tc>
        <w:tc>
          <w:tcPr>
            <w:tcW w:w="0" w:type="dxa"/>
            <w:vAlign w:val="bottom"/>
          </w:tcPr>
          <w:p>
            <w:pPr>
              <w:spacing w:after="0"/>
              <w:rPr>
                <w:sz w:val="1"/>
                <w:szCs w:val="1"/>
                <w:color w:val="auto"/>
              </w:rPr>
            </w:pPr>
          </w:p>
        </w:tc>
      </w:tr>
      <w:tr>
        <w:trPr>
          <w:trHeight w:val="24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Netherlands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August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2023</w:t>
            </w: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r>
              <w:rPr>
                <w:rFonts w:ascii="Arial" w:cs="Arial" w:eastAsia="Arial" w:hAnsi="Arial"/>
                <w:sz w:val="18"/>
                <w:szCs w:val="18"/>
                <w:color w:val="auto"/>
              </w:rPr>
              <w:t>Scotland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August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August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September 2023</w:t>
            </w:r>
          </w:p>
        </w:tc>
        <w:tc>
          <w:tcPr>
            <w:tcW w:w="0" w:type="dxa"/>
            <w:vAlign w:val="bottom"/>
          </w:tcPr>
          <w:p>
            <w:pPr>
              <w:spacing w:after="0"/>
              <w:rPr>
                <w:sz w:val="1"/>
                <w:szCs w:val="1"/>
                <w:color w:val="auto"/>
              </w:rPr>
            </w:pPr>
          </w:p>
        </w:tc>
      </w:tr>
      <w:tr>
        <w:trPr>
          <w:trHeight w:val="24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Austria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2022</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Denmark</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June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June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As discussed above, as part of the ORP announced in July 2023, we redesigned our commercial infrastructure in Europe to better align with pricing and reimbursement status and commercial progress to date, as well as streamline certain cross-geographic functions and better leverage learnings across countries. In addition, we intend to continue to advance our pricing and reimbursement activities to drive access in remaining geographies, including those where progress has been delayed. We are leveraging third-party relationships for various support activities and are implementing an impactful and cost-effective hybrid commercial model balancing optimally digital and face-to-face approach for more impact and cost efficiency, which is or will be utilized throughout Europe as launches are rolled out.</w:t>
      </w:r>
    </w:p>
    <w:p>
      <w:pPr>
        <w:spacing w:after="0" w:line="84"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United States. However, this greater concentration of at-risk patients being treated by specialists in Europe should allow for more efficient promotion than in the United States. In Europe, VAZKEPA has the benefit of 10 years of market protection, and we have been issued a patent that expires in 2033 with additional pending applications that could extend exclusivity into 2039.</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 of World</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As discussed above, our ORP contemplates continuing to work on generating revenue from our partnerships in key international markets, including Canada, MENA, China, Australia and New Zealand and we will continue to explore additional partnerships.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China</w:t>
      </w:r>
    </w:p>
    <w:p>
      <w:pPr>
        <w:spacing w:after="0" w:line="117"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In February 2015, we entered into an exclusive agreement with Eddingpharm (Asia) Macao Commercial Offshore Limited, or Edding, to develop and commercialize VASCEPA capsules in what we refer to as the China Territory, consisting of the territories of Mainland China, Hong Kong, Macau and Taiwan. Edding, with our support, conducted a clinical trial of VASCEPA in China, which evaluated the effect of VASCEPA on patients with very high triglyceride levels (≥500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There were no treatment-related serious adverse events in this study. On February 9, 2021, we announced that the regulatory review processes in Mainland China and Hong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100"/>
        <w:spacing w:after="0" w:line="254" w:lineRule="auto"/>
        <w:rPr>
          <w:sz w:val="20"/>
          <w:szCs w:val="20"/>
          <w:color w:val="auto"/>
        </w:rPr>
      </w:pPr>
      <w:r>
        <w:rPr>
          <w:rFonts w:ascii="Arial" w:cs="Arial" w:eastAsia="Arial" w:hAnsi="Arial"/>
          <w:sz w:val="18"/>
          <w:szCs w:val="18"/>
          <w:color w:val="auto"/>
        </w:rPr>
        <w:t>Kong had commenced. On February 23, 2022, the Hong Kong Department of Health completed their regulatory evaluation and approved the use of VASCEPA under the REDUCE-IT indication. In Mainland China, the NMPA accepted for review the new drug application for VASCEPA, submitted by Edding, based on the results from the Phase 3 clinical trial and the results from our prior studies of VASCEPA. In China, on October 10, 2022, following the completion of product testing by the China National Institutes for Food and Drug Control, or NIFDC, the final NMPA review of the VASCEPA NDA was initiated. The Company announced on June 1, 2023 that Edding received approval from NMPA for VASCEPA in Mainland China under the MARINE indication and launched commercially in October 2023. In October 2023, Edding submitted a regulatory filing to the NMPA for VASCEPA under the REDUCE-IT indication.</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Middle East and North Africa (MENA)</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Country</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MARINE</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REDUCE-IT</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Launch Date</w:t>
            </w:r>
          </w:p>
        </w:tc>
      </w:tr>
      <w:tr>
        <w:trPr>
          <w:trHeight w:val="237"/>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Lebanon</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2018</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August 2021</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2018</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United Arab Emirates</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July 2018</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October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February 2019</w:t>
            </w:r>
          </w:p>
        </w:tc>
      </w:tr>
      <w:tr>
        <w:trPr>
          <w:trHeight w:val="24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Qatar</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2019</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April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Bahrain</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6"/>
              </w:rPr>
              <w:t>April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6"/>
              </w:rPr>
              <w:t>April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4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Kuwait</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2023</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2023</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September 2023</w:t>
            </w:r>
          </w:p>
        </w:tc>
      </w:tr>
    </w:tbl>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VASCEPA is under registration in additional countries in the MENA region.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Canada</w:t>
      </w:r>
    </w:p>
    <w:p>
      <w:pPr>
        <w:spacing w:after="0" w:line="117"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In September 2017, we entered into an agreement with HLS Therapeutics Inc., or HLS, to register, commercialize and distribute VASCEPA in Canada. In March 2019, HLS received formal confirmation from Health Canada that the Canadian regulatory authority had granted priority review status for the upcoming New Drug Submission, which was filed in April 2019.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regulatory exclusivity designation and launched commercially in February 2020. In July 2020, the Canadian Agency for Drugs and Technologies in Health recommended that VASCEPA be reimbursed by participating public drug plans for statin-treated patients with established cardiovascular diseases and elevated triglycerides. In April 2022, HLS completed negotiations with Canada’s pan-Canadian Pharmaceutical Alliance for the terms and conditions under which VASCEPA would qualify for public market reimbursement in Canada. Following these negotiations, HLS signed a Letter of Intent which allows HLS to work with all participating provincial jurisdictions to secure coverage from publicly funded drug plans across Canada, and for VASCEPA to potentially be added to their respective plans. HLS also received notification by the Patented Medical Prices Review Board that, further to its review, VASCEPA’s price did not trigger the investigation criteria for excessive pricing. HLS has obtained reimbursement from all major private and public payors gaining access to a majority of eligible patients in Canada.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Other</w:t>
      </w:r>
    </w:p>
    <w:p>
      <w:pPr>
        <w:spacing w:after="0" w:line="117"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We are in the second year of a three-year plan to submit and obtain regulatory approval in 20 or more additional countries and regions in order to ensure that patients in the top 50 cardiometabolic markets worldwide can benefit from VASCEPA. Through the date of this Quarterly Report, we have filed for regulatory review in 20 countries and regions and have received approval in 13 countries and regions outside of the United States and European Medicines Agency, or EMA, regulatory approval authority, including in Switzerland, Australia, New Zealand and Israel, under the REDUCE-IT indication. In addition, VAZKEPA has been made available under individual pricing reimbursement in Switzerland.</w:t>
      </w:r>
    </w:p>
    <w:p>
      <w:pPr>
        <w:spacing w:after="0" w:line="68"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In February 2023, the Company entered into an agreement with CSL Seqirus, or CSL, to secure pricing and reimbursement, commercialize and distribute VAZKEPA in Australia and New Zealand. In July 2023, the Company entered into an agreement with Lotus Pharmaceuticals to commercialize and distribute VAZKEPA in South Korea and nine countries in Southeast Asia. In August 2023, the Company entered into an agreement with Neopharm (Israel) 1996 Ltd., or Neopharm, to distribute VAZKEPA in Israel, Gaza, West Bank, and the territories of the Palestinian Authority. The Company will be responsible for supplying finished product to these partners. We continue to assess other potential partnership opportunities for VASCEPA with companies outside of the United States and Europe with the intention of partnering in all other international markets where VASCEPA receives local regulatory approval.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Based on REDUCE-IT results, as of the date of the filing of this Quarterly Report, more than 40 clinical treatment guidelines, consensus statements or scientific statements from medical societies, scientific bodies, or journals have been updated recommending the use of icosapent ethyl in appropriate at-risk patients, including those statements which we were informed of by our global partners in Canada, China and the Middle East as well as guidelines or statements which were newly received during the third quarter of 2023 through the filing date of this Quarterly Report with recent examples as listed below:</w:t>
      </w:r>
    </w:p>
    <w:p>
      <w:pPr>
        <w:spacing w:after="0" w:line="80" w:lineRule="exact"/>
        <w:rPr>
          <w:sz w:val="20"/>
          <w:szCs w:val="20"/>
          <w:color w:val="auto"/>
        </w:rPr>
      </w:pPr>
    </w:p>
    <w:p>
      <w:pPr>
        <w:ind w:left="1020" w:right="40" w:hanging="503"/>
        <w:spacing w:after="0" w:line="273"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June 2023, the Chinese Cardiovascular Health Alliance issued a multidisciplinary consensus paper on the clinical management of hypertriglyceridemia stating that in REDUCE-IT, the primary combined endpoint was reduced by 25% in the IPE-treated group compared to the control group; a REDUCE-IT subgroup analysis found that IPE reduced risk of the composite endpoint of CV death, nonfatal Myocardial Infarction, or MI, nonfatal stroke, coronary revascularization, and unstable angina by 34% in patients who had undergone percutaneous coronary intervention. In addition, in patients with TG levels ≥1.7 to &lt;5.7 mmol/L whose atherosclerotic cardiovascular disease, or ASCVD, risk assessment is high risk, after optimizing statins, the addition of IPE should be considered.</w:t>
      </w:r>
    </w:p>
    <w:p>
      <w:pPr>
        <w:spacing w:after="0" w:line="69" w:lineRule="exact"/>
        <w:rPr>
          <w:rFonts w:ascii="Arial" w:cs="Arial" w:eastAsia="Arial" w:hAnsi="Arial"/>
          <w:sz w:val="17"/>
          <w:szCs w:val="17"/>
          <w:color w:val="auto"/>
        </w:rPr>
      </w:pPr>
    </w:p>
    <w:p>
      <w:pPr>
        <w:ind w:left="1020" w:right="40" w:hanging="503"/>
        <w:spacing w:after="0" w:line="296"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July 2023, the American Heart Association, or AHA, and American College of Cardiology, or ACC, developed guidelines in collaboration with and endorsed by the American College of Clinical Pharmacy, the American Society of Preventive Cardiology, the National Lipid Association, or NLA, and the Preventive Cardiovascular Nurses Association for the management of patients with chronic coronary disease. This included that REDUCE-IT found IPE significantly reduced the relative risk of Major adverse cardiovascular events, or MACE, by 25% and CV death by 20%; the benefit appeared driven by the increase in EPA levels and not the modest 17% reduction in TG levels.</w:t>
      </w:r>
    </w:p>
    <w:p>
      <w:pPr>
        <w:spacing w:after="0" w:line="53" w:lineRule="exact"/>
        <w:rPr>
          <w:rFonts w:ascii="Arial" w:cs="Arial" w:eastAsia="Arial" w:hAnsi="Arial"/>
          <w:sz w:val="16"/>
          <w:szCs w:val="16"/>
          <w:color w:val="auto"/>
        </w:rPr>
      </w:pPr>
    </w:p>
    <w:p>
      <w:pPr>
        <w:ind w:left="1020" w:right="140" w:hanging="503"/>
        <w:spacing w:after="0" w:line="296"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August 2023, the European Society of Cardiology, or ESC, issued guidelines for the management of cardiovascular disease, or CVD, in patients with diabetes stating that if TGs remain elevated even with a statin-based regimen, IPE might be preferred over other omega-3 fatty acids at the dose of 2 g twice daily due to its favorable impact on CV outcomes reported in REDUCE-IT, where benefit was consistent in patients with (58%) and without diabetes (Pint = 0.29). This benefit remained significant even considering a slight increase of low-density lipoprotein-cholesterol, or LDL-C, and high-sensitivity C-reactive protein, or hsCRP, due to the effect of mineral oil in the placebo arm.</w:t>
      </w:r>
    </w:p>
    <w:p>
      <w:pPr>
        <w:spacing w:after="0" w:line="53" w:lineRule="exact"/>
        <w:rPr>
          <w:rFonts w:ascii="Arial" w:cs="Arial" w:eastAsia="Arial" w:hAnsi="Arial"/>
          <w:sz w:val="16"/>
          <w:szCs w:val="16"/>
          <w:color w:val="auto"/>
        </w:rPr>
      </w:pPr>
    </w:p>
    <w:p>
      <w:pPr>
        <w:ind w:left="1020" w:right="80" w:hanging="503"/>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2023, the ESC issued guidelines for the management of acute coronary syndromes, including that in REDUCE-IT, IPE 2 g twice a day in patients on statin therapy and with elevated TG levels demonstrated a beneficial effect on a composite of CV death, MI, stroke, coronary revascularization, or unstable angina compared with placebo; MACE (CV death, MI, or stroke) and CV death were also significantly reduced.</w:t>
      </w:r>
    </w:p>
    <w:p>
      <w:pPr>
        <w:spacing w:after="0" w:line="79" w:lineRule="exact"/>
        <w:rPr>
          <w:sz w:val="20"/>
          <w:szCs w:val="20"/>
          <w:color w:val="auto"/>
        </w:rPr>
      </w:pPr>
    </w:p>
    <w:p>
      <w:pPr>
        <w:jc w:val="both"/>
        <w:ind w:right="660" w:firstLine="509"/>
        <w:spacing w:after="0" w:line="342" w:lineRule="auto"/>
        <w:rPr>
          <w:sz w:val="20"/>
          <w:szCs w:val="20"/>
          <w:color w:val="auto"/>
        </w:rPr>
      </w:pPr>
      <w:r>
        <w:rPr>
          <w:rFonts w:ascii="Arial" w:cs="Arial" w:eastAsia="Arial" w:hAnsi="Arial"/>
          <w:sz w:val="16"/>
          <w:szCs w:val="16"/>
          <w:color w:val="auto"/>
        </w:rPr>
        <w:t>In August 2023, we supported research that was presentation at the ESC Congress, both onsite and online in Amsterdam. This new research included, along with other topics, the REDUCE-IT mediation analysis report of the contribution of IPE and other biomarkers to MACE reduction.</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and Clinical Supply</w:t>
      </w:r>
    </w:p>
    <w:p>
      <w:pPr>
        <w:spacing w:after="0" w:line="117"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We manage the manufacturing and supply of VASCEPA internally and have done so since we began clinical development of VASCEPA prior to the drug’s marketing approval by U.S.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Beginning in 2022, we reviewed our contractual supplier purchase obligations and began taking steps to amend supplier agreements to align supply arrangements with current and future market demand, while we decrease our current inventory levels primarily related to North America approved inventory. As of September 30, 2023, we had inventory of $346.3 million, of which 80% is inventory approved for use in North America. We continue to negotiate with our contract suppliers to align our supply arrangements with current and future global market demand.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i w:val="1"/>
          <w:iCs w:val="1"/>
          <w:color w:val="auto"/>
        </w:rPr>
        <w:t>Product revenue, net</w:t>
      </w:r>
      <w:r>
        <w:rPr>
          <w:rFonts w:ascii="Arial" w:cs="Arial" w:eastAsia="Arial" w:hAnsi="Arial"/>
          <w:sz w:val="17"/>
          <w:szCs w:val="17"/>
          <w:color w:val="auto"/>
        </w:rPr>
        <w:t>. All of our product revenue is derived from product sales of 1-gram and 0.5-gram size capsules of VASCEPA, net of</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allowances, discounts, incentives, rebates, chargebacks and returns. In the United States, VASCEPA is sold to three major wholesalers, as well as several regional wholesalers along with mail order pharmacy providers,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During the quarters ended September 30, 2023 and 2022, our product revenue, net, included adjustment for co-pay mitigation rebates provided by us to commercially insured patients in the United States.</w:t>
      </w:r>
    </w:p>
    <w:p>
      <w:pPr>
        <w:spacing w:after="0" w:line="6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205" w:lineRule="exact"/>
        <w:rPr>
          <w:sz w:val="20"/>
          <w:szCs w:val="20"/>
          <w:color w:val="auto"/>
        </w:rPr>
      </w:pPr>
    </w:p>
    <w:p>
      <w:pPr>
        <w:jc w:val="both"/>
        <w:ind w:right="560" w:firstLine="509"/>
        <w:spacing w:after="0" w:line="286" w:lineRule="auto"/>
        <w:rPr>
          <w:sz w:val="20"/>
          <w:szCs w:val="20"/>
          <w:color w:val="auto"/>
        </w:rPr>
      </w:pPr>
      <w:r>
        <w:rPr>
          <w:rFonts w:ascii="Arial" w:cs="Arial" w:eastAsia="Arial" w:hAnsi="Arial"/>
          <w:sz w:val="17"/>
          <w:szCs w:val="17"/>
          <w:i w:val="1"/>
          <w:iCs w:val="1"/>
          <w:color w:val="auto"/>
        </w:rPr>
        <w:t>Licensing and royalty revenue</w:t>
      </w:r>
      <w:r>
        <w:rPr>
          <w:rFonts w:ascii="Arial" w:cs="Arial" w:eastAsia="Arial" w:hAnsi="Arial"/>
          <w:sz w:val="17"/>
          <w:szCs w:val="17"/>
          <w:color w:val="auto"/>
        </w:rPr>
        <w:t>. Licensing and royalty revenue currently consists of revenue attributable to receipt of up-front, non-refundable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192"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 In the three and nine months ended September 30, 2023 and 2022, we incurred costs within </w:t>
      </w:r>
      <w:r>
        <w:rPr>
          <w:rFonts w:ascii="Arial" w:cs="Arial" w:eastAsia="Arial" w:hAnsi="Arial"/>
          <w:sz w:val="18"/>
          <w:szCs w:val="18"/>
          <w:i w:val="1"/>
          <w:iCs w:val="1"/>
          <w:color w:val="auto"/>
        </w:rPr>
        <w:t>Cost of goods sold - restructuring inventory</w:t>
      </w:r>
      <w:r>
        <w:rPr>
          <w:rFonts w:ascii="Arial" w:cs="Arial" w:eastAsia="Arial" w:hAnsi="Arial"/>
          <w:sz w:val="18"/>
          <w:szCs w:val="18"/>
          <w:color w:val="auto"/>
        </w:rPr>
        <w:t xml:space="preserve"> related to steps taken to amend supplier agreements to align supply arrangements with current and future market demand.</w:t>
      </w:r>
    </w:p>
    <w:p>
      <w:pPr>
        <w:spacing w:after="0" w:line="222" w:lineRule="exact"/>
        <w:rPr>
          <w:sz w:val="20"/>
          <w:szCs w:val="20"/>
          <w:color w:val="auto"/>
        </w:rPr>
      </w:pPr>
    </w:p>
    <w:p>
      <w:pPr>
        <w:ind w:right="140" w:firstLine="509"/>
        <w:spacing w:after="0" w:line="286" w:lineRule="auto"/>
        <w:rPr>
          <w:sz w:val="20"/>
          <w:szCs w:val="20"/>
          <w:color w:val="auto"/>
        </w:rPr>
      </w:pP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Selling, general and administrative expense consists primarily of salaries and other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192"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Research and development expense consists primarily of fees paid to professional service providers in</w:t>
      </w:r>
      <w:r>
        <w:rPr>
          <w:rFonts w:ascii="Arial" w:cs="Arial" w:eastAsia="Arial" w:hAnsi="Arial"/>
          <w:sz w:val="17"/>
          <w:szCs w:val="17"/>
          <w:i w:val="1"/>
          <w:iCs w:val="1"/>
          <w:color w:val="auto"/>
        </w:rPr>
        <w:t xml:space="preserve"> </w:t>
      </w:r>
      <w:r>
        <w:rPr>
          <w:rFonts w:ascii="Arial" w:cs="Arial" w:eastAsia="Arial" w:hAnsi="Arial"/>
          <w:sz w:val="17"/>
          <w:szCs w:val="17"/>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20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i w:val="1"/>
          <w:iCs w:val="1"/>
          <w:color w:val="auto"/>
        </w:rPr>
        <w:t>Restructuring expense</w:t>
      </w:r>
      <w:r>
        <w:rPr>
          <w:rFonts w:ascii="Arial" w:cs="Arial" w:eastAsia="Arial" w:hAnsi="Arial"/>
          <w:sz w:val="18"/>
          <w:szCs w:val="18"/>
          <w:color w:val="auto"/>
        </w:rPr>
        <w:t>. Restructuring expense consists of restructuring costs incurred under our July 2023 ORP, June 2022 Cost Reduction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CRP, and August 2022 discontinuation of German operations, which consists of severance pay, incentive compensation, insurance benefits, stock-based compensation expense and other contract related costs.</w:t>
      </w:r>
    </w:p>
    <w:p>
      <w:pPr>
        <w:spacing w:after="0" w:line="211" w:lineRule="exact"/>
        <w:rPr>
          <w:sz w:val="20"/>
          <w:szCs w:val="20"/>
          <w:color w:val="auto"/>
        </w:rPr>
      </w:pPr>
    </w:p>
    <w:p>
      <w:pPr>
        <w:jc w:val="both"/>
        <w:ind w:right="100" w:firstLine="509"/>
        <w:spacing w:after="0" w:line="287" w:lineRule="auto"/>
        <w:rPr>
          <w:sz w:val="20"/>
          <w:szCs w:val="20"/>
          <w:color w:val="auto"/>
        </w:rPr>
      </w:pPr>
      <w:r>
        <w:rPr>
          <w:rFonts w:ascii="Arial" w:cs="Arial" w:eastAsia="Arial" w:hAnsi="Arial"/>
          <w:sz w:val="16"/>
          <w:szCs w:val="16"/>
          <w:i w:val="1"/>
          <w:iCs w:val="1"/>
          <w:color w:val="auto"/>
        </w:rPr>
        <w:t>Interest income, net and other income (expense), net</w:t>
      </w:r>
      <w:r>
        <w:rPr>
          <w:rFonts w:ascii="Arial" w:cs="Arial" w:eastAsia="Arial" w:hAnsi="Arial"/>
          <w:sz w:val="16"/>
          <w:szCs w:val="16"/>
          <w:color w:val="auto"/>
        </w:rPr>
        <w:t>. Interest income, net consists primarily of interest earned on our cash and cash equivalents,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our short-term and long-term investments. Other income (expense), net, consists of the Employee Retention Credit, or ERC, awarded as part of the Coronavirus Aid, Relief and Economic Stabilization Act, or CARES Act, and foreign exchange losses and gains as well as sublease income.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ind w:right="20" w:firstLine="509"/>
        <w:spacing w:after="0" w:line="279"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Income tax provision, deferred tax assets and liabilities, and reserves for unrecognized tax benefits reflect management’s best</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2023 and 2022 are not more likely than not to be realized.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operations is based on our unaudited condensed consolidated financial statements and notes, which have been prepared in accordance with accounting principles generally accepted in the United States, or GAAP. The preparation of these condensed consolidated financial statements requires us to make estimates and judgments that affect the reported amounts of assets, liabilities, revenue and expenses. On an ongoing basis, estimates are assessed and adjusted based on historical experience and on current market-specific indicators, environments and assumptions. Actual results may differ from these estimates under different assumptions or conditions.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our unaudited condensed consolidated financial statements included elsewhere in this Quarterly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2023 and September 30, 2022</w:t>
      </w:r>
    </w:p>
    <w:p>
      <w:pPr>
        <w:spacing w:after="0" w:line="252"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i w:val="1"/>
          <w:iCs w:val="1"/>
          <w:color w:val="auto"/>
        </w:rPr>
        <w:t xml:space="preserve">Total revenue, net. </w:t>
      </w:r>
      <w:r>
        <w:rPr>
          <w:rFonts w:ascii="Arial" w:cs="Arial" w:eastAsia="Arial" w:hAnsi="Arial"/>
          <w:sz w:val="16"/>
          <w:szCs w:val="16"/>
          <w:color w:val="auto"/>
        </w:rPr>
        <w:t>We recorded total revenue, net, of $66.1 million and $89.9 million during the three months ended September 30, 2023 and 2022,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 decrease of $23.8 million, or 27%. Total revenue, net, consists primarily of revenue from the sale of VASCEPA in the United States. In addition to the United States, during the three months ending September 30, 2023, we also sold VASCEPA by prescription in certain countries in Europe. VASCEPA is also available by prescription in Canada, Lebanon, the United Arab Emirates, Kuwait, and Saudi Arabia through collaborations with third-party companies. As further discussed below, the aforementioned decrease consists of a $25.5 million decrease in U.S. net product revenue, offset in part by a $1.3 million increase in net product revenue outside of the United States and an $0.5 million increase in licensing and royalty revenue.</w:t>
      </w:r>
    </w:p>
    <w:p>
      <w:pPr>
        <w:spacing w:after="0" w:line="191" w:lineRule="exact"/>
        <w:rPr>
          <w:sz w:val="20"/>
          <w:szCs w:val="20"/>
          <w:color w:val="auto"/>
        </w:rPr>
      </w:pPr>
    </w:p>
    <w:p>
      <w:pPr>
        <w:ind w:right="80" w:firstLine="539"/>
        <w:spacing w:after="0" w:line="342" w:lineRule="auto"/>
        <w:rPr>
          <w:sz w:val="20"/>
          <w:szCs w:val="20"/>
          <w:color w:val="auto"/>
        </w:rPr>
      </w:pPr>
      <w:r>
        <w:rPr>
          <w:rFonts w:ascii="Arial" w:cs="Arial" w:eastAsia="Arial" w:hAnsi="Arial"/>
          <w:sz w:val="16"/>
          <w:szCs w:val="16"/>
          <w:i w:val="1"/>
          <w:iCs w:val="1"/>
          <w:color w:val="auto"/>
        </w:rPr>
        <w:t>Product revenue, net</w:t>
      </w:r>
      <w:r>
        <w:rPr>
          <w:rFonts w:ascii="Arial" w:cs="Arial" w:eastAsia="Arial" w:hAnsi="Arial"/>
          <w:sz w:val="16"/>
          <w:szCs w:val="16"/>
          <w:color w:val="auto"/>
        </w:rPr>
        <w:t>. We recorded product revenue, net, of $64.9 million and $89.2 million during the three months ended September 30, 2023 and</w:t>
      </w:r>
      <w:r>
        <w:rPr>
          <w:rFonts w:ascii="Arial" w:cs="Arial" w:eastAsia="Arial" w:hAnsi="Arial"/>
          <w:sz w:val="16"/>
          <w:szCs w:val="16"/>
          <w:i w:val="1"/>
          <w:iCs w:val="1"/>
          <w:color w:val="auto"/>
        </w:rPr>
        <w:t xml:space="preserve"> </w:t>
      </w:r>
      <w:r>
        <w:rPr>
          <w:rFonts w:ascii="Arial" w:cs="Arial" w:eastAsia="Arial" w:hAnsi="Arial"/>
          <w:sz w:val="16"/>
          <w:szCs w:val="16"/>
          <w:color w:val="auto"/>
        </w:rPr>
        <w:t>2022, respectively, a decrease of $24.3 million, or 27%. This decrease was due primarily to a 29% decrease in VASCEPA sales in the United States.</w:t>
      </w:r>
    </w:p>
    <w:p>
      <w:pPr>
        <w:spacing w:after="0" w:line="16" w:lineRule="exact"/>
        <w:rPr>
          <w:sz w:val="20"/>
          <w:szCs w:val="20"/>
          <w:color w:val="auto"/>
        </w:rPr>
      </w:pPr>
    </w:p>
    <w:p>
      <w:pPr>
        <w:ind w:right="40" w:firstLine="539"/>
        <w:spacing w:after="0" w:line="259" w:lineRule="auto"/>
        <w:rPr>
          <w:sz w:val="20"/>
          <w:szCs w:val="20"/>
          <w:color w:val="auto"/>
        </w:rPr>
      </w:pPr>
      <w:r>
        <w:rPr>
          <w:rFonts w:ascii="Arial" w:cs="Arial" w:eastAsia="Arial" w:hAnsi="Arial"/>
          <w:sz w:val="18"/>
          <w:szCs w:val="18"/>
          <w:color w:val="auto"/>
        </w:rPr>
        <w:t>We recorded U.S. product revenue, net of $62.4 million and $87.9 million during the three months ended September 30, 2023 and 2022, respectively. This decrease was due to a decline in net selling price as a result of the impact from an increase in generic competition in the market, offset by an adjustment primarily related to Medicaid rebates of $6.5 million. During the three months ended September 30, 2023, there were four generics in the market. During the three months ended September 30, 2022 there were three generics in the market.</w:t>
      </w:r>
    </w:p>
    <w:p>
      <w:pPr>
        <w:spacing w:after="0" w:line="79" w:lineRule="exact"/>
        <w:rPr>
          <w:sz w:val="20"/>
          <w:szCs w:val="20"/>
          <w:color w:val="auto"/>
        </w:rPr>
      </w:pPr>
    </w:p>
    <w:p>
      <w:pPr>
        <w:ind w:right="160" w:firstLine="539"/>
        <w:spacing w:after="0" w:line="275" w:lineRule="auto"/>
        <w:rPr>
          <w:sz w:val="20"/>
          <w:szCs w:val="20"/>
          <w:color w:val="auto"/>
        </w:rPr>
      </w:pPr>
      <w:r>
        <w:rPr>
          <w:rFonts w:ascii="Arial" w:cs="Arial" w:eastAsia="Arial" w:hAnsi="Arial"/>
          <w:sz w:val="17"/>
          <w:szCs w:val="17"/>
          <w:color w:val="auto"/>
        </w:rPr>
        <w:t>The overall icosapent ethyl market in the United States, based on prescription levels reported by Symphony Health, increased for the three months ended September 30, 2023 by 5% as compared to the three months ended September 30, 2022. Our share of the icosapent ethyl market has decreased to approximately 58% in the three months ended September 30, 2023 compared to approximately 62% in the three months ended September 30, 2022. Additionally, based on prescription levels reported by Symphony Health, VASCEPA-branded prescriptions decreased by 4% in the three months ended September 30, 2023 compared to the three months ended September 30, 2022.</w:t>
      </w:r>
    </w:p>
    <w:p>
      <w:pPr>
        <w:spacing w:after="0" w:line="68" w:lineRule="exact"/>
        <w:rPr>
          <w:sz w:val="20"/>
          <w:szCs w:val="20"/>
          <w:color w:val="auto"/>
        </w:rPr>
      </w:pPr>
    </w:p>
    <w:p>
      <w:pPr>
        <w:ind w:right="620" w:firstLine="539"/>
        <w:spacing w:after="0" w:line="277" w:lineRule="auto"/>
        <w:rPr>
          <w:sz w:val="20"/>
          <w:szCs w:val="20"/>
          <w:color w:val="auto"/>
        </w:rPr>
      </w:pPr>
      <w:r>
        <w:rPr>
          <w:rFonts w:ascii="Arial" w:cs="Arial" w:eastAsia="Arial" w:hAnsi="Arial"/>
          <w:sz w:val="18"/>
          <w:szCs w:val="18"/>
          <w:color w:val="auto"/>
        </w:rPr>
        <w:t>In Europe, we recorded product revenue, net, of $0.8 million and $0.7 million during the three months ended September 30, 2023 and 2022, respectively.</w:t>
      </w:r>
    </w:p>
    <w:p>
      <w:pPr>
        <w:spacing w:after="0" w:line="62" w:lineRule="exact"/>
        <w:rPr>
          <w:sz w:val="20"/>
          <w:szCs w:val="20"/>
          <w:color w:val="auto"/>
        </w:rPr>
      </w:pPr>
    </w:p>
    <w:p>
      <w:pPr>
        <w:ind w:right="340" w:firstLine="539"/>
        <w:spacing w:after="0" w:line="258" w:lineRule="auto"/>
        <w:rPr>
          <w:sz w:val="20"/>
          <w:szCs w:val="20"/>
          <w:color w:val="auto"/>
        </w:rPr>
      </w:pPr>
      <w:r>
        <w:rPr>
          <w:rFonts w:ascii="Arial" w:cs="Arial" w:eastAsia="Arial" w:hAnsi="Arial"/>
          <w:sz w:val="18"/>
          <w:szCs w:val="18"/>
          <w:color w:val="auto"/>
        </w:rPr>
        <w:t>For the three months ended September 30, 2023, we recorded $1.8 million of product revenue, net, from our collaboration partners compared to $0.6 million during the three months ended 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jc w:val="both"/>
        <w:ind w:right="140" w:firstLine="539"/>
        <w:spacing w:after="0" w:line="263" w:lineRule="auto"/>
        <w:rPr>
          <w:sz w:val="20"/>
          <w:szCs w:val="20"/>
          <w:color w:val="auto"/>
        </w:rPr>
      </w:pPr>
      <w:r>
        <w:rPr>
          <w:rFonts w:ascii="Arial" w:cs="Arial" w:eastAsia="Arial" w:hAnsi="Arial"/>
          <w:sz w:val="18"/>
          <w:szCs w:val="18"/>
          <w:color w:val="auto"/>
        </w:rPr>
        <w:t>Despite the generic competition in the U.S., we remain confident that the global patient need for VASCEPA is high. In 2023, we continue to focus on obtaining pricing reimbursement and launching commercial operations in all remaining European markets as well as progressing regulatory filings and supporting approval processes in up to six countries throughout the rest of the world.</w:t>
      </w:r>
    </w:p>
    <w:p>
      <w:pPr>
        <w:spacing w:after="0" w:line="211"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i w:val="1"/>
          <w:iCs w:val="1"/>
          <w:color w:val="auto"/>
        </w:rPr>
        <w:t>Licensing and royalty revenue</w:t>
      </w:r>
      <w:r>
        <w:rPr>
          <w:rFonts w:ascii="Arial" w:cs="Arial" w:eastAsia="Arial" w:hAnsi="Arial"/>
          <w:sz w:val="18"/>
          <w:szCs w:val="18"/>
          <w:color w:val="auto"/>
        </w:rPr>
        <w:t>. Licensing and royalty revenue during the three months ended September 30, 2023 and 2022 was $1.2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$0.7 million, respectively, an increase of $0.5 million, or 76%. Licensing and royalty revenue relates to the recognition of amounts received in connection with the following VASCEPA licensing agreements:</w:t>
      </w:r>
    </w:p>
    <w:p>
      <w:pPr>
        <w:spacing w:after="0" w:line="76" w:lineRule="exact"/>
        <w:rPr>
          <w:sz w:val="20"/>
          <w:szCs w:val="20"/>
          <w:color w:val="auto"/>
        </w:rPr>
      </w:pPr>
    </w:p>
    <w:p>
      <w:pPr>
        <w:jc w:val="both"/>
        <w:ind w:left="900" w:right="280" w:hanging="383"/>
        <w:spacing w:after="0" w:line="26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Edding – a $15.0 million up-front payment received in February 2015, a $1.0 million milestone payment achieved in March 2016 following submission of the clinical trial application to the Chinese regulatory authority, and a $5.0 million milestone payment achieved in June 2023 following NMPA approval of VASCEPA under the MARINE indication.</w:t>
      </w:r>
    </w:p>
    <w:p>
      <w:pPr>
        <w:spacing w:after="0" w:line="75" w:lineRule="exact"/>
        <w:rPr>
          <w:rFonts w:ascii="Arial" w:cs="Arial" w:eastAsia="Arial" w:hAnsi="Arial"/>
          <w:sz w:val="18"/>
          <w:szCs w:val="18"/>
          <w:color w:val="auto"/>
        </w:rPr>
      </w:pPr>
    </w:p>
    <w:p>
      <w:pPr>
        <w:ind w:left="900" w:right="420" w:hanging="383"/>
        <w:spacing w:after="0" w:line="30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another indication and label expansion in December 2019, and a $3.8 million milestone payment that was received as a result of obtaining a regulatory exclusivity designation in January 2020.</w:t>
      </w:r>
    </w:p>
    <w:p>
      <w:pPr>
        <w:spacing w:after="0" w:line="49" w:lineRule="exact"/>
        <w:rPr>
          <w:rFonts w:ascii="Arial" w:cs="Arial" w:eastAsia="Arial" w:hAnsi="Arial"/>
          <w:sz w:val="16"/>
          <w:szCs w:val="16"/>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CSL – a $0.5 million up-front payment which was received upon closing of the agreement in January 2023.</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Lotus – a $0.3 million up-front payment which was received upon closing of the agreement in August 2023.</w:t>
      </w:r>
    </w:p>
    <w:p>
      <w:pPr>
        <w:spacing w:after="0" w:line="117"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The up-front and milestone payments from Edding and HLS are being recognized over the estimated period in which we are required to provide regulatory and development support pursuant to the agreements. The up-front payments from CSL and Lotus are recognized upon closing the agreement as no regulatory and development support is required pursuant to the agreement. The amount of licensing and royalty revenue is expected to vary from period to period based on timing of milestones achieved and changes in estimates of the timing and level of support required.</w:t>
      </w:r>
    </w:p>
    <w:p>
      <w:pPr>
        <w:spacing w:after="0" w:line="63" w:lineRule="exact"/>
        <w:rPr>
          <w:sz w:val="20"/>
          <w:szCs w:val="20"/>
          <w:color w:val="auto"/>
        </w:rPr>
      </w:pPr>
    </w:p>
    <w:p>
      <w:pPr>
        <w:ind w:right="180" w:firstLine="509"/>
        <w:spacing w:after="0" w:line="308" w:lineRule="auto"/>
        <w:rPr>
          <w:sz w:val="20"/>
          <w:szCs w:val="20"/>
          <w:color w:val="auto"/>
        </w:rPr>
      </w:pPr>
      <w:r>
        <w:rPr>
          <w:rFonts w:ascii="Arial" w:cs="Arial" w:eastAsia="Arial" w:hAnsi="Arial"/>
          <w:sz w:val="17"/>
          <w:szCs w:val="17"/>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73"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during the three months ended September 30, 2023 and 2022 was $36.2 million and $27.0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an increase of $9.2 million, or 34%.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three months ended September 30, 2023 and 2022, we recorded as cost of goods sold - restructuring inventory $12.7 million and $3.1 million, respectively, as a result of amendments to our supplier agreements.</w:t>
      </w:r>
    </w:p>
    <w:p>
      <w:pPr>
        <w:spacing w:after="0" w:line="70"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The API included in the calculation of the average cost of goods sold during the quarters ended September 30, 2023 and 2022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68"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Our overall gross margin on product sales for the three months ended September 30, 2023 and 2022 was 44% and 70%, respectively. Excluding the restructuring inventory charge, gross margin was 64% and 73% for the three months ended September 30, 2023 and 2022, respectively. The remaining decrease in gross margin is primarily as a result of a decrease in net selling price.</w:t>
      </w:r>
    </w:p>
    <w:p>
      <w:pPr>
        <w:spacing w:after="0" w:line="211"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three months ended September 30, 2023 and 2022</w:t>
      </w:r>
      <w:r>
        <w:rPr>
          <w:rFonts w:ascii="Arial" w:cs="Arial" w:eastAsia="Arial" w:hAnsi="Arial"/>
          <w:sz w:val="18"/>
          <w:szCs w:val="18"/>
          <w:i w:val="1"/>
          <w:iCs w:val="1"/>
          <w:color w:val="auto"/>
        </w:rPr>
        <w:t xml:space="preserve"> </w:t>
      </w:r>
      <w:r>
        <w:rPr>
          <w:rFonts w:ascii="Arial" w:cs="Arial" w:eastAsia="Arial" w:hAnsi="Arial"/>
          <w:sz w:val="18"/>
          <w:szCs w:val="18"/>
          <w:color w:val="auto"/>
        </w:rPr>
        <w:t>was $45.5 million and $58.7 million, respectively, a decrease of $13.3 million, or 23%. Selling, general and administrative expenses for the three months ended September 30, 2023 and 2022 are summarized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960" w:type="dxa"/>
            <w:vAlign w:val="bottom"/>
            <w:gridSpan w:val="2"/>
            <w:shd w:val="clear" w:color="auto" w:fill="CFF0FC"/>
          </w:tcPr>
          <w:p>
            <w:pPr>
              <w:spacing w:after="0" w:line="236" w:lineRule="exact"/>
              <w:rPr>
                <w:sz w:val="20"/>
                <w:szCs w:val="20"/>
                <w:color w:val="auto"/>
              </w:rPr>
            </w:pPr>
            <w:r>
              <w:rPr>
                <w:rFonts w:ascii="Arial" w:cs="Arial" w:eastAsia="Arial" w:hAnsi="Arial"/>
                <w:sz w:val="18"/>
                <w:szCs w:val="18"/>
                <w:color w:val="auto"/>
              </w:rPr>
              <w:t xml:space="preserve">Selling expense </w:t>
            </w:r>
            <w:r>
              <w:rPr>
                <w:rFonts w:ascii="Arial" w:cs="Arial" w:eastAsia="Arial" w:hAnsi="Arial"/>
                <w:sz w:val="24"/>
                <w:szCs w:val="24"/>
                <w:color w:val="auto"/>
                <w:vertAlign w:val="superscript"/>
              </w:rPr>
              <w:t>(1)</w:t>
            </w:r>
          </w:p>
        </w:tc>
        <w:tc>
          <w:tcPr>
            <w:tcW w:w="2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24,054</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32,443</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960" w:type="dxa"/>
            <w:vAlign w:val="bottom"/>
            <w:gridSpan w:val="2"/>
          </w:tcPr>
          <w:p>
            <w:pPr>
              <w:spacing w:after="0" w:line="243" w:lineRule="exact"/>
              <w:rPr>
                <w:sz w:val="20"/>
                <w:szCs w:val="20"/>
                <w:color w:val="auto"/>
              </w:rPr>
            </w:pPr>
            <w:r>
              <w:rPr>
                <w:rFonts w:ascii="Arial" w:cs="Arial" w:eastAsia="Arial" w:hAnsi="Arial"/>
                <w:sz w:val="18"/>
                <w:szCs w:val="18"/>
                <w:color w:val="auto"/>
              </w:rPr>
              <w:t xml:space="preserve">General and administrative expense </w:t>
            </w:r>
            <w:r>
              <w:rPr>
                <w:rFonts w:ascii="Arial" w:cs="Arial" w:eastAsia="Arial" w:hAnsi="Arial"/>
                <w:sz w:val="24"/>
                <w:szCs w:val="24"/>
                <w:color w:val="auto"/>
                <w:vertAlign w:val="superscript"/>
              </w:rPr>
              <w:t>(2)</w:t>
            </w: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17,753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21,915</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960" w:type="dxa"/>
            <w:vAlign w:val="bottom"/>
            <w:tcBorders>
              <w:bottom w:val="single" w:sz="8" w:color="CFF0FC"/>
            </w:tcBorders>
            <w:gridSpan w:val="2"/>
            <w:shd w:val="clear" w:color="auto" w:fill="CFF0FC"/>
          </w:tcPr>
          <w:p>
            <w:pPr>
              <w:spacing w:after="0" w:line="243"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(3)</w:t>
            </w:r>
          </w:p>
        </w:tc>
        <w:tc>
          <w:tcPr>
            <w:tcW w:w="2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Total selling, general and administrative expense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45,457</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58,745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20" w:type="dxa"/>
            <w:vAlign w:val="bottom"/>
            <w:vMerge w:val="restart"/>
          </w:tcPr>
          <w:p>
            <w:pPr>
              <w:jc w:val="right"/>
              <w:ind w:right="1510"/>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60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-505460</wp:posOffset>
            </wp:positionV>
            <wp:extent cx="5969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ind w:left="480" w:right="440" w:hanging="383"/>
        <w:spacing w:after="0" w:line="260"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Selling expense for the three months ended September 30, 2023 and 2022 was $24.1 million and $32.4 million, respectively, a decrease of $8.4 million, or 26%. This decrease is primarily due to a reduction in costs associated with our ORP and cost reduction plans resulting in decreased promotional initiatives, reduced travel and elimination of our U.S. sales force.</w:t>
      </w:r>
    </w:p>
    <w:p>
      <w:pPr>
        <w:spacing w:after="0" w:line="2" w:lineRule="exact"/>
        <w:rPr>
          <w:rFonts w:ascii="Arial" w:cs="Arial" w:eastAsia="Arial" w:hAnsi="Arial"/>
          <w:sz w:val="18"/>
          <w:szCs w:val="18"/>
          <w:color w:val="auto"/>
        </w:rPr>
      </w:pPr>
    </w:p>
    <w:p>
      <w:pPr>
        <w:ind w:left="480" w:right="80" w:hanging="383"/>
        <w:spacing w:after="0" w:line="263"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and administrative expense for the three months ended September 30, 2023 and 2022 was $17.8 million and $21.9 million, respectively, a decrease of $4.2 million, or 19%. This decrease is primarily due to a decrease in employee-related costs as a result of the reduction in force from the ORP and cost reduction plans in 2022.</w:t>
      </w:r>
    </w:p>
    <w:p>
      <w:pPr>
        <w:spacing w:after="0" w:line="8" w:lineRule="exact"/>
        <w:rPr>
          <w:rFonts w:ascii="Arial" w:cs="Arial" w:eastAsia="Arial" w:hAnsi="Arial"/>
          <w:sz w:val="18"/>
          <w:szCs w:val="18"/>
          <w:color w:val="auto"/>
        </w:rPr>
      </w:pPr>
    </w:p>
    <w:p>
      <w:pPr>
        <w:ind w:left="480" w:right="160" w:hanging="383"/>
        <w:spacing w:after="0" w:line="259"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Non-cash stock-based compensation expense for the three months ended September 30, 2023 and 2022 was $3.7 million and $4.4 million, respectively, a decrease of $0.7 million, or 17%. Non-cash stock-based compensation expense represents the estimated costs associated with equity awards issued to internal personnel supporting our selling, general and administrative functions. The decrease is primarily due to the reversal of expense associated with the ORP announced in July 2023.</w:t>
      </w:r>
    </w:p>
    <w:p>
      <w:pPr>
        <w:spacing w:after="0" w:line="214"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As part of our ORP announced in July 2023, we have redesigned our commercial infrastructure in Europe to better align with pricing and reimbursement status, commercial progress to date, as well as streamline certain cross-geographic functions. In addition, we are continuing to advance our pricing and reimbursement activities to drive access in remaining geographies, as well as advancing regulatory filings internationally and focusing on maximizing U.S. cash flow through a streamlined model. We will continue to evaluate all of our spending commitments and priorities based on our refocused strategic priorities and restructuring plan.</w:t>
      </w:r>
    </w:p>
    <w:p>
      <w:pPr>
        <w:spacing w:after="0" w:line="215"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three months ended September 30, 2023 and 2022 was $5.1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$5.8 million, respectively, a decrease of $0.7 million, or 11%. Research and development expenses for the three months ended September 30, 2023 and 2022 are summarized in the table below:</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line="236" w:lineRule="exact"/>
              <w:rPr>
                <w:sz w:val="20"/>
                <w:szCs w:val="20"/>
                <w:color w:val="auto"/>
              </w:rPr>
            </w:pPr>
            <w:r>
              <w:rPr>
                <w:rFonts w:ascii="Arial" w:cs="Arial" w:eastAsia="Arial" w:hAnsi="Arial"/>
                <w:sz w:val="18"/>
                <w:szCs w:val="18"/>
                <w:color w:val="auto"/>
              </w:rPr>
              <w:t xml:space="preserve">REDUCE-IT study </w:t>
            </w:r>
            <w:r>
              <w:rPr>
                <w:rFonts w:ascii="Arial" w:cs="Arial" w:eastAsia="Arial" w:hAnsi="Arial"/>
                <w:sz w:val="24"/>
                <w:szCs w:val="24"/>
                <w:color w:val="auto"/>
                <w:vertAlign w:val="superscript"/>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Arial" w:cs="Arial" w:eastAsia="Arial" w:hAnsi="Arial"/>
                <w:sz w:val="18"/>
                <w:szCs w:val="18"/>
                <w:color w:val="auto"/>
              </w:rPr>
              <w:t xml:space="preserve">Fixed-dose combination </w:t>
            </w:r>
            <w:r>
              <w:rPr>
                <w:rFonts w:ascii="Arial" w:cs="Arial" w:eastAsia="Arial" w:hAnsi="Arial"/>
                <w:sz w:val="24"/>
                <w:szCs w:val="24"/>
                <w:color w:val="auto"/>
                <w:vertAlign w:val="superscript"/>
              </w:rPr>
              <w:t>(2)</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1,508</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Arial" w:cs="Arial" w:eastAsia="Arial" w:hAnsi="Arial"/>
                <w:sz w:val="18"/>
                <w:szCs w:val="18"/>
                <w:color w:val="auto"/>
              </w:rPr>
              <w:t xml:space="preserve">Regulatory filing fees and expenses </w:t>
            </w:r>
            <w:r>
              <w:rPr>
                <w:rFonts w:ascii="Arial" w:cs="Arial" w:eastAsia="Arial" w:hAnsi="Arial"/>
                <w:sz w:val="24"/>
                <w:szCs w:val="24"/>
                <w:color w:val="auto"/>
                <w:vertAlign w:val="superscript"/>
              </w:rPr>
              <w:t>(3)</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Arial" w:cs="Arial" w:eastAsia="Arial" w:hAnsi="Arial"/>
                <w:sz w:val="18"/>
                <w:szCs w:val="18"/>
                <w:color w:val="auto"/>
              </w:rPr>
              <w:t xml:space="preserve">Internal staffing, overhead and other </w:t>
            </w:r>
            <w:r>
              <w:rPr>
                <w:rFonts w:ascii="Arial" w:cs="Arial" w:eastAsia="Arial" w:hAnsi="Arial"/>
                <w:sz w:val="24"/>
                <w:szCs w:val="24"/>
                <w:color w:val="auto"/>
                <w:vertAlign w:val="superscript"/>
              </w:rPr>
              <w:t>(4)</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w:t>
            </w:r>
          </w:p>
        </w:tc>
        <w:tc>
          <w:tcPr>
            <w:tcW w:w="80" w:type="dxa"/>
            <w:vAlign w:val="bottom"/>
          </w:tcPr>
          <w:p>
            <w:pPr>
              <w:spacing w:after="0"/>
              <w:rPr>
                <w:sz w:val="21"/>
                <w:szCs w:val="21"/>
                <w:color w:val="auto"/>
              </w:rPr>
            </w:pPr>
          </w:p>
        </w:tc>
      </w:tr>
      <w:tr>
        <w:trPr>
          <w:trHeight w:val="237"/>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4,113</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5,138</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(5)</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21"/>
                <w:szCs w:val="21"/>
                <w:color w:val="auto"/>
              </w:rPr>
            </w:pPr>
          </w:p>
        </w:tc>
      </w:tr>
      <w:tr>
        <w:trPr>
          <w:trHeight w:val="270"/>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5,105</w:t>
            </w:r>
          </w:p>
        </w:tc>
        <w:tc>
          <w:tcPr>
            <w:tcW w:w="2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5,765</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 w:lineRule="exact"/>
        <w:rPr>
          <w:sz w:val="20"/>
          <w:szCs w:val="20"/>
          <w:color w:val="auto"/>
        </w:rPr>
      </w:pPr>
    </w:p>
    <w:p>
      <w:pPr>
        <w:ind w:left="520" w:right="220" w:hanging="512"/>
        <w:spacing w:after="0" w:line="281"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decrease in expenses for the REDUCE-IT study is primarily driven by incremental efficiencies applied to ongoing analyses performed on the REDUCE-IT cardiovascular outcomes trial data, further leveraging existing internal resources compared to outsourced support.</w:t>
      </w:r>
    </w:p>
    <w:p>
      <w:pPr>
        <w:spacing w:after="0" w:line="1" w:lineRule="exact"/>
        <w:rPr>
          <w:rFonts w:ascii="Arial" w:cs="Arial" w:eastAsia="Arial" w:hAnsi="Arial"/>
          <w:sz w:val="17"/>
          <w:szCs w:val="17"/>
          <w:color w:val="auto"/>
        </w:rPr>
      </w:pPr>
    </w:p>
    <w:p>
      <w:pPr>
        <w:ind w:left="520" w:right="20" w:hanging="512"/>
        <w:spacing w:after="0" w:line="27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decrease in fixed-dose combination expenses is primarily due to initial start-up and other costs associated with planning and development of the fixed-dose combination of VASCEPA and a statin, which began in 2022.</w:t>
      </w:r>
    </w:p>
    <w:p>
      <w:pPr>
        <w:spacing w:after="0" w:line="1" w:lineRule="exact"/>
        <w:rPr>
          <w:rFonts w:ascii="Arial" w:cs="Arial" w:eastAsia="Arial" w:hAnsi="Arial"/>
          <w:sz w:val="18"/>
          <w:szCs w:val="18"/>
          <w:color w:val="auto"/>
        </w:rPr>
      </w:pPr>
    </w:p>
    <w:p>
      <w:pPr>
        <w:jc w:val="both"/>
        <w:ind w:left="520" w:right="340" w:hanging="512"/>
        <w:spacing w:after="0" w:line="308"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decrease in regulatory filing fees is primarily related to higher spend in 2022 relating to the preparation, submission, and review defense of regulatory filings for several countries. The Company has not prepared nor submitted as many regulatory filings in 2023 as in the previous year.</w:t>
      </w:r>
    </w:p>
    <w:p>
      <w:pPr>
        <w:ind w:left="520" w:hanging="512"/>
        <w:spacing w:after="0" w:line="288"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and maintaining regulatory approvals for VAZKEPA in Europe as originally achieved in 2021, as well as regulatory expansion in other countries throughout 2023. Also included are costs related to qualifying suppliers and costs associated with various other activities, including other costs in collaboration with Mochida and pilot studies regarding VASCEPA.</w:t>
      </w:r>
    </w:p>
    <w:p>
      <w:pPr>
        <w:spacing w:after="0" w:line="3" w:lineRule="exact"/>
        <w:rPr>
          <w:rFonts w:ascii="Arial" w:cs="Arial" w:eastAsia="Arial" w:hAnsi="Arial"/>
          <w:sz w:val="16"/>
          <w:szCs w:val="16"/>
          <w:color w:val="auto"/>
        </w:rPr>
      </w:pPr>
    </w:p>
    <w:p>
      <w:pPr>
        <w:ind w:left="520" w:right="220" w:hanging="512"/>
        <w:spacing w:after="0" w:line="311"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Non-cash stock-based compensation expense represents the estimated costs associated with equity awards issued to personnel supporting our research and development and regulatory functions. The increase is due to the prior year reversal of expense associated with certain performance-based awards as it was no longer deemed probable that the performance criteria for vesting would be achieved within the required timeframe.</w:t>
      </w:r>
    </w:p>
    <w:p>
      <w:pPr>
        <w:spacing w:after="0" w:line="41" w:lineRule="exact"/>
        <w:rPr>
          <w:sz w:val="20"/>
          <w:szCs w:val="20"/>
          <w:color w:val="auto"/>
        </w:rPr>
      </w:pPr>
    </w:p>
    <w:p>
      <w:pPr>
        <w:ind w:right="360" w:firstLine="509"/>
        <w:spacing w:after="0" w:line="342" w:lineRule="auto"/>
        <w:rPr>
          <w:sz w:val="20"/>
          <w:szCs w:val="20"/>
          <w:color w:val="auto"/>
        </w:rPr>
      </w:pPr>
      <w:r>
        <w:rPr>
          <w:rFonts w:ascii="Arial" w:cs="Arial" w:eastAsia="Arial" w:hAnsi="Arial"/>
          <w:sz w:val="16"/>
          <w:szCs w:val="16"/>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70"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i w:val="1"/>
          <w:iCs w:val="1"/>
          <w:color w:val="auto"/>
        </w:rPr>
        <w:t>Restructuring expense</w:t>
      </w:r>
      <w:r>
        <w:rPr>
          <w:rFonts w:ascii="Arial" w:cs="Arial" w:eastAsia="Arial" w:hAnsi="Arial"/>
          <w:sz w:val="18"/>
          <w:szCs w:val="18"/>
          <w:color w:val="auto"/>
        </w:rPr>
        <w:t>. Restructuring expense for the three months ended September 30, 2023 and 2022 was $0.7 million and $3.5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 decrease of $2.8 million, or 80%. The charge in the current year is due to the implementation of the ORP which was approved during the second quarter 2023 and announced on July 18, 2023, which resulted in a reduction of our entire U.S. sales field force, with our managed care and trade organization continuing to support our U.S. commercial efforts, as well as a reduction of approximately 30% of non-sales positions. The prior year charge was due to the discontinuation of the German operations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4" w:name="page35"/>
    <w:bookmarkEnd w:id="34"/>
    <w:p>
      <w:pPr>
        <w:ind w:right="80"/>
        <w:spacing w:after="0" w:line="277" w:lineRule="auto"/>
        <w:rPr>
          <w:sz w:val="20"/>
          <w:szCs w:val="20"/>
          <w:color w:val="auto"/>
        </w:rPr>
      </w:pPr>
      <w:r>
        <w:rPr>
          <w:rFonts w:ascii="Arial" w:cs="Arial" w:eastAsia="Arial" w:hAnsi="Arial"/>
          <w:sz w:val="18"/>
          <w:szCs w:val="18"/>
          <w:color w:val="auto"/>
        </w:rPr>
        <w:t xml:space="preserve">announced on August 19, 2022, which resulted from a viable agreement on the reimbursement price of VAZKEPA in Germany not being reached. Refer to </w:t>
      </w:r>
      <w:r>
        <w:rPr>
          <w:rFonts w:ascii="Arial" w:cs="Arial" w:eastAsia="Arial" w:hAnsi="Arial"/>
          <w:sz w:val="18"/>
          <w:szCs w:val="18"/>
          <w:i w:val="1"/>
          <w:iCs w:val="1"/>
          <w:color w:val="auto"/>
        </w:rPr>
        <w:t xml:space="preserve">Note 2 Significant Accounting Policies </w:t>
      </w:r>
      <w:r>
        <w:rPr>
          <w:rFonts w:ascii="Arial" w:cs="Arial" w:eastAsia="Arial" w:hAnsi="Arial"/>
          <w:sz w:val="18"/>
          <w:szCs w:val="18"/>
          <w:color w:val="auto"/>
        </w:rPr>
        <w:t>for additional information.</w:t>
      </w:r>
    </w:p>
    <w:p>
      <w:pPr>
        <w:spacing w:after="0" w:line="19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i w:val="1"/>
          <w:iCs w:val="1"/>
          <w:color w:val="auto"/>
        </w:rPr>
        <w:t>Interest income, net</w:t>
      </w:r>
      <w:r>
        <w:rPr>
          <w:rFonts w:ascii="Arial" w:cs="Arial" w:eastAsia="Arial" w:hAnsi="Arial"/>
          <w:sz w:val="18"/>
          <w:szCs w:val="18"/>
          <w:color w:val="auto"/>
        </w:rPr>
        <w:t>. Interest income, net for the three months ended September 30, 2023 and 2022 was $3.2 million and $0.8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$2.5 million, or 329%. Interest income, net, represents income earned on cash and investment balances. The increase is primarily due to higher interest rates in the current year period compared to the prior year period.</w:t>
      </w:r>
    </w:p>
    <w:p>
      <w:pPr>
        <w:spacing w:after="0" w:line="211"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income, net, for the three months ended September 30, 2023 and 2022 was expense of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income of $0.5 million, respectively, a decrease of $1.1 million, or 213%. Other (expense) income, net, primarily consists of gains and losses on foreign exchange transactions and sublease income related to our Bridgewater, NJ facility.</w:t>
      </w:r>
    </w:p>
    <w:p>
      <w:pPr>
        <w:spacing w:after="0" w:line="21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for the three months ended September 30, 2023 and 2022 was $0.5 million and $1.3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provision for the three months ended September 30, 2023 is the result of 2022 tax provision to tax return true-up, changes in unrecognized tax benefits, and income generated by our U.S. and foreign operations for which tax expense has been recognized based on a full year estimated U.S. and foreign income tax liability.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2023 and September 30, 2022</w:t>
      </w:r>
    </w:p>
    <w:p>
      <w:pPr>
        <w:spacing w:after="0" w:line="252"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i w:val="1"/>
          <w:iCs w:val="1"/>
          <w:color w:val="auto"/>
        </w:rPr>
        <w:t xml:space="preserve">Total revenue, net. </w:t>
      </w:r>
      <w:r>
        <w:rPr>
          <w:rFonts w:ascii="Arial" w:cs="Arial" w:eastAsia="Arial" w:hAnsi="Arial"/>
          <w:sz w:val="16"/>
          <w:szCs w:val="16"/>
          <w:color w:val="auto"/>
        </w:rPr>
        <w:t>We recorded total revenue, net, of $232.2 million and $278.9 million during the nine months ended September 30, 2023 and</w:t>
      </w:r>
      <w:r>
        <w:rPr>
          <w:rFonts w:ascii="Arial" w:cs="Arial" w:eastAsia="Arial" w:hAnsi="Arial"/>
          <w:sz w:val="16"/>
          <w:szCs w:val="16"/>
          <w:i w:val="1"/>
          <w:iCs w:val="1"/>
          <w:color w:val="auto"/>
        </w:rPr>
        <w:t xml:space="preserve"> </w:t>
      </w:r>
      <w:r>
        <w:rPr>
          <w:rFonts w:ascii="Arial" w:cs="Arial" w:eastAsia="Arial" w:hAnsi="Arial"/>
          <w:sz w:val="16"/>
          <w:szCs w:val="16"/>
          <w:color w:val="auto"/>
        </w:rPr>
        <w:t>2022, respectively, a decrease of $46.8 million, or 17%. Total revenue, net, consists primarily of revenue from the sale of VASCEPA in the United States. In addition to the United States, during the nine months ended September 30, 2023, we also sold VASCEPA by prescription in certain countries in Europe. VASCEPA is also available by prescription in Canada, Lebanon, the United Arab Emirates, Kuwait, and Saudi Arabia through collaborations with third-party companies. As further discussed below, the aforementioned decrease consists of a $63.0 million decrease in U.S. net product revenue offset in part by a $0.7 million increase in net product revenue outside of the United States and a $15.5 million increase in licensing and royalty revenue.</w:t>
      </w:r>
    </w:p>
    <w:p>
      <w:pPr>
        <w:spacing w:after="0" w:line="191" w:lineRule="exact"/>
        <w:rPr>
          <w:sz w:val="20"/>
          <w:szCs w:val="20"/>
          <w:color w:val="auto"/>
        </w:rPr>
      </w:pPr>
    </w:p>
    <w:p>
      <w:pPr>
        <w:jc w:val="both"/>
        <w:ind w:right="260" w:firstLine="539"/>
        <w:spacing w:after="0" w:line="342"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product revenue, net, of $214.7 million and $277.0 million during the nine months ended September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and 2022, respectively, a decrease of $62.3 million, or 22%. This decrease was due primarily to a 23% decrease in VASCEPA sales in the United States.</w:t>
      </w:r>
    </w:p>
    <w:p>
      <w:pPr>
        <w:spacing w:after="0" w:line="16" w:lineRule="exact"/>
        <w:rPr>
          <w:sz w:val="20"/>
          <w:szCs w:val="20"/>
          <w:color w:val="auto"/>
        </w:rPr>
      </w:pPr>
    </w:p>
    <w:p>
      <w:pPr>
        <w:ind w:firstLine="539"/>
        <w:spacing w:after="0" w:line="279" w:lineRule="auto"/>
        <w:rPr>
          <w:sz w:val="20"/>
          <w:szCs w:val="20"/>
          <w:color w:val="auto"/>
        </w:rPr>
      </w:pPr>
      <w:r>
        <w:rPr>
          <w:rFonts w:ascii="Arial" w:cs="Arial" w:eastAsia="Arial" w:hAnsi="Arial"/>
          <w:sz w:val="17"/>
          <w:szCs w:val="17"/>
          <w:color w:val="auto"/>
        </w:rPr>
        <w:t>We recorded U.S. product revenue, net, of $209.0 million and $272.0 million during the nine months ended September 30, 2023 and 2022, respectively. This decrease was due to a decline net selling price as a result of the impact from an increase in generic competition in the market, offset by an adjustment primarily related to Medicaid rebates of $15.1 million. During the nine months ended September 30, 2023, there were four generics in the market. During the majority of the nine months ended September 30, 2022, there were three generics in the market.</w:t>
      </w:r>
    </w:p>
    <w:p>
      <w:pPr>
        <w:spacing w:after="0" w:line="63" w:lineRule="exact"/>
        <w:rPr>
          <w:sz w:val="20"/>
          <w:szCs w:val="20"/>
          <w:color w:val="auto"/>
        </w:rPr>
      </w:pPr>
    </w:p>
    <w:p>
      <w:pPr>
        <w:ind w:right="200" w:firstLine="539"/>
        <w:spacing w:after="0" w:line="275" w:lineRule="auto"/>
        <w:rPr>
          <w:sz w:val="20"/>
          <w:szCs w:val="20"/>
          <w:color w:val="auto"/>
        </w:rPr>
      </w:pPr>
      <w:r>
        <w:rPr>
          <w:rFonts w:ascii="Arial" w:cs="Arial" w:eastAsia="Arial" w:hAnsi="Arial"/>
          <w:sz w:val="17"/>
          <w:szCs w:val="17"/>
          <w:color w:val="auto"/>
        </w:rPr>
        <w:t>The overall icosapent ethyl market in the United States, based on prescription levels reported by Symphony Health, increased for the nine months ended September 30, 2023 by 4% as compared to the nine months ended September 30, 2022. Our share of the icosapent ethyl market has decreased to approximately 57% in the nine months ended September 30, 2023 compared to approximately 66% in the nine months ended September 30, 2022. Additionally, based on prescription levels reported by Symphony Health, VASCEPA-branded prescriptions decreased by 10% in the nine months ended September 30, 2023 compared to the nine months ended September 30, 2022.</w:t>
      </w:r>
    </w:p>
    <w:p>
      <w:pPr>
        <w:spacing w:after="0" w:line="68" w:lineRule="exact"/>
        <w:rPr>
          <w:sz w:val="20"/>
          <w:szCs w:val="20"/>
          <w:color w:val="auto"/>
        </w:rPr>
      </w:pPr>
    </w:p>
    <w:p>
      <w:pPr>
        <w:ind w:right="660" w:firstLine="539"/>
        <w:spacing w:after="0" w:line="277" w:lineRule="auto"/>
        <w:rPr>
          <w:sz w:val="20"/>
          <w:szCs w:val="20"/>
          <w:color w:val="auto"/>
        </w:rPr>
      </w:pPr>
      <w:r>
        <w:rPr>
          <w:rFonts w:ascii="Arial" w:cs="Arial" w:eastAsia="Arial" w:hAnsi="Arial"/>
          <w:sz w:val="18"/>
          <w:szCs w:val="18"/>
          <w:color w:val="auto"/>
        </w:rPr>
        <w:t>In Europe, we recorded product revenue, net, of $1.9 million and $2.2 million during the nine months ended September 30, 2023 and 2022, respectively.</w:t>
      </w:r>
    </w:p>
    <w:p>
      <w:pPr>
        <w:spacing w:after="0" w:line="62" w:lineRule="exact"/>
        <w:rPr>
          <w:sz w:val="20"/>
          <w:szCs w:val="20"/>
          <w:color w:val="auto"/>
        </w:rPr>
      </w:pPr>
    </w:p>
    <w:p>
      <w:pPr>
        <w:ind w:right="20" w:firstLine="539"/>
        <w:spacing w:after="0" w:line="277" w:lineRule="auto"/>
        <w:rPr>
          <w:sz w:val="20"/>
          <w:szCs w:val="20"/>
          <w:color w:val="auto"/>
        </w:rPr>
      </w:pPr>
      <w:r>
        <w:rPr>
          <w:rFonts w:ascii="Arial" w:cs="Arial" w:eastAsia="Arial" w:hAnsi="Arial"/>
          <w:sz w:val="18"/>
          <w:szCs w:val="18"/>
          <w:color w:val="auto"/>
        </w:rPr>
        <w:t>For the nine months ended September 30, 2023, we recorded $3.9 million of product revenue, net, from our collaboration partners compared to $2.9 million during the nine months ended September 30, 2022.</w:t>
      </w:r>
    </w:p>
    <w:p>
      <w:pPr>
        <w:spacing w:after="0" w:line="62" w:lineRule="exact"/>
        <w:rPr>
          <w:sz w:val="20"/>
          <w:szCs w:val="20"/>
          <w:color w:val="auto"/>
        </w:rPr>
      </w:pPr>
    </w:p>
    <w:p>
      <w:pPr>
        <w:jc w:val="both"/>
        <w:ind w:right="140" w:firstLine="539"/>
        <w:spacing w:after="0" w:line="263" w:lineRule="auto"/>
        <w:rPr>
          <w:sz w:val="20"/>
          <w:szCs w:val="20"/>
          <w:color w:val="auto"/>
        </w:rPr>
      </w:pPr>
      <w:r>
        <w:rPr>
          <w:rFonts w:ascii="Arial" w:cs="Arial" w:eastAsia="Arial" w:hAnsi="Arial"/>
          <w:sz w:val="18"/>
          <w:szCs w:val="18"/>
          <w:color w:val="auto"/>
        </w:rPr>
        <w:t>Despite the generic competition in the U.S., we remain confident that the global patient need for VASCEPA is high. In 2023, we continue to focus on obtaining pricing reimbursement and launching commercial operations in all remaining European markets as well as progressing regulatory filings and supporting approval processes in up to six countries throughout the rest of the world.</w:t>
      </w:r>
    </w:p>
    <w:p>
      <w:pPr>
        <w:spacing w:after="0" w:line="21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i w:val="1"/>
          <w:iCs w:val="1"/>
          <w:color w:val="auto"/>
        </w:rPr>
        <w:t>Licensing and royalty revenue</w:t>
      </w:r>
      <w:r>
        <w:rPr>
          <w:rFonts w:ascii="Arial" w:cs="Arial" w:eastAsia="Arial" w:hAnsi="Arial"/>
          <w:sz w:val="17"/>
          <w:szCs w:val="17"/>
          <w:color w:val="auto"/>
        </w:rPr>
        <w:t>. Licensing and royalty revenue during the nine months ended September 30, 2023 and 2022 was $17.5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$1.9 million, respectively, an increase of $15.5 million, or 798%. The increase is primarily due to the recognition of previously deferred milestone and upfront payments relating to Edding and HLS due to a change in the estimates in which we previously recognized revenue. Licensing and royalty revenue relates to the recognition of amounts received in connection with the following VASCEPA licensing agreements:</w:t>
      </w:r>
    </w:p>
    <w:p>
      <w:pPr>
        <w:spacing w:after="0" w:line="63" w:lineRule="exact"/>
        <w:rPr>
          <w:sz w:val="20"/>
          <w:szCs w:val="20"/>
          <w:color w:val="auto"/>
        </w:rPr>
      </w:pPr>
    </w:p>
    <w:p>
      <w:pPr>
        <w:jc w:val="both"/>
        <w:ind w:left="900" w:right="280" w:hanging="383"/>
        <w:spacing w:after="0" w:line="29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Edding – a $15.0 million up-front payment received in February 2015, a $1.0 million milestone payment achieved in March 2016 following submission of the clinical trial application to the Chinese regulatory authority, and a $5.0 million milestone payment achieved in June 2023</w:t>
      </w:r>
    </w:p>
    <w:p>
      <w:pPr>
        <w:ind w:left="900"/>
        <w:spacing w:after="0"/>
        <w:rPr>
          <w:sz w:val="20"/>
          <w:szCs w:val="20"/>
          <w:color w:val="auto"/>
        </w:rPr>
      </w:pPr>
      <w:r>
        <w:rPr>
          <w:rFonts w:ascii="Arial" w:cs="Arial" w:eastAsia="Arial" w:hAnsi="Arial"/>
          <w:sz w:val="18"/>
          <w:szCs w:val="18"/>
          <w:color w:val="auto"/>
        </w:rPr>
        <w:t>following NMPA approval of VASCEPA under the MARINE indication.</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ind w:left="900" w:right="420" w:hanging="383"/>
        <w:spacing w:after="0" w:line="30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w:t>
      </w:r>
    </w:p>
    <w:p>
      <w:pPr>
        <w:spacing w:after="0" w:line="49" w:lineRule="exact"/>
        <w:rPr>
          <w:rFonts w:ascii="Arial" w:cs="Arial" w:eastAsia="Arial" w:hAnsi="Arial"/>
          <w:sz w:val="16"/>
          <w:szCs w:val="16"/>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CSL – a $0.5 million up-front payment which was received upon closing of the agreement in January 2023.</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Lotus – a $0.3 million up-front payment which was received upon closing of the agreement in August 2023.</w:t>
      </w:r>
    </w:p>
    <w:p>
      <w:pPr>
        <w:spacing w:after="0" w:line="117"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The up-front and milestone payments from Edding and HLS are being recognized over the estimated period in which we are required to provide regulatory and development support pursuant to the agreements. The up-front payment from CSL and Lotus are recognized upon closing the agreement as no regulatory and development support is required pursuant to the agreement. The amount of licensing and royalty revenue is expected to vary from period to period based on timing of milestones achieved and changes in estimates of the timing and level of support required. During the second quarter of 2023, the performance period for Edding and HLS was re-evaluated and adjusted, resulting in the Company recognizing an additional $5.0 million and $5.3 million, respectively, in license revenues related to this change in estimate for the nine months ended September 30, 2023. For additional information over the change in estimate refer to Note 8 - Development, Commercialization and Supply Agreements.</w:t>
      </w:r>
    </w:p>
    <w:p>
      <w:pPr>
        <w:spacing w:after="0" w:line="58" w:lineRule="exact"/>
        <w:rPr>
          <w:sz w:val="20"/>
          <w:szCs w:val="20"/>
          <w:color w:val="auto"/>
        </w:rPr>
      </w:pPr>
    </w:p>
    <w:p>
      <w:pPr>
        <w:ind w:right="180" w:firstLine="509"/>
        <w:spacing w:after="0" w:line="308" w:lineRule="auto"/>
        <w:rPr>
          <w:sz w:val="20"/>
          <w:szCs w:val="20"/>
          <w:color w:val="auto"/>
        </w:rPr>
      </w:pPr>
      <w:r>
        <w:rPr>
          <w:rFonts w:ascii="Arial" w:cs="Arial" w:eastAsia="Arial" w:hAnsi="Arial"/>
          <w:sz w:val="17"/>
          <w:szCs w:val="17"/>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73"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during the nine months ended September 30, 2023 and 2022 was $111.8 million and $100.1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 increase of $11.7 million, or 12%.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nine months ended September 30, 2023 and 2022, we have taken steps to amend supplier agreements to align supply arrangements with current and future demand resulting in charges of $39.2 million and $18.1 million, respectively, which were recorded as cost of goods sold - restructuring inventory. During the nine months ended September 30, 2022, approximately $9.6 million of inventory was expensed through cost of goods sold not due to product dating unsellable inventory.</w:t>
      </w:r>
    </w:p>
    <w:p>
      <w:pPr>
        <w:spacing w:after="0" w:line="84"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API included in the calculation of the average cost of goods sold during the nine months ended September 30, 2023 and 2022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68"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Our overall gross margin on product sales for each of the nine months ended September 30, 2023 and 2022 was 48% and 64%, respectively. Excluding the restructuring inventory and inventory write-off charges, gross margin was 66% and 74% for the nine months ended September 30, 2023 and 2022, respectively. The remaining decrease in gross margin is primarily as a result of a decrease in net selling price.</w:t>
      </w:r>
    </w:p>
    <w:p>
      <w:pPr>
        <w:spacing w:after="0" w:line="192"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nine months ended September 30, 2023 and 2022</w:t>
      </w:r>
      <w:r>
        <w:rPr>
          <w:rFonts w:ascii="Arial" w:cs="Arial" w:eastAsia="Arial" w:hAnsi="Arial"/>
          <w:sz w:val="18"/>
          <w:szCs w:val="18"/>
          <w:i w:val="1"/>
          <w:iCs w:val="1"/>
          <w:color w:val="auto"/>
        </w:rPr>
        <w:t xml:space="preserve"> </w:t>
      </w:r>
      <w:r>
        <w:rPr>
          <w:rFonts w:ascii="Arial" w:cs="Arial" w:eastAsia="Arial" w:hAnsi="Arial"/>
          <w:sz w:val="18"/>
          <w:szCs w:val="18"/>
          <w:color w:val="auto"/>
        </w:rPr>
        <w:t>was $156.0 million and $236.3 million, respectively, a decrease of $80.3 million, or 34%. Selling, general and administrative expenses for the nine months ended September 30, 2023 and 2022 are summarized in the table below:</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w w:val="94"/>
              </w:rPr>
              <w:t>Nine months ended September 30,</w:t>
            </w: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6180" w:type="dxa"/>
            <w:vAlign w:val="bottom"/>
            <w:shd w:val="clear" w:color="auto" w:fill="CFF0FC"/>
          </w:tcPr>
          <w:p>
            <w:pPr>
              <w:spacing w:after="0" w:line="236" w:lineRule="exact"/>
              <w:rPr>
                <w:sz w:val="20"/>
                <w:szCs w:val="20"/>
                <w:color w:val="auto"/>
              </w:rPr>
            </w:pPr>
            <w:r>
              <w:rPr>
                <w:rFonts w:ascii="Arial" w:cs="Arial" w:eastAsia="Arial" w:hAnsi="Arial"/>
                <w:sz w:val="18"/>
                <w:szCs w:val="18"/>
                <w:color w:val="auto"/>
              </w:rPr>
              <w:t xml:space="preserve">Selling expense </w:t>
            </w:r>
            <w:r>
              <w:rPr>
                <w:rFonts w:ascii="Arial" w:cs="Arial" w:eastAsia="Arial" w:hAnsi="Arial"/>
                <w:sz w:val="24"/>
                <w:szCs w:val="24"/>
                <w:color w:val="auto"/>
                <w:vertAlign w:val="superscript"/>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88,519</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147,829</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Arial" w:cs="Arial" w:eastAsia="Arial" w:hAnsi="Arial"/>
                <w:sz w:val="18"/>
                <w:szCs w:val="18"/>
                <w:color w:val="auto"/>
              </w:rPr>
              <w:t xml:space="preserve">General and administrative expense </w:t>
            </w:r>
            <w:r>
              <w:rPr>
                <w:rFonts w:ascii="Arial" w:cs="Arial" w:eastAsia="Arial" w:hAnsi="Arial"/>
                <w:sz w:val="24"/>
                <w:szCs w:val="24"/>
                <w:color w:val="auto"/>
                <w:vertAlign w:val="superscript"/>
              </w:rPr>
              <w:t>(2)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58,534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71,791</w:t>
            </w:r>
          </w:p>
        </w:tc>
        <w:tc>
          <w:tcPr>
            <w:tcW w:w="80" w:type="dxa"/>
            <w:vAlign w:val="bottom"/>
          </w:tcPr>
          <w:p>
            <w:pPr>
              <w:spacing w:after="0"/>
              <w:rPr>
                <w:sz w:val="21"/>
                <w:szCs w:val="21"/>
                <w:color w:val="auto"/>
              </w:rPr>
            </w:pPr>
          </w:p>
        </w:tc>
      </w:tr>
      <w:tr>
        <w:trPr>
          <w:trHeight w:val="243"/>
        </w:trPr>
        <w:tc>
          <w:tcPr>
            <w:tcW w:w="6180" w:type="dxa"/>
            <w:vAlign w:val="bottom"/>
            <w:tcBorders>
              <w:bottom w:val="single" w:sz="8" w:color="CFF0FC"/>
            </w:tcBorders>
            <w:shd w:val="clear" w:color="auto" w:fill="CFF0FC"/>
          </w:tcPr>
          <w:p>
            <w:pPr>
              <w:spacing w:after="0" w:line="243"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(3)</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8,944</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155,997</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236,285</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-187960</wp:posOffset>
            </wp:positionV>
            <wp:extent cx="5969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71" w:lineRule="exact"/>
        <w:rPr>
          <w:sz w:val="20"/>
          <w:szCs w:val="20"/>
          <w:color w:val="auto"/>
        </w:rPr>
      </w:pPr>
    </w:p>
    <w:p>
      <w:pPr>
        <w:ind w:left="480" w:right="340" w:hanging="383"/>
        <w:spacing w:after="0" w:line="263"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expense for the nine months ended September 30, 2023 and 2022 was $88.5 million and $147.8 million, respectively, a decrease of $59.3 million, or 40%. This decrease is primarily due to a reduction in costs associated with our ORP and cost reduction plans resulting in decreased promotional initiatives, reduced travel and elimination of our U.S. sales force.</w:t>
      </w:r>
    </w:p>
    <w:p>
      <w:pPr>
        <w:spacing w:after="0" w:line="8" w:lineRule="exact"/>
        <w:rPr>
          <w:rFonts w:ascii="Arial" w:cs="Arial" w:eastAsia="Arial" w:hAnsi="Arial"/>
          <w:sz w:val="18"/>
          <w:szCs w:val="18"/>
          <w:color w:val="auto"/>
        </w:rPr>
      </w:pPr>
    </w:p>
    <w:p>
      <w:pPr>
        <w:ind w:left="480" w:hanging="383"/>
        <w:spacing w:after="0" w:line="255"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and administrative expense for the nine months ended September 30, 2023 and 2022 was $58.5 million and $71.8 million, respectively, a decrease of $13.3 million, or 18%. This decrease is primarily due to a decrease in employee-related costs as a result of the reduction in force from the ORP and cost reduction plans as well as a decrease in branded pharma fees as 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left="480" w:right="80"/>
        <w:spacing w:after="0" w:line="266" w:lineRule="auto"/>
        <w:rPr>
          <w:sz w:val="20"/>
          <w:szCs w:val="20"/>
          <w:color w:val="auto"/>
        </w:rPr>
      </w:pPr>
      <w:r>
        <w:rPr>
          <w:rFonts w:ascii="Arial" w:cs="Arial" w:eastAsia="Arial" w:hAnsi="Arial"/>
          <w:sz w:val="18"/>
          <w:szCs w:val="18"/>
          <w:color w:val="auto"/>
        </w:rPr>
        <w:t>result of lower sales due to additional generic entrants in the market. The decrease in general and administrative expense was offset by advisory fees related to the shareholder's special meeting.</w:t>
      </w:r>
    </w:p>
    <w:p>
      <w:pPr>
        <w:ind w:left="480" w:right="180" w:hanging="383"/>
        <w:spacing w:after="0" w:line="275"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Non-cash stock-based compensation expense for the nine months ended September 30, 2023 and 2022 was $8.9 million and $16.7 million, respectively, a decrease of $7.7 million, or 46%. Non-cash stock-based compensation expense represents the estimated costs associated with equity awards issued to internal personnel supporting our selling, general and administrative functions. The decrease is due to the reversal of expense associated with our former CEO's resignation, the ORP announced in July 2023, as well as certain performance-based awards as it was no longer deemed probable that the performance criteria for vesting would be achieved within the required timeframe.</w:t>
      </w:r>
    </w:p>
    <w:p>
      <w:pPr>
        <w:spacing w:after="0" w:line="203"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As part of our ORP announced in July 2023, we have redesigned our commercial infrastructure in Europe to better align with pricing and reimbursement status, commercial progress to date, as well as streamline certain cross-geographic functions. In addition, we are continuing to advance our pricing and reimbursement activities to drive access in remaining geographies, as well as advancing regulatory filings internationally and focusing on maximizing U.S. cash flow through a streamlined model. We will continue to evaluate all of our spending commitments and priorities based on our refocused strategic priorities and restructuring plan.</w:t>
      </w:r>
    </w:p>
    <w:p>
      <w:pPr>
        <w:spacing w:after="0" w:line="21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nine months ended September 30, 2023 and 2022 was $16.4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$25.2 million, respectively, a decrease of $8.7 million, or 35%. Research and development expenses for the nine months ended September 30, 2023 and 2022 are summarized in the table below:</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4"/>
              </w:rPr>
              <w:t>Nine months ended September 30,</w:t>
            </w: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line="236" w:lineRule="exact"/>
              <w:rPr>
                <w:sz w:val="20"/>
                <w:szCs w:val="20"/>
                <w:color w:val="auto"/>
              </w:rPr>
            </w:pPr>
            <w:r>
              <w:rPr>
                <w:rFonts w:ascii="Arial" w:cs="Arial" w:eastAsia="Arial" w:hAnsi="Arial"/>
                <w:sz w:val="18"/>
                <w:szCs w:val="18"/>
                <w:color w:val="auto"/>
              </w:rPr>
              <w:t xml:space="preserve">REDUCE-IT study </w:t>
            </w:r>
            <w:r>
              <w:rPr>
                <w:rFonts w:ascii="Arial" w:cs="Arial" w:eastAsia="Arial" w:hAnsi="Arial"/>
                <w:sz w:val="24"/>
                <w:szCs w:val="24"/>
                <w:color w:val="auto"/>
                <w:vertAlign w:val="superscript"/>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Arial" w:cs="Arial" w:eastAsia="Arial" w:hAnsi="Arial"/>
                <w:sz w:val="18"/>
                <w:szCs w:val="18"/>
                <w:color w:val="auto"/>
              </w:rPr>
              <w:t xml:space="preserve">Fixed-dose combination </w:t>
            </w:r>
            <w:r>
              <w:rPr>
                <w:rFonts w:ascii="Arial" w:cs="Arial" w:eastAsia="Arial" w:hAnsi="Arial"/>
                <w:sz w:val="24"/>
                <w:szCs w:val="24"/>
                <w:color w:val="auto"/>
                <w:vertAlign w:val="superscript"/>
              </w:rPr>
              <w:t>(2)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4,244</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Arial" w:cs="Arial" w:eastAsia="Arial" w:hAnsi="Arial"/>
                <w:sz w:val="18"/>
                <w:szCs w:val="18"/>
                <w:color w:val="auto"/>
              </w:rPr>
              <w:t xml:space="preserve">Regulatory filing fees and expenses </w:t>
            </w:r>
            <w:r>
              <w:rPr>
                <w:rFonts w:ascii="Arial" w:cs="Arial" w:eastAsia="Arial" w:hAnsi="Arial"/>
                <w:sz w:val="24"/>
                <w:szCs w:val="24"/>
                <w:color w:val="auto"/>
                <w:vertAlign w:val="superscript"/>
              </w:rPr>
              <w:t>(3)</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Arial" w:cs="Arial" w:eastAsia="Arial" w:hAnsi="Arial"/>
                <w:sz w:val="18"/>
                <w:szCs w:val="18"/>
                <w:color w:val="auto"/>
              </w:rPr>
              <w:t xml:space="preserve">Internal staffing, overhead and other </w:t>
            </w:r>
            <w:r>
              <w:rPr>
                <w:rFonts w:ascii="Arial" w:cs="Arial" w:eastAsia="Arial" w:hAnsi="Arial"/>
                <w:sz w:val="24"/>
                <w:szCs w:val="24"/>
                <w:color w:val="auto"/>
                <w:vertAlign w:val="superscript"/>
              </w:rPr>
              <w:t>(4)</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10,519</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14,345</w:t>
            </w:r>
          </w:p>
        </w:tc>
        <w:tc>
          <w:tcPr>
            <w:tcW w:w="80" w:type="dxa"/>
            <w:vAlign w:val="bottom"/>
          </w:tcPr>
          <w:p>
            <w:pPr>
              <w:spacing w:after="0"/>
              <w:rPr>
                <w:sz w:val="21"/>
                <w:szCs w:val="21"/>
                <w:color w:val="auto"/>
              </w:rPr>
            </w:pPr>
          </w:p>
        </w:tc>
      </w:tr>
      <w:tr>
        <w:trPr>
          <w:trHeight w:val="237"/>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13,338</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21,645</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(5)</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w:t>
            </w:r>
          </w:p>
        </w:tc>
        <w:tc>
          <w:tcPr>
            <w:tcW w:w="80" w:type="dxa"/>
            <w:vAlign w:val="bottom"/>
          </w:tcPr>
          <w:p>
            <w:pPr>
              <w:spacing w:after="0"/>
              <w:rPr>
                <w:sz w:val="21"/>
                <w:szCs w:val="21"/>
                <w:color w:val="auto"/>
              </w:rPr>
            </w:pPr>
          </w:p>
        </w:tc>
      </w:tr>
      <w:tr>
        <w:trPr>
          <w:trHeight w:val="270"/>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16,428</w:t>
            </w:r>
          </w:p>
        </w:tc>
        <w:tc>
          <w:tcPr>
            <w:tcW w:w="2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25,172</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-25400</wp:posOffset>
            </wp:positionV>
            <wp:extent cx="596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ind w:left="520" w:right="240" w:hanging="512"/>
        <w:spacing w:after="0" w:line="290"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decrease in expenses for the REDUCE-IT study is primarily driven by incremental efficiencies applied to ongoing analyses performed on the REDUCE-IT cardiovascular outcomes trial data, further leveraging existing internal resources compared to outsourced support.</w:t>
      </w:r>
    </w:p>
    <w:p>
      <w:pPr>
        <w:ind w:left="520" w:right="40" w:hanging="512"/>
        <w:spacing w:after="0" w:line="266"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decrease in fixed-dose combination expenses is primarily due to initial start-up and other costs associated with planning and development of the fixed-dose combination of VASCEPA and a statin, which began in 2022.</w:t>
      </w:r>
    </w:p>
    <w:p>
      <w:pPr>
        <w:jc w:val="both"/>
        <w:ind w:left="520" w:right="360" w:hanging="512"/>
        <w:spacing w:after="0" w:line="308"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decrease in regulatory filing fees is primarily related to higher spend in 2022 relating to the preparation, submission, and review defense of regulatory filings for several countries. The Company has not prepared nor submitted as many regulatory filings in 2023 as in the previous year.</w:t>
      </w:r>
    </w:p>
    <w:p>
      <w:pPr>
        <w:ind w:left="520" w:right="20" w:hanging="512"/>
        <w:spacing w:after="0" w:line="292"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and maintaining regulatory approvals for VAZKEPA in Europe as originally achieved in 2021, as well as regulatory expansion in other countries throughout 2023. Also included are costs related to qualifying suppliers and costs associated with various other activities, including other costs in collaboration with Mochida and pilot studies regarding VASCEPA.</w:t>
      </w:r>
    </w:p>
    <w:p>
      <w:pPr>
        <w:spacing w:after="0" w:line="1" w:lineRule="exact"/>
        <w:rPr>
          <w:rFonts w:ascii="Arial" w:cs="Arial" w:eastAsia="Arial" w:hAnsi="Arial"/>
          <w:sz w:val="16"/>
          <w:szCs w:val="16"/>
          <w:color w:val="auto"/>
        </w:rPr>
      </w:pPr>
    </w:p>
    <w:p>
      <w:pPr>
        <w:jc w:val="both"/>
        <w:ind w:left="520" w:right="540" w:hanging="512"/>
        <w:spacing w:after="0" w:line="311"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Non-cash stock-based compensation expense represents the estimated costs associated with equity awards issued to personnel supporting our research and development and regulatory functions. The decrease is due to the reversal of expense associated with certain performance-based awards as it was no longer deemed probable that the performance criteria for vesting would be achieved within the required timeframe.</w:t>
      </w:r>
    </w:p>
    <w:p>
      <w:pPr>
        <w:spacing w:after="0" w:line="41" w:lineRule="exact"/>
        <w:rPr>
          <w:sz w:val="20"/>
          <w:szCs w:val="20"/>
          <w:color w:val="auto"/>
        </w:rPr>
      </w:pPr>
    </w:p>
    <w:p>
      <w:pPr>
        <w:ind w:right="380" w:firstLine="509"/>
        <w:spacing w:after="0" w:line="342" w:lineRule="auto"/>
        <w:rPr>
          <w:sz w:val="20"/>
          <w:szCs w:val="20"/>
          <w:color w:val="auto"/>
        </w:rPr>
      </w:pPr>
      <w:r>
        <w:rPr>
          <w:rFonts w:ascii="Arial" w:cs="Arial" w:eastAsia="Arial" w:hAnsi="Arial"/>
          <w:sz w:val="16"/>
          <w:szCs w:val="16"/>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70"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i w:val="1"/>
          <w:iCs w:val="1"/>
          <w:color w:val="auto"/>
        </w:rPr>
        <w:t>Restructuring expense</w:t>
      </w:r>
      <w:r>
        <w:rPr>
          <w:rFonts w:ascii="Arial" w:cs="Arial" w:eastAsia="Arial" w:hAnsi="Arial"/>
          <w:sz w:val="18"/>
          <w:szCs w:val="18"/>
          <w:color w:val="auto"/>
        </w:rPr>
        <w:t>. Restructuring expense for the nine months ended September 30, 2023 and 2022 was $10.7 million and $13.7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respectively, a decrease of $3.0 million, or 22%. The charge in the current year is due to the implementation of the ORP which was approved in the second quarter 2023 and announced on July 18, 2023, which resulted in a reduction of our entire U.S. sales field force, with our managed care and trade organization continuing to support our U.S. commercial efforts, as well as a reduction of approximately 30% of non-sales positions. The prior year charge was the result of the implementation of the CRP announced on June 6, 2022, which primarily related to the reduction of our U.S. field force from approximately 300 sales representatives to approximately 75 sales representatives. Refer to </w:t>
      </w:r>
      <w:r>
        <w:rPr>
          <w:rFonts w:ascii="Arial" w:cs="Arial" w:eastAsia="Arial" w:hAnsi="Arial"/>
          <w:sz w:val="18"/>
          <w:szCs w:val="18"/>
          <w:i w:val="1"/>
          <w:iCs w:val="1"/>
          <w:color w:val="auto"/>
        </w:rPr>
        <w:t>Note 2 Significant Accounting Policies</w:t>
      </w:r>
      <w:r>
        <w:rPr>
          <w:rFonts w:ascii="Arial" w:cs="Arial" w:eastAsia="Arial" w:hAnsi="Arial"/>
          <w:sz w:val="18"/>
          <w:szCs w:val="18"/>
          <w:color w:val="auto"/>
        </w:rPr>
        <w:t xml:space="preserve"> for additional information.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7" w:name="page38"/>
    <w:bookmarkEnd w:id="37"/>
    <w:p>
      <w:pPr>
        <w:ind w:right="140" w:firstLine="509"/>
        <w:spacing w:after="0" w:line="263" w:lineRule="auto"/>
        <w:rPr>
          <w:sz w:val="20"/>
          <w:szCs w:val="20"/>
          <w:color w:val="auto"/>
        </w:rPr>
      </w:pPr>
      <w:r>
        <w:rPr>
          <w:rFonts w:ascii="Arial" w:cs="Arial" w:eastAsia="Arial" w:hAnsi="Arial"/>
          <w:sz w:val="18"/>
          <w:szCs w:val="18"/>
          <w:i w:val="1"/>
          <w:iCs w:val="1"/>
          <w:color w:val="auto"/>
        </w:rPr>
        <w:t>Interest income, net</w:t>
      </w:r>
      <w:r>
        <w:rPr>
          <w:rFonts w:ascii="Arial" w:cs="Arial" w:eastAsia="Arial" w:hAnsi="Arial"/>
          <w:sz w:val="18"/>
          <w:szCs w:val="18"/>
          <w:color w:val="auto"/>
        </w:rPr>
        <w:t>. Interest income, net for the nine months ended September 30, 2023 and 2022 was $8.4 million and $1.2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$7.2 million, or 580%. Interest income, net represents income earned on cash and investment balances. The increase is primarily due to higher interest rates in the current year period compared to the prior year period.</w:t>
      </w:r>
    </w:p>
    <w:p>
      <w:pPr>
        <w:spacing w:after="0" w:line="211"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7"/>
          <w:szCs w:val="17"/>
          <w:i w:val="1"/>
          <w:iCs w:val="1"/>
          <w:color w:val="auto"/>
        </w:rPr>
        <w:t>Other (expense) income, net</w:t>
      </w:r>
      <w:r>
        <w:rPr>
          <w:rFonts w:ascii="Arial" w:cs="Arial" w:eastAsia="Arial" w:hAnsi="Arial"/>
          <w:sz w:val="17"/>
          <w:szCs w:val="17"/>
          <w:color w:val="auto"/>
        </w:rPr>
        <w:t>. Other (expense) income, net, for the nine months ended September 30, 2023 and 2022 was income of $3.1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$2.0 million, respectively, an increase of $5.1 million, or 255%. Other (expense) income, net, primarily consists of the ERC awarded as part of the CARES Act, gains and losses on foreign exchange transactions and sublease income related to our Bridgewater, NJ facility.</w:t>
      </w:r>
    </w:p>
    <w:p>
      <w:pPr>
        <w:spacing w:after="0" w:line="111" w:lineRule="exact"/>
        <w:rPr>
          <w:sz w:val="20"/>
          <w:szCs w:val="20"/>
          <w:color w:val="auto"/>
        </w:rPr>
      </w:pPr>
    </w:p>
    <w:p>
      <w:pPr>
        <w:jc w:val="both"/>
        <w:ind w:right="60" w:firstLine="509"/>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for the nine months ended September 30, 2023 and 2022 was $2.1 million and $9.6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provision for the nine months ended September 30, 2023 is the result of income generated by our U.S. and foreign operations for which tax expense has been recognized based on a full year estimated U.S. and foreign income tax liability. The decrease compared to the prior year is primarily due to a lower annualized estimated tax rate used in 2023 as compared to 2022 as well as by a true-up of the 2022 tax provision to the 2022 tax return and changes in unrecognized tax benefits.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As of September 30, 2023, our aggregate sources of liquidity include cash and cash equivalents and restricted cash of $271.3 million and short-term investments of $49.8 million. We have no indebtedness. Our cash and cash equivalents primarily include checking accounts and money market funds with original maturities of less than 90 days. Our short-term investments consist of securities that will be due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84"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condensed consolidated statements of cash flows, are summarized in the following table:</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634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3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(181.6 )</w:t>
            </w:r>
          </w:p>
        </w:tc>
      </w:tr>
      <w:tr>
        <w:trPr>
          <w:trHeight w:val="249"/>
        </w:trPr>
        <w:tc>
          <w:tcPr>
            <w:tcW w:w="6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FF0FC"/>
          </w:tcPr>
          <w:p>
            <w:pPr>
              <w:spacing w:after="0"/>
              <w:rPr>
                <w:sz w:val="21"/>
                <w:szCs w:val="21"/>
                <w:color w:val="auto"/>
              </w:rPr>
            </w:pPr>
          </w:p>
        </w:tc>
      </w:tr>
      <w:tr>
        <w:trPr>
          <w:trHeight w:val="237"/>
        </w:trPr>
        <w:tc>
          <w:tcPr>
            <w:tcW w:w="63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(0.4 )</w:t>
            </w:r>
          </w:p>
        </w:tc>
      </w:tr>
      <w:tr>
        <w:trPr>
          <w:trHeight w:val="277"/>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 and cash equivalents and restricted cash</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jc w:val="both"/>
        <w:ind w:right="260" w:firstLine="509"/>
        <w:spacing w:after="0" w:line="311" w:lineRule="auto"/>
        <w:rPr>
          <w:sz w:val="20"/>
          <w:szCs w:val="20"/>
          <w:color w:val="auto"/>
        </w:rPr>
      </w:pPr>
      <w:r>
        <w:rPr>
          <w:rFonts w:ascii="Arial" w:cs="Arial" w:eastAsia="Arial" w:hAnsi="Arial"/>
          <w:sz w:val="16"/>
          <w:szCs w:val="16"/>
          <w:color w:val="auto"/>
        </w:rPr>
        <w:t>Net cash provided by operating activities increased during the nine months ended September 30, 2023 as compared to net cash used in operating activities during the same period in 2022. This is primarily as a result of higher costs in 2022 associated with commercial and pre-launch operations in Europe as well as an increase in inventory purchases in the first half of 2022, offset by a decrease in U.S. product revenue in 2023.</w:t>
      </w:r>
    </w:p>
    <w:p>
      <w:pPr>
        <w:spacing w:after="0" w:line="41"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Net cash provided by investing activities during the nine months ended September 30, 2023 decreased due primarily to proceeds from the maturity of $161.0 million in investment-grade interest bearing instruments, partially offset by $115.5 million in purchases of the investment-grade interest bearing instruments as compared to the same period in 2022 where proceeds from the maturity of investment-grade interest bearing instruments was $240.6 million, partially offset by $37.5 million in purchases of investment-grade interest bearing instruments.</w:t>
      </w:r>
    </w:p>
    <w:p>
      <w:pPr>
        <w:spacing w:after="0" w:line="63"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Net cash provided by financing activities during the nine months ended September 30, 2023 as compared to net cash used in financing activities during the same period in 2022 was primarily as a result of an increase in proceeds related to stock option exercises, offset by taxes paid related to stock-based awards.</w:t>
      </w:r>
    </w:p>
    <w:p>
      <w:pPr>
        <w:spacing w:after="0" w:line="76"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As of September 30, 2023, we had net accounts receivable of $122.4 million, current inventory of $254.5 million and long-term inventory of $91.8 million. We have incurred annual operating losses since our inception and, as a result, we had an accumulated deficit of $1.6 billion as of September 30, 2023. We anticipate that quarterly net cash outflows in future periods will continue to be variable as a result of the timing of certain items, including our purchases of API, the generic competition in the United States and pricing and reimbursement of VAZKEPA in Europe.</w:t>
      </w:r>
    </w:p>
    <w:p>
      <w:pPr>
        <w:spacing w:after="0" w:line="63"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In July 2023, we announced that we were implementing the ORP resulting in the elimination and consolidation of certain roles across the organization, both in the United States and abroad, representing a reduction of our total employee base by approximately 30%. In the U.S., all sales force positions were eliminated, with the managed care and trade organization continuing to support U.S. commercial efforts, and 30% of non-sales positions were eliminated, while in Europe we have redesigned our commercial infrastructure to better align with pricing and reimbursement status, commercial progress to date, as well as streamlining certain</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8" w:name="page39"/>
    <w:bookmarkEnd w:id="38"/>
    <w:p>
      <w:pPr>
        <w:ind w:right="260"/>
        <w:spacing w:after="0" w:line="277" w:lineRule="auto"/>
        <w:rPr>
          <w:sz w:val="20"/>
          <w:szCs w:val="20"/>
          <w:color w:val="auto"/>
        </w:rPr>
      </w:pPr>
      <w:r>
        <w:rPr>
          <w:rFonts w:ascii="Arial" w:cs="Arial" w:eastAsia="Arial" w:hAnsi="Arial"/>
          <w:sz w:val="18"/>
          <w:szCs w:val="18"/>
          <w:color w:val="auto"/>
        </w:rPr>
        <w:t>cross-geographic functions and better leveraging learnings across countries. We expect these actions will reduce operating costs by approximately $40.0 million annually.</w:t>
      </w:r>
    </w:p>
    <w:p>
      <w:pPr>
        <w:spacing w:after="0" w:line="62" w:lineRule="exact"/>
        <w:rPr>
          <w:sz w:val="20"/>
          <w:szCs w:val="20"/>
          <w:color w:val="auto"/>
        </w:rPr>
      </w:pPr>
    </w:p>
    <w:p>
      <w:pPr>
        <w:ind w:firstLine="599"/>
        <w:spacing w:after="0" w:line="254" w:lineRule="auto"/>
        <w:rPr>
          <w:sz w:val="20"/>
          <w:szCs w:val="20"/>
          <w:color w:val="auto"/>
        </w:rPr>
      </w:pPr>
      <w:r>
        <w:rPr>
          <w:rFonts w:ascii="Arial" w:cs="Arial" w:eastAsia="Arial" w:hAnsi="Arial"/>
          <w:sz w:val="18"/>
          <w:szCs w:val="18"/>
          <w:color w:val="auto"/>
        </w:rPr>
        <w:t>As of September 30, 2023, we had cash and cash equivalents of $270.8 million and short-term investments of $49.8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for at least one year from the issuance date of our unaudited condensed consolidated financial statements included elsewhere in this Quarterly Report and are adequate to support continued operations based on our current plans. We have based this estimate on assumptions that may prove to be wrong, including as a result of the risks discussed under “Risk Factors” in this Quarterly Report and we could use our capital resources sooner than we expect or fail to achieve positive cash flow.</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Our contractual obligations consist mainly of payments related to purchase obligations with certain supply chain contracting parties and operating leases related to real estate used as office space.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There have been no material changes with respect to the information appearing in Part II, Item 7A “Quantitative and Qualitative Disclosures about Market Risk” of our Annual Report.</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80" w:lineRule="exact"/>
        <w:rPr>
          <w:sz w:val="20"/>
          <w:szCs w:val="20"/>
          <w:color w:val="auto"/>
        </w:rPr>
      </w:pPr>
    </w:p>
    <w:p>
      <w:pPr>
        <w:jc w:val="both"/>
        <w:ind w:right="40" w:firstLine="509"/>
        <w:spacing w:after="0" w:line="342" w:lineRule="auto"/>
        <w:rPr>
          <w:sz w:val="20"/>
          <w:szCs w:val="20"/>
          <w:color w:val="auto"/>
        </w:rPr>
      </w:pPr>
      <w:r>
        <w:rPr>
          <w:rFonts w:ascii="Arial" w:cs="Arial" w:eastAsia="Arial" w:hAnsi="Arial"/>
          <w:sz w:val="16"/>
          <w:szCs w:val="16"/>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of September 30, 2023. Based on such evaluation, our principal executive officer and principal financial officer have concluded that as of September 30, 2023, our disclosure controls and procedures were effective at the reasonable assurance level.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20" w:firstLine="509"/>
        <w:spacing w:after="0" w:line="255" w:lineRule="auto"/>
        <w:rPr>
          <w:sz w:val="20"/>
          <w:szCs w:val="20"/>
          <w:color w:val="auto"/>
        </w:rPr>
      </w:pPr>
      <w:r>
        <w:rPr>
          <w:rFonts w:ascii="Arial" w:cs="Arial" w:eastAsia="Arial" w:hAnsi="Arial"/>
          <w:sz w:val="18"/>
          <w:szCs w:val="18"/>
          <w:color w:val="auto"/>
        </w:rPr>
        <w:t>During the quarter ended September 30, 2023,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 xml:space="preserve">In the ordinary course of business, we are from time to time involved in lawsuits, claims, investigations, proceedings, and threats of litigation relating to intellectual property, commercial arrangements and other matters. Information regarding reportable legal proceedings is contained in “Item 3. Legal Proceedings” of our Annual Report. Refer to Note 5 – Commitments and Contingencies in this Quarterly Report for any legal proceedings that became reportable during the three and nine months ended September 30, 2023, and updates any descriptions of previously reported legal proceedings in which there have been material developments during such period. The discussion of legal proceedings included within </w:t>
      </w:r>
      <w:r>
        <w:rPr>
          <w:rFonts w:ascii="Arial" w:cs="Arial" w:eastAsia="Arial" w:hAnsi="Arial"/>
          <w:sz w:val="18"/>
          <w:szCs w:val="18"/>
          <w:i w:val="1"/>
          <w:iCs w:val="1"/>
          <w:color w:val="auto"/>
        </w:rPr>
        <w:t>Note 5 –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is incorporated into this Item 1 by reference.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Except where denoted with an “*”, these risk factors have not been materially updated from our Annual Report on 10-K for the year ended December 31, 2022 filed with the SEC on March 1, 2023, or our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67" w:lineRule="exact"/>
        <w:rPr>
          <w:sz w:val="20"/>
          <w:szCs w:val="20"/>
          <w:color w:val="auto"/>
        </w:rPr>
      </w:pPr>
    </w:p>
    <w:p>
      <w:pPr>
        <w:ind w:left="900" w:right="60" w:hanging="383"/>
        <w:spacing w:after="0" w:line="232"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substantially dependent upon VASCEPA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(icosapent ethyl), its commercialization in the United States and its development, launch and commercialization in Europe and other major markets.</w:t>
      </w:r>
    </w:p>
    <w:p>
      <w:pPr>
        <w:spacing w:after="0" w:line="95" w:lineRule="exact"/>
        <w:rPr>
          <w:rFonts w:ascii="Arial" w:cs="Arial" w:eastAsia="Arial" w:hAnsi="Arial"/>
          <w:sz w:val="18"/>
          <w:szCs w:val="18"/>
          <w:color w:val="auto"/>
        </w:rPr>
      </w:pPr>
    </w:p>
    <w:p>
      <w:pPr>
        <w:ind w:left="900" w:right="60" w:hanging="38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United States, we face increasing competition from generic drug companies in the near term and our revenues and results could continue to be materially and adversely affected.</w:t>
      </w:r>
    </w:p>
    <w:p>
      <w:pPr>
        <w:spacing w:after="0" w:line="62" w:lineRule="exact"/>
        <w:rPr>
          <w:rFonts w:ascii="Arial" w:cs="Arial" w:eastAsia="Arial" w:hAnsi="Arial"/>
          <w:sz w:val="18"/>
          <w:szCs w:val="18"/>
          <w:color w:val="auto"/>
        </w:rPr>
      </w:pPr>
    </w:p>
    <w:p>
      <w:pPr>
        <w:ind w:left="900" w:right="120" w:hanging="383"/>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Europe, we are seeking relevant pricing approvals in various countries; however, we may not be successful in obtaining such approvals in a timely manner, or at all and, even if successfully obtained, we may not be successful in commercializing VAZKEPA in Europe.</w:t>
      </w:r>
    </w:p>
    <w:p>
      <w:pPr>
        <w:spacing w:after="0" w:line="15" w:lineRule="exact"/>
        <w:rPr>
          <w:rFonts w:ascii="Arial" w:cs="Arial" w:eastAsia="Arial" w:hAnsi="Arial"/>
          <w:sz w:val="16"/>
          <w:szCs w:val="16"/>
          <w:color w:val="auto"/>
        </w:rPr>
      </w:pPr>
    </w:p>
    <w:p>
      <w:pPr>
        <w:ind w:left="900" w:hanging="383"/>
        <w:spacing w:after="0" w:line="26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commercial value of VASCEPA outside the United States may be smaller than we anticipate, including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75"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Factors outside of our control make it more difficult for VASCEPA to achieve a level of market acceptance by physicians, patients, healthcare payors and others in the medical community at levels sufficient to achieve commercial success.</w:t>
      </w:r>
    </w:p>
    <w:p>
      <w:pPr>
        <w:spacing w:after="0" w:line="62" w:lineRule="exact"/>
        <w:rPr>
          <w:rFonts w:ascii="Arial" w:cs="Arial" w:eastAsia="Arial" w:hAnsi="Arial"/>
          <w:sz w:val="18"/>
          <w:szCs w:val="18"/>
          <w:color w:val="auto"/>
        </w:rPr>
      </w:pPr>
    </w:p>
    <w:p>
      <w:pPr>
        <w:ind w:left="900" w:right="320" w:hanging="383"/>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recently announced Organizational Restructuring Program, or ORP, and any similar efforts we may undertake in the future, may not be successful in mitigating risks and challenges associated with our U.S. business and establishing a more significant international footprint.</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manufacture, supply and commercialization, including promotional activities, of VASCEPA is subject to regulatory scrutiny.</w:t>
      </w:r>
    </w:p>
    <w:p>
      <w:pPr>
        <w:spacing w:after="0" w:line="117" w:lineRule="exact"/>
        <w:rPr>
          <w:rFonts w:ascii="Arial" w:cs="Arial" w:eastAsia="Arial" w:hAnsi="Arial"/>
          <w:sz w:val="18"/>
          <w:szCs w:val="18"/>
          <w:color w:val="auto"/>
        </w:rPr>
      </w:pPr>
    </w:p>
    <w:p>
      <w:pPr>
        <w:ind w:left="900" w:right="140" w:hanging="383"/>
        <w:spacing w:after="0" w:line="26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compete effectively against our competitors’ pharmaceutical products, including generic products. In addition, we face competition from omega-3 fatty acids that are marketed by other companies as non-prescription dietary supplements, subjecting us to non-prescription competition and consumer substitution.</w:t>
      </w:r>
    </w:p>
    <w:p>
      <w:pPr>
        <w:spacing w:after="0" w:line="75" w:lineRule="exact"/>
        <w:rPr>
          <w:rFonts w:ascii="Arial" w:cs="Arial" w:eastAsia="Arial" w:hAnsi="Arial"/>
          <w:sz w:val="18"/>
          <w:szCs w:val="18"/>
          <w:color w:val="auto"/>
        </w:rPr>
      </w:pPr>
    </w:p>
    <w:p>
      <w:pPr>
        <w:ind w:left="900" w:right="340" w:hanging="383"/>
        <w:spacing w:after="0" w:line="26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75" w:lineRule="exact"/>
        <w:rPr>
          <w:rFonts w:ascii="Arial" w:cs="Arial" w:eastAsia="Arial" w:hAnsi="Arial"/>
          <w:sz w:val="18"/>
          <w:szCs w:val="18"/>
          <w:color w:val="auto"/>
        </w:rPr>
      </w:pPr>
    </w:p>
    <w:p>
      <w:pPr>
        <w:ind w:left="900" w:right="280" w:hanging="383"/>
        <w:spacing w:after="0" w:line="25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dependence on third parties in the distribution channel from our manufacturers to patients subjects us to risks that limit our profitability and could limit our ability to supply VASCEPA to large market segments.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900" w:right="40" w:hanging="383"/>
        <w:spacing w:after="0" w:line="279"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63" w:lineRule="exact"/>
        <w:rPr>
          <w:rFonts w:ascii="Arial" w:cs="Arial" w:eastAsia="Arial" w:hAnsi="Arial"/>
          <w:sz w:val="17"/>
          <w:szCs w:val="17"/>
          <w:color w:val="auto"/>
        </w:rPr>
      </w:pPr>
    </w:p>
    <w:p>
      <w:pPr>
        <w:ind w:left="900" w:right="100" w:hanging="383"/>
        <w:spacing w:after="0" w:line="286"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57" w:lineRule="exact"/>
        <w:rPr>
          <w:rFonts w:ascii="Arial" w:cs="Arial" w:eastAsia="Arial" w:hAnsi="Arial"/>
          <w:sz w:val="17"/>
          <w:szCs w:val="17"/>
          <w:color w:val="auto"/>
        </w:rPr>
      </w:pPr>
    </w:p>
    <w:p>
      <w:pPr>
        <w:jc w:val="both"/>
        <w:ind w:left="900" w:right="400" w:hanging="383"/>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are no longer able to meet the listing requirements of the NASDAQ Global Market, our stock may be delisted.</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and in the other information set forth in our Annual Report and this Quarterly Report on Form 10-Q,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256"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b w:val="1"/>
          <w:bCs w:val="1"/>
          <w:i w:val="1"/>
          <w:iCs w:val="1"/>
          <w:color w:val="auto"/>
        </w:rPr>
        <w:t>We are substantially dependent upon VASCEPA (icosapent ethyl), its commercialization in the United States and its development, launch and commercialization in Europe and other major markets.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currently derive substantially all of our revenue from sales of VASCEPA. We may be substantially dependent on sales of VASCEPA for many years. Our financial condition and the success of our company will be materially adversely affected, we may have to further restructure our current operations, and our business prospects will be limited, if we experience any negative developments relating to VASCEPA. For example, in the first quarter of 2020, the U.S. District Court for the District of Nevada issued a ruling in favor of two generic drug companies, Dr. Reddy's Laboratories, Inc., or Dr. Reddy's, and Hikma Pharmaceuticals USA Inc., or Hikma, and certain of their affiliates, that declared as invalid several patents of ours protecting the first U.S. FDA-approved use of our drug, to reduce severely high triglyceride levels, or the MARINE indication, or the ANDA litigation. We were unsuccessful in our appeals and our stock price was adversely and materially impacted by the ruling, the results of the appeals process and the introduction of generic competition. If other proprietary rights protecting VASCEPA or its use are challenged, our stock price could further decline, particularly if such challenges, which are costly to defend, are successful.</w:t>
      </w:r>
    </w:p>
    <w:p>
      <w:pPr>
        <w:spacing w:after="0" w:line="73"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Although we are exploring ways to broaden our development and commercial pipeline, such efforts are likely to be time consuming, costly and may utilize resources that could otherwise be focused on commercializing VASCEPA. It took over a decade of preceding product development before we received marketing approval for VAZKEPA in March 2021 from the European Commission, or the EC.</w:t>
      </w:r>
    </w:p>
    <w:p>
      <w:pPr>
        <w:spacing w:after="0" w:line="76"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Likewise, if we seek to diversify our development programs or product offerings through licensing or acquisitions, such transactions are also time consuming, may be dilutive to existing shareholdings, and may be initially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05"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b w:val="1"/>
          <w:bCs w:val="1"/>
          <w:i w:val="1"/>
          <w:iCs w:val="1"/>
          <w:color w:val="auto"/>
        </w:rPr>
        <w:t>*In the United States, we face increasing competition from generic drug companies in the near term and our revenues and results of operations could continue to be materially and adversely affected.</w:t>
      </w:r>
    </w:p>
    <w:p>
      <w:pPr>
        <w:spacing w:after="0" w:line="62"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Following the ANDA litigation rulings against the Company, generic versions of VASCEPA began launching in the United States in November 2020, and several generic versions are currently available, including for both the 0.5-gram and 1-gram capsules, and we expect that VASCEPA could face more competition from generic companies in the United States. Increasing sales of generic versions of VASCEPA could continue to have a material and adverse impact on our revenues and results of operations in the United States.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140" w:firstLine="509"/>
        <w:spacing w:after="0" w:line="279" w:lineRule="auto"/>
        <w:rPr>
          <w:sz w:val="20"/>
          <w:szCs w:val="20"/>
          <w:color w:val="auto"/>
        </w:rPr>
      </w:pPr>
      <w:r>
        <w:rPr>
          <w:rFonts w:ascii="Arial" w:cs="Arial" w:eastAsia="Arial" w:hAnsi="Arial"/>
          <w:sz w:val="17"/>
          <w:szCs w:val="17"/>
          <w:color w:val="auto"/>
        </w:rPr>
        <w:t>Generally, once a generic version of a drug is available in the market, the generic version is typically used by pharmacies across the U.S. to fill a prescription for any use of the drug, subject to state substitution laws. Although, we intend to vigorously defend our intellectual property rights related to VASCEPA, there can be no assurance that we will be successful in preventing use of generic versions of VASCEPA in indications for which they have not been approved by the U.S. FDA, even if such use is determined to infringe certain of our patent claims.</w:t>
      </w:r>
    </w:p>
    <w:p>
      <w:pPr>
        <w:spacing w:after="0" w:line="63"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6"/>
          <w:szCs w:val="16"/>
          <w:color w:val="auto"/>
        </w:rPr>
        <w:t>Given the changing dynamic in the U.S. market, in 2022 we initiated cost and organizational restructuring plans which reduced our U.S. commercial team from approximately 300 sales representatives to approximately 75 sales representatives by the end of 2022, and in July 2023 all remaining sales force positions in the U.S. were eliminated and our overall headcount was reduced by 30% as part of our Organizational Restructuring Program, or ORP.</w:t>
      </w:r>
    </w:p>
    <w:p>
      <w:pPr>
        <w:spacing w:after="0" w:line="2" w:lineRule="exact"/>
        <w:rPr>
          <w:sz w:val="20"/>
          <w:szCs w:val="20"/>
          <w:color w:val="auto"/>
        </w:rPr>
      </w:pPr>
    </w:p>
    <w:p>
      <w:pPr>
        <w:jc w:val="both"/>
        <w:ind w:right="660"/>
        <w:spacing w:after="0" w:line="255" w:lineRule="auto"/>
        <w:rPr>
          <w:sz w:val="20"/>
          <w:szCs w:val="20"/>
          <w:color w:val="auto"/>
        </w:rPr>
      </w:pPr>
      <w:r>
        <w:rPr>
          <w:rFonts w:ascii="Arial" w:cs="Arial" w:eastAsia="Arial" w:hAnsi="Arial"/>
          <w:sz w:val="18"/>
          <w:szCs w:val="18"/>
          <w:color w:val="auto"/>
        </w:rPr>
        <w:t>Although these initiatives are expected to result in an improved expense structure, such efforts could impact employee morale and make hiring and retaining talented personnel more challenging, may not result in all of the cost savings or other benefits we anticipate, and are costly to implement. Furthermore, such efforts may reduce our ability to expand use of VASCEPA.</w:t>
      </w:r>
    </w:p>
    <w:p>
      <w:pPr>
        <w:spacing w:after="0" w:line="217"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b w:val="1"/>
          <w:bCs w:val="1"/>
          <w:i w:val="1"/>
          <w:iCs w:val="1"/>
          <w:color w:val="auto"/>
        </w:rPr>
        <w:t>In Europe, we are seeking relevant pricing approvals in various countries; however, we may not be successful in obtaining such approvals in a timely manner or at all and even if successfully obtained, we may not be successful in commercializing VAZKEPA in Europe.</w:t>
      </w:r>
    </w:p>
    <w:p>
      <w:pPr>
        <w:spacing w:after="0" w:line="16"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We continue our development efforts to support commercialization of VASCEPA in major markets outside the United States, particularly in light of the level of competition, including from generic products, in the United States, and as part of our ORP, we intend to redesign our commercial infrastructure in Europe and work on generating revenues in other international markets as well. This process is conducted on a country-by-country basis and is time consuming and complex, and, even though the EC approved the marketing authorization for VAZKEPA in March 2021, and we have received positive national pricing and reimbursement decisions in certain countries, including, England and Wales, Spain, Sweden and Finland, there is no guarantee that we will be able to negotiate and obtain further reimbursement and pricing terms on favorable terms, or at all, in the other countries where we are pursuing commercialization. Further, successful progress or pricing terms in one country may not be indicative of our outcomes in other jurisdictions. For example, although the UK’s National Institute for Health and Care Excellence, or NICE, announced final guidance for reimbursement for VAZKEPA® and use across the National Health Service, or NHS, in England and Wales, we decided to discontinue business operations in Germany following the conclusion of negotiations with the National Association of Statutory Health Insurance Funds during which a viable agreement on the reimbursement price of VAZKEPA could not be reached. The Arbitration Board process concluded without an agreement in November 2022 and although we plan to resubmit a pricing and reimbursement dossier with new data in Germany, we may be unable to resume commercial operations in Germany. We may not be successful in obtaining additional approvals in a timely manner with acceptable terms, or in additional countries, and if we are unable to do so, and continue to face increased competition in the United States, our financial position could be materially and adversely impacted.</w:t>
      </w:r>
    </w:p>
    <w:p>
      <w:pPr>
        <w:spacing w:after="0" w:line="6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have been developing VAZKEPA on our own in Europe, where we have limited experience. We are exploring possible strategic collaborations in smaller markets within Europe and in other major markets, which will increase our reliance on third parties, over whom we have limited control. We currently have multiple partners for the development and commercialization of VASCEPA in select geographies and are assessing potential partners to commercialize VASCEPA in other parts of the world. We have strategic collaborations for the development and commercialization of VASCEPA in Canada, the Middle East, Australia, New Zealand, Greater China, South Korea and many markets in Southeast Asia, and Israel. However, we cannot make any guarantees as to the success of these efforts or that our beliefs about the value potential are accurate, or that we will be able to rely upon these third parties; if commercialization plans for VASCEPA do not meet expectations in major markets such as the United States and Europe, our business and prospects could be materially and adversely affected.</w:t>
      </w:r>
    </w:p>
    <w:p>
      <w:pPr>
        <w:spacing w:after="0" w:line="205"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b w:val="1"/>
          <w:bCs w:val="1"/>
          <w:i w:val="1"/>
          <w:iCs w:val="1"/>
          <w:color w:val="auto"/>
        </w:rPr>
        <w:t>The commercial value of VASCEPA outside the United States may be smaller than we anticipate, including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76"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There can be no assurance as to the market for VASCEPA outside the United States, and we may face challenges in successfully achieving market opportunities available to us. Despite having received EC approval to commercialize VAZKEPA in Europe and approval elsewhere around the world, applicable regulatory agencies may impose restrictions on the product’s conditions for use, distribution or marketing, and in some cases may impose ongoing requirements for post-market surveillance, post-approval studies or clinical trials, any of which could limit the market opportunity, or our ability to capitalize on such opportunity, for VASCEPA.</w:t>
      </w:r>
    </w:p>
    <w:p>
      <w:pPr>
        <w:spacing w:after="0" w:line="80"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and these negotiations are not always successful. For example, after the conclusion of negotiations with the National Association of Statutory Health Insurance Funds, a viable agreement on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80"/>
        <w:spacing w:after="0" w:line="277" w:lineRule="auto"/>
        <w:rPr>
          <w:sz w:val="20"/>
          <w:szCs w:val="20"/>
          <w:color w:val="auto"/>
        </w:rPr>
      </w:pPr>
      <w:r>
        <w:rPr>
          <w:rFonts w:ascii="Arial" w:cs="Arial" w:eastAsia="Arial" w:hAnsi="Arial"/>
          <w:sz w:val="18"/>
          <w:szCs w:val="18"/>
          <w:color w:val="auto"/>
        </w:rPr>
        <w:t>reimbursement price of VAZKEPA in Germany could not be reached. As a result of the negotiation outcome, we discontinued our German operations as of September 1, 2022. In November 2022, the Arbitration Board process concluded without an agreement.</w:t>
      </w:r>
    </w:p>
    <w:p>
      <w:pPr>
        <w:spacing w:after="0" w:line="62"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Further, in certain European countries, securing product reimbursement is a requisite to commercial launch. To obtain reimbursement or pricing approval in some countries, we may be required to conduct a pharmacoeconomic study that compares the cost effectiveness of VASCEPA to other available therapies. Such pharmacoeconomic studies can be costly and the results uncertain. The time required to secure reimbursement tends to vary from country to country and cannot be reliably predicted at this time.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56"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We, or our partners, may even choose to not proceed with marketing VASCEPA in a market, even after obtaining all necessary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0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6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We may be unsuccessful in expanding our global footprint. We are launching VAZKEPA on our own in the most commercially significant markets in Europe, and have redesigned our commercial infrastructure in Europe. The commercial launch of a new pharmaceutical product is a complex and resource heavy undertaking for a company to manage and may be impacted by decisions by and interactions with local regulators. We have no prior experience as a company operating a commercial-stage pharmaceutical business in Europe. As noted above, a viable agreement on the reimbursement price of VAZKEPA in Germany could not be reached with German regulators and we have discontinued our Germany business operations.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could inhibit our efforts to successfully commercialize VASCEPA include:</w:t>
      </w:r>
    </w:p>
    <w:p>
      <w:pPr>
        <w:spacing w:after="0" w:line="117" w:lineRule="exact"/>
        <w:rPr>
          <w:sz w:val="20"/>
          <w:szCs w:val="20"/>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expiration of regulatory exclusivities and entry into the market of additional generic versions of VASCEPA;</w:t>
      </w:r>
    </w:p>
    <w:p>
      <w:pPr>
        <w:spacing w:after="0" w:line="117" w:lineRule="exact"/>
        <w:rPr>
          <w:rFonts w:ascii="Arial" w:cs="Arial" w:eastAsia="Arial" w:hAnsi="Arial"/>
          <w:sz w:val="18"/>
          <w:szCs w:val="18"/>
          <w:color w:val="auto"/>
        </w:rPr>
      </w:pPr>
    </w:p>
    <w:p>
      <w:pPr>
        <w:ind w:left="900" w:right="160" w:hanging="383"/>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inability to attract and retain adequate numbers of effective sales and marketing personnel and senior management, particularly in light of our recent reductions in force, including our ORP announced in July 2023, and turnover on the management team;</w:t>
      </w:r>
    </w:p>
    <w:p>
      <w:pPr>
        <w:spacing w:after="0" w:line="38" w:lineRule="exact"/>
        <w:rPr>
          <w:rFonts w:ascii="Arial" w:cs="Arial" w:eastAsia="Arial" w:hAnsi="Arial"/>
          <w:sz w:val="17"/>
          <w:szCs w:val="17"/>
          <w:color w:val="auto"/>
        </w:rPr>
      </w:pPr>
    </w:p>
    <w:p>
      <w:pPr>
        <w:ind w:left="900" w:right="700" w:hanging="38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adequately train our sales and marketing personnel and our inability to adequately monitor compliance with applicable regulatory and other legal requirements;</w:t>
      </w:r>
    </w:p>
    <w:p>
      <w:pPr>
        <w:spacing w:after="0" w:line="62" w:lineRule="exact"/>
        <w:rPr>
          <w:rFonts w:ascii="Arial" w:cs="Arial" w:eastAsia="Arial" w:hAnsi="Arial"/>
          <w:sz w:val="18"/>
          <w:szCs w:val="18"/>
          <w:color w:val="auto"/>
        </w:rPr>
      </w:pPr>
    </w:p>
    <w:p>
      <w:pPr>
        <w:ind w:left="900" w:right="220" w:hanging="38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obtain access to or persuade adequate numbers of physicians to prescribe or patients to use VASCEPA, particularly in light of our elimination of all U.S. sales force positions in July 2023 as part of our ORP;</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overestimating the addressable market for VASCEPA;</w:t>
      </w:r>
    </w:p>
    <w:p>
      <w:pPr>
        <w:spacing w:after="0" w:line="117" w:lineRule="exact"/>
        <w:rPr>
          <w:rFonts w:ascii="Arial" w:cs="Arial" w:eastAsia="Arial" w:hAnsi="Arial"/>
          <w:sz w:val="18"/>
          <w:szCs w:val="18"/>
          <w:color w:val="auto"/>
        </w:rPr>
      </w:pPr>
    </w:p>
    <w:p>
      <w:pPr>
        <w:ind w:left="900" w:right="340" w:hanging="383"/>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15" w:lineRule="exact"/>
        <w:rPr>
          <w:rFonts w:ascii="Arial" w:cs="Arial" w:eastAsia="Arial" w:hAnsi="Arial"/>
          <w:sz w:val="16"/>
          <w:szCs w:val="16"/>
          <w:color w:val="auto"/>
        </w:rPr>
      </w:pPr>
    </w:p>
    <w:p>
      <w:pPr>
        <w:ind w:left="900" w:right="160" w:hanging="383"/>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15" w:lineRule="exact"/>
        <w:rPr>
          <w:rFonts w:ascii="Arial" w:cs="Arial" w:eastAsia="Arial" w:hAnsi="Arial"/>
          <w:sz w:val="16"/>
          <w:szCs w:val="16"/>
          <w:color w:val="auto"/>
        </w:rPr>
      </w:pPr>
    </w:p>
    <w:p>
      <w:pPr>
        <w:ind w:left="900" w:right="100" w:hanging="38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inability by us or our partners to obtain regulatory and marketing approval or establish marketing channels in foreign jurisdictions;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unforeseen costs and expenses associated with operating a new independent sales and marketing organization outside of the United States; and</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lingering or resumed impact from COVID-19 on healthcare providers, patients and personnel.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320" w:firstLine="509"/>
        <w:spacing w:after="0" w:line="277" w:lineRule="auto"/>
        <w:rPr>
          <w:sz w:val="20"/>
          <w:szCs w:val="20"/>
          <w:color w:val="auto"/>
        </w:rPr>
      </w:pPr>
      <w:r>
        <w:rPr>
          <w:rFonts w:ascii="Arial" w:cs="Arial" w:eastAsia="Arial" w:hAnsi="Arial"/>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97" w:lineRule="exact"/>
        <w:rPr>
          <w:sz w:val="20"/>
          <w:szCs w:val="20"/>
          <w:color w:val="auto"/>
        </w:rPr>
      </w:pPr>
    </w:p>
    <w:p>
      <w:pPr>
        <w:ind w:right="860" w:firstLine="509"/>
        <w:spacing w:after="0" w:line="277" w:lineRule="auto"/>
        <w:rPr>
          <w:sz w:val="20"/>
          <w:szCs w:val="20"/>
          <w:color w:val="auto"/>
        </w:rPr>
      </w:pPr>
      <w:r>
        <w:rPr>
          <w:rFonts w:ascii="Arial" w:cs="Arial" w:eastAsia="Arial" w:hAnsi="Arial"/>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62"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Our ability to generate meaningful revenues of VASCEPA outside of the United States is dependent on the availability and extent of coverage and reimbursement from third-party payors. In many markets around the world, these payors,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payors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generics. Refer to “</w:t>
      </w:r>
      <w:r>
        <w:rPr>
          <w:rFonts w:ascii="Arial" w:cs="Arial" w:eastAsia="Arial" w:hAnsi="Arial"/>
          <w:sz w:val="17"/>
          <w:szCs w:val="17"/>
          <w:i w:val="1"/>
          <w:iCs w:val="1"/>
          <w:color w:val="auto"/>
        </w:rPr>
        <w:t>Item 1. Business - Government Regulation – Pharmaceutical Pricing and Reimbursement</w:t>
      </w:r>
      <w:r>
        <w:rPr>
          <w:rFonts w:ascii="Arial" w:cs="Arial" w:eastAsia="Arial" w:hAnsi="Arial"/>
          <w:sz w:val="17"/>
          <w:szCs w:val="17"/>
          <w:color w:val="auto"/>
        </w:rPr>
        <w:t>” in our Annual Report on Form 10-K for the year ended December 31, 2022 for further details.</w:t>
      </w:r>
    </w:p>
    <w:p>
      <w:pPr>
        <w:spacing w:after="0" w:line="70"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In many countries outside the United States, government-sponsored healthcare systems are the primary payors for drugs. With increasing budgetary constraints and differing views on or challenges in valuing medicines, governments and payors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 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73"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The dynamics and developments discussed above serve to create pressure on the pricing and potential usage of products throughout the pharmaceutical industry, including VASCEPA. Given the diverse interests in play among payors, biopharmaceutical manufacturers, policy makers, healthcare providers and independent organizations, if and whether the parties involved can achieve alignment on the matters discussed above remains unclear and the outcome of any such alignment is difficult to predict.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219"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b w:val="1"/>
          <w:bCs w:val="1"/>
          <w:i w:val="1"/>
          <w:iCs w:val="1"/>
          <w:color w:val="auto"/>
        </w:rPr>
        <w:t>Government and commercial payor actions outside of the United States have affected and will continue to affect access to and sales of our products.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Outside of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of the United States in a timely manner, or at all, or even if we are successful in obtaining satisfactory coverage and reimbursement, we may be unsuccessful in sustaining such coverage and reimbursement, or could face challenges as to the timeliness or certainty of payment by payors to physicians and other providers, which would have a material and adverse impact on our commercialization efforts outside of the United States. We as an organization have limited experience in navigating the pricing and reimbursement regimes outside of the United States. The foreign regimes are varied and complex, and this might hinder our effectiveness in establishing satisfactory pricing, coverage and reimbursement levels in a timely manner or at all.</w:t>
      </w:r>
    </w:p>
    <w:p>
      <w:pPr>
        <w:spacing w:after="0" w:line="198"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b w:val="1"/>
          <w:bCs w:val="1"/>
          <w:i w:val="1"/>
          <w:iCs w:val="1"/>
          <w:color w:val="auto"/>
        </w:rPr>
        <w:t>Factors outside of our control may make it more difficult for VASCEPA to achieve market acceptance by physicians, patients, healthcare payors and others in the medical community at levels sufficient to achieve commercial success.</w:t>
      </w:r>
    </w:p>
    <w:p>
      <w:pPr>
        <w:spacing w:after="0" w:line="6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January 2013, we launched VASCEPA based on the U.S. FDA approval of our MARINE indication, for use as an adjunct to diet to reduce triglyceride levels in adult patients with severe (TG ³500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CV risk. The effect of VASCEPA on the risk for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240"/>
        <w:spacing w:after="0" w:line="277" w:lineRule="auto"/>
        <w:rPr>
          <w:sz w:val="20"/>
          <w:szCs w:val="20"/>
          <w:color w:val="auto"/>
        </w:rPr>
      </w:pPr>
      <w:r>
        <w:rPr>
          <w:rFonts w:ascii="Arial" w:cs="Arial" w:eastAsia="Arial" w:hAnsi="Arial"/>
          <w:sz w:val="18"/>
          <w:szCs w:val="18"/>
          <w:color w:val="auto"/>
        </w:rPr>
        <w:t>pancreatitis in patients with severe hypertriglyceridemia has not been determined and our U.S. FDA-approved labeling and promotional efforts state this fact.</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December 2019, the U.S. FDA approved another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or our REDUCE-IT indication.</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Despite U.S. FDA approval for this indication and expanded label for VASCEPA, we may not meet expectations for market acceptance by physicians, patients, healthcare payors and others in the medical community for this approved use, especially in light of generic competition. If VASCEPA does not achieve an adequate level of acceptance, we may not generate product revenues sufficient to become profitable, or, even if we do achieve profitability, we may not be able to generate consistent profitability. The degree of market acceptance of VASCEPA for its approved indications and uses or otherwise will depend on a number of factors, including:</w:t>
      </w:r>
    </w:p>
    <w:p>
      <w:pPr>
        <w:spacing w:after="0" w:line="80" w:lineRule="exact"/>
        <w:rPr>
          <w:sz w:val="20"/>
          <w:szCs w:val="20"/>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and outcome of adjudicated, settled and pending patent litigation;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commercialization and pricing of any current or potential generic versions of VASCEPA;</w:t>
      </w:r>
    </w:p>
    <w:p>
      <w:pPr>
        <w:spacing w:after="0" w:line="117"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warnings in VASCEPA's approved labeling internationally;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peer review of different elements of data supporting our REDUCE-IT indication over time;</w:t>
      </w:r>
    </w:p>
    <w:p>
      <w:pPr>
        <w:spacing w:after="0" w:line="117" w:lineRule="exact"/>
        <w:rPr>
          <w:rFonts w:ascii="Arial" w:cs="Arial" w:eastAsia="Arial" w:hAnsi="Arial"/>
          <w:sz w:val="18"/>
          <w:szCs w:val="18"/>
          <w:color w:val="auto"/>
        </w:rPr>
      </w:pPr>
    </w:p>
    <w:p>
      <w:pPr>
        <w:ind w:left="900" w:right="110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review and analysis of the results of our clinical data supporting our REDUCE-IT indication by regulatory authorities internationally;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our therapies and of physicians to prescribe these therapies;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scope, effectiveness and strength of product education, marketing and distribution support, including our sales and marketing teams;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17" w:lineRule="exact"/>
        <w:rPr>
          <w:rFonts w:ascii="Arial" w:cs="Arial" w:eastAsia="Arial" w:hAnsi="Arial"/>
          <w:sz w:val="18"/>
          <w:szCs w:val="18"/>
          <w:color w:val="auto"/>
        </w:rPr>
      </w:pPr>
    </w:p>
    <w:p>
      <w:pPr>
        <w:ind w:left="900" w:right="44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continually promote VASCEPA in the United States consistent with U.S. FDA-approved labeling and the related perception thereof;</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VASCEPA and its prescribed uses, on-label and off-label;</w:t>
      </w:r>
    </w:p>
    <w:p>
      <w:pPr>
        <w:spacing w:after="0" w:line="117" w:lineRule="exact"/>
        <w:rPr>
          <w:rFonts w:ascii="Arial" w:cs="Arial" w:eastAsia="Arial" w:hAnsi="Arial"/>
          <w:sz w:val="18"/>
          <w:szCs w:val="18"/>
          <w:color w:val="auto"/>
        </w:rPr>
      </w:pPr>
    </w:p>
    <w:p>
      <w:pPr>
        <w:ind w:left="900" w:right="60" w:hanging="383"/>
        <w:spacing w:after="0" w:line="263"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pandemics, international conflicts and political unrest, all of which could negatively impact our supply chain or inhibit our ability to promote VASCEPA regionally and which could negatively affect product demand by creating obstacles for patients to seek treatment and fill prescriptions;</w:t>
      </w:r>
    </w:p>
    <w:p>
      <w:pPr>
        <w:spacing w:after="0" w:line="75" w:lineRule="exact"/>
        <w:rPr>
          <w:rFonts w:ascii="Arial" w:cs="Arial" w:eastAsia="Arial" w:hAnsi="Arial"/>
          <w:sz w:val="18"/>
          <w:szCs w:val="18"/>
          <w:color w:val="auto"/>
        </w:rPr>
      </w:pPr>
    </w:p>
    <w:p>
      <w:pPr>
        <w:ind w:left="900" w:right="56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62" w:lineRule="exact"/>
        <w:rPr>
          <w:rFonts w:ascii="Arial" w:cs="Arial" w:eastAsia="Arial" w:hAnsi="Arial"/>
          <w:sz w:val="18"/>
          <w:szCs w:val="18"/>
          <w:color w:val="auto"/>
        </w:rPr>
      </w:pPr>
    </w:p>
    <w:p>
      <w:pPr>
        <w:ind w:left="900" w:right="40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actual and perceived efficacy of the product and the prevalence and severity of any side effects and warnings in VASCEPA’s approved labeling internationally.</w:t>
      </w:r>
    </w:p>
    <w:p>
      <w:pPr>
        <w:spacing w:after="0" w:line="6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Any one or more of the above factors could have a negative impact on our ability to successfully commercialize VASCEPA, which would in turn have a negative impact on our financial condition.</w:t>
      </w:r>
    </w:p>
    <w:p>
      <w:pPr>
        <w:spacing w:after="0" w:line="197" w:lineRule="exact"/>
        <w:rPr>
          <w:sz w:val="20"/>
          <w:szCs w:val="20"/>
          <w:color w:val="auto"/>
        </w:rPr>
      </w:pPr>
    </w:p>
    <w:p>
      <w:pPr>
        <w:ind w:right="400" w:firstLine="509"/>
        <w:spacing w:after="0" w:line="308" w:lineRule="auto"/>
        <w:rPr>
          <w:sz w:val="20"/>
          <w:szCs w:val="20"/>
          <w:color w:val="auto"/>
        </w:rPr>
      </w:pPr>
      <w:r>
        <w:rPr>
          <w:rFonts w:ascii="Arial" w:cs="Arial" w:eastAsia="Arial" w:hAnsi="Arial"/>
          <w:sz w:val="17"/>
          <w:szCs w:val="17"/>
          <w:b w:val="1"/>
          <w:bCs w:val="1"/>
          <w:i w:val="1"/>
          <w:iCs w:val="1"/>
          <w:color w:val="auto"/>
        </w:rPr>
        <w:t>Additional data or related interpretations that are generated or arise over time related to REDUCE-IT might not meet expectations, and the perception of REDUCE-IT results and VASCEPA revenue potential may suffer and our stock price may decline.</w:t>
      </w:r>
    </w:p>
    <w:p>
      <w:pPr>
        <w:spacing w:after="0" w:line="3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While the U.S. FDA approved the expanded label for VASCEPA for the REDUCE-IT indication in 2019, additional data assessment by international regulatory authorities or otherwise could yield additional information to inform greater understanding of study outcome, which information could impact the perception of VASCEPA. Such data or interpretations may not be favorable for us.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80"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In addition, the same set of data can sometimes be interpreted to reach different conclusions, as when Health Canada approved an indication based on our REDUCE-IT trial data that was different in certain respects than that approved by U.S. FDA and by the EC in Europe. It is possible the scope of subsequent regulatory approvals, if any, could likewise differ based on the same data. Conflicting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right="160"/>
        <w:spacing w:after="0" w:line="277" w:lineRule="auto"/>
        <w:rPr>
          <w:sz w:val="20"/>
          <w:szCs w:val="20"/>
          <w:color w:val="auto"/>
        </w:rPr>
      </w:pPr>
      <w:r>
        <w:rPr>
          <w:rFonts w:ascii="Arial" w:cs="Arial" w:eastAsia="Arial" w:hAnsi="Arial"/>
          <w:sz w:val="18"/>
          <w:szCs w:val="18"/>
          <w:color w:val="auto"/>
        </w:rPr>
        <w:t>interpretations of data, or new data, could impact public and medical community perception of the totality of the efficacy and safety data from REDUCE-IT.</w:t>
      </w:r>
    </w:p>
    <w:p>
      <w:pPr>
        <w:spacing w:after="0" w:line="62" w:lineRule="exact"/>
        <w:rPr>
          <w:sz w:val="20"/>
          <w:szCs w:val="20"/>
          <w:color w:val="auto"/>
        </w:rPr>
      </w:pPr>
    </w:p>
    <w:p>
      <w:pPr>
        <w:ind w:right="320" w:firstLine="509"/>
        <w:spacing w:after="0" w:line="342" w:lineRule="auto"/>
        <w:rPr>
          <w:sz w:val="20"/>
          <w:szCs w:val="20"/>
          <w:color w:val="auto"/>
        </w:rPr>
      </w:pPr>
      <w:r>
        <w:rPr>
          <w:rFonts w:ascii="Arial" w:cs="Arial" w:eastAsia="Arial" w:hAnsi="Arial"/>
          <w:sz w:val="16"/>
          <w:szCs w:val="16"/>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16" w:lineRule="exact"/>
        <w:rPr>
          <w:sz w:val="20"/>
          <w:szCs w:val="20"/>
          <w:color w:val="auto"/>
        </w:rPr>
      </w:pPr>
    </w:p>
    <w:p>
      <w:pPr>
        <w:ind w:left="900" w:right="48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magnitude of the treatment benefit and related risks on the primary composite endpoint, its components, secondary endpoints and the primary and secondary risk prevention cohorts;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consideration of which components of the composite or secondary endpoints have the most clinical significance;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consistency of the primary and secondary outcomes;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consistency of findings across cohorts and important subgroups;</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safety considerations and risk/benefit considerations (such as those related to adverse events, including bleeding and atrial fibrillation generally and in different sub-populations);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consideration of REDUCE-IT results in the context of other clinical studies;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consideration of the cumulative effect of VASCEPA in studied patients; and</w:t>
      </w:r>
    </w:p>
    <w:p>
      <w:pPr>
        <w:spacing w:after="0" w:line="117"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62"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198"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b w:val="1"/>
          <w:bCs w:val="1"/>
          <w:i w:val="1"/>
          <w:iCs w:val="1"/>
          <w:color w:val="auto"/>
        </w:rPr>
        <w:t>Ongoing clinical trials or new clinical data involving VASCEPA and similar moderate-to-high doses of eicosapentaenoic acid or icosapent ethyl could adversely impact public perception of VASCEPA’s clinical profile and the commercial and regulatory prospects of VASCEPA.</w:t>
      </w:r>
    </w:p>
    <w:p>
      <w:pPr>
        <w:spacing w:after="0" w:line="16"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Ongoing trials of moderate-to-high doses of VASCEPA and icosapent ethyl, or a similar eicosapentaenoic acid product, could render new or adverse information on the effects of VASCEPA and its commercial and regulatory prospects.</w:t>
      </w:r>
    </w:p>
    <w:p>
      <w:pPr>
        <w:spacing w:after="0" w:line="62"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For example,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Results from this study were presented during the 2022 American Heart Association Scientific Sessions in November 2022 and were consistent with the evidence from the REDUCE-IT study.</w:t>
      </w:r>
    </w:p>
    <w:p>
      <w:pPr>
        <w:spacing w:after="0" w:line="7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China’s National Medical Products Administration, or NMPA, approved VASCEPA as an adjunct to diet to reduce the levels of triglyceride in adult patients suffering from severe hypertriglyceridemia (≥500mg/dL) and Edding is now working towards securing National Reimbursement Drug Listing for VASCEPA in Mainland China under the REDUCE-IT indication. Even though such results from these trials were positive, additional clinical development efforts may be necessary in these markets to demonstrate the effectiveness of VASCEPA, which may be costly to pursue, or may not produce the desired or expected results.</w:t>
      </w:r>
    </w:p>
    <w:p>
      <w:pPr>
        <w:spacing w:after="0" w:line="8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If the outcomes of any study involving VASCEPA and icosapent ethyl is unfavorable, the perception of existing clinical results of VASCEPA, such as MARINE or REDUCE-IT, or the perceived clinical profile and commercial value of VASCEPA and its regulatory status, or perceptions about the potential for VASCEPA, including as a treatment for broader indications, may suffer. If this occurs our revenue and business could suffer and our stock price could significantly decline.</w:t>
      </w:r>
    </w:p>
    <w:p>
      <w:pPr>
        <w:spacing w:after="0" w:line="214"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b w:val="1"/>
          <w:bCs w:val="1"/>
          <w:i w:val="1"/>
          <w:iCs w:val="1"/>
          <w:color w:val="auto"/>
        </w:rPr>
        <w:t>*Our recently announced organizational restructuring programs and cost reduction plans, and any similar efforts we may undertake in the future, may not be successful in mitigating risks and challenges associated with our U.S. business and establishing a more significant international footprint.</w:t>
      </w:r>
    </w:p>
    <w:p>
      <w:pPr>
        <w:spacing w:after="0" w:line="76" w:lineRule="exact"/>
        <w:rPr>
          <w:sz w:val="20"/>
          <w:szCs w:val="20"/>
          <w:color w:val="auto"/>
        </w:rPr>
      </w:pPr>
    </w:p>
    <w:p>
      <w:pPr>
        <w:ind w:right="320" w:firstLine="509"/>
        <w:spacing w:after="0" w:line="255" w:lineRule="auto"/>
        <w:rPr>
          <w:sz w:val="20"/>
          <w:szCs w:val="20"/>
          <w:color w:val="auto"/>
        </w:rPr>
      </w:pPr>
      <w:r>
        <w:rPr>
          <w:rFonts w:ascii="Arial" w:cs="Arial" w:eastAsia="Arial" w:hAnsi="Arial"/>
          <w:sz w:val="18"/>
          <w:szCs w:val="18"/>
          <w:color w:val="auto"/>
        </w:rPr>
        <w:t>If we are not successful in our efforts to continue to market and sell VASCEPA in the United States, including following our recently announced ORP that eliminated all remaining sales force positions in the United States, with the managed care and trade organization remaining to support U.S. commercial efforts, and approximately 30% of non-sales positions, our anticipated revenues 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ind w:right="140"/>
        <w:spacing w:after="0" w:line="286" w:lineRule="auto"/>
        <w:rPr>
          <w:sz w:val="20"/>
          <w:szCs w:val="20"/>
          <w:color w:val="auto"/>
        </w:rPr>
      </w:pPr>
      <w:r>
        <w:rPr>
          <w:rFonts w:ascii="Arial" w:cs="Arial" w:eastAsia="Arial" w:hAnsi="Arial"/>
          <w:sz w:val="17"/>
          <w:szCs w:val="17"/>
          <w:color w:val="auto"/>
        </w:rPr>
        <w:t>our expenses could be materially adversely affected, and we may not maintain profitability in the United States or obtain profitability internationally. Further, we may need to cut back on research and development activities or we may need to implement other cost-containment measures, or we may need to raise additional funding that could result in substantial dilution or impose considerable restrictions on our business.</w:t>
      </w:r>
    </w:p>
    <w:p>
      <w:pPr>
        <w:spacing w:after="0" w:line="5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Our promotional initiatives have had to adjust over the last several years, given the impact of COVID-19 and international instability, which efforts have been costly and require considerable resources. Shifts from traditional face-to-face interactions to mostly virtual outreach, specifically, access to healthcare professionals through digital or other channels, were not as productive as in-person interactions in promoting use of VASCEPA and prior to the recently announced ORP, we had been pursuing increased face-to-face interactions with targeted health care professionals as protocols have eased and travel has resumed to pre-pandemic levels.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manufacture, supply and commercialization, including promotional activities, of VASCEPA is subject to regulatory scrutiny.</w:t>
      </w:r>
    </w:p>
    <w:p>
      <w:pPr>
        <w:spacing w:after="0" w:line="129"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FCA. However, case law over the last several years has called into question the extent to which the U.S. government, including the U.S. FDA, can, and is willing to seek to, prevent truthful and non-misleading speech related to off-label uses of U.S. FDA-approved products such as VASCEPA.</w:t>
      </w:r>
    </w:p>
    <w:p>
      <w:pPr>
        <w:spacing w:after="0" w:line="53"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As a result of a lawsuit that we and a group of independent physicians filed against the U.S. FDA in 2015, we were granted preliminary relief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The U.S. FDA did not appeal the court’s ruling and ultimately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77"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76"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Promotional activities in the biotechnology and pharmaceutical industries generally are subject to considerable regulatory scrutiny and, may be subject to enhanced scrutiny to ensure that our promotion remains within the scope covered by the settlement.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8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Civil False Claims Act, or the FCA, in relation to the sale and marketing of VASCEPA by us and our previous co-marketing partner, Kowa Pharmaceuticals America, Inc., or Kowa America. Similarly, in March 2021, the United States Federal Trade Commission, or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Although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74" w:lineRule="exact"/>
        <w:rPr>
          <w:sz w:val="20"/>
          <w:szCs w:val="20"/>
          <w:color w:val="auto"/>
        </w:rPr>
      </w:pPr>
    </w:p>
    <w:p>
      <w:pPr>
        <w:ind w:right="340" w:firstLine="509"/>
        <w:spacing w:after="0" w:line="285" w:lineRule="auto"/>
        <w:rPr>
          <w:sz w:val="20"/>
          <w:szCs w:val="20"/>
          <w:color w:val="auto"/>
        </w:rPr>
      </w:pPr>
      <w:r>
        <w:rPr>
          <w:rFonts w:ascii="Arial" w:cs="Arial" w:eastAsia="Arial" w:hAnsi="Arial"/>
          <w:sz w:val="16"/>
          <w:szCs w:val="16"/>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right="80" w:firstLine="509"/>
        <w:spacing w:after="0" w:line="263" w:lineRule="auto"/>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 including generic products. In addition, we face competition from omega-3 fatty acids that are marketed by other companies as non-prescription dietary supplements, subjecting us to non-prescription competition and consumer substitution.</w:t>
      </w:r>
    </w:p>
    <w:p>
      <w:pPr>
        <w:spacing w:after="0" w:line="76"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We expect that the number of companies seeking to develop products and therapies similar to VASCEPA may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69"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Our competitors include large, well-established pharmaceutical and generic companies, specialty and generic pharmaceutical sales and marketing companies, and specialized cardiovascular treatment companies. With generic versions of VASCEPA launched in the U.S. by companies such as Hikma, Dr. Reddy's, Apotex and Teva all of which have greater resources than us, and with the potential for further generic versions being launched possibly in the near term, it may not be viable for us to continue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84"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auto"/>
        </w:rPr>
        <w:t>We also face considerable competition in the United States from branded products and generic versions of competing branded products and formulations, including Lovaza</w:t>
      </w:r>
      <w:r>
        <w:rPr>
          <w:rFonts w:ascii="Arial" w:cs="Arial" w:eastAsia="Arial" w:hAnsi="Arial"/>
          <w:sz w:val="21"/>
          <w:szCs w:val="21"/>
          <w:color w:val="auto"/>
          <w:vertAlign w:val="superscript"/>
        </w:rPr>
        <w:t>®</w:t>
      </w:r>
      <w:r>
        <w:rPr>
          <w:rFonts w:ascii="Arial" w:cs="Arial" w:eastAsia="Arial" w:hAnsi="Arial"/>
          <w:sz w:val="16"/>
          <w:szCs w:val="16"/>
          <w:color w:val="auto"/>
        </w:rPr>
        <w:t>, Tricor,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Trilipix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Niaspan</w:t>
      </w:r>
      <w:r>
        <w:rPr>
          <w:rFonts w:ascii="Arial" w:cs="Arial" w:eastAsia="Arial" w:hAnsi="Arial"/>
          <w:sz w:val="21"/>
          <w:szCs w:val="21"/>
          <w:color w:val="auto"/>
          <w:vertAlign w:val="superscript"/>
        </w:rPr>
        <w:t>®</w:t>
      </w:r>
      <w:r>
        <w:rPr>
          <w:rFonts w:ascii="Arial" w:cs="Arial" w:eastAsia="Arial" w:hAnsi="Arial"/>
          <w:sz w:val="16"/>
          <w:szCs w:val="16"/>
          <w:color w:val="auto"/>
        </w:rPr>
        <w:t>, all of which have multiple generic competing versions. We compete with these drugs in our U.S. FDA-approved indicated uses, even though such products do not have U.S. FDA approval to reduce CV risk on top of statin therapy.</w:t>
      </w:r>
    </w:p>
    <w:p>
      <w:pPr>
        <w:spacing w:after="0" w:line="51"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Further, drugs in development that are expected to compete with VASCEPA if they are ultimately approved and commercialized, and the perceived safety and efficacy of such commercialized drugs or drug products, could have a negative impact on the perceived safety and efficacy of VASCEPA.</w:t>
      </w:r>
    </w:p>
    <w:p>
      <w:pPr>
        <w:spacing w:after="0" w:line="16"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CV risk based on biomarker modification without cardiovascular outcomes study data, with the potential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CV risk reduction indication without the need in advance to conduct a long and expensive CV outcomes study.</w:t>
      </w:r>
    </w:p>
    <w:p>
      <w:pPr>
        <w:spacing w:after="0" w:line="88"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VASCEPA also faces competition from dietary supplement manufacturers marketing omega-3 products as nutritional supplements. Such products are classified as food, not as prescription drugs or over-the-counter drugs, by the U.S. FDA and other regulators. Some of the promoters of such products have greater resources than us and are not restricted to the same standards as are prescription drugs with respect to promotional claims or manufacturing quality, consistency and subsequent product stability. Although we have taken successful legal action against supplement manufacturers attempting to use the REDUCE-IT results to promote their products,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69" w:lineRule="exact"/>
        <w:rPr>
          <w:sz w:val="20"/>
          <w:szCs w:val="20"/>
          <w:color w:val="auto"/>
        </w:rPr>
      </w:pPr>
    </w:p>
    <w:p>
      <w:pPr>
        <w:ind w:right="180" w:firstLine="509"/>
        <w:spacing w:after="0" w:line="286" w:lineRule="auto"/>
        <w:rPr>
          <w:sz w:val="20"/>
          <w:szCs w:val="20"/>
          <w:color w:val="auto"/>
        </w:rPr>
      </w:pPr>
      <w:r>
        <w:rPr>
          <w:rFonts w:ascii="Arial" w:cs="Arial" w:eastAsia="Arial" w:hAnsi="Arial"/>
          <w:sz w:val="17"/>
          <w:szCs w:val="17"/>
          <w:color w:val="auto"/>
        </w:rPr>
        <w:t>Consistent with the competitive landscape in the United States, our competitors outside of the United States include large, well-established and experienced pharmaceutical companies, specialty and generic pharmaceutical companies, marketing companies, and specialized cardiovascular treatment companies and we have limited experience as a company self-commercializing a product outside of the United States.</w:t>
      </w:r>
    </w:p>
    <w:p>
      <w:pPr>
        <w:spacing w:after="0" w:line="5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Arial" w:cs="Arial" w:eastAsia="Arial" w:hAnsi="Arial"/>
          <w:sz w:val="24"/>
          <w:szCs w:val="24"/>
          <w:color w:val="auto"/>
          <w:vertAlign w:val="superscript"/>
        </w:rPr>
        <w:t>®</w:t>
      </w:r>
      <w:r>
        <w:rPr>
          <w:rFonts w:ascii="Arial" w:cs="Arial" w:eastAsia="Arial" w:hAnsi="Arial"/>
          <w:sz w:val="18"/>
          <w:szCs w:val="18"/>
          <w:color w:val="auto"/>
        </w:rPr>
        <w:t>/Omacor</w:t>
      </w:r>
      <w:r>
        <w:rPr>
          <w:rFonts w:ascii="Arial" w:cs="Arial" w:eastAsia="Arial" w:hAnsi="Arial"/>
          <w:sz w:val="24"/>
          <w:szCs w:val="24"/>
          <w:color w:val="auto"/>
          <w:vertAlign w:val="superscript"/>
        </w:rPr>
        <w:t>®</w:t>
      </w:r>
      <w:r>
        <w:rPr>
          <w:rFonts w:ascii="Arial" w:cs="Arial" w:eastAsia="Arial" w:hAnsi="Arial"/>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ind w:right="200" w:firstLine="509"/>
        <w:spacing w:after="0" w:line="277" w:lineRule="auto"/>
        <w:rPr>
          <w:sz w:val="20"/>
          <w:szCs w:val="20"/>
          <w:color w:val="auto"/>
        </w:rPr>
      </w:pPr>
      <w:r>
        <w:rPr>
          <w:rFonts w:ascii="Arial" w:cs="Arial" w:eastAsia="Arial" w:hAnsi="Arial"/>
          <w:sz w:val="18"/>
          <w:szCs w:val="18"/>
          <w:b w:val="1"/>
          <w:bCs w:val="1"/>
          <w:i w:val="1"/>
          <w:iCs w:val="1"/>
          <w:color w:val="auto"/>
        </w:rPr>
        <w:t>As generic competitors seek to compete with VASCEPA in the United States and elsewhere, we could face additional challenges to our patents and additional patent litigation.</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U.S.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7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As an alternate path to U.S. FDA approval for modifications of products previously approved by the U.S.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U.S. FDA findings of safety and effectiveness of a drug that has obtained U.S. FDA approval based on preclinical or clinical studies conducted by others. In addition to relying on U.S. FDA prior findings of safety and effectiveness for a referenced drug product, the U.S. FDA may require companies to perform additional preclinical or clinical studies to support approval of the modification to the referenced product.</w:t>
      </w:r>
    </w:p>
    <w:p>
      <w:pPr>
        <w:spacing w:after="0" w:line="6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U.S. FDA finding of safety and effectiveness of a previously-approved product including an alternative strength thereof, the applicant is required to certify to the U.S. FDA concerning any patents listed for the referenced product in the U.S. FDA publication called “Approved Drug Products with Therapeutic Equivalence Evaluations,” otherwise known as the “Orange Book.” Specifically, the applicant must certify in the application that:</w:t>
      </w:r>
    </w:p>
    <w:p>
      <w:pPr>
        <w:spacing w:after="0" w:line="79"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no patent information listed for the reference drug;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listed patent for the reference drug has not expired, but will expire on a particular date and approval is sought after patent expiration; or</w:t>
      </w:r>
    </w:p>
    <w:p>
      <w:pPr>
        <w:spacing w:after="0" w:line="140" w:lineRule="exact"/>
        <w:rPr>
          <w:rFonts w:ascii="Arial" w:cs="Arial" w:eastAsia="Arial" w:hAnsi="Arial"/>
          <w:sz w:val="16"/>
          <w:szCs w:val="16"/>
          <w:color w:val="auto"/>
        </w:rPr>
      </w:pPr>
    </w:p>
    <w:p>
      <w:pPr>
        <w:ind w:left="1020" w:right="26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listed patent for the reference drug is invalid, unenforceable, or will not be infringed by the manufacture, use or sale of the product for which the ANDA or 505(b)(2) NDA is submitted.</w:t>
      </w:r>
    </w:p>
    <w:p>
      <w:pPr>
        <w:spacing w:after="0" w:line="6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U.S.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U.S. FDA an acknowledgement letter stating that its ANDA is sufficiently complete to permit a substantive review.</w:t>
      </w:r>
    </w:p>
    <w:p>
      <w:pPr>
        <w:spacing w:after="0" w:line="8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U.S.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U.S. FDA without regard to a stay. For products entitled to five-year exclusivity status, the Hatch-Waxman Amendments provide that an ANDA application may be submitted after four years following U.S.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U.S. FDA’s review of the application may be completed. Such litigation is often time-consuming and costly and may result in generic competition if such patents are not upheld or if the generic competitor is found not to infringe such patents.</w:t>
      </w:r>
    </w:p>
    <w:p>
      <w:pPr>
        <w:spacing w:after="0" w:line="7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9" w:name="page50"/>
    <w:bookmarkEnd w:id="49"/>
    <w:p>
      <w:pPr>
        <w:spacing w:after="0" w:line="259" w:lineRule="auto"/>
        <w:rPr>
          <w:sz w:val="20"/>
          <w:szCs w:val="20"/>
          <w:color w:val="auto"/>
        </w:rPr>
      </w:pPr>
      <w:r>
        <w:rPr>
          <w:rFonts w:ascii="Arial" w:cs="Arial" w:eastAsia="Arial" w:hAnsi="Arial"/>
          <w:sz w:val="18"/>
          <w:szCs w:val="18"/>
          <w:color w:val="auto"/>
        </w:rPr>
        <w:t>results. Such three-year exclusivity protection precluded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until such protection expired on December 13, 2022, three years from the date of U.S. FDA approval of the REDUCE-IT sNDA.</w:t>
      </w:r>
    </w:p>
    <w:p>
      <w:pPr>
        <w:spacing w:after="0" w:line="79"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cannot predict the outcome of the pending lawsuits, any appeals, or any subsequently filed lawsuits or inter partes review.</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Generally, if an ANDA filer meets the approval requirements for a generic version of VASCEPA to the satisfaction of the U.S. FDA under its ANDA, U.S.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80"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Generic versions of VASCEPA made available in the market, even if based on a MARINE indication, are often used to fill a prescription for any intended use of the drug. If any approved ANDA filers are able to supply the product in significant commercial quantities, generic companies could introduce generic versions of VASCEPA in the market, as Hikma, Dr. Reddy's, Apotex and Teva have done.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5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generic market entries beginning in 2020 have limited our U.S. sales, and had an adverse impact on our business and results of operations.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 to date, but may elect to do so in the future.</w:t>
      </w:r>
    </w:p>
    <w:p>
      <w:pPr>
        <w:spacing w:after="0" w:line="206" w:lineRule="exact"/>
        <w:rPr>
          <w:sz w:val="20"/>
          <w:szCs w:val="20"/>
          <w:color w:val="auto"/>
        </w:rPr>
      </w:pPr>
    </w:p>
    <w:p>
      <w:pPr>
        <w:ind w:right="200" w:firstLine="509"/>
        <w:spacing w:after="0" w:line="273" w:lineRule="auto"/>
        <w:rPr>
          <w:sz w:val="20"/>
          <w:szCs w:val="20"/>
          <w:color w:val="auto"/>
        </w:rPr>
      </w:pPr>
      <w:r>
        <w:rPr>
          <w:rFonts w:ascii="Arial" w:cs="Arial" w:eastAsia="Arial" w:hAnsi="Arial"/>
          <w:sz w:val="17"/>
          <w:szCs w:val="17"/>
          <w:b w:val="1"/>
          <w:bCs w:val="1"/>
          <w:i w:val="1"/>
          <w:iCs w:val="1"/>
          <w:color w:val="auto"/>
        </w:rPr>
        <w:t>The active pharmaceutical ingredient in VASCEPA is difficult and time consuming to manufacture. It often requires considerable advanced planning and long-term financial commitments to ensure sufficient capacity is available when needed. Certain generic competitors filed lawsuits against us claiming we have engaged in anticompetitive practices related to our building of adequate supply for our needs, and government agencies are investigating our business as it relates to the supply of the active pharmaceutical ingredient in VASCEPA. Consumer lawsuits with similar allegations have also been filed. This dynamic and resulting regulatory scrutiny could be costly for us and could negatively and materially interfere with our business plans.</w:t>
      </w:r>
    </w:p>
    <w:p>
      <w:pPr>
        <w:spacing w:after="0" w:line="7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active pharmaceutical ingredient in VASCEPA is difficult and time consuming to manufacture, and often requires considerable advanced planning and necessitates long-term financial commitments to ensure sufficient capacity is available when needed. We have invested over a decade of resources and expenses to develop active pharmaceutical ingredient, or API, with our third-party supplier, and to otherwise build our supply chain, improve our technical knowhow, establish manufacturing processes and obtain related regulatory approvals to help enable our suppliers to supply our clinical and commercial needs globally. Despite such efforts, the stability of the supply chain is largely out of our control and is subject to market and supply volatility and the actions of third parties. Any disruption to the supply chain, including the manufacturing processes and availability of API, would be disruptive to our business and would have a negative impact on our results of operations.</w:t>
      </w:r>
    </w:p>
    <w:p>
      <w:pPr>
        <w:spacing w:after="0" w:line="6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In April 2021, Dr. Reddy’s filed a complaint against us in the United States District Court District of New Jersey (case no. 2:21-cv-10309) alleging various antitrust violations stemming from alleged anticompetitive practices related to the supply of API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that such alleged violations resulted in higher prices to consumers. In</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0" w:name="page51"/>
    <w:bookmarkEnd w:id="50"/>
    <w:p>
      <w:pPr>
        <w:ind w:right="120"/>
        <w:spacing w:after="0" w:line="342" w:lineRule="auto"/>
        <w:rPr>
          <w:sz w:val="20"/>
          <w:szCs w:val="20"/>
          <w:color w:val="auto"/>
        </w:rPr>
      </w:pPr>
      <w:r>
        <w:rPr>
          <w:rFonts w:ascii="Arial" w:cs="Arial" w:eastAsia="Arial" w:hAnsi="Arial"/>
          <w:sz w:val="16"/>
          <w:szCs w:val="16"/>
          <w:color w:val="auto"/>
        </w:rPr>
        <w:t>addition, in February 2023, Hikma filed a complaint against us in the United States District Court District of New Jersey (case no. 3:23-cv-01016) making allegations consistent with the Dr. Reddy's complaint. Such litigation can be lengthy, costly and could materially affect and disrupt our business.</w:t>
      </w:r>
    </w:p>
    <w:p>
      <w:pPr>
        <w:spacing w:after="0" w:line="16"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In addition, as noted above, we have also received a CID from the U.S. FTC and a subpoena from the New York Attorney General with respect to practices relating to our supply of the API in VASCEPA. The government inquiries require us to produce documents and answer related questions relevant to specified time periods. We are cooperating with the agencies. Such investigations can be lengthy, costly and could materially affect and disrupt our business. We cannot predict when these investigations will be resolved, the outcome of the investigations or their potential impact on our business. If a government determines that we have violated antitrust law, we could be subject to significant civil fines and penalties.</w:t>
      </w:r>
    </w:p>
    <w:p>
      <w:pPr>
        <w:spacing w:after="0" w:line="203" w:lineRule="exact"/>
        <w:rPr>
          <w:sz w:val="20"/>
          <w:szCs w:val="20"/>
          <w:color w:val="auto"/>
        </w:rPr>
      </w:pPr>
    </w:p>
    <w:p>
      <w:pPr>
        <w:ind w:right="380" w:firstLine="509"/>
        <w:spacing w:after="0" w:line="342" w:lineRule="auto"/>
        <w:rPr>
          <w:sz w:val="20"/>
          <w:szCs w:val="20"/>
          <w:color w:val="auto"/>
        </w:rPr>
      </w:pPr>
      <w:r>
        <w:rPr>
          <w:rFonts w:ascii="Arial" w:cs="Arial" w:eastAsia="Arial" w:hAnsi="Arial"/>
          <w:sz w:val="16"/>
          <w:szCs w:val="16"/>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1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U.S. FDA approval, pharmaceutical grade purity and proven efficacy and safety of VASCEPA as having a superior therapeutic profile to unproven and loosely regulated omega-3 fatty acid dietary supplements. In addition, the U.S.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chemically-altered products are dietary supplements and that certain of such products reduce triglyceride levels or could reduce CV risk.</w:t>
      </w:r>
    </w:p>
    <w:p>
      <w:pPr>
        <w:spacing w:after="0" w:line="84"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 xml:space="preserve">Also, for over a decade, subject to certain limitations, the U.S. FDA has expressly permitted dietary supplement manufacturers that sell supplements containing the omega-3 fatty acids EPA and/or DHA to make the following qualified health claim directly to consumers: </w:t>
      </w:r>
      <w:r>
        <w:rPr>
          <w:rFonts w:ascii="Arial" w:cs="Arial" w:eastAsia="Arial" w:hAnsi="Arial"/>
          <w:sz w:val="16"/>
          <w:szCs w:val="16"/>
          <w:i w:val="1"/>
          <w:iCs w:val="1"/>
          <w:color w:val="auto"/>
        </w:rPr>
        <w:t>Supportive but not conclusive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shows that consumption of EPA and DHA omega-3 fatty acids may reduce the risk of coronary heart disease. </w:t>
      </w:r>
      <w:r>
        <w:rPr>
          <w:rFonts w:ascii="Arial" w:cs="Arial" w:eastAsia="Arial" w:hAnsi="Arial"/>
          <w:sz w:val="16"/>
          <w:szCs w:val="16"/>
          <w:color w:val="auto"/>
        </w:rPr>
        <w:t>Such companies are not,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based on U.S. FDA enforcement activity, to make claims that suggest or imply treatment of cardiovascular disease.</w:t>
      </w:r>
    </w:p>
    <w:p>
      <w:pPr>
        <w:spacing w:after="0" w:line="4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7"/>
          <w:szCs w:val="17"/>
          <w:color w:val="auto"/>
        </w:rPr>
        <w:t>In addition, the net price of VASCEPA to patients even after insurance reimbursement and offered discounts could be significantly higher than the prices of commercially available omega-3 fatty acids marketed by other companies as dietary supplements (through the lack of coverage by insurers or otherwise). Physicians and pharmacists may recommend these retail alternatives instead of writing or filling prescriptions for VASCEPA or patients may elect on their own to take commercially available omega-3 fatty acids. Also, insurance plans may increasingly impose policies that directly or indirectly favor supplement use over VASCEPA. VASCEPA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or VASCEPA’s market acceptance may be less than expected, which would have a negative impact on our revenues and results of operations.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49"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With respect to sales and marketing activities, advertising and promotional materials must comply with U.S. FDA rules in addition to other applicable federal and local laws in the United States and in other countries. The result of our litigation and settlement with the U.S. FDA, as discussed above,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Drug manufacturers and other entities involved in the manufacture and distribution of approved drugs are also subject to periodic unannounced inspections by the U.S. FDA and state agencies for compliance with cGMP requirements. In addition, under the Food and Drug Omnibus Reform Act of 2022, or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right="100" w:firstLine="509"/>
        <w:spacing w:after="0" w:line="257" w:lineRule="auto"/>
        <w:rPr>
          <w:sz w:val="20"/>
          <w:szCs w:val="20"/>
          <w:color w:val="auto"/>
        </w:rPr>
      </w:pPr>
      <w:r>
        <w:rPr>
          <w:rFonts w:ascii="Arial" w:cs="Arial" w:eastAsia="Arial" w:hAnsi="Arial"/>
          <w:sz w:val="18"/>
          <w:szCs w:val="18"/>
          <w:color w:val="auto"/>
        </w:rPr>
        <w:t>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8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America. As discussed above, in June 2020, we received a CID from the DOJ informing us that the DOJ is investigating whether aspects of our promotional speaker programs and copayment waiver programs during the period from January 1, 2015 to the present violated the U.S. Anti-Kickback Statute and the U.S. FCA in relation to the sale and marketing of VASCEPA by us and our previous co-marketing partner, Kowa America. The New York State attorney general similarly issued a subpoena to us regarding the same subject matter on which the FTC CID is focused. The inquiries require us to produce documents and answer written questions, or interrogatories, relevant to specified time periods. We cannot predict when these investigations will be resolved, the outcome of the investigations or their potential impact on our business. If the government determines that we have violated the U.S. Anti-Kickback Statute, the FCA or antitrust regulations, we could be subject to significant civil and criminal fines and penalties, and our reputation may be harmed. In addition, even if we comply with U.S. FDA and other requirements, new information regarding the safety or effectiveness of a product could lead the U.S.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72"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21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62"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 Refer to “</w:t>
      </w:r>
      <w:r>
        <w:rPr>
          <w:rFonts w:ascii="Arial" w:cs="Arial" w:eastAsia="Arial" w:hAnsi="Arial"/>
          <w:sz w:val="17"/>
          <w:szCs w:val="17"/>
          <w:i w:val="1"/>
          <w:iCs w:val="1"/>
          <w:color w:val="auto"/>
        </w:rPr>
        <w:t>Item 1. Business - Government Regulation – Pharmaceutical Pricing and</w:t>
      </w:r>
      <w:r>
        <w:rPr>
          <w:rFonts w:ascii="Arial" w:cs="Arial" w:eastAsia="Arial" w:hAnsi="Arial"/>
          <w:sz w:val="17"/>
          <w:szCs w:val="17"/>
          <w:color w:val="auto"/>
        </w:rPr>
        <w:t xml:space="preserve"> </w:t>
      </w:r>
      <w:r>
        <w:rPr>
          <w:rFonts w:ascii="Arial" w:cs="Arial" w:eastAsia="Arial" w:hAnsi="Arial"/>
          <w:sz w:val="17"/>
          <w:szCs w:val="17"/>
          <w:i w:val="1"/>
          <w:iCs w:val="1"/>
          <w:color w:val="auto"/>
        </w:rPr>
        <w:t>Reimbursement</w:t>
      </w:r>
      <w:r>
        <w:rPr>
          <w:rFonts w:ascii="Arial" w:cs="Arial" w:eastAsia="Arial" w:hAnsi="Arial"/>
          <w:sz w:val="17"/>
          <w:szCs w:val="17"/>
          <w:color w:val="auto"/>
        </w:rPr>
        <w:t>" in our Annual Report on Form 10-K for the year ended December 31, 2022 for further details.</w:t>
      </w:r>
    </w:p>
    <w:p>
      <w:pPr>
        <w:spacing w:after="0" w:line="70"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58" w:lineRule="exact"/>
        <w:rPr>
          <w:sz w:val="20"/>
          <w:szCs w:val="20"/>
          <w:color w:val="auto"/>
        </w:rPr>
      </w:pPr>
    </w:p>
    <w:p>
      <w:pPr>
        <w:ind w:right="20" w:firstLine="509"/>
        <w:spacing w:after="0" w:line="308" w:lineRule="auto"/>
        <w:rPr>
          <w:sz w:val="20"/>
          <w:szCs w:val="20"/>
          <w:color w:val="auto"/>
        </w:rPr>
      </w:pPr>
      <w:r>
        <w:rPr>
          <w:rFonts w:ascii="Arial" w:cs="Arial" w:eastAsia="Arial" w:hAnsi="Arial"/>
          <w:sz w:val="16"/>
          <w:szCs w:val="16"/>
          <w:color w:val="auto"/>
        </w:rPr>
        <w:t>These and similar regulatory dynamics, including the entry of generic versions of VASCEPA into the market, and the potential for additional generic versions in the near term, can affect our ability to commercialize VASCEPA on commercially reasonable terms and limit the commercial value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VASCEPA.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right="80" w:firstLine="509"/>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6"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D.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70"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made significant changes to the Medicaid Drug Rebate program. CMS issued a final regulation, which became effective in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68"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58"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56"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56"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D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68"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order to be eligible to have our products paid for with federal funds under the Medicaid and Medicare Part D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manufacturer to significant penalties for each item of false information. These obligations also contain extensive disclosure and certification requirements.</w:t>
      </w:r>
    </w:p>
    <w:p>
      <w:pPr>
        <w:spacing w:after="0" w:line="140"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 consuming, and could have a material adverse effect on our business, financial condition, results of operations and growth prospects.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Changes in reimbursement procedures by government and other third-party payors may limit our ability to market and sell our approved drugs.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changes could have a material adverse effect on our business and financial condition.</w:t>
      </w:r>
    </w:p>
    <w:p>
      <w:pPr>
        <w:spacing w:after="0" w:line="103"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the conditions for such coverage. Third-party payors also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uses, or drug classes.</w:t>
      </w:r>
    </w:p>
    <w:p>
      <w:pPr>
        <w:spacing w:after="0" w:line="68"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In addition, certain U.S.-based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 which may not be favorable to us.</w:t>
      </w:r>
    </w:p>
    <w:p>
      <w:pPr>
        <w:spacing w:after="0" w:line="76"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as well as the availability of generic versions of VASCEPA. In addition, we may confront limitations in, or exclusions from, insurance coverage for our products, particularly as generic competition intensifies.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Ongoing healthcare legislative and regulatory reform measures may have a material adverse effect on our business and results of operations.</w:t>
      </w:r>
    </w:p>
    <w:p>
      <w:pPr>
        <w:spacing w:after="0" w:line="152"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In the U.S.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Refer to “</w:t>
      </w:r>
      <w:r>
        <w:rPr>
          <w:rFonts w:ascii="Arial" w:cs="Arial" w:eastAsia="Arial" w:hAnsi="Arial"/>
          <w:sz w:val="16"/>
          <w:szCs w:val="16"/>
          <w:i w:val="1"/>
          <w:iCs w:val="1"/>
          <w:color w:val="auto"/>
        </w:rPr>
        <w:t>Item 1. Business - Government Regulation – United States</w:t>
      </w:r>
      <w:r>
        <w:rPr>
          <w:rFonts w:ascii="Arial" w:cs="Arial" w:eastAsia="Arial" w:hAnsi="Arial"/>
          <w:sz w:val="16"/>
          <w:szCs w:val="16"/>
          <w:color w:val="auto"/>
        </w:rPr>
        <w:t xml:space="preserve"> </w:t>
      </w:r>
      <w:r>
        <w:rPr>
          <w:rFonts w:ascii="Arial" w:cs="Arial" w:eastAsia="Arial" w:hAnsi="Arial"/>
          <w:sz w:val="16"/>
          <w:szCs w:val="16"/>
          <w:i w:val="1"/>
          <w:iCs w:val="1"/>
          <w:color w:val="auto"/>
        </w:rPr>
        <w:t>Healthcare Reform and Legislation</w:t>
      </w:r>
      <w:r>
        <w:rPr>
          <w:rFonts w:ascii="Arial" w:cs="Arial" w:eastAsia="Arial" w:hAnsi="Arial"/>
          <w:sz w:val="16"/>
          <w:szCs w:val="16"/>
          <w:color w:val="auto"/>
        </w:rPr>
        <w:t>" in our Annual Report on Form 10-K for the year ended December 31, 2022 for further details.</w:t>
      </w:r>
    </w:p>
    <w:p>
      <w:pPr>
        <w:spacing w:after="0" w:line="58" w:lineRule="exact"/>
        <w:rPr>
          <w:sz w:val="20"/>
          <w:szCs w:val="20"/>
          <w:color w:val="auto"/>
        </w:rPr>
      </w:pPr>
    </w:p>
    <w:p>
      <w:pPr>
        <w:ind w:right="40" w:firstLine="509"/>
        <w:spacing w:after="0" w:line="266"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The Inflation Reduction Act of 2022, or IRA, includes several provisions that may impact our business to varying degrees, including provisions that that reduce the out-of-pocket spending cap for Medicare Part D beneficiaries from $7,050 to $2,000 starting in 2025, thereby effectively eliminating the coverage gap,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until January 1, 2032 the implementation of the HHS rebate rule that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In August 2023, the government selected the first 10 drugs to be put through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360"/>
        <w:spacing w:after="0" w:line="277" w:lineRule="auto"/>
        <w:rPr>
          <w:sz w:val="20"/>
          <w:szCs w:val="20"/>
          <w:color w:val="auto"/>
        </w:rPr>
      </w:pPr>
      <w:r>
        <w:rPr>
          <w:rFonts w:ascii="Arial" w:cs="Arial" w:eastAsia="Arial" w:hAnsi="Arial"/>
          <w:sz w:val="18"/>
          <w:szCs w:val="18"/>
          <w:color w:val="auto"/>
        </w:rPr>
        <w:t>Medicare drug price negotiation program, which is currently the subject of several constitutional challenges. The effect of IRA on our business and the healthcare industry in general is not yet known.</w:t>
      </w:r>
    </w:p>
    <w:p>
      <w:pPr>
        <w:spacing w:after="0" w:line="62"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In addition,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70"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adversely affect:</w:t>
      </w:r>
    </w:p>
    <w:p>
      <w:pPr>
        <w:spacing w:after="0" w:line="62"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demand for any of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set a price that we believe is fair for any of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15"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74"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operating results and business.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right="200" w:firstLine="509"/>
        <w:spacing w:after="0" w:line="254" w:lineRule="auto"/>
        <w:rPr>
          <w:sz w:val="20"/>
          <w:szCs w:val="20"/>
          <w:color w:val="auto"/>
        </w:rPr>
      </w:pPr>
      <w:r>
        <w:rPr>
          <w:rFonts w:ascii="Arial" w:cs="Arial" w:eastAsia="Arial" w:hAnsi="Arial"/>
          <w:sz w:val="18"/>
          <w:szCs w:val="18"/>
          <w:color w:val="auto"/>
        </w:rPr>
        <w:t>The REDUCE-IT cardiovascular outcomes trial was conducted in part through clinical sites in the EEA. As a result, we are subject to additional privacy restrictions. The collection and use of personal health data in the EU and the UK is governed by the provisions of the GDPR, and its UK equivalent, collectively referred to as GDPR. The GDPR imposes several requirements relating to the legal basis for processing personal data which may include the consent of the individuals to whom the personal data relates, the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20"/>
        <w:spacing w:after="0" w:line="284" w:lineRule="auto"/>
        <w:rPr>
          <w:sz w:val="20"/>
          <w:szCs w:val="20"/>
          <w:color w:val="auto"/>
        </w:rPr>
      </w:pPr>
      <w:r>
        <w:rPr>
          <w:rFonts w:ascii="Arial" w:cs="Arial" w:eastAsia="Arial" w:hAnsi="Arial"/>
          <w:sz w:val="16"/>
          <w:szCs w:val="16"/>
          <w:color w:val="auto"/>
        </w:rPr>
        <w:t>information provided to the individuals and the security and confidentiality of the personal data. The GDPR also imposes strict rules on the transfer of personal data out of the EEA to third countries, including the United States. A decision by the Court of Justice of the European Union, or CJEU, in 2020 invalidated the EU-U.S. Privacy Shield Framework, which was one of the primary mechanisms used by U.S. companies to import personal information from Europe in compliance with the GDPR's cross-border data transfer restrictions, and raised questions about whether the EC's Standard Contractual Clauses, or SCCs, one of the primary alternatives to the Privacy Shield, can lawfully be used for personal information transfers from Europe to the United States or most other countries. Furthermore, on June 4, 2021, the EC issued new forms of standard contractual clauses for data transfers from controllers or processors in the EEA, or otherwise subject to the GDPR, to controllers or processors established outside the EEA, and not subject to the GDPR. The new forms of standard contractual clauses have replaced the standard contractual clauses that were adopted previously under the Data Protection Directive. They require a case-by-case assessment of the law in the recipient country to ensure it provides “essentially equivalent” protections to safeguard the transferred personal data as the EEA, and require businesses to adopt supplementary measures if such standard is not met. The new SCCs do not apply to the UK, but the UK Information Commissioner’s Office has published its own transfer mechanism, the International Data Transfer Agreement, or UK IDTA, which entered into force on March 21, 2022, and enables data transfers originating from the UK. It requires a similar assessment of the data protection provided in the importer’s country. In July 2023, the European Commission adopted its adequacy decision for the EU-U.S. Data Privacy Framework, or the Framework, the successor of the EU-U.S. Privacy Shield framework. On the basis of the new adequacy decision, personal data can flow from the EU to U.S. companies participating in the Framework, without having to put in place additional data protection safeguards. The UK government also established the UK-U.S. Data Bridge for the UK Extension to the Data Privacy Framework that allows certified US companies to receive UK personal data through the Framework. However, the validity of the Framework has already been challenged in European courts. We will be required to transition to the new forms of transfer mechanisms and doing so will require significant effort and cost. The new transfer mechanisms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Failure to comply with the requirements of the GDPR or the UK GDPR, and the related national data protection laws of the EEA Member States or the UK may result in substantial fines. The GDPR may impose additional responsibility and liability in relation to personal data that we process and we may be required to put in place additional mechanisms ensuring compliance with these and/or new data protection rules. This may be costly, onerous and adversely affect our business, financial condition, prospects and results of operations.</w:t>
      </w:r>
    </w:p>
    <w:p>
      <w:pPr>
        <w:spacing w:after="0" w:line="200" w:lineRule="exact"/>
        <w:rPr>
          <w:sz w:val="20"/>
          <w:szCs w:val="20"/>
          <w:color w:val="auto"/>
        </w:rPr>
      </w:pPr>
    </w:p>
    <w:p>
      <w:pPr>
        <w:spacing w:after="0" w:line="220"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U.S. FDA and other regulatory agencies strictly regulate the promotional claims that may be made about prescription products. In particular,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the REDUCE-IT indication, and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71"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ind w:firstLine="509"/>
        <w:spacing w:after="0" w:line="254" w:lineRule="auto"/>
        <w:rPr>
          <w:sz w:val="20"/>
          <w:szCs w:val="20"/>
          <w:color w:val="auto"/>
        </w:rPr>
      </w:pPr>
      <w:r>
        <w:rPr>
          <w:rFonts w:ascii="Arial" w:cs="Arial" w:eastAsia="Arial" w:hAnsi="Arial"/>
          <w:sz w:val="18"/>
          <w:szCs w:val="18"/>
          <w:color w:val="auto"/>
        </w:rPr>
        <w:t>For example, the June 2020 CIDs from the DOJ informing us that the DOJ is investigating whether aspects of our promotional speaker programs and copayment waiver program violated the U.S. Anti-Kickback Statute and from the FCA relating to the sale and marketing of VASCEPA by us and our previous co-marketing partner, Kowa America, as well as the March 2021 CID from the FTC in connection with the FTC’s investigation of whether we have engaged in, or are engaging in, anticompetitive practices or unfair methods of competition relating to VASCEPA require us to produce documents and answer written questions, or interrogatories, relevant to specified time periods. The subpoena from the New York State attorney general covers the same subject matter on which the FTC CID is focused.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219"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16"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84" w:lineRule="exact"/>
        <w:rPr>
          <w:sz w:val="20"/>
          <w:szCs w:val="20"/>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128" w:lineRule="exact"/>
        <w:rPr>
          <w:rFonts w:ascii="Arial" w:cs="Arial" w:eastAsia="Arial" w:hAnsi="Arial"/>
          <w:sz w:val="17"/>
          <w:szCs w:val="17"/>
          <w:color w:val="auto"/>
        </w:rPr>
      </w:pPr>
    </w:p>
    <w:p>
      <w:pPr>
        <w:ind w:left="900" w:right="440" w:hanging="383"/>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laws and regulations related to patient data privacy;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instability or other social or government protocols affecting our clinical trial sites.</w:t>
      </w:r>
    </w:p>
    <w:p>
      <w:pPr>
        <w:spacing w:after="0" w:line="117"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w:t>
      </w:r>
    </w:p>
    <w:p>
      <w:pPr>
        <w:spacing w:after="0" w:line="49"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In connection with U.S.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LDL cholesterol values on the time to the primary endpoint was numerically small and unlikely to change the overall conclusion of treatment benefit.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58" w:lineRule="exact"/>
        <w:rPr>
          <w:sz w:val="20"/>
          <w:szCs w:val="20"/>
          <w:color w:val="auto"/>
        </w:rPr>
      </w:pPr>
    </w:p>
    <w:p>
      <w:pPr>
        <w:ind w:right="500" w:firstLine="509"/>
        <w:spacing w:after="0" w:line="258"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including boxed warnings, focusing on product safety that could affect the commercial potential for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7" w:name="page58"/>
    <w:bookmarkEnd w:id="57"/>
    <w:p>
      <w:pPr>
        <w:ind w:right="140"/>
        <w:spacing w:after="0" w:line="293" w:lineRule="auto"/>
        <w:rPr>
          <w:sz w:val="20"/>
          <w:szCs w:val="20"/>
          <w:color w:val="auto"/>
        </w:rPr>
      </w:pPr>
      <w:r>
        <w:rPr>
          <w:rFonts w:ascii="Arial" w:cs="Arial" w:eastAsia="Arial" w:hAnsi="Arial"/>
          <w:sz w:val="16"/>
          <w:szCs w:val="16"/>
          <w:color w:val="auto"/>
        </w:rPr>
        <w:t>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191"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b w:val="1"/>
          <w:bCs w:val="1"/>
          <w:i w:val="1"/>
          <w:iCs w:val="1"/>
          <w:color w:val="auto"/>
        </w:rPr>
        <w:t>*As we continue to scale our infrastructure for commercializing VASCEPA based on market dynamics for VASCEPA in the United States and commercial initiatives and plans for VAZKEPA in Europe and other parts of the world, we may encounter difficulties in managing the size and adaptability of our operations successfully.</w:t>
      </w:r>
    </w:p>
    <w:p>
      <w:pPr>
        <w:spacing w:after="0" w:line="76"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The process of establishing, maintaining, expanding and streamlining a commercial infrastructure is difficult, expensive and time consuming, particularly when such efforts need to adapt to changing market and business dynamics. In 2022 we implemented cost and organizational restructuring plans, which included a reduction to our U.S. commercial team to approximately 75 sales representatives by the end of 2022, and in July 2023 all remaining sales force positions in the U.S. were eliminated and our overall headcount was reduced by 30% as part of our ORP. As a result, we do not have a sales team to promote VASCEPA to physicians and other healthcare professionals in the United States, and will rely on only our managed care and trade organization to support sales of VASCEPA in the United States.</w:t>
      </w:r>
    </w:p>
    <w:p>
      <w:pPr>
        <w:spacing w:after="0" w:line="8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addition to the elimination of our sales force in the United States, we continue to work on our own and with our international partners to support regulatory efforts outside the United States based on REDUCE-IT results. If we are successful in obtaining sufficient approvals and adequate pricing and reimbursement levels in major markets in Europe and elsewhere, we will need to ensure that our operations are adequate to support a commercial launch and continued promotion. We intend to redesign our commercial infrastructure in Europe to better align with pricing and reimbursement status and commercial potential and will be operating with streamlined teams in Europe and elsewhere outside the United States and will need to expand internally and we expect that we will need to manage additional relationships with various collaborative partners, suppliers and other third parties. Future growth and streamlining efforts will impose significant added responsibilities on members of management, including the need to identify, recruit, maintain and integrate the right number of employees. In Europe we have built out our team subsequent to EC approval of the marketing authorization acceptance in 2021, with plans to continue to expand our European staff as deemed appropriate on a country-by-country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20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b w:val="1"/>
          <w:bCs w:val="1"/>
          <w:i w:val="1"/>
          <w:iCs w:val="1"/>
          <w:color w:val="auto"/>
        </w:rPr>
        <w:t>Our life-cycle management, in large part, currently depends on our ability to develop, obtain regulatory approval and commercialize a fixed-dose combination of VASCEPA and yet to be disclosed statins.</w:t>
      </w:r>
    </w:p>
    <w:p>
      <w:pPr>
        <w:spacing w:after="0" w:line="62" w:lineRule="exact"/>
        <w:rPr>
          <w:sz w:val="20"/>
          <w:szCs w:val="20"/>
          <w:color w:val="auto"/>
        </w:rPr>
      </w:pPr>
    </w:p>
    <w:p>
      <w:pPr>
        <w:jc w:val="both"/>
        <w:ind w:right="40" w:firstLine="509"/>
        <w:spacing w:after="0" w:line="275" w:lineRule="auto"/>
        <w:rPr>
          <w:sz w:val="20"/>
          <w:szCs w:val="20"/>
          <w:color w:val="auto"/>
        </w:rPr>
      </w:pPr>
      <w:r>
        <w:rPr>
          <w:rFonts w:ascii="Arial" w:cs="Arial" w:eastAsia="Arial" w:hAnsi="Arial"/>
          <w:sz w:val="17"/>
          <w:szCs w:val="17"/>
          <w:color w:val="auto"/>
        </w:rPr>
        <w:t>Specifically, our drug development efforts are subject to the risks and uncertainties inherent in any drug development program. Due to the risks and uncertainties involved in progressing through development and bioequivalence or even potential additional trials (as may be required by specific regulatory agencies), and the time and cost involved in obtaining regulatory approvals, we cannot reasonably estimate the timing, completion dates and costs, or range of costs, of our drug development program, or of the successful development of any particular fixed-dose combination. The potential success of any fixed-dose combination will depend on a number of factors, including the following:</w:t>
      </w:r>
    </w:p>
    <w:p>
      <w:pPr>
        <w:spacing w:after="0" w:line="68" w:lineRule="exact"/>
        <w:rPr>
          <w:sz w:val="20"/>
          <w:szCs w:val="20"/>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manufacture a combination of VASCEPA and a statin;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 supply of necessary statin for use in the fixed-dose combination;</w:t>
      </w:r>
    </w:p>
    <w:p>
      <w:pPr>
        <w:spacing w:after="0" w:line="117" w:lineRule="exact"/>
        <w:rPr>
          <w:rFonts w:ascii="Arial" w:cs="Arial" w:eastAsia="Arial" w:hAnsi="Arial"/>
          <w:sz w:val="18"/>
          <w:szCs w:val="18"/>
          <w:color w:val="auto"/>
        </w:rPr>
      </w:pPr>
    </w:p>
    <w:p>
      <w:pPr>
        <w:ind w:left="900" w:right="4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regulatory approvals for any and all markets in which we intend to commercialize a fixed-dose combination of VASCEPA and a statin;</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payor acceptance and market access for a fixed-dose combination product of VASCEPA and a statin;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achieve market acceptance of a fixed-dose combination of VASCEPA and a statin.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left="520"/>
        <w:spacing w:after="0"/>
        <w:rPr>
          <w:sz w:val="20"/>
          <w:szCs w:val="20"/>
          <w:color w:val="auto"/>
        </w:rPr>
      </w:pPr>
      <w:r>
        <w:rPr>
          <w:rFonts w:ascii="Arial" w:cs="Arial" w:eastAsia="Arial" w:hAnsi="Arial"/>
          <w:sz w:val="17"/>
          <w:szCs w:val="17"/>
          <w:b w:val="1"/>
          <w:bCs w:val="1"/>
          <w:i w:val="1"/>
          <w:iCs w:val="1"/>
          <w:color w:val="auto"/>
        </w:rPr>
        <w:t>*The lasting results of business interruptions caused by the COVID-19 pandemic and related recovery efforts remain uncertain.</w:t>
      </w:r>
    </w:p>
    <w:p>
      <w:pPr>
        <w:spacing w:after="0" w:line="129"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Despite the end of the COVID-19 pandemic, there may continue to be significant volatility, uncertainty and disruption in healthcare, social, supply and economic infrastructures in its wake. The extent to which the coronavirus pandemic will continue to impact our business, operations and financial results will depend on numerous evolving factors that we may not be able to accurately predict or plan around, including the lasting results and any resurgence of the pandemic, including on:</w:t>
      </w:r>
    </w:p>
    <w:p>
      <w:pPr>
        <w:spacing w:after="0" w:line="79"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and political activity and our supply chain;</w:t>
      </w:r>
    </w:p>
    <w:p>
      <w:pPr>
        <w:spacing w:after="0" w:line="117"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38" w:lineRule="exact"/>
        <w:rPr>
          <w:rFonts w:ascii="Arial" w:cs="Arial" w:eastAsia="Arial" w:hAnsi="Arial"/>
          <w:sz w:val="17"/>
          <w:szCs w:val="17"/>
          <w:color w:val="auto"/>
        </w:rPr>
      </w:pPr>
    </w:p>
    <w:p>
      <w:pPr>
        <w:ind w:left="1020" w:right="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patients’ and healthcare providers’ behavior and practices regarding face to face visits may have on our commercialization efforts, including whether virtual interactions will be as impactful as traditional, in-person interactions; and</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access, secure and otherwise obtain and deliver sufficient and timely commercial or clinical supplies of VASCEPA at reasonable prices and sufficient to meet demand if the production capabilities of suppliers is disrupted.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b w:val="1"/>
          <w:bCs w:val="1"/>
          <w:i w:val="1"/>
          <w:iCs w:val="1"/>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76"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We have no in-house manufacturing capacity and rely entirely on contract manufacturers for our clinical and commercial product supply. We cannot provide assurance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or if they insist on burdensome terms, such as excessive minimum supply commitments, we may not be able to obtain adequate quantities of product in a timely manner, at cost efficient levels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69"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Any manufacturing problem, natural or manmade disaster affecting manufacturing facilities, government action, or the loss of a contract manufacturer could potentially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API (drug substance) or encapsulated bulk product (drug product), it would have a material adverse effect on our ability to continue to commercialize VASCEPA.</w:t>
      </w:r>
    </w:p>
    <w:p>
      <w:pPr>
        <w:spacing w:after="0" w:line="7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We continue to take steps to negotiate our contract supply agreements to align supply arrangements with current and future global market demand.</w:t>
      </w:r>
    </w:p>
    <w:p>
      <w:pPr>
        <w:spacing w:after="0" w:line="79" w:lineRule="exact"/>
        <w:rPr>
          <w:sz w:val="20"/>
          <w:szCs w:val="20"/>
          <w:color w:val="auto"/>
        </w:rPr>
      </w:pPr>
    </w:p>
    <w:p>
      <w:pPr>
        <w:ind w:right="80" w:firstLine="509"/>
        <w:spacing w:after="0" w:line="283" w:lineRule="auto"/>
        <w:rPr>
          <w:sz w:val="20"/>
          <w:szCs w:val="20"/>
          <w:color w:val="auto"/>
        </w:rPr>
      </w:pPr>
      <w:r>
        <w:rPr>
          <w:rFonts w:ascii="Arial" w:cs="Arial" w:eastAsia="Arial" w:hAnsi="Arial"/>
          <w:sz w:val="16"/>
          <w:szCs w:val="16"/>
          <w:color w:val="auto"/>
        </w:rPr>
        <w:t>Expanding manufacturing capacity and qualifying such capacity is complex and subject to numerous regulations and other operational challenges. We require supply capacity to support our direct and indirect commercialization of VASCEPA. We are also committed to providing supply to our commercial partners and distributors in Australia and New Zealand, Canada, China, the Middle East and North Africa, South Korea and Southeast Asia, and Israel,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of commercial launch, including in China and various European countries. Our aggregate capacity to produce API is dependent upon the continued qualification of our API suppliers and, depending on the ability of existing suppliers to meet our supply demands, the ability to qualify any new suppliers. If no additional API supplier is approved by the U.S. FDA as part of an sNDA, our API supply will be limited to the API we purchase from previously approved suppliers. For example, the EMA has not yet approved use of each of our suppliers used for VASCEPA in the United States for supply of VAZKEPA in the EU.</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jc w:val="both"/>
        <w:ind w:right="120" w:firstLine="509"/>
        <w:spacing w:after="0" w:line="263" w:lineRule="auto"/>
        <w:rPr>
          <w:sz w:val="20"/>
          <w:szCs w:val="20"/>
          <w:color w:val="auto"/>
        </w:rPr>
      </w:pPr>
      <w:r>
        <w:rPr>
          <w:rFonts w:ascii="Arial" w:cs="Arial" w:eastAsia="Arial" w:hAnsi="Arial"/>
          <w:sz w:val="18"/>
          <w:szCs w:val="18"/>
          <w:color w:val="auto"/>
        </w:rPr>
        <w:t>Further, 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76"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If our third-party manufacturing capacity is not appropriately qualified and/or compliant with applicable regulatory requirements, we may not be able to supply sufficient quantities of VASCEPA to meet anticipated demand.</w:t>
      </w:r>
    </w:p>
    <w:p>
      <w:pPr>
        <w:spacing w:after="0" w:line="6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We cannot guarantee that we can contract with any future manufacturer on acceptable terms or that any such alternative supplier will not require capital investment from us in order for them to meet our requirements. Alternatively, our purchase of supply, or any minimum purchase requirements, may exceed actual demand for VASCEPA.</w:t>
      </w:r>
    </w:p>
    <w:p>
      <w:pPr>
        <w:spacing w:after="0" w:line="76"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w:t>
      </w:r>
    </w:p>
    <w:p>
      <w:pPr>
        <w:spacing w:after="0" w:line="80"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If our minimum purchase commitments exceed our supply needs for VASCEPA, we may have to renegotiate with partners in our supply chain who may not be incentivized to renegotiate terms that are favorable to us, or at all. If we are unable to secure adequate levels of supply to meet demand, our financial condition could be negatively and materially impacted.</w:t>
      </w:r>
    </w:p>
    <w:p>
      <w:pPr>
        <w:spacing w:after="0" w:line="21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62"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required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adversely affect our profitability for the sale of VASCEPA and could increase over time further impacting our operating results. Consolidation among these industry participants could increase the pressure on us from these market dynamics.</w:t>
      </w:r>
    </w:p>
    <w:p>
      <w:pPr>
        <w:spacing w:after="0" w:line="195"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7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7"/>
          <w:szCs w:val="17"/>
          <w:color w:val="auto"/>
        </w:rPr>
        <w:t>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a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78"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There are comparable foreign requirements under ICH guidelines. In addition, the impact of past COVID-19 restrictions could continue to affect the ability of regulatory agencies to conduct facility inspections in a timely manner and may affect the timing of further approvals. This review may be costly and time consuming and could delay or prevent the launch of a product.</w:t>
      </w:r>
    </w:p>
    <w:p>
      <w:pPr>
        <w:spacing w:after="0" w:line="76" w:lineRule="exact"/>
        <w:rPr>
          <w:sz w:val="20"/>
          <w:szCs w:val="20"/>
          <w:color w:val="auto"/>
        </w:rPr>
      </w:pPr>
    </w:p>
    <w:p>
      <w:pPr>
        <w:ind w:right="340" w:firstLine="509"/>
        <w:spacing w:after="0" w:line="296" w:lineRule="auto"/>
        <w:rPr>
          <w:sz w:val="20"/>
          <w:szCs w:val="20"/>
          <w:color w:val="auto"/>
        </w:rPr>
      </w:pPr>
      <w:r>
        <w:rPr>
          <w:rFonts w:ascii="Arial" w:cs="Arial" w:eastAsia="Arial" w:hAnsi="Arial"/>
          <w:sz w:val="16"/>
          <w:szCs w:val="16"/>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w:t>
      </w:r>
    </w:p>
    <w:p>
      <w:pPr>
        <w:spacing w:after="0" w:line="53" w:lineRule="exact"/>
        <w:rPr>
          <w:sz w:val="20"/>
          <w:szCs w:val="20"/>
          <w:color w:val="auto"/>
        </w:rPr>
      </w:pPr>
    </w:p>
    <w:p>
      <w:pPr>
        <w:jc w:val="both"/>
        <w:ind w:right="360" w:firstLine="509"/>
        <w:spacing w:after="0" w:line="257" w:lineRule="auto"/>
        <w:rPr>
          <w:sz w:val="20"/>
          <w:szCs w:val="20"/>
          <w:color w:val="auto"/>
        </w:rPr>
      </w:pPr>
      <w:r>
        <w:rPr>
          <w:rFonts w:ascii="Arial" w:cs="Arial" w:eastAsia="Arial" w:hAnsi="Arial"/>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w:t>
      </w:r>
    </w:p>
    <w:p>
      <w:pPr>
        <w:spacing w:after="0" w:line="215"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b w:val="1"/>
          <w:bCs w:val="1"/>
          <w:i w:val="1"/>
          <w:iCs w:val="1"/>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63"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We have expanded our VASCEPA commercialization activities outside of the United States through several contractual arrangements in territories including China, the Middle East, North Africa, Canada and, most recently, Australia, New Zealand, South Korea and Southeast Asia, and Israel. We continue to assess other opportunities to develop VASCEPA commercialization outside of the United States through similar arrangements.</w:t>
      </w:r>
    </w:p>
    <w:p>
      <w:pPr>
        <w:spacing w:after="0" w:line="41"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Edding is responsible for development and commercialization activities in the China Territory and associated expenses under our development, commercialization and supply agreement with them. Additionally, Edding is required to conduct clinical trials in the China Territory to secure regulatory approval in certain territories. Edding has successfully undertaken clinical trials and approval initiatives under our arrangement with them, including the announcement of statistically significant positive topline results from Edding’s Phase 3 clinical trial of VASCEPA and has obtained approval for VASCEPA in Hong Kong under the REDUCE-IT indication and in Mainland China under the MARINE indication. In October 2023, Edding submitted for the approval of the REDUCE-IT indication in Mainland China. However, Edding may be required to undertake pre- or post-approval clinical development efforts in these markets, or Edding may face challenges or be unsuccessful in commercial launch. Further, any development and regulatory efforts in the China Territory may be negatively impacted by the lingering effects of the coronavirus pandemic. Any development and regulatory efforts in the China Territory may be negatively impacted by heightened political tension between China and the United States, including issues expressed between the countries regarding trade practices, tariffs and honoring intellectual property rights. If Edding is not able to effectively commercialize VASCEPA in the China Territory, we may not be able to generate revenue from our agreement with Edding resulting from the sale of VASCEPA in the China Territory.</w:t>
      </w:r>
    </w:p>
    <w:p>
      <w:pPr>
        <w:spacing w:after="0" w:line="64" w:lineRule="exact"/>
        <w:rPr>
          <w:sz w:val="20"/>
          <w:szCs w:val="20"/>
          <w:color w:val="auto"/>
        </w:rPr>
      </w:pPr>
    </w:p>
    <w:p>
      <w:pPr>
        <w:ind w:right="300" w:firstLine="509"/>
        <w:spacing w:after="0" w:line="254" w:lineRule="auto"/>
        <w:rPr>
          <w:sz w:val="20"/>
          <w:szCs w:val="20"/>
          <w:color w:val="auto"/>
        </w:rPr>
      </w:pPr>
      <w:r>
        <w:rPr>
          <w:rFonts w:ascii="Arial" w:cs="Arial" w:eastAsia="Arial" w:hAnsi="Arial"/>
          <w:sz w:val="18"/>
          <w:szCs w:val="18"/>
          <w:color w:val="auto"/>
        </w:rPr>
        <w:t>We are party to arrangements with Biologix FZCo, or Biologix, to register and commercialize VASCEPA in several Middle Eastern and North African countries, with HLS Therapeutics Inc., or HLS, to register, commercialize and distribute VASCEPA in Canada, with CSL Seqirus, or CSL, to commercialize and distribute VASCEPA in Australia and New Zealand, Lotus Pharmaceuticals, or Lotus, to commercialize and distribute VASCEPA in several countries in Southeast Asia and Neopharm (Israel)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ind w:right="60"/>
        <w:spacing w:after="0" w:line="286" w:lineRule="auto"/>
        <w:rPr>
          <w:sz w:val="20"/>
          <w:szCs w:val="20"/>
          <w:color w:val="auto"/>
        </w:rPr>
      </w:pPr>
      <w:r>
        <w:rPr>
          <w:rFonts w:ascii="Arial" w:cs="Arial" w:eastAsia="Arial" w:hAnsi="Arial"/>
          <w:sz w:val="17"/>
          <w:szCs w:val="17"/>
          <w:color w:val="auto"/>
        </w:rPr>
        <w:t>1996 Ltd., or Neopharm, to distribute VASCEPA in Israel. Although Biologix is currently actively commercializing VASCEPA in the United Arab Emirates, Lebanon, Kuwait and Saudi Arabia, and HLS is currently commercializing VASCEPA in Canada, we are completely reliant on these third parties to secure approval and successfully commercialize the product in those markets, which markets can be complex and challenging.</w:t>
      </w:r>
    </w:p>
    <w:p>
      <w:pPr>
        <w:spacing w:after="0" w:line="57"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If Edding, Biologix, HLS, CSL, Lotus or Neopharm, or other third parties who we rely on for development and commercialization of VASCEPA, do not successfully carry out their contractual obligations or meet expected deadlines, our recourse and remedies against these parties is limited.</w:t>
      </w:r>
    </w:p>
    <w:p>
      <w:pPr>
        <w:spacing w:after="0" w:line="38"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Our efforts to launch and support commercialization of VAZKEPA on our own in Europe is a complex undertaking for a company that, other than the launch of VAZKEPA in certain countries in the last two years, has not launched or otherwise commercialized a product in Europe and could be subject to significant risks of execution to our successful development and revenue generation of VAZKEPA in Europe.</w:t>
      </w:r>
    </w:p>
    <w:p>
      <w:pPr>
        <w:spacing w:after="0" w:line="5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19"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Refer to “</w:t>
      </w:r>
      <w:r>
        <w:rPr>
          <w:rFonts w:ascii="Arial" w:cs="Arial" w:eastAsia="Arial" w:hAnsi="Arial"/>
          <w:sz w:val="17"/>
          <w:szCs w:val="17"/>
          <w:i w:val="1"/>
          <w:iCs w:val="1"/>
          <w:color w:val="auto"/>
        </w:rPr>
        <w:t>Item 1. Business - Government Regulation - Fraud and Abuse Laws and Data Regulation</w:t>
      </w:r>
      <w:r>
        <w:rPr>
          <w:rFonts w:ascii="Arial" w:cs="Arial" w:eastAsia="Arial" w:hAnsi="Arial"/>
          <w:sz w:val="17"/>
          <w:szCs w:val="17"/>
          <w:color w:val="auto"/>
        </w:rPr>
        <w:t>" in our Annual Report on Form 10-K for the year ended December 31, 2022 for further details.</w:t>
      </w:r>
    </w:p>
    <w:p>
      <w:pPr>
        <w:spacing w:after="0" w:line="77"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49" w:lineRule="exact"/>
        <w:rPr>
          <w:sz w:val="20"/>
          <w:szCs w:val="20"/>
          <w:color w:val="auto"/>
        </w:rPr>
      </w:pPr>
    </w:p>
    <w:p>
      <w:pPr>
        <w:ind w:right="20" w:firstLine="509"/>
        <w:spacing w:after="0" w:line="266"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the June 2020 CIDs from the DOJ informing us that the DOJ is investigating whether aspects of our promotional speaker programs and copayment waiver program violated the U.S. Anti-Kickback Statute, and from the FCA relating to the sale and marketing of VASCEPA by us and our previous co-marketing partner, Kowa America, as well as the March 2021 CID from the FTC in connection with the FTC’s investigation of whether we have engaged in, or are engaging in, anticompetitive practices or unfair methods of competition relating to VASCEPA require us to produce documents and answer written questions, or interrogatories, relevant to specified time periods; as does the subpoena from the New York State attorney general regarding the same subject matter on which the FTC CID is focused. As noted, we are cooperating with the government, but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right="40"/>
        <w:spacing w:after="0" w:line="254" w:lineRule="auto"/>
        <w:rPr>
          <w:sz w:val="20"/>
          <w:szCs w:val="20"/>
          <w:color w:val="auto"/>
        </w:rPr>
      </w:pPr>
      <w:r>
        <w:rPr>
          <w:rFonts w:ascii="Arial" w:cs="Arial" w:eastAsia="Arial" w:hAnsi="Arial"/>
          <w:sz w:val="18"/>
          <w:szCs w:val="18"/>
          <w:color w:val="auto"/>
        </w:rPr>
        <w:t>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8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252423"/>
        </w:rPr>
        <w:t>In the U.S., to help patients afford our approved product, we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Office of Inspector General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76"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76"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97"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70" w:lineRule="exact"/>
        <w:rPr>
          <w:sz w:val="20"/>
          <w:szCs w:val="20"/>
          <w:color w:val="auto"/>
        </w:rPr>
      </w:pPr>
    </w:p>
    <w:p>
      <w:pPr>
        <w:ind w:right="80" w:firstLine="509"/>
        <w:spacing w:after="0" w:line="266" w:lineRule="auto"/>
        <w:rPr>
          <w:sz w:val="20"/>
          <w:szCs w:val="20"/>
          <w:color w:val="auto"/>
        </w:rPr>
      </w:pPr>
      <w:r>
        <w:rPr>
          <w:rFonts w:ascii="Arial" w:cs="Arial" w:eastAsia="Arial" w:hAnsi="Arial"/>
          <w:sz w:val="17"/>
          <w:szCs w:val="17"/>
          <w:color w:val="auto"/>
        </w:rPr>
        <w:t>In addition, investigator initiated trials, or IITs, which are scientific research that is initiated, sponsored, and conducted by an independent investigator(s) and/or institution(s) not affiliated with us, are being, and additional IITs, may be conducted involving potential product candidates. The investigator, sponsor, and/or investigator/sponsor remains responsible for conception, design, data analysis, publication, and compliance with applicable law. Investigator initiated trials can contribute towards enhancing the understanding of products (such as mechanism of action) and sparking new ideas for further research; however, IITs are generally not supported by pharmaceutical companies for the purposes of generating data that can lead to product labelling changes. Even if an IIT has positive results, additional studies, along with regulatory agency guidance and approval, would be required to advance a pharmaceutical product to the next stage of development and new potential labelling changes or indications. If we are unable to confirm or replicate the results from an IIT or if negative results are obtained, we would likely be further delayed or prevented from advancing further clinical development. Further, if the data proves to be inadequate compared to the firsthand knowledge we might have gained had the IIT been sponsored and conducted by us, then our ability to design and conduct any future clinical trials ourselves may be adversely affected. Negative results in IITs could have a material adverse effect on our efforts to obtain regulatory approval for such product candidates and the public perception of such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jc w:val="both"/>
        <w:ind w:right="120" w:firstLine="509"/>
        <w:spacing w:after="0" w:line="286" w:lineRule="auto"/>
        <w:rPr>
          <w:sz w:val="20"/>
          <w:szCs w:val="20"/>
          <w:color w:val="auto"/>
        </w:rPr>
      </w:pPr>
      <w:r>
        <w:rPr>
          <w:rFonts w:ascii="Arial" w:cs="Arial" w:eastAsia="Arial" w:hAnsi="Arial"/>
          <w:sz w:val="17"/>
          <w:szCs w:val="17"/>
          <w:b w:val="1"/>
          <w:bCs w:val="1"/>
          <w:i w:val="1"/>
          <w:iCs w:val="1"/>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5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plan to vigorously defend our rights under issued patents, however such defense activities can be costly to pursue and may not have the desired results.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CV risk. On January 25, 2021, we expanded the scope of this patent infringement lawsuit to include a healthcare insurance provider, Health Net, LLC. On January 4, 2022, the district court hearing the case granted Hikma's motion to dismiss. On October 13, 2022, the district court granted final judgement and the Company is appealing (Fed. Cir. No. 23-1169 filed November 21, 2022) the decision of the district court but cannot predict the outcome or the impact on its business. We entered into a settlement agreement with Health Net, LLC on December 26, 2022. The Company intends to continue to vigorously enforce its intellectual property rights relating to VASCEPA, but cannot predict the outcome of these lawsuits or any subsequently filed lawsuits.</w:t>
      </w:r>
    </w:p>
    <w:p>
      <w:pPr>
        <w:spacing w:after="0" w:line="57"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Patent litigation is a time-consuming and costly process. There can be no assurance that we will be successful in enforcing any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56"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11" w:lineRule="exact"/>
        <w:rPr>
          <w:sz w:val="20"/>
          <w:szCs w:val="20"/>
          <w:color w:val="auto"/>
        </w:rPr>
      </w:pPr>
    </w:p>
    <w:p>
      <w:pPr>
        <w:ind w:right="500" w:firstLine="509"/>
        <w:spacing w:after="0" w:line="375" w:lineRule="auto"/>
        <w:rPr>
          <w:sz w:val="20"/>
          <w:szCs w:val="20"/>
          <w:color w:val="auto"/>
        </w:rPr>
      </w:pPr>
      <w:r>
        <w:rPr>
          <w:rFonts w:ascii="Arial" w:cs="Arial" w:eastAsia="Arial" w:hAnsi="Arial"/>
          <w:sz w:val="15"/>
          <w:szCs w:val="15"/>
          <w:b w:val="1"/>
          <w:bCs w:val="1"/>
          <w:i w:val="1"/>
          <w:iCs w:val="1"/>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We have filed and are prosecuting numerous families of patent applications in the United States and internationally with claims designed to protect the proprietary position of VASCEPA/VAZKEPA.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However, our pending patent applications may not be granted or, if they are granted, there is no certainty that they will prevent competitors from competing with VASCEPA.</w:t>
      </w:r>
    </w:p>
    <w:p>
      <w:pPr>
        <w:spacing w:after="0" w:line="68"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93"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January 2023, we disclosed our 2023 financial outlook. Such outlook is based on estimates, assumptions and the judgment of management at such time. Subsequently, in July 2023, we announced an Organizational Restructuring Program, which will have a significant effect on our results for 2023 and future years. Because of the inherent nature of estimates, including during the uncertainty of our European launch and the impact from U.S. generic competition, we have suspended providing net revenue guidance, as there could be significant differences between our estimates and the actual amount of product demand. If we fail to realize or if we change or update any element of our publicly disclosed financial guidance as we have done in the past or other expectations about our business and initiative change, our stock price could decline in value.</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loss of key personnel could have an adverse effect on our business, particularly in light of recent senior management changes.</w:t>
      </w:r>
    </w:p>
    <w:p>
      <w:pPr>
        <w:spacing w:after="0" w:line="129"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and sales force and the changes to our Board and our recent hiring of a new Chief Executive Officer,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expand our commercialization efforts globally we may experience continued or increased turnover among members of our senior management team. We may have difficulty identifying, attracting and integrating new executives to replace any such losses. As we pursue commercialization efforts in Europe, we need to rapidly hire employees and ensure that they are well trained and working cohesively with core values which are consistent with our existing operations and which, we believe, help improve our position for success. In the United States, where we have recently eliminated all sales force positions, employees are increasingly being recruited by other companies. The current and potential threat of generic competition and our recent reductions in force, including as part of our Organizational Restructuring Program announced in July 2023, can create employee uncertainty which could lead to increased employee turnover. There is intense competition for qualified personnel in the areas of our activities. In this environment, we may not be able to attract or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98" w:lineRule="exact"/>
        <w:rPr>
          <w:sz w:val="20"/>
          <w:szCs w:val="20"/>
          <w:color w:val="auto"/>
        </w:rPr>
      </w:pPr>
    </w:p>
    <w:p>
      <w:pPr>
        <w:ind w:right="60" w:firstLine="509"/>
        <w:spacing w:after="0" w:line="224" w:lineRule="exact"/>
        <w:rPr>
          <w:sz w:val="20"/>
          <w:szCs w:val="20"/>
          <w:color w:val="auto"/>
        </w:rPr>
      </w:pPr>
      <w:r>
        <w:rPr>
          <w:rFonts w:ascii="Arial" w:cs="Arial" w:eastAsia="Arial" w:hAnsi="Arial"/>
          <w:sz w:val="16"/>
          <w:szCs w:val="16"/>
          <w:b w:val="1"/>
          <w:bCs w:val="1"/>
          <w:i w:val="1"/>
          <w:iCs w:val="1"/>
          <w:color w:val="auto"/>
        </w:rPr>
        <w:t>Our internal computer systems, or those of our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94" w:lineRule="exact"/>
        <w:rPr>
          <w:sz w:val="20"/>
          <w:szCs w:val="20"/>
          <w:color w:val="auto"/>
        </w:rPr>
      </w:pPr>
    </w:p>
    <w:p>
      <w:pPr>
        <w:ind w:right="20" w:firstLine="509"/>
        <w:spacing w:after="0" w:line="219" w:lineRule="exact"/>
        <w:rPr>
          <w:sz w:val="20"/>
          <w:szCs w:val="20"/>
          <w:color w:val="auto"/>
        </w:rPr>
      </w:pPr>
      <w:r>
        <w:rPr>
          <w:rFonts w:ascii="Arial" w:cs="Arial" w:eastAsia="Arial" w:hAnsi="Arial"/>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Arial" w:cs="Arial" w:eastAsia="Arial" w:hAnsi="Arial"/>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95"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a more material breach could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ind w:right="40" w:firstLine="509"/>
        <w:spacing w:after="0" w:line="289" w:lineRule="auto"/>
        <w:rPr>
          <w:sz w:val="20"/>
          <w:szCs w:val="20"/>
          <w:color w:val="auto"/>
        </w:rPr>
      </w:pPr>
      <w:r>
        <w:rPr>
          <w:rFonts w:ascii="Arial" w:cs="Arial" w:eastAsia="Arial" w:hAnsi="Arial"/>
          <w:sz w:val="16"/>
          <w:szCs w:val="16"/>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62"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change in our tax residence and/or tax laws could have a negative effect on our future profitability.</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have at all times sought to conduct our affairs in such a way so as to be solely resident in Ireland for tax purposes by virtue of having our place of effective management situated in Ireland.</w:t>
      </w:r>
    </w:p>
    <w:p>
      <w:pPr>
        <w:spacing w:after="0" w:line="6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84"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84"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Our and our subsidiaries’ income tax returns are periodically examined by various tax authorities, including the Internal Revenue Service, or the IRS, and state tax authorities.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A significant portion of our sales are to wholesalers in the pharmaceutical industry. Three customers individually accounted for 10% or more of our U.S. gross product sales. Customers A, B, and C accounted for 30%, 36%, and 29%, respectively, of gross product sales for the nine months ended September 30, 2023, and represented 37%, 37%, and 22%, respectively, of the gross accounts receivable balance as of September 30, 2023. Customers A, B, and C accounted for 26%, 36%, and 31%, respectively, of gross product sales for the nine months ended September 30, 2022, and represented 41%, 32%, and 22%, respectively, of the gross accounts receivable balance as of September 30, 2022. We expect that we may have customer concentration risk as we enter additional</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6" w:name="page67"/>
    <w:bookmarkEnd w:id="66"/>
    <w:p>
      <w:pPr>
        <w:ind w:right="40"/>
        <w:spacing w:after="0" w:line="263" w:lineRule="auto"/>
        <w:rPr>
          <w:sz w:val="20"/>
          <w:szCs w:val="20"/>
          <w:color w:val="auto"/>
        </w:rPr>
      </w:pPr>
      <w:r>
        <w:rPr>
          <w:rFonts w:ascii="Arial" w:cs="Arial" w:eastAsia="Arial" w:hAnsi="Arial"/>
          <w:sz w:val="18"/>
          <w:szCs w:val="18"/>
          <w:color w:val="auto"/>
        </w:rPr>
        <w:t>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have not yet reached sustained profitability. For the fiscal years ended December 31, 2022 and 2020, we reported net losses of approximately $105.8 million and $18.0 million, respectively. For the fiscal year ended December 31, 2021, we reported net income of approximately $7.7 million. We had an accumulated deficit as of December 31, 2022 of $1.5 billion. For the nine months ended September 30, 2023 and 2022, we reported losses of approximately $53.3 million and $106.7 million, respectively, and we had an accumulated deficit as of September 30, 2023 of $1.6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commercialization and research and development,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never generate sufficient revenue to achieve a steady state of profitability.</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80"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Even though VASCEPA has been approved by the U.S. FDA for marketing in the United States for two important indications,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commercialization efforts in the United States and Europe. If we are unable to consistently generate robust product revenues, we will not become profitable on a sustained basis in the near term, if ever, and may be unable to continue operations without continued funding.</w:t>
      </w:r>
    </w:p>
    <w:p>
      <w:pPr>
        <w:spacing w:after="0" w:line="219"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We believe that our quarterly and annual results of operations may be affected by a variety of factors, including those risks and uncertainties described in this Part II, Item 1A and the following:</w:t>
      </w:r>
    </w:p>
    <w:p>
      <w:pPr>
        <w:spacing w:after="0" w:line="79" w:lineRule="exact"/>
        <w:rPr>
          <w:sz w:val="20"/>
          <w:szCs w:val="20"/>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recent and future potential launches of additional generic versions of VASCEPA;</w:t>
      </w:r>
    </w:p>
    <w:p>
      <w:pPr>
        <w:spacing w:after="0" w:line="117" w:lineRule="exact"/>
        <w:rPr>
          <w:rFonts w:ascii="Arial" w:cs="Arial" w:eastAsia="Arial" w:hAnsi="Arial"/>
          <w:sz w:val="18"/>
          <w:szCs w:val="18"/>
          <w:color w:val="auto"/>
        </w:rPr>
      </w:pPr>
    </w:p>
    <w:p>
      <w:pPr>
        <w:jc w:val="both"/>
        <w:ind w:left="900" w:right="280" w:hanging="383"/>
        <w:spacing w:after="0" w:line="263"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ability of efforts outside the United States</w:t>
      </w:r>
      <w:r>
        <w:rPr>
          <w:rFonts w:ascii="Arial" w:cs="Arial" w:eastAsia="Arial" w:hAnsi="Arial"/>
          <w:sz w:val="18"/>
          <w:szCs w:val="18"/>
          <w:color w:val="auto"/>
          <w:strike w:val="1"/>
        </w:rPr>
        <w:t>,</w:t>
      </w:r>
      <w:r>
        <w:rPr>
          <w:rFonts w:ascii="Arial" w:cs="Arial" w:eastAsia="Arial" w:hAnsi="Arial"/>
          <w:sz w:val="18"/>
          <w:szCs w:val="18"/>
          <w:color w:val="auto"/>
        </w:rPr>
        <w:t xml:space="preserve"> to develop, register and commercialize VASCEPA in Europe, the China Territory, several Middle Eastern and North African countries, and Canada, including obtaining necessary regulatory approvals, favorable pricing and establishing marketing channels;</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continuing evolution of the medical community’s and the public’s perception of the REDUCE-IT study results;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28" w:lineRule="exact"/>
        <w:rPr>
          <w:rFonts w:ascii="Arial" w:cs="Arial" w:eastAsia="Arial" w:hAnsi="Arial"/>
          <w:sz w:val="17"/>
          <w:szCs w:val="17"/>
          <w:color w:val="auto"/>
        </w:rPr>
      </w:pPr>
    </w:p>
    <w:p>
      <w:pPr>
        <w:jc w:val="both"/>
        <w:ind w:left="900" w:right="340" w:hanging="383"/>
        <w:spacing w:after="0" w:line="263"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payors and the timing and extent to which such coverage and reimbursement changes;</w:t>
      </w:r>
    </w:p>
    <w:p>
      <w:pPr>
        <w:spacing w:after="0" w:line="75" w:lineRule="exact"/>
        <w:rPr>
          <w:rFonts w:ascii="Arial" w:cs="Arial" w:eastAsia="Arial" w:hAnsi="Arial"/>
          <w:sz w:val="18"/>
          <w:szCs w:val="18"/>
          <w:color w:val="auto"/>
        </w:rPr>
      </w:pPr>
    </w:p>
    <w:p>
      <w:pPr>
        <w:ind w:left="900" w:right="140" w:hanging="383"/>
        <w:spacing w:after="0" w:line="27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cost and level of investment in our sales and marketing efforts to support VASCEPA sales, and our cost and reorganization efforts, including our Organizational Restructuring Program announced in July 2023, and the resulting effectiveness of those efforts;</w:t>
      </w: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left="900" w:right="380" w:hanging="38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disruptions or delays in our or our partners’ commercial or development activities, including as a result of political instability, civil unrest, terrorism, pandemics or other natural disasters, such as the coronavirus pandemic;</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lasting impacts from the COVID-19 pandemic;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ongoing regulatory dialogue.</w:t>
      </w:r>
    </w:p>
    <w:p>
      <w:pPr>
        <w:spacing w:after="0" w:line="25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We currently operate with limited resources. We believe that our cash and cash equivalents balance of $270.8 million and short-term investment balance of $49.8 million as of September 30, 2023 will be sufficient to fund our projected operations for at least 12 months from the issuance date of our unaudited condensed consolidated financial statements included elsewhere in this Quarterly Report.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and VASCEPA promotional and educational activities, including launch activities in Europe on our operations and those of our customers and any current or potential generic competition.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order to fully realize the market potential of VASCEPA, we may need to enter into a new strategic collaboration or raise additional capital.</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17"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in the United States,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 and governmental inquiries;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time and costs involved in obtaining additional regulatory approvals for VASCEPA based on REDUCE-IT results internationally;</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tax laws could have a material adverse effect on our business, financial condition and results of operations.</w:t>
      </w:r>
    </w:p>
    <w:p>
      <w:pPr>
        <w:spacing w:after="0" w:line="117"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Tax law and policies in the United States and Ireland are unsettled and may be subject to significant change, including based on adjustments in political perspectives and administration shifts. In the United States and internationally, how to tax entities with international operations, like us,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58"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8" w:name="page69"/>
    <w:bookmarkEnd w:id="68"/>
    <w:p>
      <w:pPr>
        <w:ind w:right="700"/>
        <w:spacing w:after="0" w:line="277" w:lineRule="auto"/>
        <w:rPr>
          <w:sz w:val="20"/>
          <w:szCs w:val="20"/>
          <w:color w:val="auto"/>
        </w:rPr>
      </w:pPr>
      <w:r>
        <w:rPr>
          <w:rFonts w:ascii="Arial" w:cs="Arial" w:eastAsia="Arial" w:hAnsi="Arial"/>
          <w:sz w:val="18"/>
          <w:szCs w:val="18"/>
          <w:color w:val="auto"/>
        </w:rPr>
        <w:t>deferred taxes. Any change in our assessment of the realizability or the timing for realizing deferred taxes could have a negative impact our future profitability.</w:t>
      </w:r>
    </w:p>
    <w:p>
      <w:pPr>
        <w:spacing w:after="0" w:line="62"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57"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The IRA was enacted into law on August 16, 2022. Included in the IRA was a provision to implement a 15% corporate alternative minimum tax on corporations whose average annual adjusted financial statement income during the most recently-completed three-year period exceeds $1.0 billion. This provision is effective for tax years beginning after December 31, 2022. We are in the process of evaluating the provisions of the IRA.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no longer able to meet the listing requirements of the NASDAQ Global Market, our stock may be delisted.</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NASDAQ Global Market, or NASDAQ, on which our ADSs are listed and traded, has listing requirements that include a $1.00 minimum closing bid price requirement. NASDAQ will issue a deficiency notice if an issuer is in violation of a listing standard for a period of 30 consecutive days. We received a deficiency letter in October 2023, as our ADSs have traded below $1.00 for 30 consecutive days. Such deficiency letter does not result in the immediate delisting of our ADSs and we are provided a compliance period of 180 calendar days to regain compliance with NASDAQ's minimum bid price requirement. If we are to remain out of compliance, NASDAQ may elect, subject to any potential additional cure periods, to initiate a process that could delist our common shares from trading on the NASDAQ. Should such a delisting occur, it would adversely impact the liquidity and price of our ADSs and would impede our ability to raise capital.</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76"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As of October 27, 2023, we had 408,291,815 common shares outstanding, including 387,902,637 shares held as ADSs and 20,389,178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17" w:lineRule="exact"/>
        <w:rPr>
          <w:sz w:val="20"/>
          <w:szCs w:val="20"/>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17"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Further, the long-term effects of the UK's departure from the EU, or Brexit, remain uncertain and may have a negative effect on global economic conditions, financial markets and our business, which could reduce the price of our ADSs and common shares. In particular, ongoing uncertainty related to Brexit and the long-term relationship between the UK and the EU could lead to a period of</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spacing w:after="0" w:line="275" w:lineRule="auto"/>
        <w:rPr>
          <w:sz w:val="20"/>
          <w:szCs w:val="20"/>
          <w:color w:val="auto"/>
        </w:rPr>
      </w:pPr>
      <w:r>
        <w:rPr>
          <w:rFonts w:ascii="Arial" w:cs="Arial" w:eastAsia="Arial" w:hAnsi="Arial"/>
          <w:sz w:val="17"/>
          <w:szCs w:val="17"/>
          <w:color w:val="auto"/>
        </w:rPr>
        <w:t>disruption in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203"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accordance with the guidelines specified under Rule 10b5-1 under the Exchange Act and our policies regarding stock transactions, a number of our directors and employees, including members of our senior management team, have adopted and may continue to adopt pre-arranged stock trading plans to sell a portion of our common stock that they beneficially own. Generally, sales under such plans by members of our senior management team and directors require public filings. Actual or potential sales of our ADSs by such persons could cause the price of our ADSs to fall or prevent it from increasing for numerous reasons.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were to be characterized as a passive foreign investment company there could be adverse consequences to U.S. investors.</w:t>
      </w:r>
    </w:p>
    <w:p>
      <w:pPr>
        <w:spacing w:after="0" w:line="129"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Based on certain estimates of our gross income and gross assets, the latter determined by reference to the expected value of our ADSs and ordinary shares, we believe that we will not be classified as a PFIC for the taxable year ended December 31, 2022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6" w:lineRule="exact"/>
        <w:rPr>
          <w:sz w:val="20"/>
          <w:szCs w:val="20"/>
          <w:color w:val="auto"/>
        </w:rPr>
      </w:pPr>
    </w:p>
    <w:p>
      <w:pPr>
        <w:ind w:left="900" w:right="60" w:hanging="383"/>
        <w:spacing w:after="0" w:line="263"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5" w:lineRule="exact"/>
        <w:rPr>
          <w:rFonts w:ascii="Arial" w:cs="Arial" w:eastAsia="Arial" w:hAnsi="Arial"/>
          <w:sz w:val="18"/>
          <w:szCs w:val="18"/>
          <w:color w:val="auto"/>
        </w:rPr>
      </w:pPr>
    </w:p>
    <w:p>
      <w:pPr>
        <w:ind w:left="900" w:right="460" w:hanging="383"/>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 w:lineRule="exact"/>
        <w:rPr>
          <w:rFonts w:ascii="Arial" w:cs="Arial" w:eastAsia="Arial" w:hAnsi="Arial"/>
          <w:sz w:val="16"/>
          <w:szCs w:val="16"/>
          <w:color w:val="auto"/>
        </w:rPr>
      </w:pPr>
    </w:p>
    <w:p>
      <w:pPr>
        <w:ind w:left="900" w:right="560" w:hanging="383"/>
        <w:spacing w:after="0" w:line="274"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w:t>
      </w: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0" w:name="page71"/>
    <w:bookmarkEnd w:id="70"/>
    <w:p>
      <w:pPr>
        <w:ind w:left="900" w:right="160"/>
        <w:spacing w:after="0" w:line="277" w:lineRule="auto"/>
        <w:rPr>
          <w:sz w:val="20"/>
          <w:szCs w:val="20"/>
          <w:color w:val="auto"/>
        </w:rPr>
      </w:pPr>
      <w:r>
        <w:rPr>
          <w:rFonts w:ascii="Arial" w:cs="Arial" w:eastAsia="Arial" w:hAnsi="Arial"/>
          <w:sz w:val="18"/>
          <w:szCs w:val="18"/>
          <w:color w:val="auto"/>
        </w:rPr>
        <w:t>ordinary shares for cash. Under U.S. law, shareholders generally do not have preemptive rights unless specifically granted in the certificate of incorporation or otherwise.</w:t>
      </w:r>
    </w:p>
    <w:p>
      <w:pPr>
        <w:spacing w:after="0" w:line="62" w:lineRule="exact"/>
        <w:rPr>
          <w:sz w:val="20"/>
          <w:szCs w:val="20"/>
          <w:color w:val="auto"/>
        </w:rPr>
      </w:pPr>
    </w:p>
    <w:p>
      <w:pPr>
        <w:ind w:left="900" w:right="180" w:hanging="383"/>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79" w:lineRule="exact"/>
        <w:rPr>
          <w:rFonts w:ascii="Arial" w:cs="Arial" w:eastAsia="Arial" w:hAnsi="Arial"/>
          <w:sz w:val="18"/>
          <w:szCs w:val="18"/>
          <w:color w:val="auto"/>
        </w:rPr>
      </w:pPr>
    </w:p>
    <w:p>
      <w:pPr>
        <w:ind w:left="900" w:right="20" w:hanging="383"/>
        <w:spacing w:after="0" w:line="29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8" w:lineRule="exact"/>
        <w:rPr>
          <w:rFonts w:ascii="Arial" w:cs="Arial" w:eastAsia="Arial" w:hAnsi="Arial"/>
          <w:sz w:val="16"/>
          <w:szCs w:val="16"/>
          <w:color w:val="auto"/>
        </w:rPr>
      </w:pPr>
    </w:p>
    <w:p>
      <w:pPr>
        <w:ind w:left="900" w:right="40" w:hanging="383"/>
        <w:spacing w:after="0" w:line="30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49" w:lineRule="exact"/>
        <w:rPr>
          <w:rFonts w:ascii="Arial" w:cs="Arial" w:eastAsia="Arial" w:hAnsi="Arial"/>
          <w:sz w:val="16"/>
          <w:szCs w:val="16"/>
          <w:color w:val="auto"/>
        </w:rPr>
      </w:pPr>
    </w:p>
    <w:p>
      <w:pPr>
        <w:ind w:left="900" w:hanging="383"/>
        <w:spacing w:after="0" w:line="293"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Shareholder protections found in provisions under the UK City Code on Takeovers and Mergers, or the Takeover Code, do not apply to us.</w:t>
      </w:r>
    </w:p>
    <w:p>
      <w:pPr>
        <w:spacing w:after="0" w:line="140"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63" w:lineRule="exact"/>
        <w:rPr>
          <w:sz w:val="20"/>
          <w:szCs w:val="20"/>
          <w:color w:val="auto"/>
        </w:rPr>
      </w:pPr>
    </w:p>
    <w:p>
      <w:pPr>
        <w:ind w:left="900" w:right="80" w:hanging="383"/>
        <w:spacing w:after="0" w:line="31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40" w:lineRule="exact"/>
        <w:rPr>
          <w:rFonts w:ascii="Arial" w:cs="Arial" w:eastAsia="Arial" w:hAnsi="Arial"/>
          <w:sz w:val="16"/>
          <w:szCs w:val="16"/>
          <w:color w:val="auto"/>
        </w:rPr>
      </w:pPr>
    </w:p>
    <w:p>
      <w:pPr>
        <w:ind w:left="900" w:right="80" w:hanging="383"/>
        <w:spacing w:after="0" w:line="30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49" w:lineRule="exact"/>
        <w:rPr>
          <w:rFonts w:ascii="Arial" w:cs="Arial" w:eastAsia="Arial" w:hAnsi="Arial"/>
          <w:sz w:val="16"/>
          <w:szCs w:val="16"/>
          <w:color w:val="auto"/>
        </w:rPr>
      </w:pPr>
    </w:p>
    <w:p>
      <w:pPr>
        <w:ind w:left="900" w:right="40" w:hanging="383"/>
        <w:spacing w:after="0" w:line="29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53" w:lineRule="exact"/>
        <w:rPr>
          <w:rFonts w:ascii="Arial" w:cs="Arial" w:eastAsia="Arial" w:hAnsi="Arial"/>
          <w:sz w:val="16"/>
          <w:szCs w:val="16"/>
          <w:color w:val="auto"/>
        </w:rPr>
      </w:pPr>
    </w:p>
    <w:p>
      <w:pPr>
        <w:ind w:left="900" w:right="60" w:hanging="38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62" w:lineRule="exact"/>
        <w:rPr>
          <w:rFonts w:ascii="Arial" w:cs="Arial" w:eastAsia="Arial" w:hAnsi="Arial"/>
          <w:sz w:val="18"/>
          <w:szCs w:val="18"/>
          <w:color w:val="auto"/>
        </w:rPr>
      </w:pPr>
    </w:p>
    <w:p>
      <w:pPr>
        <w:ind w:left="900" w:right="180" w:hanging="383"/>
        <w:spacing w:after="0" w:line="25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ind w:left="900" w:right="160" w:hanging="383"/>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directors of those parties issuing takeover circulars must include statements taking responsibility for the contents thereof.</w:t>
      </w:r>
    </w:p>
    <w:p>
      <w:pPr>
        <w:spacing w:after="0" w:line="117" w:lineRule="exact"/>
        <w:rPr>
          <w:rFonts w:ascii="Arial" w:cs="Arial" w:eastAsia="Arial" w:hAnsi="Arial"/>
          <w:sz w:val="18"/>
          <w:szCs w:val="18"/>
          <w:color w:val="auto"/>
        </w:rPr>
      </w:pPr>
    </w:p>
    <w:p>
      <w:pPr>
        <w:ind w:left="900" w:right="180" w:hanging="383"/>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Misleading, inaccurate or unsubstantiated statements made in documents or to the media must be publicly corrected immediately.</w:t>
      </w:r>
    </w:p>
    <w:p>
      <w:pPr>
        <w:spacing w:after="0" w:line="128" w:lineRule="exact"/>
        <w:rPr>
          <w:rFonts w:ascii="Arial" w:cs="Arial" w:eastAsia="Arial" w:hAnsi="Arial"/>
          <w:sz w:val="17"/>
          <w:szCs w:val="17"/>
          <w:color w:val="auto"/>
        </w:rPr>
      </w:pPr>
    </w:p>
    <w:p>
      <w:pPr>
        <w:ind w:left="900" w:right="380" w:hanging="383"/>
        <w:spacing w:after="0" w:line="27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63" w:lineRule="exact"/>
        <w:rPr>
          <w:rFonts w:ascii="Arial" w:cs="Arial" w:eastAsia="Arial" w:hAnsi="Arial"/>
          <w:sz w:val="17"/>
          <w:szCs w:val="17"/>
          <w:color w:val="auto"/>
        </w:rPr>
      </w:pPr>
    </w:p>
    <w:p>
      <w:pPr>
        <w:ind w:left="900" w:right="140" w:hanging="383"/>
        <w:spacing w:after="0" w:line="263"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75" w:lineRule="exact"/>
        <w:rPr>
          <w:rFonts w:ascii="Arial" w:cs="Arial" w:eastAsia="Arial" w:hAnsi="Arial"/>
          <w:sz w:val="18"/>
          <w:szCs w:val="18"/>
          <w:color w:val="auto"/>
        </w:rPr>
      </w:pPr>
    </w:p>
    <w:p>
      <w:pPr>
        <w:ind w:left="900" w:right="20" w:hanging="383"/>
        <w:spacing w:after="0" w:line="31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91"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2" w:name="page73"/>
    <w:bookmarkEnd w:id="72"/>
    <w:p>
      <w:pPr>
        <w:ind w:right="240" w:firstLine="509"/>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76"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The UK left the EU on January 31, 2020, but remained in the EU’s customs union and single market for a transitional period that expired on December 31, 2020. Although the UK entered into a trade and cooperation agreement with the EU, which was provisionally applicable since January 1, 2021 and formally applicable since May 1, 2021, the UK-EU TCA, that provides for, among other things, the free movement of goods between the United Kingdom and the EU, continued legal uncertainty and potentially divergent national laws and regulations in areas not specifically addressed in the UK-EU TCA may continue to affect trade and other interactions between the UK and the EU. In addition, UK service suppliers no longer benefit from automatic access to the entire EU single market and free movement of goods is subject to increased bureaucracy. The loss of these benefits could impact the attractiveness of the UK as a global business and financial center, which may have an adverse effect on the rate of economic growth in the UK and the EU.</w:t>
      </w:r>
    </w:p>
    <w:p>
      <w:pPr>
        <w:spacing w:after="0" w:line="5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On a greater macroeconomic level, ongoing uncertainty related to Brexit and the UK’s legal, political and economic relationship with the EU may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76"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These developments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63"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long-term effects of Brexit are currently unknown and will depend on the evolution of any agreements (or lack thereof) that the UK makes to retain access to the EU markets.</w:t>
      </w:r>
    </w:p>
    <w:p>
      <w:pPr>
        <w:spacing w:after="0" w:line="62"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Such a withdrawal from the EU is unprecedented, and it remains unclear how the UK’s access to the European single market for goods, capital, services and labor within the EU, or single market, and the wider commercial, legal and regulatory environment, will impact our long-term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w:t>
      </w:r>
    </w:p>
    <w:p>
      <w:pPr>
        <w:spacing w:after="0" w:line="80" w:lineRule="exact"/>
        <w:rPr>
          <w:sz w:val="20"/>
          <w:szCs w:val="20"/>
          <w:color w:val="auto"/>
        </w:rPr>
      </w:pPr>
    </w:p>
    <w:p>
      <w:pPr>
        <w:ind w:right="160" w:firstLine="509"/>
        <w:spacing w:after="0" w:line="271"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The impact of the terms of the recent trade deal between the UK and EU are uncertain.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commercialization of our products in the UK. Any delay in commercializing our products in the UK and/or the EU could restrict our ability to generate revenue and achieve and sustain profitability.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Negative economic conditions would likely have a negative effect on our ability to obtain financing on acceptable terms.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We may also have to scale back or further restructure our operations. If we are unable to obtain additional funding when needed , we may be required to curtail or terminate some or all of our research or development programs or our commercialization strategies.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right="180" w:firstLine="509"/>
        <w:spacing w:after="0" w:line="286" w:lineRule="auto"/>
        <w:rPr>
          <w:sz w:val="20"/>
          <w:szCs w:val="20"/>
          <w:color w:val="auto"/>
        </w:rPr>
      </w:pPr>
      <w:r>
        <w:rPr>
          <w:rFonts w:ascii="Arial" w:cs="Arial" w:eastAsia="Arial" w:hAnsi="Arial"/>
          <w:sz w:val="17"/>
          <w:szCs w:val="17"/>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57" w:lineRule="exact"/>
        <w:rPr>
          <w:sz w:val="20"/>
          <w:szCs w:val="20"/>
          <w:color w:val="auto"/>
        </w:rPr>
      </w:pPr>
    </w:p>
    <w:p>
      <w:pPr>
        <w:ind w:right="260" w:firstLine="509"/>
        <w:spacing w:after="0" w:line="258" w:lineRule="auto"/>
        <w:rPr>
          <w:sz w:val="20"/>
          <w:szCs w:val="20"/>
          <w:color w:val="auto"/>
        </w:rPr>
      </w:pPr>
      <w:r>
        <w:rPr>
          <w:rFonts w:ascii="Arial" w:cs="Arial" w:eastAsia="Arial" w:hAnsi="Arial"/>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3" w:name="page74"/>
    <w:bookmarkEnd w:id="73"/>
    <w:p>
      <w:pPr>
        <w:ind w:right="520"/>
        <w:spacing w:after="0" w:line="342" w:lineRule="auto"/>
        <w:rPr>
          <w:sz w:val="20"/>
          <w:szCs w:val="20"/>
          <w:color w:val="auto"/>
        </w:rPr>
      </w:pPr>
      <w:r>
        <w:rPr>
          <w:rFonts w:ascii="Arial" w:cs="Arial" w:eastAsia="Arial" w:hAnsi="Arial"/>
          <w:sz w:val="16"/>
          <w:szCs w:val="16"/>
          <w:color w:val="auto"/>
        </w:rPr>
        <w:t>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76" w:lineRule="exact"/>
        <w:rPr>
          <w:sz w:val="20"/>
          <w:szCs w:val="20"/>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1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11"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b w:val="1"/>
          <w:bCs w:val="1"/>
          <w:i w:val="1"/>
          <w:iCs w:val="1"/>
          <w:color w:val="auto"/>
        </w:rPr>
        <w:t>We are currently operating in a period of economic uncertainty and capital markets disruption, which has been significantly impacted by geopolitical instability, including in Europe, and record inflation. Our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7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Economic uncertainty in various global markets, including the U.S. and Europe, caused by political instability and conflict, such as Russia's invasion of Ukraine and current armed conflict in Israel and the Gaza Strip, and economic challenges caused by the COVID-19 pandemic, have led to market disruptions, including significant volatility in commodity prices, credit and capital market instability and supply chain interruptions, which have caused record inflation globally.</w:t>
      </w:r>
    </w:p>
    <w:p>
      <w:pPr>
        <w:spacing w:after="0" w:line="79"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 of the military conflict between Russia and Ukraine, the current armed conflict in Israel and the Gaza Strip, geopolitical tensions, record inflation or otherwise, are impossible to predict, but could be substantial. Any such disruptions may also magnify the impact of other risks described in this report.</w:t>
      </w:r>
    </w:p>
    <w:p>
      <w:pPr>
        <w:spacing w:after="0" w:line="29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 purchased in the third quarter of 2023 are as follows: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217"/>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Average Price</w:t>
            </w:r>
          </w:p>
        </w:tc>
        <w:tc>
          <w:tcPr>
            <w:tcW w:w="80" w:type="dxa"/>
            <w:vAlign w:val="bottom"/>
          </w:tcPr>
          <w:p>
            <w:pPr>
              <w:spacing w:after="0"/>
              <w:rPr>
                <w:sz w:val="14"/>
                <w:szCs w:val="14"/>
                <w:color w:val="auto"/>
              </w:rPr>
            </w:pPr>
          </w:p>
        </w:tc>
      </w:tr>
      <w:tr>
        <w:trPr>
          <w:trHeight w:val="189"/>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Period</w:t>
            </w:r>
          </w:p>
        </w:tc>
        <w:tc>
          <w:tcPr>
            <w:tcW w:w="160" w:type="dxa"/>
            <w:vAlign w:val="bottom"/>
          </w:tcPr>
          <w:p>
            <w:pPr>
              <w:spacing w:after="0"/>
              <w:rPr>
                <w:sz w:val="16"/>
                <w:szCs w:val="16"/>
                <w:color w:val="auto"/>
              </w:rPr>
            </w:pPr>
          </w:p>
        </w:tc>
        <w:tc>
          <w:tcPr>
            <w:tcW w:w="1600" w:type="dxa"/>
            <w:vAlign w:val="bottom"/>
            <w:tcBorders>
              <w:bottom w:val="single" w:sz="8" w:color="auto"/>
            </w:tcBorders>
          </w:tcPr>
          <w:p>
            <w:pPr>
              <w:jc w:val="right"/>
              <w:ind w:right="97"/>
              <w:spacing w:after="0" w:line="189" w:lineRule="exact"/>
              <w:rPr>
                <w:sz w:val="20"/>
                <w:szCs w:val="20"/>
                <w:color w:val="auto"/>
              </w:rPr>
            </w:pPr>
            <w:r>
              <w:rPr>
                <w:rFonts w:ascii="Arial" w:cs="Arial" w:eastAsia="Arial" w:hAnsi="Arial"/>
                <w:sz w:val="14"/>
                <w:szCs w:val="14"/>
                <w:b w:val="1"/>
                <w:bCs w:val="1"/>
                <w:color w:val="auto"/>
                <w:w w:val="98"/>
              </w:rPr>
              <w:t xml:space="preserve">Shares Purchased </w:t>
            </w:r>
            <w:r>
              <w:rPr>
                <w:rFonts w:ascii="Arial" w:cs="Arial" w:eastAsia="Arial" w:hAnsi="Arial"/>
                <w:sz w:val="19"/>
                <w:szCs w:val="19"/>
                <w:b w:val="1"/>
                <w:bCs w:val="1"/>
                <w:color w:val="auto"/>
                <w:w w:val="98"/>
                <w:vertAlign w:val="superscript"/>
              </w:rPr>
              <w:t>(1)</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3"/>
              </w:rPr>
              <w:t>Paid per Share</w:t>
            </w:r>
          </w:p>
        </w:tc>
        <w:tc>
          <w:tcPr>
            <w:tcW w:w="80" w:type="dxa"/>
            <w:vAlign w:val="bottom"/>
          </w:tcPr>
          <w:p>
            <w:pPr>
              <w:spacing w:after="0"/>
              <w:rPr>
                <w:sz w:val="16"/>
                <w:szCs w:val="16"/>
                <w:color w:val="auto"/>
              </w:rPr>
            </w:pPr>
          </w:p>
        </w:tc>
      </w:tr>
      <w:tr>
        <w:trPr>
          <w:trHeight w:val="236"/>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July 1 - 31, 2023</w:t>
            </w: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101,388</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20"/>
                <w:szCs w:val="20"/>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August 1 - 31, 2023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123,047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0"/>
                <w:szCs w:val="20"/>
                <w:color w:val="auto"/>
              </w:rPr>
            </w:pPr>
          </w:p>
        </w:tc>
      </w:tr>
      <w:tr>
        <w:trPr>
          <w:trHeight w:val="243"/>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September 1 - 30, 2023</w:t>
            </w:r>
          </w:p>
        </w:tc>
        <w:tc>
          <w:tcPr>
            <w:tcW w:w="1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235,344</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95" w:lineRule="exact"/>
        <w:rPr>
          <w:sz w:val="20"/>
          <w:szCs w:val="20"/>
          <w:color w:val="auto"/>
        </w:rPr>
      </w:pPr>
    </w:p>
    <w:p>
      <w:pPr>
        <w:ind w:left="380" w:right="180" w:hanging="372"/>
        <w:spacing w:after="0" w:line="221" w:lineRule="auto"/>
        <w:tabs>
          <w:tab w:leader="none" w:pos="326" w:val="left"/>
        </w:tabs>
        <w:numPr>
          <w:ilvl w:val="0"/>
          <w:numId w:val="38"/>
        </w:numPr>
        <w:rPr>
          <w:rFonts w:ascii="Arial" w:cs="Arial" w:eastAsia="Arial" w:hAnsi="Arial"/>
          <w:sz w:val="24"/>
          <w:szCs w:val="24"/>
          <w:color w:val="auto"/>
          <w:vertAlign w:val="superscript"/>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On September 12, 2023, Dr. Steven Ketchum, President of R&amp;D and Chief Scientific Officer of the Company, adopted a trading arrangement for the sale of securities of the Company's common stock, or a Rule 10b5-1 Trading Plan, that is intended to satisfy the affirmative defense conditions of Securities Exchange Act Rule 10b5-1(c). Dr. Ketchum's Rule 10b5-1 Trading Plan, which has a plan end date of December 31, 2025, provides for the sale of up to 1,598,749 shares of common stock pursuant to the terms of the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incorporated by reference or filed or furnished as part of this report.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36"/>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3"/>
                <w:szCs w:val="3"/>
                <w:color w:val="auto"/>
              </w:rPr>
            </w:pPr>
          </w:p>
        </w:tc>
        <w:tc>
          <w:tcPr>
            <w:tcW w:w="416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Description</w:t>
            </w:r>
          </w:p>
        </w:tc>
        <w:tc>
          <w:tcPr>
            <w:tcW w:w="196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Form</w:t>
            </w:r>
          </w:p>
        </w:tc>
        <w:tc>
          <w:tcPr>
            <w:tcW w:w="4080" w:type="dxa"/>
            <w:vAlign w:val="bottom"/>
            <w:tcBorders>
              <w:bottom w:val="single" w:sz="8" w:color="auto"/>
            </w:tcBorders>
          </w:tcPr>
          <w:p>
            <w:pPr>
              <w:ind w:left="26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320" w:top="661" w:right="339" w:bottom="1440" w:gutter="0" w:footer="0" w:header="0"/>
        </w:sectPr>
      </w:pPr>
    </w:p>
    <w:p>
      <w:pPr>
        <w:ind w:left="120"/>
        <w:spacing w:after="0"/>
        <w:rPr>
          <w:rFonts w:ascii="Arial" w:cs="Arial" w:eastAsia="Arial" w:hAnsi="Arial"/>
          <w:sz w:val="15"/>
          <w:szCs w:val="15"/>
          <w:u w:val="single" w:color="auto"/>
          <w:color w:val="0000FF"/>
        </w:rPr>
      </w:pPr>
      <w:hyperlink r:id="rId232">
        <w:r>
          <w:rPr>
            <w:rFonts w:ascii="Arial" w:cs="Arial" w:eastAsia="Arial" w:hAnsi="Arial"/>
            <w:sz w:val="15"/>
            <w:szCs w:val="15"/>
            <w:u w:val="single" w:color="auto"/>
            <w:color w:val="0000FF"/>
          </w:rPr>
          <w:t>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2000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0"/>
        <w:spacing w:after="0"/>
        <w:rPr>
          <w:rFonts w:ascii="Arial" w:cs="Arial" w:eastAsia="Arial" w:hAnsi="Arial"/>
          <w:sz w:val="15"/>
          <w:szCs w:val="15"/>
          <w:u w:val="single" w:color="auto"/>
          <w:color w:val="0000FF"/>
        </w:rPr>
      </w:pPr>
      <w:hyperlink r:id="rId232">
        <w:r>
          <w:rPr>
            <w:rFonts w:ascii="Arial" w:cs="Arial" w:eastAsia="Arial" w:hAnsi="Arial"/>
            <w:sz w:val="15"/>
            <w:szCs w:val="15"/>
            <w:u w:val="single" w:color="auto"/>
            <w:color w:val="0000FF"/>
          </w:rPr>
          <w:t>10.2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2000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0"/>
        <w:spacing w:after="0"/>
        <w:rPr>
          <w:rFonts w:ascii="Arial" w:cs="Arial" w:eastAsia="Arial" w:hAnsi="Arial"/>
          <w:sz w:val="15"/>
          <w:szCs w:val="15"/>
          <w:u w:val="single" w:color="auto"/>
          <w:color w:val="0000FF"/>
        </w:rPr>
      </w:pPr>
      <w:hyperlink r:id="rId235">
        <w:r>
          <w:rPr>
            <w:rFonts w:ascii="Arial" w:cs="Arial" w:eastAsia="Arial" w:hAnsi="Arial"/>
            <w:sz w:val="15"/>
            <w:szCs w:val="15"/>
            <w:u w:val="single" w:color="auto"/>
            <w:color w:val="0000FF"/>
          </w:rPr>
          <w:t>10.3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2000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5"/>
          <w:szCs w:val="15"/>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2000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5"/>
          <w:szCs w:val="15"/>
          <w:u w:val="single" w:color="auto"/>
          <w:color w:val="0000FF"/>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2000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5"/>
          <w:szCs w:val="15"/>
          <w:u w:val="single" w:color="auto"/>
          <w:color w:val="0000FF"/>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2000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308" w:lineRule="auto"/>
        <w:rPr>
          <w:rFonts w:ascii="Arial" w:cs="Arial" w:eastAsia="Arial" w:hAnsi="Arial"/>
          <w:sz w:val="17"/>
          <w:szCs w:val="17"/>
          <w:u w:val="single" w:color="auto"/>
          <w:color w:val="0000FF"/>
        </w:rPr>
      </w:pPr>
      <w:hyperlink r:id="rId232">
        <w:r>
          <w:rPr>
            <w:rFonts w:ascii="Arial" w:cs="Arial" w:eastAsia="Arial" w:hAnsi="Arial"/>
            <w:sz w:val="17"/>
            <w:szCs w:val="17"/>
            <w:u w:val="single" w:color="auto"/>
            <w:color w:val="0000FF"/>
          </w:rPr>
          <w:t>CEO Employment Agreement between Patrick Holt and</w:t>
        </w:r>
      </w:hyperlink>
      <w:r>
        <w:rPr>
          <w:rFonts w:ascii="Arial" w:cs="Arial" w:eastAsia="Arial" w:hAnsi="Arial"/>
          <w:sz w:val="17"/>
          <w:szCs w:val="17"/>
          <w:u w:val="single" w:color="auto"/>
          <w:color w:val="0000FF"/>
        </w:rPr>
        <w:t xml:space="preserve"> </w:t>
      </w:r>
      <w:hyperlink r:id="rId232">
        <w:r>
          <w:rPr>
            <w:rFonts w:ascii="Arial" w:cs="Arial" w:eastAsia="Arial" w:hAnsi="Arial"/>
            <w:sz w:val="17"/>
            <w:szCs w:val="17"/>
            <w:u w:val="single" w:color="auto"/>
            <w:color w:val="0000FF"/>
          </w:rPr>
          <w:t>Amarin Corporation, plc. dated July 18,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25984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259842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-60325</wp:posOffset>
            </wp:positionV>
            <wp:extent cx="20783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86" w:lineRule="exact"/>
        <w:rPr>
          <w:sz w:val="20"/>
          <w:szCs w:val="20"/>
          <w:color w:val="auto"/>
        </w:rPr>
      </w:pPr>
    </w:p>
    <w:p>
      <w:pPr>
        <w:spacing w:after="0"/>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Option Award Agreement (attached to Exhibit 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237871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381" w:lineRule="exact"/>
        <w:rPr>
          <w:sz w:val="20"/>
          <w:szCs w:val="20"/>
          <w:color w:val="auto"/>
        </w:rPr>
      </w:pPr>
    </w:p>
    <w:p>
      <w:pPr>
        <w:ind w:right="120"/>
        <w:spacing w:after="0" w:line="277" w:lineRule="auto"/>
        <w:rPr>
          <w:rFonts w:ascii="Arial" w:cs="Arial" w:eastAsia="Arial" w:hAnsi="Arial"/>
          <w:sz w:val="18"/>
          <w:szCs w:val="18"/>
          <w:u w:val="single" w:color="auto"/>
          <w:color w:val="0000FF"/>
        </w:rPr>
      </w:pPr>
      <w:hyperlink r:id="rId235">
        <w:r>
          <w:rPr>
            <w:rFonts w:ascii="Arial" w:cs="Arial" w:eastAsia="Arial" w:hAnsi="Arial"/>
            <w:sz w:val="18"/>
            <w:szCs w:val="18"/>
            <w:u w:val="single" w:color="auto"/>
            <w:color w:val="0000FF"/>
          </w:rPr>
          <w:t>Amendment No. 2 to the Amarin Corporation plc 2020</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Stock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-182245</wp:posOffset>
            </wp:positionV>
            <wp:extent cx="25450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25450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-45085</wp:posOffset>
            </wp:positionV>
            <wp:extent cx="9455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line="11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0000FF"/>
        </w:rPr>
        <w:t>Certification of President and Chief Executive Officer (Principal Executive Officer) pursuant to Section 302 of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-311150</wp:posOffset>
            </wp:positionV>
            <wp:extent cx="25012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250126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-173990</wp:posOffset>
            </wp:positionV>
            <wp:extent cx="25933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25933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wp:posOffset>
            </wp:positionV>
            <wp:extent cx="13036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0000FF"/>
        </w:rPr>
        <w:t>Certification of Senior Vice President and Chief Financial Officer (Principal Financial Officer and Principal Accounting Officer) pursuant to Section 302 of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-446405</wp:posOffset>
            </wp:positionV>
            <wp:extent cx="22237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222377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-309245</wp:posOffset>
            </wp:positionV>
            <wp:extent cx="22923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22923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-172085</wp:posOffset>
            </wp:positionV>
            <wp:extent cx="26314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13036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u w:val="single" w:color="auto"/>
          <w:color w:val="0000FF"/>
        </w:rPr>
        <w:t>Certification of President and Chief Executive Officer (Principal Executive Officer) and Senior Vice President and Chief Financial Officer (Principal Financial Officer and Principal Accounting Officer) pursuant to Section 906 of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-599440</wp:posOffset>
            </wp:positionV>
            <wp:extent cx="25012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250126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-462280</wp:posOffset>
            </wp:positionV>
            <wp:extent cx="25704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25704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-325120</wp:posOffset>
            </wp:positionV>
            <wp:extent cx="25749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25749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-187960</wp:posOffset>
            </wp:positionV>
            <wp:extent cx="25012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250126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-50800</wp:posOffset>
            </wp:positionV>
            <wp:extent cx="16275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80" w:val="left"/>
        </w:tabs>
        <w:rPr>
          <w:sz w:val="20"/>
          <w:szCs w:val="20"/>
          <w:color w:val="auto"/>
        </w:rPr>
      </w:pPr>
      <w:r>
        <w:rPr>
          <w:rFonts w:ascii="Arial" w:cs="Arial" w:eastAsia="Arial" w:hAnsi="Arial"/>
          <w:sz w:val="18"/>
          <w:szCs w:val="18"/>
          <w:color w:val="auto"/>
        </w:rPr>
        <w:t>Current Report on Form 8-K filed with the</w:t>
      </w:r>
      <w:r>
        <w:rPr>
          <w:sz w:val="20"/>
          <w:szCs w:val="20"/>
          <w:color w:val="auto"/>
        </w:rPr>
        <w:tab/>
      </w:r>
      <w:r>
        <w:rPr>
          <w:rFonts w:ascii="Arial" w:cs="Arial" w:eastAsia="Arial" w:hAnsi="Arial"/>
          <w:sz w:val="16"/>
          <w:szCs w:val="16"/>
          <w:color w:val="auto"/>
        </w:rPr>
        <w:t>July 20,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 on July 20, 2023, as Exhibit 10.1</w:t>
      </w:r>
    </w:p>
    <w:p>
      <w:pPr>
        <w:spacing w:after="0" w:line="170"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 filed with the</w:t>
      </w:r>
      <w:r>
        <w:rPr>
          <w:sz w:val="20"/>
          <w:szCs w:val="20"/>
          <w:color w:val="auto"/>
        </w:rPr>
        <w:tab/>
      </w:r>
      <w:r>
        <w:rPr>
          <w:rFonts w:ascii="Arial" w:cs="Arial" w:eastAsia="Arial" w:hAnsi="Arial"/>
          <w:sz w:val="16"/>
          <w:szCs w:val="16"/>
          <w:color w:val="auto"/>
        </w:rPr>
        <w:t>July 20,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 on July 20, 2023, as Exhibit 10.2</w:t>
      </w:r>
    </w:p>
    <w:p>
      <w:pPr>
        <w:spacing w:after="0" w:line="170"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 filed with the</w:t>
      </w:r>
      <w:r>
        <w:rPr>
          <w:sz w:val="20"/>
          <w:szCs w:val="20"/>
          <w:color w:val="auto"/>
        </w:rPr>
        <w:tab/>
      </w:r>
      <w:r>
        <w:rPr>
          <w:rFonts w:ascii="Arial" w:cs="Arial" w:eastAsia="Arial" w:hAnsi="Arial"/>
          <w:sz w:val="16"/>
          <w:szCs w:val="16"/>
          <w:color w:val="auto"/>
        </w:rPr>
        <w:t>July 25, 2023</w:t>
      </w:r>
    </w:p>
    <w:p>
      <w:pPr>
        <w:spacing w:after="0" w:line="23" w:lineRule="exact"/>
        <w:rPr>
          <w:sz w:val="20"/>
          <w:szCs w:val="20"/>
          <w:color w:val="auto"/>
        </w:rPr>
      </w:pPr>
    </w:p>
    <w:p>
      <w:pPr>
        <w:ind w:right="2700"/>
        <w:spacing w:after="0" w:line="464" w:lineRule="auto"/>
        <w:rPr>
          <w:sz w:val="20"/>
          <w:szCs w:val="20"/>
          <w:color w:val="auto"/>
        </w:rPr>
      </w:pPr>
      <w:r>
        <w:rPr>
          <w:rFonts w:ascii="Arial" w:cs="Arial" w:eastAsia="Arial" w:hAnsi="Arial"/>
          <w:sz w:val="18"/>
          <w:szCs w:val="18"/>
          <w:color w:val="auto"/>
        </w:rPr>
        <w:t>Commission on July 25, 2023, as Exhibit 10.2 Filed herewith</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048" w:lineRule="exact"/>
        <w:rPr>
          <w:sz w:val="20"/>
          <w:szCs w:val="20"/>
          <w:color w:val="auto"/>
        </w:rPr>
      </w:pPr>
    </w:p>
    <w:p>
      <w:pPr>
        <w:sectPr>
          <w:pgSz w:w="11900" w:h="16838" w:orient="portrait"/>
          <w:cols w:equalWidth="0" w:num="3">
            <w:col w:w="420" w:space="620"/>
            <w:col w:w="4100" w:space="80"/>
            <w:col w:w="602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4260" w:type="dxa"/>
            <w:vAlign w:val="bottom"/>
          </w:tcPr>
          <w:p>
            <w:pPr>
              <w:ind w:left="160"/>
              <w:spacing w:after="0"/>
              <w:rPr>
                <w:sz w:val="20"/>
                <w:szCs w:val="20"/>
                <w:color w:val="auto"/>
              </w:rPr>
            </w:pPr>
            <w:r>
              <w:rPr>
                <w:rFonts w:ascii="Arial" w:cs="Arial" w:eastAsia="Arial" w:hAnsi="Arial"/>
                <w:sz w:val="18"/>
                <w:szCs w:val="18"/>
                <w:color w:val="auto"/>
                <w:w w:val="95"/>
              </w:rPr>
              <w:t>Inline XBRL Taxonomy Extension Schema Document</w:t>
            </w:r>
          </w:p>
        </w:tc>
        <w:tc>
          <w:tcPr>
            <w:tcW w:w="61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77"/>
        </w:trPr>
        <w:tc>
          <w:tcPr>
            <w:tcW w:w="880" w:type="dxa"/>
            <w:vAlign w:val="bottom"/>
          </w:tcPr>
          <w:p>
            <w:pPr>
              <w:ind w:left="20"/>
              <w:spacing w:after="0"/>
              <w:rPr>
                <w:sz w:val="20"/>
                <w:szCs w:val="20"/>
                <w:color w:val="auto"/>
              </w:rPr>
            </w:pPr>
            <w:r>
              <w:rPr>
                <w:rFonts w:ascii="Arial" w:cs="Arial" w:eastAsia="Arial" w:hAnsi="Arial"/>
                <w:sz w:val="18"/>
                <w:szCs w:val="18"/>
                <w:color w:val="auto"/>
              </w:rPr>
              <w:t>101.CAL</w:t>
            </w:r>
          </w:p>
        </w:tc>
        <w:tc>
          <w:tcPr>
            <w:tcW w:w="10360" w:type="dxa"/>
            <w:vAlign w:val="bottom"/>
            <w:gridSpan w:val="2"/>
          </w:tcPr>
          <w:p>
            <w:pPr>
              <w:ind w:left="160"/>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230"/>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6100" w:type="dxa"/>
            <w:vAlign w:val="bottom"/>
          </w:tcPr>
          <w:p>
            <w:pPr>
              <w:spacing w:after="0"/>
              <w:rPr>
                <w:sz w:val="20"/>
                <w:szCs w:val="20"/>
                <w:color w:val="auto"/>
              </w:rPr>
            </w:pPr>
          </w:p>
        </w:tc>
      </w:tr>
      <w:tr>
        <w:trPr>
          <w:trHeight w:val="377"/>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4260" w:type="dxa"/>
            <w:vAlign w:val="bottom"/>
          </w:tcPr>
          <w:p>
            <w:pPr>
              <w:ind w:left="160"/>
              <w:spacing w:after="0"/>
              <w:rPr>
                <w:sz w:val="20"/>
                <w:szCs w:val="20"/>
                <w:color w:val="auto"/>
              </w:rPr>
            </w:pPr>
            <w:r>
              <w:rPr>
                <w:rFonts w:ascii="Arial" w:cs="Arial" w:eastAsia="Arial" w:hAnsi="Arial"/>
                <w:sz w:val="18"/>
                <w:szCs w:val="18"/>
                <w:color w:val="auto"/>
                <w:w w:val="95"/>
              </w:rPr>
              <w:t>Inline XBRL Taxonomy Extension Definition Linkbase</w:t>
            </w:r>
          </w:p>
        </w:tc>
        <w:tc>
          <w:tcPr>
            <w:tcW w:w="61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6100" w:type="dxa"/>
            <w:vAlign w:val="bottom"/>
          </w:tcPr>
          <w:p>
            <w:pPr>
              <w:spacing w:after="0"/>
              <w:rPr>
                <w:sz w:val="20"/>
                <w:szCs w:val="20"/>
                <w:color w:val="auto"/>
              </w:rPr>
            </w:pPr>
          </w:p>
        </w:tc>
      </w:tr>
      <w:tr>
        <w:trPr>
          <w:trHeight w:val="377"/>
        </w:trPr>
        <w:tc>
          <w:tcPr>
            <w:tcW w:w="880" w:type="dxa"/>
            <w:vAlign w:val="bottom"/>
          </w:tcPr>
          <w:p>
            <w:pPr>
              <w:ind w:left="20"/>
              <w:spacing w:after="0"/>
              <w:rPr>
                <w:sz w:val="20"/>
                <w:szCs w:val="20"/>
                <w:color w:val="auto"/>
              </w:rPr>
            </w:pPr>
            <w:r>
              <w:rPr>
                <w:rFonts w:ascii="Arial" w:cs="Arial" w:eastAsia="Arial" w:hAnsi="Arial"/>
                <w:sz w:val="18"/>
                <w:szCs w:val="18"/>
                <w:color w:val="auto"/>
              </w:rPr>
              <w:t>101.LAB</w:t>
            </w:r>
          </w:p>
        </w:tc>
        <w:tc>
          <w:tcPr>
            <w:tcW w:w="4260" w:type="dxa"/>
            <w:vAlign w:val="bottom"/>
          </w:tcPr>
          <w:p>
            <w:pPr>
              <w:ind w:left="160"/>
              <w:spacing w:after="0"/>
              <w:rPr>
                <w:sz w:val="20"/>
                <w:szCs w:val="20"/>
                <w:color w:val="auto"/>
              </w:rPr>
            </w:pPr>
            <w:r>
              <w:rPr>
                <w:rFonts w:ascii="Arial" w:cs="Arial" w:eastAsia="Arial" w:hAnsi="Arial"/>
                <w:sz w:val="18"/>
                <w:szCs w:val="18"/>
                <w:color w:val="auto"/>
              </w:rPr>
              <w:t>Inline XBRL Taxonomy Extension Label Linkbase</w:t>
            </w:r>
          </w:p>
        </w:tc>
        <w:tc>
          <w:tcPr>
            <w:tcW w:w="61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6100" w:type="dxa"/>
            <w:vAlign w:val="bottom"/>
          </w:tcPr>
          <w:p>
            <w:pPr>
              <w:spacing w:after="0"/>
              <w:rPr>
                <w:sz w:val="20"/>
                <w:szCs w:val="20"/>
                <w:color w:val="auto"/>
              </w:rPr>
            </w:pPr>
          </w:p>
        </w:tc>
      </w:tr>
      <w:tr>
        <w:trPr>
          <w:trHeight w:val="377"/>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4260" w:type="dxa"/>
            <w:vAlign w:val="bottom"/>
          </w:tcPr>
          <w:p>
            <w:pPr>
              <w:ind w:left="160"/>
              <w:spacing w:after="0"/>
              <w:rPr>
                <w:sz w:val="20"/>
                <w:szCs w:val="20"/>
                <w:color w:val="auto"/>
              </w:rPr>
            </w:pPr>
            <w:r>
              <w:rPr>
                <w:rFonts w:ascii="Arial" w:cs="Arial" w:eastAsia="Arial" w:hAnsi="Arial"/>
                <w:sz w:val="18"/>
                <w:szCs w:val="18"/>
                <w:color w:val="auto"/>
              </w:rPr>
              <w:t>Inline XBRL Taxonomy Extension Presentation</w:t>
            </w:r>
          </w:p>
        </w:tc>
        <w:tc>
          <w:tcPr>
            <w:tcW w:w="61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Linkbase Document</w:t>
            </w:r>
          </w:p>
        </w:tc>
        <w:tc>
          <w:tcPr>
            <w:tcW w:w="6100" w:type="dxa"/>
            <w:vAlign w:val="bottom"/>
          </w:tcPr>
          <w:p>
            <w:pPr>
              <w:spacing w:after="0"/>
              <w:rPr>
                <w:sz w:val="20"/>
                <w:szCs w:val="20"/>
                <w:color w:val="auto"/>
              </w:rPr>
            </w:pPr>
          </w:p>
        </w:tc>
      </w:tr>
      <w:tr>
        <w:trPr>
          <w:trHeight w:val="377"/>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4260" w:type="dxa"/>
            <w:vAlign w:val="bottom"/>
          </w:tcPr>
          <w:p>
            <w:pPr>
              <w:ind w:left="160"/>
              <w:spacing w:after="0"/>
              <w:rPr>
                <w:sz w:val="20"/>
                <w:szCs w:val="20"/>
                <w:color w:val="auto"/>
              </w:rPr>
            </w:pPr>
            <w:r>
              <w:rPr>
                <w:rFonts w:ascii="Arial" w:cs="Arial" w:eastAsia="Arial" w:hAnsi="Arial"/>
                <w:sz w:val="18"/>
                <w:szCs w:val="18"/>
                <w:color w:val="auto"/>
              </w:rPr>
              <w:t>Cover Page Interactive Data File</w:t>
            </w:r>
          </w:p>
        </w:tc>
        <w:tc>
          <w:tcPr>
            <w:tcW w:w="61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16"/>
        </w:trPr>
        <w:tc>
          <w:tcPr>
            <w:tcW w:w="88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w w:val="99"/>
              </w:rPr>
              <w:t>(formatted as inline XBRL with applicable taxonomy</w:t>
            </w:r>
          </w:p>
        </w:tc>
        <w:tc>
          <w:tcPr>
            <w:tcW w:w="610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extension information contained in Exhibits 101.*)</w:t>
            </w:r>
          </w:p>
        </w:tc>
        <w:tc>
          <w:tcPr>
            <w:tcW w:w="6100" w:type="dxa"/>
            <w:vAlign w:val="bottom"/>
          </w:tcPr>
          <w:p>
            <w:pPr>
              <w:spacing w:after="0"/>
              <w:rPr>
                <w:sz w:val="20"/>
                <w:szCs w:val="20"/>
                <w:color w:val="auto"/>
              </w:rPr>
            </w:pPr>
          </w:p>
        </w:tc>
      </w:tr>
      <w:tr>
        <w:trPr>
          <w:trHeight w:val="878"/>
        </w:trPr>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75</w:t>
            </w:r>
          </w:p>
        </w:tc>
      </w:tr>
      <w:tr>
        <w:trPr>
          <w:trHeight w:val="115"/>
        </w:trPr>
        <w:tc>
          <w:tcPr>
            <w:tcW w:w="8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75" w:name="page76"/>
    <w:bookmarkEnd w:id="75"/>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AMARIN CORPORATION PLC</w:t>
      </w:r>
    </w:p>
    <w:p>
      <w:pPr>
        <w:spacing w:after="0" w:line="306"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Patrick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Patrick Holt</w:t>
      </w:r>
    </w:p>
    <w:p>
      <w:pPr>
        <w:spacing w:after="0" w:line="27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AMARIN CORPORATION PLC</w:t>
      </w:r>
    </w:p>
    <w:p>
      <w:pPr>
        <w:spacing w:after="0" w:line="306"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Tom Reilly</w:t>
      </w:r>
    </w:p>
    <w:p>
      <w:pPr>
        <w:spacing w:after="0" w:line="279"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 Chief Financial Officer</w:t>
      </w:r>
    </w:p>
    <w:p>
      <w:pPr>
        <w:spacing w:after="0" w:line="4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and Accounting Officer)</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Holt, certify that:</w:t>
      </w:r>
    </w:p>
    <w:p>
      <w:pPr>
        <w:spacing w:after="0" w:line="117"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ind w:left="520" w:right="280" w:hanging="512"/>
        <w:spacing w:after="0" w:line="263" w:lineRule="auto"/>
        <w:tabs>
          <w:tab w:leader="none" w:pos="3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360" w:hanging="512"/>
        <w:spacing w:after="0" w:line="308" w:lineRule="auto"/>
        <w:tabs>
          <w:tab w:leader="none" w:pos="371"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63" w:lineRule="auto"/>
        <w:tabs>
          <w:tab w:leader="none" w:pos="3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480" w:hanging="479"/>
        <w:spacing w:after="0" w:line="342" w:lineRule="auto"/>
        <w:tabs>
          <w:tab w:leader="none" w:pos="8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20" w:hanging="479"/>
        <w:spacing w:after="0" w:line="263" w:lineRule="auto"/>
        <w:tabs>
          <w:tab w:leader="none" w:pos="8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300" w:hanging="512"/>
        <w:spacing w:after="0" w:line="308" w:lineRule="auto"/>
        <w:tabs>
          <w:tab w:leader="none" w:pos="37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308" w:lineRule="auto"/>
        <w:tabs>
          <w:tab w:leader="none" w:pos="895"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540" w:hanging="479"/>
        <w:spacing w:after="0" w:line="277" w:lineRule="auto"/>
        <w:tabs>
          <w:tab w:leader="none" w:pos="8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7700" w:val="left"/>
          <w:tab w:leader="none" w:pos="806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Patrick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Patrick Holt</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Tom Reilly, certify that:</w:t>
      </w:r>
    </w:p>
    <w:p>
      <w:pPr>
        <w:spacing w:after="0" w:line="117"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ind w:left="520" w:right="280" w:hanging="512"/>
        <w:spacing w:after="0" w:line="263" w:lineRule="auto"/>
        <w:tabs>
          <w:tab w:leader="none" w:pos="3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360" w:hanging="512"/>
        <w:spacing w:after="0" w:line="308" w:lineRule="auto"/>
        <w:tabs>
          <w:tab w:leader="none" w:pos="371"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63" w:lineRule="auto"/>
        <w:tabs>
          <w:tab w:leader="none" w:pos="3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480" w:hanging="479"/>
        <w:spacing w:after="0" w:line="342" w:lineRule="auto"/>
        <w:tabs>
          <w:tab w:leader="none" w:pos="8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20" w:hanging="479"/>
        <w:spacing w:after="0" w:line="263" w:lineRule="auto"/>
        <w:tabs>
          <w:tab w:leader="none" w:pos="8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300" w:hanging="512"/>
        <w:spacing w:after="0" w:line="308" w:lineRule="auto"/>
        <w:tabs>
          <w:tab w:leader="none" w:pos="37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308" w:lineRule="auto"/>
        <w:tabs>
          <w:tab w:leader="none" w:pos="895"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540" w:hanging="479"/>
        <w:spacing w:after="0" w:line="277" w:lineRule="auto"/>
        <w:tabs>
          <w:tab w:leader="none" w:pos="8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7900" w:val="left"/>
          <w:tab w:leader="none" w:pos="824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Tom Reilly</w:t>
      </w:r>
    </w:p>
    <w:p>
      <w:pPr>
        <w:spacing w:after="0" w:line="3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Patrick Holt, President and Chief Executive Officer (Principal Executive Officer) of Amarin Corporation plc (the “Company”), and Tom Reilly, Executive Vice President and Chief Financial Officer (Principal Financial Officer and Principal Accounting Officer) of the Company, each hereby certifies that, to the best of his knowledge:</w:t>
      </w:r>
    </w:p>
    <w:p>
      <w:pPr>
        <w:spacing w:after="0" w:line="187" w:lineRule="exact"/>
        <w:rPr>
          <w:sz w:val="20"/>
          <w:szCs w:val="20"/>
          <w:color w:val="auto"/>
        </w:rPr>
      </w:pPr>
    </w:p>
    <w:p>
      <w:pPr>
        <w:ind w:right="160" w:firstLine="8"/>
        <w:spacing w:after="0" w:line="308" w:lineRule="auto"/>
        <w:tabs>
          <w:tab w:leader="none" w:pos="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2023, to which this Certification is attached as Exhibit 32.1 (the “Quarterly Report”)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right="480" w:firstLine="8"/>
        <w:spacing w:after="0" w:line="277"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400" w:lineRule="exact"/>
        <w:rPr>
          <w:sz w:val="20"/>
          <w:szCs w:val="20"/>
          <w:color w:val="auto"/>
        </w:rPr>
      </w:pPr>
    </w:p>
    <w:p>
      <w:pPr>
        <w:ind w:left="5760"/>
        <w:spacing w:after="0"/>
        <w:tabs>
          <w:tab w:leader="none" w:pos="60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7"/>
          <w:szCs w:val="17"/>
          <w:color w:val="auto"/>
        </w:rPr>
        <w:t>Patrick Holt</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ind w:left="5760"/>
        <w:spacing w:after="0"/>
        <w:tabs>
          <w:tab w:leader="none" w:pos="60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7"/>
          <w:szCs w:val="17"/>
          <w:color w:val="auto"/>
        </w:rPr>
        <w:t>Tom Reilly</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9"/>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3"/>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32" Type="http://schemas.openxmlformats.org/officeDocument/2006/relationships/hyperlink" Target="https://www.sec.gov/Archives/edgar/data/897448/000119312523190185/d530487dex101.htm" TargetMode="External"/><Relationship Id="rId235" Type="http://schemas.openxmlformats.org/officeDocument/2006/relationships/hyperlink" Target="https://www.sec.gov/Archives/edgar/data/897448/000119312523192541/d50025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2023-11-01T06:15:26Z</dcterms:created>
  <dcterms:modified xsi:type="dcterms:W3CDTF">2023-11-01T06:15:26Z</dcterms:modified>
</cp:coreProperties>
</file>