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4"/>
          <w:szCs w:val="24"/>
          <w:color w:val="auto"/>
        </w:rPr>
      </w:pPr>
    </w:p>
    <w:p>
      <w:pPr>
        <w:jc w:val="center"/>
        <w:ind w:left="3880" w:right="1160" w:hanging="3872"/>
        <w:spacing w:after="0" w:line="248" w:lineRule="auto"/>
        <w:tabs>
          <w:tab w:leader="none" w:pos="9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rFonts w:ascii="MS PGothic" w:cs="MS PGothic" w:eastAsia="MS PGothic" w:hAnsi="MS PGothic"/>
          <w:sz w:val="22"/>
          <w:szCs w:val="22"/>
          <w:color w:val="auto"/>
          <w:highlight w:val="black"/>
        </w:rPr>
      </w:pPr>
    </w:p>
    <w:p>
      <w:pPr>
        <w:ind w:left="5480"/>
        <w:spacing w:after="0"/>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OR</w:t>
      </w:r>
    </w:p>
    <w:p>
      <w:pPr>
        <w:spacing w:after="0" w:line="4"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3420" w:type="dxa"/>
        <w:tblCellMar>
          <w:top w:w="0" w:type="dxa"/>
          <w:left w:w="0" w:type="dxa"/>
          <w:bottom w:w="0" w:type="dxa"/>
          <w:right w:w="0" w:type="dxa"/>
        </w:tblCellMar>
      </w:tblPr>
      <w:tr>
        <w:trPr>
          <w:trHeight w:val="190"/>
        </w:trPr>
        <w:tc>
          <w:tcPr>
            <w:tcW w:w="2360" w:type="dxa"/>
            <w:vAlign w:val="bottom"/>
          </w:tcPr>
          <w:p>
            <w:pPr>
              <w:spacing w:after="0" w:line="189" w:lineRule="exact"/>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6"/>
                <w:szCs w:val="16"/>
                <w:color w:val="auto"/>
              </w:rPr>
            </w:pPr>
          </w:p>
        </w:tc>
        <w:tc>
          <w:tcPr>
            <w:tcW w:w="200" w:type="dxa"/>
            <w:vAlign w:val="bottom"/>
          </w:tcPr>
          <w:p>
            <w:pPr>
              <w:ind w:left="60"/>
              <w:spacing w:after="0" w:line="189" w:lineRule="exact"/>
              <w:rPr>
                <w:sz w:val="20"/>
                <w:szCs w:val="20"/>
                <w:color w:val="auto"/>
              </w:rPr>
            </w:pPr>
            <w:r>
              <w:rPr>
                <w:rFonts w:ascii="Arial" w:cs="Arial" w:eastAsia="Arial" w:hAnsi="Arial"/>
                <w:sz w:val="18"/>
                <w:szCs w:val="18"/>
                <w:b w:val="1"/>
                <w:bCs w:val="1"/>
                <w:color w:val="auto"/>
                <w:w w:val="70"/>
              </w:rPr>
              <w:t>to</w:t>
            </w:r>
          </w:p>
        </w:tc>
      </w:tr>
      <w:tr>
        <w:trPr>
          <w:trHeight w:val="345"/>
        </w:trPr>
        <w:tc>
          <w:tcPr>
            <w:tcW w:w="3460" w:type="dxa"/>
            <w:vAlign w:val="bottom"/>
            <w:gridSpan w:val="3"/>
          </w:tcPr>
          <w:p>
            <w:pPr>
              <w:ind w:left="1000"/>
              <w:spacing w:after="0"/>
              <w:rPr>
                <w:sz w:val="20"/>
                <w:szCs w:val="20"/>
                <w:color w:val="auto"/>
              </w:rPr>
            </w:pPr>
            <w:r>
              <w:rPr>
                <w:rFonts w:ascii="Arial" w:cs="Arial" w:eastAsia="Arial" w:hAnsi="Arial"/>
                <w:sz w:val="18"/>
                <w:szCs w:val="18"/>
                <w:b w:val="1"/>
                <w:bCs w:val="1"/>
                <w:color w:val="auto"/>
                <w:w w:val="90"/>
              </w:rPr>
              <w:t>Commission File No. 000-21392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960" w:type="dxa"/>
            <w:vAlign w:val="bottom"/>
            <w:gridSpan w:val="2"/>
          </w:tcPr>
          <w:p>
            <w:pPr>
              <w:jc w:val="center"/>
              <w:ind w:left="479"/>
              <w:spacing w:after="0"/>
              <w:rPr>
                <w:sz w:val="20"/>
                <w:szCs w:val="20"/>
                <w:color w:val="auto"/>
              </w:rPr>
            </w:pPr>
            <w:r>
              <w:rPr>
                <w:rFonts w:ascii="Arial" w:cs="Arial" w:eastAsia="Arial" w:hAnsi="Arial"/>
                <w:sz w:val="18"/>
                <w:szCs w:val="18"/>
                <w:b w:val="1"/>
                <w:bCs w:val="1"/>
                <w:color w:val="auto"/>
                <w:w w:val="89"/>
              </w:rPr>
              <w:t>England and Wales</w:t>
            </w: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jc w:val="center"/>
              <w:ind w:right="940"/>
              <w:spacing w:after="0"/>
              <w:rPr>
                <w:sz w:val="20"/>
                <w:szCs w:val="20"/>
                <w:color w:val="auto"/>
              </w:rPr>
            </w:pPr>
            <w:r>
              <w:rPr>
                <w:rFonts w:ascii="Arial" w:cs="Arial" w:eastAsia="Arial" w:hAnsi="Arial"/>
                <w:sz w:val="18"/>
                <w:szCs w:val="18"/>
                <w:b w:val="1"/>
                <w:bCs w:val="1"/>
                <w:color w:val="auto"/>
                <w:w w:val="90"/>
              </w:rPr>
              <w:t>Not applicable</w:t>
            </w:r>
          </w:p>
        </w:tc>
      </w:tr>
      <w:tr>
        <w:trPr>
          <w:trHeight w:val="153"/>
        </w:trPr>
        <w:tc>
          <w:tcPr>
            <w:tcW w:w="4960" w:type="dxa"/>
            <w:vAlign w:val="bottom"/>
            <w:gridSpan w:val="2"/>
          </w:tcPr>
          <w:p>
            <w:pPr>
              <w:jc w:val="center"/>
              <w:ind w:left="459"/>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60" w:type="dxa"/>
            <w:vAlign w:val="bottom"/>
          </w:tcPr>
          <w:p>
            <w:pPr>
              <w:jc w:val="center"/>
              <w:ind w:right="940"/>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6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5"/>
              </w:rPr>
              <w:t>Incorporation or Organization)</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60" w:type="dxa"/>
            <w:vAlign w:val="bottom"/>
          </w:tcPr>
          <w:p>
            <w:pPr>
              <w:jc w:val="center"/>
              <w:ind w:right="940"/>
              <w:spacing w:after="0"/>
              <w:rPr>
                <w:sz w:val="20"/>
                <w:szCs w:val="20"/>
                <w:color w:val="auto"/>
              </w:rPr>
            </w:pPr>
            <w:r>
              <w:rPr>
                <w:rFonts w:ascii="Arial" w:cs="Arial" w:eastAsia="Arial" w:hAnsi="Arial"/>
                <w:sz w:val="14"/>
                <w:szCs w:val="14"/>
                <w:b w:val="1"/>
                <w:bCs w:val="1"/>
                <w:color w:val="auto"/>
                <w:w w:val="94"/>
              </w:rPr>
              <w:t>Identification No.)</w:t>
            </w:r>
          </w:p>
        </w:tc>
      </w:tr>
      <w:tr>
        <w:trPr>
          <w:trHeight w:val="385"/>
        </w:trPr>
        <w:tc>
          <w:tcPr>
            <w:tcW w:w="4960" w:type="dxa"/>
            <w:vAlign w:val="bottom"/>
            <w:gridSpan w:val="2"/>
          </w:tcPr>
          <w:p>
            <w:pPr>
              <w:jc w:val="center"/>
              <w:ind w:left="419"/>
              <w:spacing w:after="0"/>
              <w:rPr>
                <w:sz w:val="20"/>
                <w:szCs w:val="20"/>
                <w:color w:val="auto"/>
              </w:rPr>
            </w:pPr>
            <w:r>
              <w:rPr>
                <w:rFonts w:ascii="Arial" w:cs="Arial" w:eastAsia="Arial" w:hAnsi="Arial"/>
                <w:sz w:val="18"/>
                <w:szCs w:val="18"/>
                <w:b w:val="1"/>
                <w:bCs w:val="1"/>
                <w:color w:val="auto"/>
                <w:w w:val="91"/>
              </w:rPr>
              <w:t>Iconic Offices, The Greenway, Block C Ardilaun Court,</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jc w:val="center"/>
              <w:ind w:right="940"/>
              <w:spacing w:after="0"/>
              <w:rPr>
                <w:sz w:val="20"/>
                <w:szCs w:val="20"/>
                <w:color w:val="auto"/>
              </w:rPr>
            </w:pPr>
            <w:r>
              <w:rPr>
                <w:rFonts w:ascii="Arial" w:cs="Arial" w:eastAsia="Arial" w:hAnsi="Arial"/>
                <w:sz w:val="18"/>
                <w:szCs w:val="18"/>
                <w:b w:val="1"/>
                <w:bCs w:val="1"/>
                <w:color w:val="auto"/>
                <w:w w:val="94"/>
              </w:rPr>
              <w:t>Dublin 2, Ireland</w:t>
            </w:r>
          </w:p>
        </w:tc>
      </w:tr>
      <w:tr>
        <w:trPr>
          <w:trHeight w:val="234"/>
        </w:trPr>
        <w:tc>
          <w:tcPr>
            <w:tcW w:w="4960" w:type="dxa"/>
            <w:vAlign w:val="bottom"/>
            <w:gridSpan w:val="2"/>
          </w:tcPr>
          <w:p>
            <w:pPr>
              <w:jc w:val="center"/>
              <w:ind w:left="479"/>
              <w:spacing w:after="0"/>
              <w:rPr>
                <w:sz w:val="20"/>
                <w:szCs w:val="20"/>
                <w:color w:val="auto"/>
              </w:rPr>
            </w:pPr>
            <w:r>
              <w:rPr>
                <w:rFonts w:ascii="Arial" w:cs="Arial" w:eastAsia="Arial" w:hAnsi="Arial"/>
                <w:sz w:val="18"/>
                <w:szCs w:val="18"/>
                <w:b w:val="1"/>
                <w:bCs w:val="1"/>
                <w:color w:val="auto"/>
                <w:w w:val="87"/>
              </w:rPr>
              <w:t>112 – 114 St Stephens Green</w:t>
            </w: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90"/>
        </w:trPr>
        <w:tc>
          <w:tcPr>
            <w:tcW w:w="496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60" w:type="dxa"/>
            <w:vAlign w:val="bottom"/>
          </w:tcPr>
          <w:p>
            <w:pPr>
              <w:jc w:val="center"/>
              <w:ind w:right="960"/>
              <w:spacing w:after="0"/>
              <w:rPr>
                <w:sz w:val="20"/>
                <w:szCs w:val="20"/>
                <w:color w:val="auto"/>
              </w:rPr>
            </w:pPr>
            <w:r>
              <w:rPr>
                <w:rFonts w:ascii="Arial" w:cs="Arial" w:eastAsia="Arial" w:hAnsi="Arial"/>
                <w:sz w:val="14"/>
                <w:szCs w:val="14"/>
                <w:b w:val="1"/>
                <w:bCs w:val="1"/>
                <w:color w:val="auto"/>
                <w:w w:val="95"/>
              </w:rPr>
              <w:t>(Zip Code)</w:t>
            </w:r>
          </w:p>
        </w:tc>
      </w:tr>
      <w:tr>
        <w:trPr>
          <w:trHeight w:val="283"/>
        </w:trPr>
        <w:tc>
          <w:tcPr>
            <w:tcW w:w="1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 +353 (0) 1 6699 020</w:t>
            </w:r>
          </w:p>
        </w:tc>
      </w:tr>
      <w:tr>
        <w:trPr>
          <w:trHeight w:val="120"/>
        </w:trPr>
        <w:tc>
          <w:tcPr>
            <w:tcW w:w="45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460" w:type="dxa"/>
            <w:vAlign w:val="bottom"/>
          </w:tcPr>
          <w:p>
            <w:pPr>
              <w:spacing w:after="0"/>
              <w:rPr>
                <w:sz w:val="10"/>
                <w:szCs w:val="10"/>
                <w:color w:val="auto"/>
              </w:rPr>
            </w:pPr>
          </w:p>
        </w:tc>
      </w:tr>
      <w:tr>
        <w:trPr>
          <w:trHeight w:val="358"/>
        </w:trPr>
        <w:tc>
          <w:tcPr>
            <w:tcW w:w="49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118"/>
        </w:trPr>
        <w:tc>
          <w:tcPr>
            <w:tcW w:w="45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60" w:type="dxa"/>
            <w:vAlign w:val="bottom"/>
            <w:tcBorders>
              <w:bottom w:val="single" w:sz="8" w:color="auto"/>
            </w:tcBorders>
          </w:tcPr>
          <w:p>
            <w:pPr>
              <w:spacing w:after="0"/>
              <w:rPr>
                <w:sz w:val="10"/>
                <w:szCs w:val="10"/>
                <w:color w:val="auto"/>
              </w:rPr>
            </w:pPr>
          </w:p>
        </w:tc>
      </w:tr>
      <w:tr>
        <w:trPr>
          <w:trHeight w:val="220"/>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420" w:type="dxa"/>
            <w:vAlign w:val="bottom"/>
          </w:tcPr>
          <w:p>
            <w:pPr>
              <w:spacing w:after="0"/>
              <w:rPr>
                <w:sz w:val="19"/>
                <w:szCs w:val="19"/>
                <w:color w:val="auto"/>
              </w:rPr>
            </w:pPr>
          </w:p>
        </w:tc>
        <w:tc>
          <w:tcPr>
            <w:tcW w:w="17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Trading Symbol</w:t>
            </w:r>
          </w:p>
        </w:tc>
        <w:tc>
          <w:tcPr>
            <w:tcW w:w="40" w:type="dxa"/>
            <w:vAlign w:val="bottom"/>
            <w:tcBorders>
              <w:right w:val="single" w:sz="8" w:color="auto"/>
            </w:tcBorders>
          </w:tcPr>
          <w:p>
            <w:pPr>
              <w:spacing w:after="0"/>
              <w:rPr>
                <w:sz w:val="19"/>
                <w:szCs w:val="19"/>
                <w:color w:val="auto"/>
              </w:rPr>
            </w:pP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0"/>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r>
        <w:trPr>
          <w:trHeight w:val="216"/>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American Depositary Shares (ADS(s)), each ADS</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460" w:type="dxa"/>
            <w:vAlign w:val="bottom"/>
            <w:tcBorders>
              <w:right w:val="single" w:sz="8" w:color="auto"/>
            </w:tcBorders>
          </w:tcPr>
          <w:p>
            <w:pPr>
              <w:spacing w:after="0"/>
              <w:rPr>
                <w:sz w:val="18"/>
                <w:szCs w:val="18"/>
                <w:color w:val="auto"/>
              </w:rPr>
            </w:pPr>
          </w:p>
        </w:tc>
      </w:tr>
      <w:tr>
        <w:trPr>
          <w:trHeight w:val="203"/>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spacing w:after="0"/>
              <w:rPr>
                <w:sz w:val="17"/>
                <w:szCs w:val="17"/>
                <w:color w:val="auto"/>
              </w:rPr>
            </w:pPr>
          </w:p>
        </w:tc>
      </w:tr>
      <w:tr>
        <w:trPr>
          <w:trHeight w:val="206"/>
        </w:trPr>
        <w:tc>
          <w:tcPr>
            <w:tcW w:w="4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Amarin Corporation plc</w:t>
            </w:r>
          </w:p>
        </w:tc>
        <w:tc>
          <w:tcPr>
            <w:tcW w:w="420" w:type="dxa"/>
            <w:vAlign w:val="bottom"/>
          </w:tcPr>
          <w:p>
            <w:pPr>
              <w:spacing w:after="0"/>
              <w:rPr>
                <w:sz w:val="17"/>
                <w:szCs w:val="17"/>
                <w:color w:val="auto"/>
              </w:rPr>
            </w:pPr>
          </w:p>
        </w:tc>
        <w:tc>
          <w:tcPr>
            <w:tcW w:w="1780" w:type="dxa"/>
            <w:vAlign w:val="bottom"/>
          </w:tcPr>
          <w:p>
            <w:pPr>
              <w:jc w:val="center"/>
              <w:ind w:right="339"/>
              <w:spacing w:after="0"/>
              <w:rPr>
                <w:sz w:val="20"/>
                <w:szCs w:val="20"/>
                <w:color w:val="auto"/>
              </w:rPr>
            </w:pPr>
            <w:r>
              <w:rPr>
                <w:rFonts w:ascii="Arial" w:cs="Arial" w:eastAsia="Arial" w:hAnsi="Arial"/>
                <w:sz w:val="16"/>
                <w:szCs w:val="16"/>
                <w:color w:val="auto"/>
              </w:rPr>
              <w:t>AMRN</w:t>
            </w:r>
          </w:p>
        </w:tc>
        <w:tc>
          <w:tcPr>
            <w:tcW w:w="40" w:type="dxa"/>
            <w:vAlign w:val="bottom"/>
            <w:tcBorders>
              <w:right w:val="single" w:sz="8" w:color="auto"/>
            </w:tcBorders>
          </w:tcPr>
          <w:p>
            <w:pPr>
              <w:spacing w:after="0"/>
              <w:rPr>
                <w:sz w:val="17"/>
                <w:szCs w:val="17"/>
                <w:color w:val="auto"/>
              </w:rPr>
            </w:pPr>
          </w:p>
        </w:tc>
        <w:tc>
          <w:tcPr>
            <w:tcW w:w="44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33"/>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44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0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1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6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30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6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08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spacing w:after="0" w:line="207" w:lineRule="exact"/>
        <w:tabs>
          <w:tab w:leader="none" w:pos="7580" w:val="left"/>
          <w:tab w:leader="none" w:pos="83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407,909,197 common shares were outstanding as of July 31, 2023, including 387,502,130 shares held as American Depositary Shares (ADSs), each representing one Ordinary Share, 50 pence par value per share, and 20,407,067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60" w:type="dxa"/>
            <w:vAlign w:val="bottom"/>
            <w:gridSpan w:val="13"/>
          </w:tcPr>
          <w:p>
            <w:pPr>
              <w:jc w:val="center"/>
              <w:ind w:right="1920"/>
              <w:spacing w:after="0"/>
              <w:rPr>
                <w:sz w:val="20"/>
                <w:szCs w:val="20"/>
                <w:color w:val="auto"/>
              </w:rPr>
            </w:pPr>
            <w:r>
              <w:rPr>
                <w:rFonts w:ascii="Arial" w:cs="Arial" w:eastAsia="Arial" w:hAnsi="Arial"/>
                <w:sz w:val="18"/>
                <w:szCs w:val="18"/>
                <w:b w:val="1"/>
                <w:bCs w:val="1"/>
                <w:color w:val="0000FF"/>
                <w:w w:val="94"/>
              </w:rPr>
              <w:t>PART I – Financial Information</w:t>
            </w:r>
          </w:p>
        </w:tc>
        <w:tc>
          <w:tcPr>
            <w:tcW w:w="1040" w:type="dxa"/>
            <w:vAlign w:val="bottom"/>
          </w:tcPr>
          <w:p>
            <w:pPr>
              <w:spacing w:after="0"/>
              <w:rPr>
                <w:sz w:val="24"/>
                <w:szCs w:val="24"/>
                <w:color w:val="auto"/>
              </w:rPr>
            </w:pPr>
          </w:p>
        </w:tc>
      </w:tr>
      <w:tr>
        <w:trPr>
          <w:trHeight w:val="412"/>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10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60" w:type="dxa"/>
            <w:vAlign w:val="bottom"/>
            <w:gridSpan w:val="6"/>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20" w:type="dxa"/>
            <w:vAlign w:val="bottom"/>
            <w:gridSpan w:val="18"/>
          </w:tcPr>
          <w:p>
            <w:pPr>
              <w:spacing w:after="0" w:line="202" w:lineRule="exact"/>
              <w:rPr>
                <w:sz w:val="20"/>
                <w:szCs w:val="20"/>
                <w:color w:val="auto"/>
              </w:rPr>
            </w:pPr>
            <w:r>
              <w:rPr>
                <w:rFonts w:ascii="Arial" w:cs="Arial" w:eastAsia="Arial" w:hAnsi="Arial"/>
                <w:sz w:val="18"/>
                <w:szCs w:val="18"/>
                <w:color w:val="0000FF"/>
              </w:rPr>
              <w:t>Condensed Consolidated Balance Sheets as of June 30, 2023 and December 31, 2022</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20" w:type="dxa"/>
            <w:vAlign w:val="bottom"/>
            <w:gridSpan w:val="18"/>
          </w:tcPr>
          <w:p>
            <w:pPr>
              <w:spacing w:after="0"/>
              <w:rPr>
                <w:sz w:val="20"/>
                <w:szCs w:val="20"/>
                <w:color w:val="auto"/>
              </w:rPr>
            </w:pPr>
            <w:r>
              <w:rPr>
                <w:rFonts w:ascii="Arial" w:cs="Arial" w:eastAsia="Arial" w:hAnsi="Arial"/>
                <w:sz w:val="18"/>
                <w:szCs w:val="18"/>
                <w:color w:val="0000FF"/>
                <w:w w:val="98"/>
              </w:rPr>
              <w:t>Condensed Consolidated Statements of Operations for the three and six months ended June 30, 2023 and 2022</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20" w:type="dxa"/>
            <w:vAlign w:val="bottom"/>
            <w:gridSpan w:val="18"/>
          </w:tcPr>
          <w:p>
            <w:pPr>
              <w:spacing w:after="0"/>
              <w:rPr>
                <w:sz w:val="20"/>
                <w:szCs w:val="20"/>
                <w:color w:val="auto"/>
              </w:rPr>
            </w:pPr>
            <w:r>
              <w:rPr>
                <w:rFonts w:ascii="Arial" w:cs="Arial" w:eastAsia="Arial" w:hAnsi="Arial"/>
                <w:sz w:val="18"/>
                <w:szCs w:val="18"/>
                <w:color w:val="0000FF"/>
                <w:w w:val="94"/>
              </w:rPr>
              <w:t>Condensed Consolidated Statement of Changes in Stockholders’ Equity for the six months ended June 30, 2023 and</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jc w:val="right"/>
              <w:spacing w:after="0" w:line="196" w:lineRule="exact"/>
              <w:rPr>
                <w:sz w:val="20"/>
                <w:szCs w:val="20"/>
                <w:color w:val="auto"/>
              </w:rPr>
            </w:pPr>
            <w:r>
              <w:rPr>
                <w:rFonts w:ascii="Arial" w:cs="Arial" w:eastAsia="Arial" w:hAnsi="Arial"/>
                <w:sz w:val="18"/>
                <w:szCs w:val="18"/>
                <w:color w:val="0000FF"/>
                <w:w w:val="79"/>
              </w:rPr>
              <w:t>2022</w:t>
            </w: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2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 for the six months ended June 30, 2023 and 2022</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20" w:type="dxa"/>
            <w:vAlign w:val="bottom"/>
            <w:gridSpan w:val="18"/>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2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882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882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7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5720" w:type="dxa"/>
            <w:vAlign w:val="bottom"/>
            <w:gridSpan w:val="12"/>
          </w:tcPr>
          <w:p>
            <w:pPr>
              <w:jc w:val="center"/>
              <w:ind w:right="3260"/>
              <w:spacing w:after="0"/>
              <w:rPr>
                <w:sz w:val="20"/>
                <w:szCs w:val="20"/>
                <w:color w:val="auto"/>
              </w:rPr>
            </w:pPr>
            <w:r>
              <w:rPr>
                <w:rFonts w:ascii="Arial" w:cs="Arial" w:eastAsia="Arial" w:hAnsi="Arial"/>
                <w:sz w:val="18"/>
                <w:szCs w:val="18"/>
                <w:b w:val="1"/>
                <w:bCs w:val="1"/>
                <w:color w:val="0000FF"/>
                <w:w w:val="95"/>
              </w:rPr>
              <w:t>PART II – Other Information</w:t>
            </w:r>
          </w:p>
        </w:tc>
        <w:tc>
          <w:tcPr>
            <w:tcW w:w="1040" w:type="dxa"/>
            <w:vAlign w:val="bottom"/>
          </w:tcPr>
          <w:p>
            <w:pPr>
              <w:spacing w:after="0"/>
              <w:rPr>
                <w:sz w:val="24"/>
                <w:szCs w:val="24"/>
                <w:color w:val="auto"/>
              </w:rPr>
            </w:pPr>
          </w:p>
        </w:tc>
      </w:tr>
      <w:tr>
        <w:trPr>
          <w:trHeight w:val="372"/>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3200" w:type="dxa"/>
            <w:vAlign w:val="bottom"/>
            <w:gridSpan w:val="7"/>
          </w:tcPr>
          <w:p>
            <w:pPr>
              <w:spacing w:after="0"/>
              <w:rPr>
                <w:sz w:val="20"/>
                <w:szCs w:val="20"/>
                <w:color w:val="auto"/>
              </w:rPr>
            </w:pPr>
            <w:r>
              <w:rPr>
                <w:rFonts w:ascii="Arial" w:cs="Arial" w:eastAsia="Arial" w:hAnsi="Arial"/>
                <w:sz w:val="18"/>
                <w:szCs w:val="18"/>
                <w:color w:val="0000FF"/>
              </w:rPr>
              <w:t>Legal Proceedings</w:t>
            </w:r>
          </w:p>
        </w:tc>
        <w:tc>
          <w:tcPr>
            <w:tcW w:w="2260" w:type="dxa"/>
            <w:vAlign w:val="bottom"/>
            <w:tcBorders>
              <w:top w:val="single" w:sz="8" w:color="0000FF"/>
            </w:tcBorders>
            <w:gridSpan w:val="4"/>
          </w:tcPr>
          <w:p>
            <w:pPr>
              <w:spacing w:after="0"/>
              <w:rPr>
                <w:sz w:val="24"/>
                <w:szCs w:val="24"/>
                <w:color w:val="auto"/>
              </w:rPr>
            </w:pPr>
          </w:p>
        </w:tc>
        <w:tc>
          <w:tcPr>
            <w:tcW w:w="3360" w:type="dxa"/>
            <w:vAlign w:val="bottom"/>
            <w:gridSpan w:val="7"/>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8820" w:type="dxa"/>
            <w:vAlign w:val="bottom"/>
            <w:gridSpan w:val="18"/>
          </w:tcPr>
          <w:p>
            <w:pPr>
              <w:spacing w:after="0"/>
              <w:rPr>
                <w:sz w:val="20"/>
                <w:szCs w:val="20"/>
                <w:color w:val="auto"/>
              </w:rPr>
            </w:pPr>
            <w:r>
              <w:rPr>
                <w:rFonts w:ascii="Arial" w:cs="Arial" w:eastAsia="Arial" w:hAnsi="Arial"/>
                <w:sz w:val="18"/>
                <w:szCs w:val="18"/>
                <w:color w:val="0000FF"/>
              </w:rPr>
              <w:t>Risk Factors</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82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820" w:type="dxa"/>
            <w:vAlign w:val="bottom"/>
            <w:gridSpan w:val="18"/>
          </w:tcPr>
          <w:p>
            <w:pPr>
              <w:spacing w:after="0"/>
              <w:rPr>
                <w:sz w:val="20"/>
                <w:szCs w:val="20"/>
                <w:color w:val="auto"/>
              </w:rPr>
            </w:pPr>
            <w:r>
              <w:rPr>
                <w:rFonts w:ascii="Arial" w:cs="Arial" w:eastAsia="Arial" w:hAnsi="Arial"/>
                <w:sz w:val="18"/>
                <w:szCs w:val="18"/>
                <w:color w:val="0000FF"/>
              </w:rPr>
              <w:t>Other Information</w:t>
            </w: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520" w:type="dxa"/>
            <w:vAlign w:val="bottom"/>
            <w:gridSpan w:val="1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3"/>
        </w:trPr>
        <w:tc>
          <w:tcPr>
            <w:tcW w:w="13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882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72"/>
        </w:trPr>
        <w:tc>
          <w:tcPr>
            <w:tcW w:w="138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68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gridSpan w:val="9"/>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7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December 31, 2022</w:t>
            </w:r>
          </w:p>
        </w:tc>
      </w:tr>
      <w:tr>
        <w:trPr>
          <w:trHeight w:val="237"/>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4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232,995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217,666</w:t>
            </w: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79,919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91,695</w:t>
            </w: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122,730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130,990</w:t>
            </w: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227,021</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228,732</w:t>
            </w: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43,306</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19,492</w:t>
            </w:r>
          </w:p>
        </w:tc>
        <w:tc>
          <w:tcPr>
            <w:tcW w:w="140" w:type="dxa"/>
            <w:vAlign w:val="bottom"/>
          </w:tcPr>
          <w:p>
            <w:pPr>
              <w:spacing w:after="0"/>
              <w:rPr>
                <w:sz w:val="20"/>
                <w:szCs w:val="20"/>
                <w:color w:val="auto"/>
              </w:rPr>
            </w:pPr>
          </w:p>
        </w:tc>
      </w:tr>
      <w:tr>
        <w:trPr>
          <w:trHeight w:val="237"/>
        </w:trPr>
        <w:tc>
          <w:tcPr>
            <w:tcW w:w="74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706,495</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689,098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874</w:t>
            </w: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Long-term investments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Long-term inventory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122,318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163,620</w:t>
            </w: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8,978</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9,074</w:t>
            </w: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Intangible asset, net</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20,377</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8"/>
        </w:trPr>
        <w:tc>
          <w:tcPr>
            <w:tcW w:w="7420" w:type="dxa"/>
            <w:vAlign w:val="bottom"/>
          </w:tcPr>
          <w:p>
            <w:pPr>
              <w:ind w:left="5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860,018</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886,179</w:t>
            </w:r>
          </w:p>
        </w:tc>
        <w:tc>
          <w:tcPr>
            <w:tcW w:w="14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7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42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54,309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64,602</w:t>
            </w: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214,598</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192,678</w:t>
            </w:r>
          </w:p>
        </w:tc>
        <w:tc>
          <w:tcPr>
            <w:tcW w:w="14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Current deferred revenue</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270,932</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259,479</w:t>
            </w:r>
          </w:p>
        </w:tc>
        <w:tc>
          <w:tcPr>
            <w:tcW w:w="140" w:type="dxa"/>
            <w:vAlign w:val="bottom"/>
          </w:tcPr>
          <w:p>
            <w:pPr>
              <w:spacing w:after="0"/>
              <w:rPr>
                <w:sz w:val="20"/>
                <w:szCs w:val="20"/>
                <w:color w:val="auto"/>
              </w:rPr>
            </w:pPr>
          </w:p>
        </w:tc>
      </w:tr>
      <w:tr>
        <w:trPr>
          <w:trHeight w:val="243"/>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Long-term deferred revenue</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3,331</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13,147</w:t>
            </w: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Long-term operating lease liability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9,472</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10,015</w:t>
            </w:r>
          </w:p>
        </w:tc>
        <w:tc>
          <w:tcPr>
            <w:tcW w:w="140" w:type="dxa"/>
            <w:vAlign w:val="bottom"/>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7,155</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140" w:type="dxa"/>
            <w:vAlign w:val="bottom"/>
          </w:tcPr>
          <w:p>
            <w:pPr>
              <w:spacing w:after="0"/>
              <w:rPr>
                <w:sz w:val="20"/>
                <w:szCs w:val="20"/>
                <w:color w:val="auto"/>
              </w:rPr>
            </w:pPr>
          </w:p>
        </w:tc>
      </w:tr>
      <w:tr>
        <w:trPr>
          <w:trHeight w:val="237"/>
        </w:trPr>
        <w:tc>
          <w:tcPr>
            <w:tcW w:w="74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290,890</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290,846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420" w:type="dxa"/>
            <w:vAlign w:val="bottom"/>
          </w:tcPr>
          <w:p>
            <w:pPr>
              <w:ind w:left="200"/>
              <w:spacing w:after="0"/>
              <w:rPr>
                <w:sz w:val="20"/>
                <w:szCs w:val="20"/>
                <w:color w:val="auto"/>
              </w:rPr>
            </w:pPr>
            <w:r>
              <w:rPr>
                <w:rFonts w:ascii="Arial" w:cs="Arial" w:eastAsia="Arial" w:hAnsi="Arial"/>
                <w:sz w:val="18"/>
                <w:szCs w:val="18"/>
                <w:color w:val="auto"/>
              </w:rPr>
              <w:t>Commitments and contingencies (Note 5)</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420" w:type="dxa"/>
            <w:vAlign w:val="bottom"/>
          </w:tcPr>
          <w:p>
            <w:pPr>
              <w:ind w:left="380"/>
              <w:spacing w:after="0"/>
              <w:rPr>
                <w:sz w:val="20"/>
                <w:szCs w:val="20"/>
                <w:color w:val="auto"/>
              </w:rPr>
            </w:pPr>
            <w:r>
              <w:rPr>
                <w:rFonts w:ascii="Arial" w:cs="Arial" w:eastAsia="Arial" w:hAnsi="Arial"/>
                <w:sz w:val="18"/>
                <w:szCs w:val="18"/>
                <w:color w:val="auto"/>
              </w:rPr>
              <w:t>Common stock, £0.50 par, unlimited authorized; 417,092,401 shares issued,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420" w:type="dxa"/>
            <w:vAlign w:val="bottom"/>
          </w:tcPr>
          <w:p>
            <w:pPr>
              <w:ind w:left="380"/>
              <w:spacing w:after="0"/>
              <w:rPr>
                <w:sz w:val="20"/>
                <w:szCs w:val="20"/>
                <w:color w:val="auto"/>
              </w:rPr>
            </w:pPr>
            <w:r>
              <w:rPr>
                <w:rFonts w:ascii="Arial" w:cs="Arial" w:eastAsia="Arial" w:hAnsi="Arial"/>
                <w:sz w:val="18"/>
                <w:szCs w:val="18"/>
                <w:color w:val="auto"/>
              </w:rPr>
              <w:t>408,133,807 shares outstanding as of June 30, 2023; 412,333,087 shares issued,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404,346,256 shares outstanding as of December 31, 2022</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301,906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299,002</w:t>
            </w:r>
          </w:p>
        </w:tc>
        <w:tc>
          <w:tcPr>
            <w:tcW w:w="140" w:type="dxa"/>
            <w:vAlign w:val="bottom"/>
          </w:tcPr>
          <w:p>
            <w:pPr>
              <w:spacing w:after="0"/>
              <w:rPr>
                <w:sz w:val="20"/>
                <w:szCs w:val="20"/>
                <w:color w:val="auto"/>
              </w:rPr>
            </w:pPr>
          </w:p>
        </w:tc>
      </w:tr>
      <w:tr>
        <w:trPr>
          <w:trHeight w:val="250"/>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1,891,957</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1,885,352</w:t>
            </w:r>
          </w:p>
        </w:tc>
        <w:tc>
          <w:tcPr>
            <w:tcW w:w="140" w:type="dxa"/>
            <w:vAlign w:val="bottom"/>
            <w:shd w:val="clear" w:color="auto" w:fill="CFF0FC"/>
          </w:tcPr>
          <w:p>
            <w:pPr>
              <w:spacing w:after="0"/>
              <w:rPr>
                <w:sz w:val="21"/>
                <w:szCs w:val="21"/>
                <w:color w:val="auto"/>
              </w:rPr>
            </w:pPr>
          </w:p>
        </w:tc>
      </w:tr>
      <w:tr>
        <w:trPr>
          <w:trHeight w:val="215"/>
        </w:trPr>
        <w:tc>
          <w:tcPr>
            <w:tcW w:w="7420" w:type="dxa"/>
            <w:vAlign w:val="bottom"/>
          </w:tcPr>
          <w:p>
            <w:pPr>
              <w:ind w:left="380"/>
              <w:spacing w:after="0"/>
              <w:rPr>
                <w:sz w:val="20"/>
                <w:szCs w:val="20"/>
                <w:color w:val="auto"/>
              </w:rPr>
            </w:pPr>
            <w:r>
              <w:rPr>
                <w:rFonts w:ascii="Arial" w:cs="Arial" w:eastAsia="Arial" w:hAnsi="Arial"/>
                <w:sz w:val="18"/>
                <w:szCs w:val="18"/>
                <w:color w:val="auto"/>
                <w:w w:val="94"/>
              </w:rPr>
              <w:t>Treasury stock; 8,958,594 shares as of June 30, 2023; 7,986,831 shares as of December 31,</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20" w:type="dxa"/>
            <w:vAlign w:val="bottom"/>
          </w:tcPr>
          <w:p>
            <w:pPr>
              <w:ind w:left="38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(63,464 )</w:t>
            </w:r>
          </w:p>
        </w:tc>
        <w:tc>
          <w:tcPr>
            <w:tcW w:w="240" w:type="dxa"/>
            <w:vAlign w:val="bottom"/>
          </w:tcPr>
          <w:p>
            <w:pPr>
              <w:spacing w:after="0"/>
              <w:rPr>
                <w:sz w:val="20"/>
                <w:szCs w:val="20"/>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(61,770 )</w:t>
            </w:r>
          </w:p>
        </w:tc>
      </w:tr>
      <w:tr>
        <w:trPr>
          <w:trHeight w:val="243"/>
        </w:trPr>
        <w:tc>
          <w:tcPr>
            <w:tcW w:w="7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(1,561,271 )</w:t>
            </w:r>
          </w:p>
        </w:tc>
        <w:tc>
          <w:tcPr>
            <w:tcW w:w="2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(1,527,251 )</w:t>
            </w:r>
          </w:p>
        </w:tc>
      </w:tr>
      <w:tr>
        <w:trPr>
          <w:trHeight w:val="237"/>
        </w:trPr>
        <w:tc>
          <w:tcPr>
            <w:tcW w:w="742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569,128</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595,333</w:t>
            </w:r>
          </w:p>
        </w:tc>
        <w:tc>
          <w:tcPr>
            <w:tcW w:w="140" w:type="dxa"/>
            <w:vAlign w:val="bottom"/>
            <w:tcBorders>
              <w:top w:val="single" w:sz="8" w:color="CFF0FC"/>
            </w:tcBorders>
          </w:tcPr>
          <w:p>
            <w:pPr>
              <w:spacing w:after="0"/>
              <w:rPr>
                <w:sz w:val="20"/>
                <w:szCs w:val="20"/>
                <w:color w:val="auto"/>
              </w:rPr>
            </w:pPr>
          </w:p>
        </w:tc>
      </w:tr>
      <w:tr>
        <w:trPr>
          <w:trHeight w:val="279"/>
        </w:trPr>
        <w:tc>
          <w:tcPr>
            <w:tcW w:w="742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860,018</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886,179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-4542790</wp:posOffset>
            </wp:positionV>
            <wp:extent cx="85725"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-4542790</wp:posOffset>
            </wp:positionV>
            <wp:extent cx="85725"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-3608705</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-3608705</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-2648585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-2648585</wp:posOffset>
            </wp:positionV>
            <wp:extent cx="85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-1696720</wp:posOffset>
            </wp:positionV>
            <wp:extent cx="857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-1696720</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-351155</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820" w:type="dxa"/>
            <w:vAlign w:val="bottom"/>
            <w:gridSpan w:val="5"/>
          </w:tcPr>
          <w:p>
            <w:pPr>
              <w:jc w:val="right"/>
              <w:ind w:right="74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68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 net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65,187</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93,796</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149,841</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187,782</w:t>
            </w:r>
          </w:p>
        </w:tc>
        <w:tc>
          <w:tcPr>
            <w:tcW w:w="120" w:type="dxa"/>
            <w:vAlign w:val="bottom"/>
            <w:shd w:val="clear" w:color="auto" w:fill="CFF0FC"/>
          </w:tcPr>
          <w:p>
            <w:pPr>
              <w:spacing w:after="0"/>
              <w:rPr>
                <w:sz w:val="20"/>
                <w:szCs w:val="20"/>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Licensing and royalty revenue</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16,301</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20"/>
                <w:szCs w:val="20"/>
                <w:color w:val="auto"/>
              </w:rPr>
            </w:pPr>
          </w:p>
        </w:tc>
      </w:tr>
      <w:tr>
        <w:trPr>
          <w:trHeight w:val="243"/>
        </w:trPr>
        <w:tc>
          <w:tcPr>
            <w:tcW w:w="4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 net</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80,167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94,440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166,142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189,070</w:t>
            </w:r>
          </w:p>
        </w:tc>
        <w:tc>
          <w:tcPr>
            <w:tcW w:w="120" w:type="dxa"/>
            <w:vAlign w:val="bottom"/>
            <w:shd w:val="clear" w:color="auto" w:fill="CFF0FC"/>
          </w:tcPr>
          <w:p>
            <w:pPr>
              <w:spacing w:after="0"/>
              <w:rPr>
                <w:sz w:val="21"/>
                <w:szCs w:val="2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Less: Cost of goods sold</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23,199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35,810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48,993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58,049</w:t>
            </w:r>
          </w:p>
        </w:tc>
        <w:tc>
          <w:tcPr>
            <w:tcW w:w="120" w:type="dxa"/>
            <w:vAlign w:val="bottom"/>
          </w:tcPr>
          <w:p>
            <w:pPr>
              <w:spacing w:after="0"/>
              <w:rPr>
                <w:sz w:val="20"/>
                <w:szCs w:val="20"/>
                <w:color w:val="auto"/>
              </w:rPr>
            </w:pPr>
          </w:p>
        </w:tc>
      </w:tr>
      <w:tr>
        <w:trPr>
          <w:trHeight w:val="243"/>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Cost of goods sold - restructuring inventory</w:t>
            </w:r>
          </w:p>
        </w:tc>
        <w:tc>
          <w:tcPr>
            <w:tcW w:w="3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14,300</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26,554</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42,668</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43,630</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90,595</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116,021</w:t>
            </w:r>
          </w:p>
        </w:tc>
        <w:tc>
          <w:tcPr>
            <w:tcW w:w="120" w:type="dxa"/>
            <w:vAlign w:val="bottom"/>
          </w:tcPr>
          <w:p>
            <w:pPr>
              <w:spacing w:after="0"/>
              <w:rPr>
                <w:sz w:val="20"/>
                <w:szCs w:val="20"/>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50,953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86,893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110,540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177,540</w:t>
            </w:r>
          </w:p>
        </w:tc>
        <w:tc>
          <w:tcPr>
            <w:tcW w:w="120" w:type="dxa"/>
            <w:vAlign w:val="bottom"/>
          </w:tcPr>
          <w:p>
            <w:pPr>
              <w:spacing w:after="0"/>
              <w:rPr>
                <w:sz w:val="20"/>
                <w:szCs w:val="20"/>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120" w:type="dxa"/>
            <w:vAlign w:val="bottom"/>
            <w:shd w:val="clear" w:color="auto" w:fill="CFF0FC"/>
          </w:tcPr>
          <w:p>
            <w:pPr>
              <w:spacing w:after="0"/>
              <w:rPr>
                <w:sz w:val="21"/>
                <w:szCs w:val="2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10,032</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20"/>
                <w:szCs w:val="20"/>
                <w:color w:val="auto"/>
              </w:rPr>
            </w:pPr>
          </w:p>
        </w:tc>
      </w:tr>
      <w:tr>
        <w:trPr>
          <w:trHeight w:val="237"/>
        </w:trPr>
        <w:tc>
          <w:tcPr>
            <w:tcW w:w="4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66,627</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106,462</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131,895</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207,160</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20"/>
                <w:szCs w:val="20"/>
                <w:color w:val="auto"/>
              </w:rPr>
            </w:pP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(23,959 )</w:t>
            </w:r>
          </w:p>
        </w:tc>
        <w:tc>
          <w:tcPr>
            <w:tcW w:w="320" w:type="dxa"/>
            <w:vAlign w:val="bottom"/>
          </w:tcPr>
          <w:p>
            <w:pPr>
              <w:spacing w:after="0"/>
              <w:rPr>
                <w:sz w:val="20"/>
                <w:szCs w:val="20"/>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 xml:space="preserve">(62,832 </w:t>
            </w:r>
            <w:r>
              <w:rPr>
                <w:rFonts w:ascii="Arial" w:cs="Arial" w:eastAsia="Arial" w:hAnsi="Arial"/>
                <w:sz w:val="18"/>
                <w:szCs w:val="18"/>
                <w:color w:val="auto"/>
                <w:highlight w:val="white"/>
              </w:rPr>
              <w:t>)</w:t>
            </w:r>
          </w:p>
        </w:tc>
        <w:tc>
          <w:tcPr>
            <w:tcW w:w="300" w:type="dxa"/>
            <w:vAlign w:val="bottom"/>
          </w:tcPr>
          <w:p>
            <w:pPr>
              <w:spacing w:after="0"/>
              <w:rPr>
                <w:sz w:val="20"/>
                <w:szCs w:val="20"/>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(41,300 )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(91,139 )</w:t>
            </w:r>
          </w:p>
        </w:tc>
      </w:tr>
      <w:tr>
        <w:trPr>
          <w:trHeight w:val="24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w:t>
            </w:r>
          </w:p>
        </w:tc>
        <w:tc>
          <w:tcPr>
            <w:tcW w:w="120" w:type="dxa"/>
            <w:vAlign w:val="bottom"/>
            <w:shd w:val="clear" w:color="auto" w:fill="CFF0FC"/>
          </w:tcPr>
          <w:p>
            <w:pPr>
              <w:spacing w:after="0"/>
              <w:rPr>
                <w:sz w:val="21"/>
                <w:szCs w:val="2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3,043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(2,255 )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(2,501 )</w:t>
            </w:r>
          </w:p>
        </w:tc>
      </w:tr>
      <w:tr>
        <w:trPr>
          <w:trHeight w:val="24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 before taxes</w:t>
            </w:r>
          </w:p>
        </w:tc>
        <w:tc>
          <w:tcPr>
            <w:tcW w:w="3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(17,915</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(64,799</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(32,411</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(93,149</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(5,157 )</w:t>
            </w:r>
          </w:p>
        </w:tc>
        <w:tc>
          <w:tcPr>
            <w:tcW w:w="300" w:type="dxa"/>
            <w:vAlign w:val="bottom"/>
          </w:tcPr>
          <w:p>
            <w:pPr>
              <w:spacing w:after="0"/>
              <w:rPr>
                <w:sz w:val="20"/>
                <w:szCs w:val="20"/>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(1,609 )</w:t>
            </w:r>
          </w:p>
        </w:tc>
        <w:tc>
          <w:tcPr>
            <w:tcW w:w="3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(8,370 )</w:t>
            </w:r>
          </w:p>
        </w:tc>
      </w:tr>
      <w:tr>
        <w:trPr>
          <w:trHeight w:val="277"/>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(69,956</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(34,020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(101,519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(0.04 )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(0.18 )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(0.08 )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(0.26 )</w:t>
            </w: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rPr>
              <w:t>(0.04 )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(0.18 )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(0.08 )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(0.26 )</w:t>
            </w:r>
          </w:p>
        </w:tc>
      </w:tr>
      <w:tr>
        <w:trPr>
          <w:trHeight w:val="24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68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407,848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398,187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407,017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397,997</w:t>
            </w:r>
          </w:p>
        </w:tc>
        <w:tc>
          <w:tcPr>
            <w:tcW w:w="120" w:type="dxa"/>
            <w:vAlign w:val="bottom"/>
          </w:tcPr>
          <w:p>
            <w:pPr>
              <w:spacing w:after="0"/>
              <w:rPr>
                <w:sz w:val="20"/>
                <w:szCs w:val="20"/>
                <w:color w:val="auto"/>
              </w:rPr>
            </w:pPr>
          </w:p>
        </w:tc>
      </w:tr>
      <w:tr>
        <w:trPr>
          <w:trHeight w:val="249"/>
        </w:trPr>
        <w:tc>
          <w:tcPr>
            <w:tcW w:w="4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407,848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398,187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407,017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397,997</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-2854325</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4887595</wp:posOffset>
            </wp:positionH>
            <wp:positionV relativeFrom="paragraph">
              <wp:posOffset>-2854325</wp:posOffset>
            </wp:positionV>
            <wp:extent cx="774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-2854325</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6979285</wp:posOffset>
            </wp:positionH>
            <wp:positionV relativeFrom="paragraph">
              <wp:posOffset>-2854325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-1902460</wp:posOffset>
            </wp:positionV>
            <wp:extent cx="8572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5933440</wp:posOffset>
            </wp:positionH>
            <wp:positionV relativeFrom="paragraph">
              <wp:posOffset>-1902460</wp:posOffset>
            </wp:positionV>
            <wp:extent cx="8572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6979285</wp:posOffset>
            </wp:positionH>
            <wp:positionV relativeFrom="paragraph">
              <wp:posOffset>-1902460</wp:posOffset>
            </wp:positionV>
            <wp:extent cx="8572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-950595</wp:posOffset>
            </wp:positionV>
            <wp:extent cx="323215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2150" cy="17970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337"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Common</w:t>
            </w:r>
          </w:p>
        </w:tc>
        <w:tc>
          <w:tcPr>
            <w:tcW w:w="260" w:type="dxa"/>
            <w:vAlign w:val="bottom"/>
          </w:tcPr>
          <w:p>
            <w:pPr>
              <w:spacing w:after="0"/>
              <w:rPr>
                <w:sz w:val="12"/>
                <w:szCs w:val="12"/>
                <w:color w:val="auto"/>
              </w:rPr>
            </w:pPr>
          </w:p>
        </w:tc>
        <w:tc>
          <w:tcPr>
            <w:tcW w:w="130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94"/>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Common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12"/>
                <w:szCs w:val="12"/>
                <w:color w:val="auto"/>
              </w:rPr>
            </w:pPr>
          </w:p>
        </w:tc>
        <w:tc>
          <w:tcPr>
            <w:tcW w:w="114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3"/>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60" w:type="dxa"/>
            <w:vAlign w:val="bottom"/>
          </w:tcPr>
          <w:p>
            <w:pPr>
              <w:spacing w:after="0"/>
              <w:rPr>
                <w:sz w:val="15"/>
                <w:szCs w:val="15"/>
                <w:color w:val="auto"/>
              </w:rPr>
            </w:pPr>
          </w:p>
        </w:tc>
        <w:tc>
          <w:tcPr>
            <w:tcW w:w="130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5"/>
                <w:szCs w:val="15"/>
                <w:color w:val="auto"/>
              </w:rPr>
            </w:pPr>
          </w:p>
        </w:tc>
        <w:tc>
          <w:tcPr>
            <w:tcW w:w="76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114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2022</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412,333,087</w:t>
            </w:r>
          </w:p>
        </w:tc>
        <w:tc>
          <w:tcPr>
            <w:tcW w:w="26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(7,986,831</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299,002</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1,885,352</w:t>
            </w:r>
          </w:p>
        </w:tc>
        <w:tc>
          <w:tcPr>
            <w:tcW w:w="2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(61,770</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(1,527,251</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595,333</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1,232,263</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1,871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2,514,948</w:t>
            </w:r>
          </w:p>
        </w:tc>
        <w:tc>
          <w:tcPr>
            <w:tcW w:w="1560" w:type="dxa"/>
            <w:vAlign w:val="bottom"/>
            <w:gridSpan w:val="3"/>
            <w:shd w:val="clear" w:color="auto" w:fill="CFF0FC"/>
          </w:tcPr>
          <w:p>
            <w:pPr>
              <w:jc w:val="right"/>
              <w:ind w:right="128"/>
              <w:spacing w:after="0"/>
              <w:rPr>
                <w:sz w:val="20"/>
                <w:szCs w:val="20"/>
                <w:color w:val="auto"/>
              </w:rPr>
            </w:pPr>
            <w:r>
              <w:rPr>
                <w:rFonts w:ascii="Arial" w:cs="Arial" w:eastAsia="Arial" w:hAnsi="Arial"/>
                <w:sz w:val="14"/>
                <w:szCs w:val="14"/>
                <w:color w:val="auto"/>
              </w:rPr>
              <w:t>(827,523 )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(1,539 )</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(1,507 )</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(1,507 )</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5,556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(16,460 )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(16,460 )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March 31, 2023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416,080,298</w:t>
            </w:r>
          </w:p>
        </w:tc>
        <w:tc>
          <w:tcPr>
            <w:tcW w:w="26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(8,814,354 )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301,285</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1,890,496</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(63,277 )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(1,543,711 )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584,793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0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w w:val="98"/>
              </w:rPr>
              <w:t>Issuance of common stock under employee</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205,861</w:t>
            </w:r>
          </w:p>
        </w:tc>
        <w:tc>
          <w:tcPr>
            <w:tcW w:w="260" w:type="dxa"/>
            <w:vAlign w:val="bottom"/>
            <w:shd w:val="clear" w:color="auto" w:fill="CFF0FC"/>
          </w:tcPr>
          <w:p>
            <w:pPr>
              <w:spacing w:after="0"/>
              <w:rPr>
                <w:sz w:val="10"/>
                <w:szCs w:val="10"/>
                <w:color w:val="auto"/>
              </w:rPr>
            </w:pPr>
          </w:p>
        </w:tc>
        <w:tc>
          <w:tcPr>
            <w:tcW w:w="1300" w:type="dxa"/>
            <w:vAlign w:val="bottom"/>
            <w:gridSpan w:val="2"/>
            <w:vMerge w:val="restart"/>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0"/>
                <w:szCs w:val="10"/>
                <w:color w:val="auto"/>
              </w:rPr>
            </w:pPr>
          </w:p>
        </w:tc>
        <w:tc>
          <w:tcPr>
            <w:tcW w:w="1140" w:type="dxa"/>
            <w:vAlign w:val="bottom"/>
            <w:gridSpan w:val="2"/>
            <w:vMerge w:val="restart"/>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0"/>
                <w:szCs w:val="10"/>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240</w:t>
            </w: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0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stock purchase plan</w:t>
            </w:r>
          </w:p>
        </w:tc>
        <w:tc>
          <w:tcPr>
            <w:tcW w:w="108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30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6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40" w:type="dxa"/>
            <w:vAlign w:val="bottom"/>
            <w:gridSpan w:val="2"/>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8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700" w:type="dxa"/>
            <w:vAlign w:val="bottom"/>
            <w:vMerge w:val="continue"/>
            <w:shd w:val="clear" w:color="auto" w:fill="CFF0FC"/>
          </w:tcPr>
          <w:p>
            <w:pPr>
              <w:spacing w:after="0"/>
              <w:rPr>
                <w:sz w:val="5"/>
                <w:szCs w:val="5"/>
                <w:color w:val="auto"/>
              </w:rPr>
            </w:pPr>
          </w:p>
        </w:tc>
        <w:tc>
          <w:tcPr>
            <w:tcW w:w="10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7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6,000</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800,242</w:t>
            </w:r>
          </w:p>
        </w:tc>
        <w:tc>
          <w:tcPr>
            <w:tcW w:w="1560" w:type="dxa"/>
            <w:vAlign w:val="bottom"/>
            <w:gridSpan w:val="3"/>
            <w:shd w:val="clear" w:color="auto" w:fill="CFF0FC"/>
          </w:tcPr>
          <w:p>
            <w:pPr>
              <w:jc w:val="right"/>
              <w:ind w:right="128"/>
              <w:spacing w:after="0"/>
              <w:rPr>
                <w:sz w:val="20"/>
                <w:szCs w:val="20"/>
                <w:color w:val="auto"/>
              </w:rPr>
            </w:pPr>
            <w:r>
              <w:rPr>
                <w:rFonts w:ascii="Arial" w:cs="Arial" w:eastAsia="Arial" w:hAnsi="Arial"/>
                <w:sz w:val="14"/>
                <w:szCs w:val="14"/>
                <w:color w:val="auto"/>
              </w:rPr>
              <w:t>(144,240 )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(490 )</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(187 )</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(187 )</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(17,560 )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(17,560 )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June 30, 2023</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417,092,401</w:t>
            </w:r>
          </w:p>
        </w:tc>
        <w:tc>
          <w:tcPr>
            <w:tcW w:w="26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(8,958,594 )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301,906</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1,891,957</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(63,464 )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(1,561,271 )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569,128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2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Common</w:t>
            </w:r>
          </w:p>
        </w:tc>
        <w:tc>
          <w:tcPr>
            <w:tcW w:w="260" w:type="dxa"/>
            <w:vAlign w:val="bottom"/>
          </w:tcPr>
          <w:p>
            <w:pPr>
              <w:spacing w:after="0"/>
              <w:rPr>
                <w:sz w:val="12"/>
                <w:szCs w:val="12"/>
                <w:color w:val="auto"/>
              </w:rPr>
            </w:pPr>
          </w:p>
        </w:tc>
        <w:tc>
          <w:tcPr>
            <w:tcW w:w="130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94"/>
              </w:rPr>
              <w:t>Treasury</w:t>
            </w:r>
          </w:p>
        </w:tc>
        <w:tc>
          <w:tcPr>
            <w:tcW w:w="140" w:type="dxa"/>
            <w:vAlign w:val="bottom"/>
          </w:tcPr>
          <w:p>
            <w:pPr>
              <w:spacing w:after="0"/>
              <w:rPr>
                <w:sz w:val="12"/>
                <w:szCs w:val="12"/>
                <w:color w:val="auto"/>
              </w:rPr>
            </w:pPr>
          </w:p>
        </w:tc>
        <w:tc>
          <w:tcPr>
            <w:tcW w:w="76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Common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2"/>
                <w:szCs w:val="12"/>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94"/>
              </w:rPr>
              <w:t>Treasury</w:t>
            </w:r>
          </w:p>
        </w:tc>
        <w:tc>
          <w:tcPr>
            <w:tcW w:w="100" w:type="dxa"/>
            <w:vAlign w:val="bottom"/>
          </w:tcPr>
          <w:p>
            <w:pPr>
              <w:spacing w:after="0"/>
              <w:rPr>
                <w:sz w:val="12"/>
                <w:szCs w:val="12"/>
                <w:color w:val="auto"/>
              </w:rPr>
            </w:pPr>
          </w:p>
        </w:tc>
        <w:tc>
          <w:tcPr>
            <w:tcW w:w="1140" w:type="dxa"/>
            <w:vAlign w:val="bottom"/>
            <w:gridSpan w:val="2"/>
          </w:tcPr>
          <w:p>
            <w:pPr>
              <w:jc w:val="center"/>
              <w:ind w:right="268"/>
              <w:spacing w:after="0"/>
              <w:rPr>
                <w:sz w:val="20"/>
                <w:szCs w:val="20"/>
                <w:color w:val="auto"/>
              </w:rPr>
            </w:pPr>
            <w:r>
              <w:rPr>
                <w:rFonts w:ascii="Arial" w:cs="Arial" w:eastAsia="Arial" w:hAnsi="Arial"/>
                <w:sz w:val="13"/>
                <w:szCs w:val="13"/>
                <w:b w:val="1"/>
                <w:bCs w:val="1"/>
                <w:color w:val="auto"/>
                <w:w w:val="93"/>
              </w:rPr>
              <w:t>Accumulated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Shares</w:t>
            </w:r>
          </w:p>
        </w:tc>
        <w:tc>
          <w:tcPr>
            <w:tcW w:w="260" w:type="dxa"/>
            <w:vAlign w:val="bottom"/>
          </w:tcPr>
          <w:p>
            <w:pPr>
              <w:spacing w:after="0"/>
              <w:rPr>
                <w:sz w:val="15"/>
                <w:szCs w:val="15"/>
                <w:color w:val="auto"/>
              </w:rPr>
            </w:pPr>
          </w:p>
        </w:tc>
        <w:tc>
          <w:tcPr>
            <w:tcW w:w="1300" w:type="dxa"/>
            <w:vAlign w:val="bottom"/>
            <w:gridSpan w:val="2"/>
          </w:tcPr>
          <w:p>
            <w:pPr>
              <w:jc w:val="center"/>
              <w:ind w:right="188"/>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5"/>
                <w:szCs w:val="15"/>
                <w:color w:val="auto"/>
              </w:rPr>
            </w:pPr>
          </w:p>
        </w:tc>
        <w:tc>
          <w:tcPr>
            <w:tcW w:w="760" w:type="dxa"/>
            <w:vAlign w:val="bottom"/>
          </w:tcPr>
          <w:p>
            <w:pPr>
              <w:jc w:val="center"/>
              <w:ind w:right="69"/>
              <w:spacing w:after="0"/>
              <w:rPr>
                <w:sz w:val="20"/>
                <w:szCs w:val="20"/>
                <w:color w:val="auto"/>
              </w:rPr>
            </w:pPr>
            <w:r>
              <w:rPr>
                <w:rFonts w:ascii="Arial" w:cs="Arial" w:eastAsia="Arial" w:hAnsi="Arial"/>
                <w:sz w:val="13"/>
                <w:szCs w:val="13"/>
                <w:b w:val="1"/>
                <w:bCs w:val="1"/>
                <w:color w:val="auto"/>
                <w:w w:val="95"/>
              </w:rPr>
              <w:t>Stock</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20" w:type="dxa"/>
            <w:vAlign w:val="bottom"/>
            <w:gridSpan w:val="2"/>
          </w:tcPr>
          <w:p>
            <w:pPr>
              <w:jc w:val="center"/>
              <w:ind w:right="308"/>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1140" w:type="dxa"/>
            <w:vAlign w:val="bottom"/>
            <w:gridSpan w:val="2"/>
          </w:tcPr>
          <w:p>
            <w:pPr>
              <w:jc w:val="center"/>
              <w:ind w:right="288"/>
              <w:spacing w:after="0"/>
              <w:rPr>
                <w:sz w:val="20"/>
                <w:szCs w:val="20"/>
                <w:color w:val="auto"/>
              </w:rPr>
            </w:pPr>
            <w:r>
              <w:rPr>
                <w:rFonts w:ascii="Arial" w:cs="Arial" w:eastAsia="Arial" w:hAnsi="Arial"/>
                <w:sz w:val="13"/>
                <w:szCs w:val="13"/>
                <w:b w:val="1"/>
                <w:bCs w:val="1"/>
                <w:color w:val="auto"/>
                <w:w w:val="95"/>
              </w:rPr>
              <w:t>Deficit</w:t>
            </w:r>
          </w:p>
        </w:tc>
        <w:tc>
          <w:tcPr>
            <w:tcW w:w="22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404,084,775</w:t>
            </w:r>
          </w:p>
        </w:tc>
        <w:tc>
          <w:tcPr>
            <w:tcW w:w="26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(7,486,767</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294,027</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1,855,246</w:t>
            </w:r>
          </w:p>
        </w:tc>
        <w:tc>
          <w:tcPr>
            <w:tcW w:w="2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(60,726</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(1,421,448</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667,099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10,602</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493,381</w:t>
            </w:r>
          </w:p>
        </w:tc>
        <w:tc>
          <w:tcPr>
            <w:tcW w:w="1560" w:type="dxa"/>
            <w:vAlign w:val="bottom"/>
            <w:gridSpan w:val="3"/>
            <w:shd w:val="clear" w:color="auto" w:fill="CFF0FC"/>
          </w:tcPr>
          <w:p>
            <w:pPr>
              <w:jc w:val="right"/>
              <w:ind w:right="128"/>
              <w:spacing w:after="0"/>
              <w:rPr>
                <w:sz w:val="20"/>
                <w:szCs w:val="20"/>
                <w:color w:val="auto"/>
              </w:rPr>
            </w:pPr>
            <w:r>
              <w:rPr>
                <w:rFonts w:ascii="Arial" w:cs="Arial" w:eastAsia="Arial" w:hAnsi="Arial"/>
                <w:sz w:val="14"/>
                <w:szCs w:val="14"/>
                <w:color w:val="auto"/>
              </w:rPr>
              <w:t>(161,083 )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(331 )</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(535 )</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(535 )</w:t>
            </w: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6,078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(31,563 )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(31,563 )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March 31, 2022</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404,588,758</w:t>
            </w:r>
          </w:p>
        </w:tc>
        <w:tc>
          <w:tcPr>
            <w:tcW w:w="26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(7,647,850 )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294,364</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1,861,017</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(61,261 )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(1,453,011 )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641,109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70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w w:val="98"/>
              </w:rPr>
              <w:t>Issuance of common stock under employee</w:t>
            </w:r>
          </w:p>
        </w:tc>
        <w:tc>
          <w:tcPr>
            <w:tcW w:w="10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 purchase plan</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265,214</w:t>
            </w:r>
          </w:p>
        </w:tc>
        <w:tc>
          <w:tcPr>
            <w:tcW w:w="26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1080" w:type="dxa"/>
            <w:vAlign w:val="bottom"/>
          </w:tcPr>
          <w:p>
            <w:pPr>
              <w:jc w:val="right"/>
              <w:spacing w:after="0"/>
              <w:rPr>
                <w:sz w:val="20"/>
                <w:szCs w:val="20"/>
                <w:color w:val="auto"/>
              </w:rPr>
            </w:pPr>
            <w:r>
              <w:rPr>
                <w:rFonts w:ascii="Arial" w:cs="Arial" w:eastAsia="Arial" w:hAnsi="Arial"/>
                <w:sz w:val="14"/>
                <w:szCs w:val="14"/>
                <w:color w:val="auto"/>
              </w:rPr>
              <w:t>14,645</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187,835</w:t>
            </w:r>
          </w:p>
        </w:tc>
        <w:tc>
          <w:tcPr>
            <w:tcW w:w="1560" w:type="dxa"/>
            <w:vAlign w:val="bottom"/>
            <w:gridSpan w:val="3"/>
            <w:shd w:val="clear" w:color="auto" w:fill="CFF0FC"/>
          </w:tcPr>
          <w:p>
            <w:pPr>
              <w:jc w:val="right"/>
              <w:ind w:right="128"/>
              <w:spacing w:after="0"/>
              <w:rPr>
                <w:sz w:val="20"/>
                <w:szCs w:val="20"/>
                <w:color w:val="auto"/>
              </w:rPr>
            </w:pPr>
            <w:r>
              <w:rPr>
                <w:rFonts w:ascii="Arial" w:cs="Arial" w:eastAsia="Arial" w:hAnsi="Arial"/>
                <w:sz w:val="14"/>
                <w:szCs w:val="14"/>
                <w:color w:val="auto"/>
              </w:rPr>
              <w:t>(61,551 )</w:t>
            </w: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(158 )</w:t>
            </w: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8,646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8,646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for the period</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(69,956 )</w:t>
            </w:r>
          </w:p>
        </w:tc>
        <w:tc>
          <w:tcPr>
            <w:tcW w:w="22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(69,956 )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June 30, 2022</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405,056,452</w:t>
            </w:r>
          </w:p>
        </w:tc>
        <w:tc>
          <w:tcPr>
            <w:tcW w:w="26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(7,709,401 )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294,659</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1,869,770</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(61,419 )</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(1,522,967 )</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580,043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-2905125</wp:posOffset>
            </wp:positionV>
            <wp:extent cx="8572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-2905125</wp:posOffset>
            </wp:positionV>
            <wp:extent cx="8572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-2905125</wp:posOffset>
            </wp:positionV>
            <wp:extent cx="8572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-2905125</wp:posOffset>
            </wp:positionV>
            <wp:extent cx="8572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-2905125</wp:posOffset>
            </wp:positionV>
            <wp:extent cx="7747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-2905125</wp:posOffset>
            </wp:positionV>
            <wp:extent cx="7747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-2905125</wp:posOffset>
            </wp:positionV>
            <wp:extent cx="8572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-2108200</wp:posOffset>
            </wp:positionV>
            <wp:extent cx="8572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-2108200</wp:posOffset>
            </wp:positionV>
            <wp:extent cx="8572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-2108200</wp:posOffset>
            </wp:positionV>
            <wp:extent cx="8572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-2108200</wp:posOffset>
            </wp:positionV>
            <wp:extent cx="8572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-2108200</wp:posOffset>
            </wp:positionV>
            <wp:extent cx="7747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-2108200</wp:posOffset>
            </wp:positionV>
            <wp:extent cx="7747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-2108200</wp:posOffset>
            </wp:positionV>
            <wp:extent cx="8572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-942340</wp:posOffset>
            </wp:positionV>
            <wp:extent cx="8572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-942340</wp:posOffset>
            </wp:positionV>
            <wp:extent cx="8572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-942340</wp:posOffset>
            </wp:positionV>
            <wp:extent cx="8572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-942340</wp:posOffset>
            </wp:positionV>
            <wp:extent cx="8572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-942340</wp:posOffset>
            </wp:positionV>
            <wp:extent cx="7747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-942340</wp:posOffset>
            </wp:positionV>
            <wp:extent cx="7747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-942340</wp:posOffset>
            </wp:positionV>
            <wp:extent cx="8572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-145415</wp:posOffset>
            </wp:positionV>
            <wp:extent cx="8572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-145415</wp:posOffset>
            </wp:positionV>
            <wp:extent cx="8572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-145415</wp:posOffset>
            </wp:positionV>
            <wp:extent cx="8572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-145415</wp:posOffset>
            </wp:positionV>
            <wp:extent cx="8572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-145415</wp:posOffset>
            </wp:positionV>
            <wp:extent cx="7747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-145415</wp:posOffset>
            </wp:positionV>
            <wp:extent cx="7747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-145415</wp:posOffset>
            </wp:positionV>
            <wp:extent cx="85725"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76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69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(34,020 )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(101,519 )</w:t>
            </w: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(Accretion) amortization of investments</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(1,853 )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7,391</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14,724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intangible asset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19,711</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43,013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(80,094 )</w:t>
            </w: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(23,814 )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(9,907 )</w:t>
            </w: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(522 )</w:t>
            </w:r>
          </w:p>
        </w:tc>
        <w:tc>
          <w:tcPr>
            <w:tcW w:w="320" w:type="dxa"/>
            <w:vAlign w:val="bottom"/>
          </w:tcPr>
          <w:p>
            <w:pPr>
              <w:spacing w:after="0"/>
              <w:rPr>
                <w:sz w:val="20"/>
                <w:szCs w:val="20"/>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receivable</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(9,990 )</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(8,657 )</w:t>
            </w: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(1,497 )</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(163,431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8"/>
        </w:trPr>
        <w:tc>
          <w:tcPr>
            <w:tcW w:w="6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Purchase of furniture, fixtures and equipment</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Maturities of securities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96,993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186,411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(82,260 )</w:t>
            </w:r>
          </w:p>
        </w:tc>
        <w:tc>
          <w:tcPr>
            <w:tcW w:w="3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(14,172 )</w:t>
            </w:r>
          </w:p>
        </w:tc>
        <w:tc>
          <w:tcPr>
            <w:tcW w:w="0" w:type="dxa"/>
            <w:vAlign w:val="bottom"/>
          </w:tcPr>
          <w:p>
            <w:pPr>
              <w:spacing w:after="0"/>
              <w:rPr>
                <w:sz w:val="1"/>
                <w:szCs w:val="1"/>
                <w:color w:val="auto"/>
              </w:rPr>
            </w:pPr>
          </w:p>
        </w:tc>
      </w:tr>
      <w:tr>
        <w:trPr>
          <w:trHeight w:val="237"/>
        </w:trPr>
        <w:tc>
          <w:tcPr>
            <w:tcW w:w="6920" w:type="dxa"/>
            <w:vAlign w:val="bottom"/>
            <w:tcBorders>
              <w:top w:val="single" w:sz="8" w:color="CFF0FC"/>
            </w:tcBorders>
          </w:tcPr>
          <w:p>
            <w:pPr>
              <w:ind w:left="5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14,710</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172,239</w:t>
            </w:r>
          </w:p>
        </w:tc>
        <w:tc>
          <w:tcPr>
            <w:tcW w:w="12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Proceeds from the sale of common stock, net of transaction costs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Proceeds from exercise of stock options, net of transaction costs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Taxes paid related to stock-based awards</w:t>
            </w:r>
          </w:p>
        </w:tc>
        <w:tc>
          <w:tcPr>
            <w:tcW w:w="3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(1,694 )</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(693 )</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5"/>
        </w:trPr>
        <w:tc>
          <w:tcPr>
            <w:tcW w:w="6920" w:type="dxa"/>
            <w:vAlign w:val="bottom"/>
          </w:tcPr>
          <w:p>
            <w:pPr>
              <w:spacing w:after="0"/>
              <w:rPr>
                <w:sz w:val="20"/>
                <w:szCs w:val="20"/>
                <w:color w:val="auto"/>
              </w:rPr>
            </w:pPr>
            <w:r>
              <w:rPr>
                <w:rFonts w:ascii="Arial" w:cs="Arial" w:eastAsia="Arial" w:hAnsi="Arial"/>
                <w:sz w:val="18"/>
                <w:szCs w:val="18"/>
                <w:color w:val="auto"/>
              </w:rPr>
              <w:t>NET INCREASE IN CASH AND CASH EQUIVALENTS AND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15,330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BEGINNING OF</w:t>
            </w:r>
          </w:p>
        </w:tc>
        <w:tc>
          <w:tcPr>
            <w:tcW w:w="32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218,189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223,372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233,519</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Cash (paid) received during the year for:</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(2,112 )</w:t>
            </w:r>
          </w:p>
        </w:tc>
        <w:tc>
          <w:tcPr>
            <w:tcW w:w="0" w:type="dxa"/>
            <w:vAlign w:val="bottom"/>
          </w:tcPr>
          <w:p>
            <w:pPr>
              <w:spacing w:after="0"/>
              <w:rPr>
                <w:sz w:val="1"/>
                <w:szCs w:val="1"/>
                <w:color w:val="auto"/>
              </w:rPr>
            </w:pPr>
          </w:p>
        </w:tc>
      </w:tr>
      <w:tr>
        <w:trPr>
          <w:trHeight w:val="224"/>
        </w:trPr>
        <w:tc>
          <w:tcPr>
            <w:tcW w:w="6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Supplemental disclosure of non-cash transactions: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Initial recognition of operating lease right-of-use asset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360"/>
              <w:spacing w:after="0"/>
              <w:rPr>
                <w:sz w:val="20"/>
                <w:szCs w:val="20"/>
                <w:color w:val="auto"/>
              </w:rPr>
            </w:pPr>
            <w:r>
              <w:rPr>
                <w:rFonts w:ascii="Arial" w:cs="Arial" w:eastAsia="Arial" w:hAnsi="Arial"/>
                <w:sz w:val="18"/>
                <w:szCs w:val="18"/>
                <w:color w:val="auto"/>
              </w:rPr>
              <w:t>Initial recognition of furniture, fixtures and equipment lease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-3325495</wp:posOffset>
            </wp:positionV>
            <wp:extent cx="7747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-3325495</wp:posOffset>
            </wp:positionV>
            <wp:extent cx="7747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-2700020</wp:posOffset>
            </wp:positionV>
            <wp:extent cx="7747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-2700020</wp:posOffset>
            </wp:positionV>
            <wp:extent cx="7747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-1748155</wp:posOffset>
            </wp:positionV>
            <wp:extent cx="77470" cy="3003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-1748155</wp:posOffset>
            </wp:positionV>
            <wp:extent cx="7747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-1165225</wp:posOffset>
            </wp:positionV>
            <wp:extent cx="7747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-1165225</wp:posOffset>
            </wp:positionV>
            <wp:extent cx="7747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-513715</wp:posOffset>
            </wp:positionV>
            <wp:extent cx="113982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39825" cy="180340"/>
                    </a:xfrm>
                    <a:prstGeom prst="rect">
                      <a:avLst/>
                    </a:prstGeom>
                    <a:noFill/>
                  </pic:spPr>
                </pic:pic>
              </a:graphicData>
            </a:graphic>
          </wp:anchor>
        </w:drawing>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880" w:hanging="872"/>
        <w:spacing w:after="0"/>
        <w:tabs>
          <w:tab w:leader="none" w:pos="8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the U.S. The Company has launched commercial operations in certain European countries, such as the United Kingdom, or the UK, and continues pre-launch commercial activities throughout the rest of Europe. The Company’s operations outside of the U.S. and Europe are in varying stages of development and commercialization with reliance on third-party commercial partners in select geographies, including China and Canada.</w:t>
      </w:r>
    </w:p>
    <w:p>
      <w:pPr>
        <w:spacing w:after="0" w:line="89"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(icosapent ethyl), was first approved by the U.S. Food and Drug Administration, or U.S. FDA, in July 2012 for use as an adjunct to diet to reduce triglyceride, or TG, levels in adult patients with severe (</w:t>
      </w:r>
      <w:r>
        <w:rPr>
          <w:rFonts w:ascii="Arial" w:cs="Arial" w:eastAsia="Arial" w:hAnsi="Arial"/>
          <w:sz w:val="17"/>
          <w:szCs w:val="17"/>
          <w:u w:val="single" w:color="auto"/>
          <w:color w:val="auto"/>
        </w:rPr>
        <w:t>&gt;</w:t>
      </w:r>
      <w:r>
        <w:rPr>
          <w:rFonts w:ascii="Arial" w:cs="Arial" w:eastAsia="Arial" w:hAnsi="Arial"/>
          <w:sz w:val="17"/>
          <w:szCs w:val="17"/>
          <w:color w:val="auto"/>
        </w:rPr>
        <w:t>500 mg/dL) hypertriglyceridemia. In January 2013, the Company launched 1-gram size VASCEPA in the U.S. and in October 2016, introduced a 0.5-gram capsule size. On December 13, 2019, the U.S. FDA approved another indication and label expansion for VASCEPA based on the results of the Company’s long-term cardiovascular outcomes trial, REDUCE-IT</w:t>
      </w:r>
      <w:r>
        <w:rPr>
          <w:rFonts w:ascii="Arial" w:cs="Arial" w:eastAsia="Arial" w:hAnsi="Arial"/>
          <w:sz w:val="23"/>
          <w:szCs w:val="23"/>
          <w:color w:val="auto"/>
          <w:vertAlign w:val="superscript"/>
        </w:rPr>
        <w:t>®</w:t>
      </w:r>
      <w:r>
        <w:rPr>
          <w:rFonts w:ascii="Arial" w:cs="Arial" w:eastAsia="Arial" w:hAnsi="Arial"/>
          <w:sz w:val="17"/>
          <w:szCs w:val="17"/>
          <w:color w:val="auto"/>
        </w:rPr>
        <w:t>, or Reduction of Cardiovascular Events with EPA – Intervention Trial. VASCEPA is approved by the U.S. FDA as an adjunct to maximally tolerated statin therapy for reducing persistent cardiovascular risk in select high risk patients.</w:t>
      </w:r>
    </w:p>
    <w:p>
      <w:pPr>
        <w:spacing w:after="0" w:line="8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U.S. FDA-approved use of its drug, for use to reduce severely high triglyceride levels, which is known as the MARINE indication. The Company sought appeals of the Nevada Court judgment up to the United States Supreme Court, but the Company was unsuccessful. As a result, the following generic versions of VASCEPA have obtained U.S. FDA approval with labeling consistent with the MARINE indication of VASCEPA and have entered the U.S. market:</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36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FDA MARINE Indication Approval</w:t>
            </w:r>
          </w:p>
        </w:tc>
        <w:tc>
          <w:tcPr>
            <w:tcW w:w="3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Launch Date</w:t>
            </w:r>
          </w:p>
        </w:tc>
      </w:tr>
      <w:tr>
        <w:trPr>
          <w:trHeight w:val="237"/>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Hikma Pharmaceuticals USA Inc.</w:t>
            </w:r>
          </w:p>
        </w:tc>
        <w:tc>
          <w:tcPr>
            <w:tcW w:w="360" w:type="dxa"/>
            <w:vAlign w:val="bottom"/>
            <w:shd w:val="clear" w:color="auto" w:fill="CFF0FC"/>
          </w:tcPr>
          <w:p>
            <w:pPr>
              <w:spacing w:after="0"/>
              <w:rPr>
                <w:sz w:val="20"/>
                <w:szCs w:val="20"/>
                <w:color w:val="auto"/>
              </w:rPr>
            </w:pP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May 2020</w:t>
            </w:r>
          </w:p>
        </w:tc>
        <w:tc>
          <w:tcPr>
            <w:tcW w:w="340" w:type="dxa"/>
            <w:vAlign w:val="bottom"/>
            <w:shd w:val="clear" w:color="auto" w:fill="CFF0FC"/>
          </w:tcPr>
          <w:p>
            <w:pPr>
              <w:spacing w:after="0"/>
              <w:rPr>
                <w:sz w:val="20"/>
                <w:szCs w:val="20"/>
                <w:color w:val="auto"/>
              </w:rPr>
            </w:pPr>
          </w:p>
        </w:tc>
        <w:tc>
          <w:tcPr>
            <w:tcW w:w="2340" w:type="dxa"/>
            <w:vAlign w:val="bottom"/>
            <w:shd w:val="clear" w:color="auto" w:fill="CFF0FC"/>
          </w:tcPr>
          <w:p>
            <w:pPr>
              <w:jc w:val="center"/>
              <w:spacing w:after="0" w:line="236" w:lineRule="exact"/>
              <w:rPr>
                <w:sz w:val="20"/>
                <w:szCs w:val="20"/>
                <w:color w:val="auto"/>
              </w:rPr>
            </w:pPr>
            <w:r>
              <w:rPr>
                <w:rFonts w:ascii="Arial" w:cs="Arial" w:eastAsia="Arial" w:hAnsi="Arial"/>
                <w:sz w:val="18"/>
                <w:szCs w:val="18"/>
                <w:color w:val="auto"/>
                <w:w w:val="87"/>
              </w:rPr>
              <w:t xml:space="preserve">November 2020 </w:t>
            </w:r>
            <w:r>
              <w:rPr>
                <w:rFonts w:ascii="Arial" w:cs="Arial" w:eastAsia="Arial" w:hAnsi="Arial"/>
                <w:sz w:val="24"/>
                <w:szCs w:val="24"/>
                <w:color w:val="auto"/>
                <w:w w:val="87"/>
                <w:vertAlign w:val="superscript"/>
              </w:rPr>
              <w:t>(1)</w:t>
            </w:r>
          </w:p>
        </w:tc>
      </w:tr>
      <w:tr>
        <w:trPr>
          <w:trHeight w:val="243"/>
        </w:trPr>
        <w:tc>
          <w:tcPr>
            <w:tcW w:w="4460" w:type="dxa"/>
            <w:vAlign w:val="bottom"/>
          </w:tcPr>
          <w:p>
            <w:pPr>
              <w:spacing w:after="0"/>
              <w:rPr>
                <w:sz w:val="20"/>
                <w:szCs w:val="20"/>
                <w:color w:val="auto"/>
              </w:rPr>
            </w:pPr>
            <w:r>
              <w:rPr>
                <w:rFonts w:ascii="Arial" w:cs="Arial" w:eastAsia="Arial" w:hAnsi="Arial"/>
                <w:sz w:val="18"/>
                <w:szCs w:val="18"/>
                <w:color w:val="auto"/>
              </w:rPr>
              <w:t>Dr. Reddy’s Laboratories, Inc.</w:t>
            </w:r>
          </w:p>
        </w:tc>
        <w:tc>
          <w:tcPr>
            <w:tcW w:w="360" w:type="dxa"/>
            <w:vAlign w:val="bottom"/>
          </w:tcPr>
          <w:p>
            <w:pPr>
              <w:spacing w:after="0"/>
              <w:rPr>
                <w:sz w:val="21"/>
                <w:szCs w:val="21"/>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2"/>
              </w:rPr>
              <w:t>August 2020</w:t>
            </w:r>
          </w:p>
        </w:tc>
        <w:tc>
          <w:tcPr>
            <w:tcW w:w="340" w:type="dxa"/>
            <w:vAlign w:val="bottom"/>
          </w:tcPr>
          <w:p>
            <w:pPr>
              <w:spacing w:after="0"/>
              <w:rPr>
                <w:sz w:val="21"/>
                <w:szCs w:val="21"/>
                <w:color w:val="auto"/>
              </w:rPr>
            </w:pPr>
          </w:p>
        </w:tc>
        <w:tc>
          <w:tcPr>
            <w:tcW w:w="2340" w:type="dxa"/>
            <w:vAlign w:val="bottom"/>
          </w:tcPr>
          <w:p>
            <w:pPr>
              <w:jc w:val="center"/>
              <w:spacing w:after="0" w:line="243" w:lineRule="exact"/>
              <w:rPr>
                <w:sz w:val="20"/>
                <w:szCs w:val="20"/>
                <w:color w:val="auto"/>
              </w:rPr>
            </w:pPr>
            <w:r>
              <w:rPr>
                <w:rFonts w:ascii="Arial" w:cs="Arial" w:eastAsia="Arial" w:hAnsi="Arial"/>
                <w:sz w:val="18"/>
                <w:szCs w:val="18"/>
                <w:color w:val="auto"/>
                <w:w w:val="84"/>
              </w:rPr>
              <w:t xml:space="preserve">June 2021 </w:t>
            </w:r>
            <w:r>
              <w:rPr>
                <w:rFonts w:ascii="Arial" w:cs="Arial" w:eastAsia="Arial" w:hAnsi="Arial"/>
                <w:sz w:val="24"/>
                <w:szCs w:val="24"/>
                <w:color w:val="auto"/>
                <w:w w:val="84"/>
                <w:vertAlign w:val="superscript"/>
              </w:rPr>
              <w:t>(2)</w:t>
            </w: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Teva Pharmaceuticals USA, Inc.</w:t>
            </w:r>
          </w:p>
        </w:tc>
        <w:tc>
          <w:tcPr>
            <w:tcW w:w="360" w:type="dxa"/>
            <w:vAlign w:val="bottom"/>
            <w:shd w:val="clear" w:color="auto" w:fill="CFF0FC"/>
          </w:tcPr>
          <w:p>
            <w:pPr>
              <w:spacing w:after="0"/>
              <w:rPr>
                <w:sz w:val="21"/>
                <w:szCs w:val="21"/>
                <w:color w:val="auto"/>
              </w:rPr>
            </w:pP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2020</w:t>
            </w:r>
          </w:p>
        </w:tc>
        <w:tc>
          <w:tcPr>
            <w:tcW w:w="34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line="243" w:lineRule="exact"/>
              <w:rPr>
                <w:sz w:val="20"/>
                <w:szCs w:val="20"/>
                <w:color w:val="auto"/>
              </w:rPr>
            </w:pPr>
            <w:r>
              <w:rPr>
                <w:rFonts w:ascii="Arial" w:cs="Arial" w:eastAsia="Arial" w:hAnsi="Arial"/>
                <w:sz w:val="18"/>
                <w:szCs w:val="18"/>
                <w:color w:val="auto"/>
                <w:w w:val="86"/>
              </w:rPr>
              <w:t xml:space="preserve">September 2022 </w:t>
            </w:r>
            <w:r>
              <w:rPr>
                <w:rFonts w:ascii="Arial" w:cs="Arial" w:eastAsia="Arial" w:hAnsi="Arial"/>
                <w:sz w:val="24"/>
                <w:szCs w:val="24"/>
                <w:color w:val="auto"/>
                <w:w w:val="86"/>
                <w:vertAlign w:val="superscript"/>
              </w:rPr>
              <w:t>(3)</w:t>
            </w: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Apotex, Inc.</w:t>
            </w:r>
          </w:p>
        </w:tc>
        <w:tc>
          <w:tcPr>
            <w:tcW w:w="36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87"/>
              </w:rPr>
              <w:t>June 2021</w:t>
            </w:r>
          </w:p>
        </w:tc>
        <w:tc>
          <w:tcPr>
            <w:tcW w:w="34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January 2022</w:t>
            </w:r>
          </w:p>
        </w:tc>
      </w:tr>
      <w:tr>
        <w:trPr>
          <w:trHeight w:val="249"/>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Zydus Lifesciences</w:t>
            </w:r>
          </w:p>
        </w:tc>
        <w:tc>
          <w:tcPr>
            <w:tcW w:w="360" w:type="dxa"/>
            <w:vAlign w:val="bottom"/>
            <w:shd w:val="clear" w:color="auto" w:fill="CFF0FC"/>
          </w:tcPr>
          <w:p>
            <w:pPr>
              <w:spacing w:after="0"/>
              <w:rPr>
                <w:sz w:val="21"/>
                <w:szCs w:val="21"/>
                <w:color w:val="auto"/>
              </w:rPr>
            </w:pPr>
          </w:p>
        </w:tc>
        <w:tc>
          <w:tcPr>
            <w:tcW w:w="2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2023</w:t>
            </w:r>
          </w:p>
        </w:tc>
        <w:tc>
          <w:tcPr>
            <w:tcW w:w="34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ind w:left="780" w:hanging="26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Hikma launched a 1-gram capsule in November 2020 and a 0.5-gram capsule in March 2023.</w:t>
      </w:r>
    </w:p>
    <w:p>
      <w:pPr>
        <w:spacing w:after="0" w:line="117" w:lineRule="exact"/>
        <w:rPr>
          <w:rFonts w:ascii="Arial" w:cs="Arial" w:eastAsia="Arial" w:hAnsi="Arial"/>
          <w:sz w:val="18"/>
          <w:szCs w:val="18"/>
          <w:color w:val="auto"/>
        </w:rPr>
      </w:pPr>
    </w:p>
    <w:p>
      <w:pPr>
        <w:ind w:left="780" w:hanging="263"/>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 Reddy’s launched a 1-gram capsule in June 2021 and a 0.5-gram capsule in June 2023.</w:t>
      </w:r>
    </w:p>
    <w:p>
      <w:pPr>
        <w:spacing w:after="0" w:line="117" w:lineRule="exact"/>
        <w:rPr>
          <w:rFonts w:ascii="Arial" w:cs="Arial" w:eastAsia="Arial" w:hAnsi="Arial"/>
          <w:sz w:val="18"/>
          <w:szCs w:val="18"/>
          <w:color w:val="auto"/>
        </w:rPr>
      </w:pPr>
    </w:p>
    <w:p>
      <w:pPr>
        <w:ind w:left="760" w:hanging="243"/>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Teva launched a 0.5-gram capsule in September 2022 and a 1-gram capsule in January 2023.</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26, 2021, the European Commission, or EC, approved the marketing authorization application for VAZKEPA, hereinafter along with the U.S. brand name VASCEPA, collectively referred to as VASCEPA, in the European Union, or EU, to reduce the risk of cardiovascular events in high-risk, statin-treated adult patients who have elevated triglycerides (</w:t>
      </w:r>
      <w:r>
        <w:rPr>
          <w:rFonts w:ascii="Arial" w:cs="Arial" w:eastAsia="Arial" w:hAnsi="Arial"/>
          <w:sz w:val="18"/>
          <w:szCs w:val="18"/>
          <w:u w:val="single" w:color="auto"/>
          <w:color w:val="auto"/>
        </w:rPr>
        <w:t>&gt;</w:t>
      </w:r>
      <w:r>
        <w:rPr>
          <w:rFonts w:ascii="Arial" w:cs="Arial" w:eastAsia="Arial" w:hAnsi="Arial"/>
          <w:sz w:val="18"/>
          <w:szCs w:val="18"/>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Collectively, CHMP, EMA, EC and MHRA are referred to herein as the European Regulatory Authorities.</w:t>
      </w:r>
    </w:p>
    <w:p>
      <w:pPr>
        <w:spacing w:after="0" w:line="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had commenced. The Chinese National Medical Products Administration, or NMPA, accepted for review the new drug application for VASCEPA based on the results from the Phase 3 clinical trial and the results from the Company’s prior studies of VASCEPA. On June 1, 2023, the Company announced that NMPA granted approval for VASCEPA under the MARINE indication. On February 23, 2022, the Hong Kong Department of Health concluded their evaluation and approved the use of VASCEPA under the REDUCE-IT indication.</w:t>
      </w:r>
    </w:p>
    <w:p>
      <w:pPr>
        <w:spacing w:after="0" w:line="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currently has strategic collaborations to develop and commercialize VASCEPA in select territories outside the United States and Europe. Amarin is responsible for supplying VASCEPA to all markets in which the product is sold, including the United States and Europe, as well as in countries where the drug is promoted and sold via collaboration with third-party companies that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560"/>
        <w:spacing w:after="0" w:line="277" w:lineRule="auto"/>
        <w:rPr>
          <w:sz w:val="20"/>
          <w:szCs w:val="20"/>
          <w:color w:val="auto"/>
        </w:rPr>
      </w:pPr>
      <w:r>
        <w:rPr>
          <w:rFonts w:ascii="Arial" w:cs="Arial" w:eastAsia="Arial" w:hAnsi="Arial"/>
          <w:sz w:val="18"/>
          <w:szCs w:val="18"/>
          <w:color w:val="auto"/>
        </w:rPr>
        <w:t>compensate Amarin for such supply. Amarin is not responsible for providing any generic company with drug product. The Company operates in one business segment.</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condensed consolidated financial statements included herein have been prepared by the Company in accordance with accounting principles generally accepted in the United States,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2022, or the Form 10-K, filed with the SEC. The balance sheet amounts in this report were derived from the Company’s audited consolidated financial statements included in the Form 10-K.</w:t>
      </w:r>
    </w:p>
    <w:p>
      <w:pPr>
        <w:spacing w:after="0" w:line="6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2023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5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At June 30, 2023, the Company had total assets of $860.0 million, of which $313.0 million consisted of cash and short-term and long-term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More specifically, the Company had current assets of $706.5 million, including cash and cash equivalents of $233.0 million, short-term investments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$79.9 million, accounts receivable, net, of $122.7 million and current inventory of $227.0 million. In addition, as of June 30, 2023, the Company had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investments of $0.1 million and long-term inventory of $122.3 million. As of June 30, 2023, the Company had no debt outstanding.</w:t>
      </w:r>
    </w:p>
    <w:p>
      <w:pPr>
        <w:spacing w:after="0" w:line="315" w:lineRule="exact"/>
        <w:rPr>
          <w:sz w:val="20"/>
          <w:szCs w:val="20"/>
          <w:color w:val="auto"/>
        </w:rPr>
      </w:pPr>
    </w:p>
    <w:p>
      <w:pPr>
        <w:ind w:left="880" w:hanging="872"/>
        <w:spacing w:after="0"/>
        <w:tabs>
          <w:tab w:leader="none" w:pos="8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In accordance with Accounting Standards Codification, or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w:t>
      </w:r>
    </w:p>
    <w:p>
      <w:pPr>
        <w:spacing w:after="0" w:line="1" w:lineRule="exact"/>
        <w:rPr>
          <w:sz w:val="20"/>
          <w:szCs w:val="20"/>
          <w:color w:val="auto"/>
        </w:rPr>
      </w:pPr>
    </w:p>
    <w:p>
      <w:pPr>
        <w:ind w:right="120" w:firstLine="8"/>
        <w:spacing w:after="0" w:line="269"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7—Revenue Recognition.</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ind w:left="2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net, comprised of trade receivables, are generally due within 45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June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43"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51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2023</w:t>
            </w:r>
          </w:p>
        </w:tc>
        <w:tc>
          <w:tcPr>
            <w:tcW w:w="1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December 31, 2022</w:t>
            </w:r>
          </w:p>
        </w:tc>
      </w:tr>
      <w:tr>
        <w:trPr>
          <w:trHeight w:val="237"/>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trade accounts receivable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155,098</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187,418</w:t>
            </w:r>
          </w:p>
        </w:tc>
        <w:tc>
          <w:tcPr>
            <w:tcW w:w="100" w:type="dxa"/>
            <w:vAlign w:val="bottom"/>
            <w:shd w:val="clear" w:color="auto" w:fill="CFF0FC"/>
          </w:tcPr>
          <w:p>
            <w:pPr>
              <w:spacing w:after="0"/>
              <w:rPr>
                <w:sz w:val="20"/>
                <w:szCs w:val="20"/>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Trade allowances</w:t>
            </w:r>
          </w:p>
        </w:tc>
        <w:tc>
          <w:tcPr>
            <w:tcW w:w="1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(21,528 )</w:t>
            </w:r>
          </w:p>
        </w:tc>
        <w:tc>
          <w:tcPr>
            <w:tcW w:w="12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(44,626 )</w:t>
            </w: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Chargebacks</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(10,840 )</w:t>
            </w:r>
          </w:p>
        </w:tc>
        <w:tc>
          <w:tcPr>
            <w:tcW w:w="1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(11,802 )</w:t>
            </w:r>
          </w:p>
        </w:tc>
      </w:tr>
      <w:tr>
        <w:trPr>
          <w:trHeight w:val="237"/>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122,730</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130,990</w:t>
            </w:r>
          </w:p>
        </w:tc>
        <w:tc>
          <w:tcPr>
            <w:tcW w:w="100" w:type="dxa"/>
            <w:vAlign w:val="bottom"/>
            <w:tcBorders>
              <w:top w:val="single" w:sz="8" w:color="CFF0FC"/>
            </w:tcBorders>
          </w:tcPr>
          <w:p>
            <w:pPr>
              <w:spacing w:after="0"/>
              <w:rPr>
                <w:sz w:val="20"/>
                <w:szCs w:val="20"/>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classifies inventory as long-term inventory when consumption of the inventory is expected beyond the operating cycle. The Company classifies finished goods expected to be consumed within a normal operating cycle and all of VASCEPA's active pharmaceutical ingredient, or API, as current inventory.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API.</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7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76"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Excess tax benefits and deficiencies that arise upon vesting or exercise of stock-based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4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including the Internal Revenue Service, or IRS, and state tax authorities. The Company is currently under audit by the IRS for its 2018 and 2019 U.S. income tax returns. The audit by the New Jersey Department of Treasury for the years 2012 to 2015 was closed in April 2023. Although the outcome of tax audits is always uncertain and could result in significant cash tax payments, the Company does not believe the outcome of these audits will have a material adverse effect on its condensed consolidated financial position or results of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9" w:name="page10"/>
    <w:bookmarkEnd w:id="9"/>
    <w:p>
      <w:pPr>
        <w:ind w:left="20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In periods with reported net operating losses, all stock options and restricted stock units outstanding are deemed anti-dilutive such that basic and diluted net loss per share are equal.</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six months ended June 30, 2023 and 2022 are as follows:</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00" w:type="dxa"/>
            <w:vAlign w:val="bottom"/>
            <w:gridSpan w:val="5"/>
          </w:tcPr>
          <w:p>
            <w:pPr>
              <w:jc w:val="right"/>
              <w:ind w:right="410"/>
              <w:spacing w:after="0"/>
              <w:rPr>
                <w:sz w:val="20"/>
                <w:szCs w:val="20"/>
                <w:color w:val="auto"/>
              </w:rPr>
            </w:pPr>
            <w:r>
              <w:rPr>
                <w:rFonts w:ascii="Arial" w:cs="Arial" w:eastAsia="Arial" w:hAnsi="Arial"/>
                <w:sz w:val="14"/>
                <w:szCs w:val="14"/>
                <w:b w:val="1"/>
                <w:bCs w:val="1"/>
                <w:color w:val="auto"/>
                <w:w w:val="95"/>
              </w:rPr>
              <w:t>For the Three Months Ended June 30,</w:t>
            </w:r>
          </w:p>
        </w:tc>
        <w:tc>
          <w:tcPr>
            <w:tcW w:w="180" w:type="dxa"/>
            <w:vAlign w:val="bottom"/>
          </w:tcPr>
          <w:p>
            <w:pPr>
              <w:spacing w:after="0"/>
              <w:rPr>
                <w:sz w:val="16"/>
                <w:szCs w:val="16"/>
                <w:color w:val="auto"/>
              </w:rPr>
            </w:pPr>
          </w:p>
        </w:tc>
        <w:tc>
          <w:tcPr>
            <w:tcW w:w="266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69"/>
        </w:trPr>
        <w:tc>
          <w:tcPr>
            <w:tcW w:w="4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(17,560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(69,956</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(101,519</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w w:val="91"/>
              </w:rPr>
              <w:t>Weighted average shares outstanding—basic and diluted</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407,848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398,187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407,017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397,997</w:t>
            </w:r>
          </w:p>
        </w:tc>
        <w:tc>
          <w:tcPr>
            <w:tcW w:w="120" w:type="dxa"/>
            <w:vAlign w:val="bottom"/>
          </w:tcPr>
          <w:p>
            <w:pPr>
              <w:spacing w:after="0"/>
              <w:rPr>
                <w:sz w:val="20"/>
                <w:szCs w:val="20"/>
                <w:color w:val="auto"/>
              </w:rPr>
            </w:pPr>
          </w:p>
        </w:tc>
      </w:tr>
      <w:tr>
        <w:trPr>
          <w:trHeight w:val="249"/>
        </w:trPr>
        <w:tc>
          <w:tcPr>
            <w:tcW w:w="4180" w:type="dxa"/>
            <w:vAlign w:val="bottom"/>
            <w:shd w:val="clear" w:color="auto" w:fill="CFF0FC"/>
          </w:tcPr>
          <w:p>
            <w:pPr>
              <w:spacing w:after="0" w:line="249" w:lineRule="exact"/>
              <w:rPr>
                <w:sz w:val="20"/>
                <w:szCs w:val="20"/>
                <w:color w:val="auto"/>
              </w:rPr>
            </w:pPr>
            <w:r>
              <w:rPr>
                <w:rFonts w:ascii="Arial" w:cs="Arial" w:eastAsia="Arial" w:hAnsi="Arial"/>
                <w:sz w:val="18"/>
                <w:szCs w:val="18"/>
                <w:color w:val="auto"/>
              </w:rPr>
              <w:t xml:space="preserve">Net loss per share—basic and diluted </w:t>
            </w:r>
            <w:r>
              <w:rPr>
                <w:rFonts w:ascii="Arial" w:cs="Arial" w:eastAsia="Arial" w:hAnsi="Arial"/>
                <w:sz w:val="24"/>
                <w:szCs w:val="24"/>
                <w:color w:val="auto"/>
                <w:vertAlign w:val="superscript"/>
              </w:rPr>
              <w:t>(1)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(0.04 )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(0.18 )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(0.08 )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(0.26 )</w:t>
            </w:r>
          </w:p>
        </w:tc>
      </w:tr>
    </w:tbl>
    <w:p>
      <w:pPr>
        <w:spacing w:after="0" w:line="202" w:lineRule="exact"/>
        <w:rPr>
          <w:sz w:val="20"/>
          <w:szCs w:val="20"/>
          <w:color w:val="auto"/>
        </w:rPr>
      </w:pPr>
    </w:p>
    <w:p>
      <w:pPr>
        <w:ind w:left="600" w:right="60" w:firstLine="7"/>
        <w:spacing w:after="0" w:line="308" w:lineRule="auto"/>
        <w:tabs>
          <w:tab w:leader="none" w:pos="855"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Excluding the licensing revenue change in estimate, as discussed in </w:t>
      </w:r>
      <w:r>
        <w:rPr>
          <w:rFonts w:ascii="Arial" w:cs="Arial" w:eastAsia="Arial" w:hAnsi="Arial"/>
          <w:sz w:val="17"/>
          <w:szCs w:val="17"/>
          <w:i w:val="1"/>
          <w:iCs w:val="1"/>
          <w:color w:val="auto"/>
        </w:rPr>
        <w:t>Note 8 - Development, Commercialization and Supply Agreements</w:t>
      </w:r>
      <w:r>
        <w:rPr>
          <w:rFonts w:ascii="Arial" w:cs="Arial" w:eastAsia="Arial" w:hAnsi="Arial"/>
          <w:sz w:val="17"/>
          <w:szCs w:val="17"/>
          <w:color w:val="auto"/>
        </w:rPr>
        <w:t>, net loss per share basic and diluted for the three and six months ended June 30, 2023 would have been $(0.06) and $(0.10), respectively.</w:t>
      </w:r>
    </w:p>
    <w:p>
      <w:pPr>
        <w:spacing w:after="0" w:line="3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For the three and six months ended June 30, 2023 and 2022, the following potentially dilutive securities were not included in the computation of net loss per share because the effect would be anti-dilutive or because performance criteria were not yet met for awards contingent upon such measures: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9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For the Three Months Ended June 30,</w:t>
            </w:r>
          </w:p>
        </w:tc>
        <w:tc>
          <w:tcPr>
            <w:tcW w:w="26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For the Six Months Ended June 30,</w:t>
            </w:r>
          </w:p>
        </w:tc>
        <w:tc>
          <w:tcPr>
            <w:tcW w:w="120" w:type="dxa"/>
            <w:vAlign w:val="bottom"/>
          </w:tcPr>
          <w:p>
            <w:pPr>
              <w:spacing w:after="0"/>
              <w:rPr>
                <w:sz w:val="16"/>
                <w:szCs w:val="16"/>
                <w:color w:val="auto"/>
              </w:rPr>
            </w:pPr>
          </w:p>
        </w:tc>
      </w:tr>
      <w:tr>
        <w:trPr>
          <w:trHeight w:val="169"/>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0" w:type="dxa"/>
            <w:vAlign w:val="bottom"/>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5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2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54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26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19,995</w:t>
            </w:r>
          </w:p>
        </w:tc>
        <w:tc>
          <w:tcPr>
            <w:tcW w:w="26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26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19,995</w:t>
            </w:r>
          </w:p>
        </w:tc>
        <w:tc>
          <w:tcPr>
            <w:tcW w:w="120" w:type="dxa"/>
            <w:vAlign w:val="bottom"/>
            <w:shd w:val="clear" w:color="auto" w:fill="CFF0FC"/>
          </w:tcPr>
          <w:p>
            <w:pPr>
              <w:spacing w:after="0"/>
              <w:rPr>
                <w:sz w:val="20"/>
                <w:szCs w:val="20"/>
                <w:color w:val="auto"/>
              </w:rPr>
            </w:pPr>
          </w:p>
        </w:tc>
      </w:tr>
      <w:tr>
        <w:trPr>
          <w:trHeight w:val="237"/>
        </w:trPr>
        <w:tc>
          <w:tcPr>
            <w:tcW w:w="404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14,903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15,024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14,903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15,024</w:t>
            </w:r>
          </w:p>
        </w:tc>
        <w:tc>
          <w:tcPr>
            <w:tcW w:w="120" w:type="dxa"/>
            <w:vAlign w:val="bottom"/>
          </w:tcPr>
          <w:p>
            <w:pPr>
              <w:spacing w:after="0"/>
              <w:rPr>
                <w:sz w:val="20"/>
                <w:szCs w:val="20"/>
                <w:color w:val="auto"/>
              </w:rPr>
            </w:pPr>
          </w:p>
        </w:tc>
      </w:tr>
      <w:tr>
        <w:trPr>
          <w:trHeight w:val="24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Laxdale milestone shares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120" w:type="dxa"/>
            <w:vAlign w:val="bottom"/>
            <w:shd w:val="clear" w:color="auto" w:fill="CFF0FC"/>
          </w:tcPr>
          <w:p>
            <w:pPr>
              <w:spacing w:after="0"/>
              <w:rPr>
                <w:sz w:val="21"/>
                <w:szCs w:val="21"/>
                <w:color w:val="auto"/>
              </w:rPr>
            </w:pPr>
          </w:p>
        </w:tc>
      </w:tr>
    </w:tbl>
    <w:p>
      <w:pPr>
        <w:spacing w:after="0" w:line="33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7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30%, 36%, and 28%, respectively, of gross product sales for the six months ended June 30, 2023, and represented 39%, 34%, and 22%, respectively, of the gross accounts receivable balance as of June 30, 2023. Customers A, B, and C accounted for 25%, 38%, and 31%, respectively, of gross product sales for the six months ended June 30, 2022 and represented 41%, 33%, and 21%, respectively, of the gross accounts receivable balance as of June 30, 2022. The Company has not experienced any significant write-offs of its accounts receivable. All customer accounts are actively managed and no losses in excess of amounts reserved are currently expected.</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or the Company’s failure to enter into new and similar agreements in a timely fashion, if needed, could have a material adverse effect on its business, condition (financial and other), prospects or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 w:name="page11"/>
    <w:bookmarkEnd w:id="10"/>
    <w:p>
      <w:pPr>
        <w:ind w:right="120"/>
        <w:spacing w:after="0" w:line="272" w:lineRule="auto"/>
        <w:rPr>
          <w:sz w:val="20"/>
          <w:szCs w:val="20"/>
          <w:color w:val="auto"/>
        </w:rPr>
      </w:pPr>
      <w:r>
        <w:rPr>
          <w:rFonts w:ascii="Arial" w:cs="Arial" w:eastAsia="Arial" w:hAnsi="Arial"/>
          <w:sz w:val="17"/>
          <w:szCs w:val="17"/>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(e.g., interest rates, yield curves) and inputs that are derived principally from or corroborated by observable market data by correlation or other means (market corroborated inputs).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Level 3—Unobservable inputs that reflect the Company’s estimates of the assumptions that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present information about the estimated fair value of the Company’s assets and liabilities as of June 30, 2023 and December 31, 2022 and indicate the fair value hierarchy of the valuation techniques the Company utilized to determine such fair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 2023</w:t>
            </w: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Level 2</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Money Market Fund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136,995</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136,995</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65,660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Agency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12,258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9,834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Repo Securities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3,185</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3,185</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229,153</w:t>
            </w:r>
          </w:p>
        </w:tc>
        <w:tc>
          <w:tcPr>
            <w:tcW w:w="300" w:type="dxa"/>
            <w:vAlign w:val="bottom"/>
          </w:tcPr>
          <w:p>
            <w:pPr>
              <w:spacing w:after="0"/>
              <w:rPr>
                <w:sz w:val="20"/>
                <w:szCs w:val="2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142,604</w:t>
            </w:r>
          </w:p>
        </w:tc>
        <w:tc>
          <w:tcPr>
            <w:tcW w:w="3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86,549</w:t>
            </w:r>
          </w:p>
        </w:tc>
        <w:tc>
          <w:tcPr>
            <w:tcW w:w="3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96"/>
              </w:rPr>
              <w:t>Level 2</w:t>
            </w: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Money Market Fund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81,870</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81,870</w:t>
            </w: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62,347</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28,416</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28,416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Repo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Agency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Non-US Government Securities</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192,307</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86,541</w:t>
            </w:r>
          </w:p>
        </w:tc>
        <w:tc>
          <w:tcPr>
            <w:tcW w:w="3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105,766</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413"/>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11</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-2665095</wp:posOffset>
            </wp:positionV>
            <wp:extent cx="768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-2665095</wp:posOffset>
            </wp:positionV>
            <wp:extent cx="7747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-2665095</wp:posOffset>
            </wp:positionV>
            <wp:extent cx="76835"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-2665095</wp:posOffset>
            </wp:positionV>
            <wp:extent cx="774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-376555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-359410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-376555</wp:posOffset>
            </wp:positionV>
            <wp:extent cx="77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-359410</wp:posOffset>
            </wp:positionV>
            <wp:extent cx="774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-376555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-359410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-376555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-359410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7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Unrealized gains or losses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six months ended June 30, 2023 and 2022 were losses of less than $0.1 million and $0.9 million, respectively. Interest on investments is reported in interest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accounts payable and accrued liabilities approximate fair value because of their short-term nature.</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Restructuring</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three months ended June 30, 2023, the Company approved and subsequently announced on July 18, 2023, an Organizational Restructuring Plan, or ORP, to right-size and strengthen the Company. As part of the plan, the Company completed a reduction of its entire U.S. sales field force, as well as a reduction of approximately 30% of the non-sales positions. The Company maintained its managed care and trade organization to support U.S. commercial efforts. During the three and six months ended June 30, 2023, the Company recognized approximately $10.2 million within restructuring expense on the condensed consolidated statement of operations related to the reduction in force, substantially all of which are cash expenditures.</w:t>
      </w:r>
    </w:p>
    <w:p>
      <w:pPr>
        <w:spacing w:after="0" w:line="5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continued to assess its contractual supplier purchase obligations and has taken steps to amend supplier agreements to align supply arrangements with current and future market demand. As a result of the ongoing assessment, the Company recognized $14.3 million and $15.0 million during the three months ended June 30, 2023 and 2022, respectively and $26.6 million and $15.0 million during the six months ended June 30, 2023 and 2022, respectively, within cost of goods sold - restructuring inventory on the condensed consolidated statement of operations. The Company continues to negotiate with other contract suppliers to align its supply arrangements with current and future global demand which may result in additional costs to the Company.</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6, 2022, the Company announced a Comprehensive Cost Reduction Plan, or CRP, which included an organizational restructuring plan to address the shifts within the Company’s U.S. business. As part of the plan, the Company completed a reduction of its U.S. field force from approximately 300 sales representatives to approximately 75 sales representatives. During the three and six months ended June 30, 2022, the Company recognized approximately $10.2 million within restructuring expense on the condensed consolidated statement of operations related to the reduction in force, substantially all of which was cash expenditures.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August 19, 2022, the Company announced that after the conclusion of the fourth and final round of negotiations in Germany with the National Association of Statutory Health Insurance Funds, or GKV-SV, a viable agreement on the reimbursement price of VAZKEPA in Germany could not be reached. As a result, the Company discontinued its German business operations effective September 1, 2022. During the year ended December 31, 2022, the Company recognized approximately $4.4 million within restructuring expense on the condensed consolidated statement of operations, substantially all of which was cash expenditures.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Company's restructuring charges for the three and six months ended June 30, 2023 and 2022: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For the Three Months Ended June 30,</w:t>
            </w:r>
          </w:p>
        </w:tc>
        <w:tc>
          <w:tcPr>
            <w:tcW w:w="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For the Six Months Ended June 30,</w:t>
            </w:r>
          </w:p>
        </w:tc>
        <w:tc>
          <w:tcPr>
            <w:tcW w:w="120" w:type="dxa"/>
            <w:vAlign w:val="bottom"/>
          </w:tcPr>
          <w:p>
            <w:pPr>
              <w:spacing w:after="0"/>
              <w:rPr>
                <w:sz w:val="16"/>
                <w:szCs w:val="16"/>
                <w:color w:val="auto"/>
              </w:rPr>
            </w:pPr>
          </w:p>
        </w:tc>
      </w:tr>
      <w:tr>
        <w:trPr>
          <w:trHeight w:val="169"/>
        </w:trPr>
        <w:tc>
          <w:tcPr>
            <w:tcW w:w="30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09"/>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Employee restructuring separation</w:t>
            </w: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44"/>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charges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9,123</w:t>
            </w: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3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9,123</w:t>
            </w:r>
          </w:p>
        </w:tc>
        <w:tc>
          <w:tcPr>
            <w:tcW w:w="120" w:type="dxa"/>
            <w:vAlign w:val="bottom"/>
            <w:shd w:val="clear" w:color="auto" w:fill="CFF0FC"/>
          </w:tcPr>
          <w:p>
            <w:pPr>
              <w:spacing w:after="0"/>
              <w:rPr>
                <w:sz w:val="21"/>
                <w:szCs w:val="21"/>
                <w:color w:val="auto"/>
              </w:rPr>
            </w:pPr>
          </w:p>
        </w:tc>
      </w:tr>
      <w:tr>
        <w:trPr>
          <w:trHeight w:val="250"/>
        </w:trPr>
        <w:tc>
          <w:tcPr>
            <w:tcW w:w="3080" w:type="dxa"/>
            <w:vAlign w:val="bottom"/>
          </w:tcPr>
          <w:p>
            <w:pPr>
              <w:spacing w:after="0"/>
              <w:rPr>
                <w:sz w:val="20"/>
                <w:szCs w:val="20"/>
                <w:color w:val="auto"/>
              </w:rPr>
            </w:pPr>
            <w:r>
              <w:rPr>
                <w:rFonts w:ascii="Arial" w:cs="Arial" w:eastAsia="Arial" w:hAnsi="Arial"/>
                <w:sz w:val="18"/>
                <w:szCs w:val="18"/>
                <w:color w:val="auto"/>
              </w:rPr>
              <w:t>Vendor contract charges</w:t>
            </w:r>
          </w:p>
        </w:tc>
        <w:tc>
          <w:tcPr>
            <w:tcW w:w="3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(122 )</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(122 )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r>
      <w:tr>
        <w:trPr>
          <w:trHeight w:val="277"/>
        </w:trPr>
        <w:tc>
          <w:tcPr>
            <w:tcW w:w="3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restructuring expense</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10,032</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10,032</w:t>
            </w:r>
          </w:p>
        </w:tc>
        <w:tc>
          <w:tcPr>
            <w:tcW w:w="3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50"/>
        </w:trPr>
        <w:tc>
          <w:tcPr>
            <w:tcW w:w="3080" w:type="dxa"/>
            <w:vAlign w:val="bottom"/>
          </w:tcPr>
          <w:p>
            <w:pPr>
              <w:spacing w:after="0"/>
              <w:rPr>
                <w:sz w:val="20"/>
                <w:szCs w:val="20"/>
                <w:color w:val="auto"/>
              </w:rPr>
            </w:pPr>
            <w:r>
              <w:rPr>
                <w:rFonts w:ascii="Arial" w:cs="Arial" w:eastAsia="Arial" w:hAnsi="Arial"/>
                <w:sz w:val="18"/>
                <w:szCs w:val="18"/>
                <w:color w:val="auto"/>
              </w:rPr>
              <w:t>Restructuring inventory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14,300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26,554</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r>
      <w:tr>
        <w:trPr>
          <w:trHeight w:val="257"/>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forfeitures</w:t>
            </w:r>
          </w:p>
        </w:tc>
        <w:tc>
          <w:tcPr>
            <w:tcW w:w="3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FF0FC"/>
            </w:tcBorders>
            <w:shd w:val="clear" w:color="auto" w:fill="CFF0FC"/>
          </w:tcPr>
          <w:p>
            <w:pPr>
              <w:spacing w:after="0"/>
              <w:rPr>
                <w:sz w:val="22"/>
                <w:szCs w:val="22"/>
                <w:color w:val="auto"/>
              </w:rPr>
            </w:pPr>
          </w:p>
        </w:tc>
      </w:tr>
      <w:tr>
        <w:trPr>
          <w:trHeight w:val="237"/>
        </w:trPr>
        <w:tc>
          <w:tcPr>
            <w:tcW w:w="3080" w:type="dxa"/>
            <w:vAlign w:val="bottom"/>
          </w:tcPr>
          <w:p>
            <w:pPr>
              <w:ind w:left="180"/>
              <w:spacing w:after="0"/>
              <w:rPr>
                <w:sz w:val="20"/>
                <w:szCs w:val="20"/>
                <w:color w:val="auto"/>
              </w:rPr>
            </w:pPr>
            <w:r>
              <w:rPr>
                <w:rFonts w:ascii="Arial" w:cs="Arial" w:eastAsia="Arial" w:hAnsi="Arial"/>
                <w:sz w:val="18"/>
                <w:szCs w:val="18"/>
                <w:color w:val="auto"/>
              </w:rPr>
              <w:t>Total restructuring costs incurred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24,332</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25,667</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36,586</w:t>
            </w:r>
          </w:p>
        </w:tc>
        <w:tc>
          <w:tcPr>
            <w:tcW w:w="3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25,667</w:t>
            </w:r>
          </w:p>
        </w:tc>
        <w:tc>
          <w:tcPr>
            <w:tcW w:w="120" w:type="dxa"/>
            <w:vAlign w:val="bottom"/>
          </w:tcPr>
          <w:p>
            <w:pPr>
              <w:spacing w:after="0"/>
              <w:rPr>
                <w:sz w:val="20"/>
                <w:szCs w:val="20"/>
                <w:color w:val="auto"/>
              </w:rPr>
            </w:pPr>
          </w:p>
        </w:tc>
      </w:tr>
      <w:tr>
        <w:trPr>
          <w:trHeight w:val="20"/>
        </w:trPr>
        <w:tc>
          <w:tcPr>
            <w:tcW w:w="3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-548005</wp:posOffset>
            </wp:positionV>
            <wp:extent cx="3497580" cy="1974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97580" cy="19748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-187960</wp:posOffset>
            </wp:positionV>
            <wp:extent cx="7683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7683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 in restructuring liability which is included within accrued expenses and other current liabilities: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8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40" w:type="dxa"/>
            <w:vAlign w:val="bottom"/>
          </w:tcPr>
          <w:p>
            <w:pPr>
              <w:spacing w:after="0"/>
              <w:rPr>
                <w:sz w:val="16"/>
                <w:szCs w:val="16"/>
                <w:color w:val="auto"/>
              </w:rPr>
            </w:pPr>
          </w:p>
        </w:tc>
        <w:tc>
          <w:tcPr>
            <w:tcW w:w="3560" w:type="dxa"/>
            <w:vAlign w:val="bottom"/>
            <w:gridSpan w:val="2"/>
          </w:tcPr>
          <w:p>
            <w:pPr>
              <w:jc w:val="right"/>
              <w:ind w:right="1500"/>
              <w:spacing w:after="0"/>
              <w:rPr>
                <w:sz w:val="20"/>
                <w:szCs w:val="20"/>
                <w:color w:val="auto"/>
              </w:rPr>
            </w:pPr>
            <w:r>
              <w:rPr>
                <w:rFonts w:ascii="Arial" w:cs="Arial" w:eastAsia="Arial" w:hAnsi="Arial"/>
                <w:sz w:val="14"/>
                <w:szCs w:val="14"/>
                <w:b w:val="1"/>
                <w:bCs w:val="1"/>
                <w:color w:val="auto"/>
              </w:rPr>
              <w:t>Restructuring Liability</w:t>
            </w:r>
          </w:p>
        </w:tc>
      </w:tr>
      <w:tr>
        <w:trPr>
          <w:trHeight w:val="237"/>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3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20"/>
                <w:szCs w:val="20"/>
                <w:color w:val="auto"/>
              </w:rPr>
            </w:pPr>
          </w:p>
        </w:tc>
      </w:tr>
      <w:tr>
        <w:trPr>
          <w:trHeight w:val="237"/>
        </w:trPr>
        <w:tc>
          <w:tcPr>
            <w:tcW w:w="5800" w:type="dxa"/>
            <w:vAlign w:val="bottom"/>
          </w:tcPr>
          <w:p>
            <w:pPr>
              <w:ind w:left="140"/>
              <w:spacing w:after="0"/>
              <w:rPr>
                <w:sz w:val="20"/>
                <w:szCs w:val="20"/>
                <w:color w:val="auto"/>
              </w:rPr>
            </w:pPr>
            <w:r>
              <w:rPr>
                <w:rFonts w:ascii="Arial" w:cs="Arial" w:eastAsia="Arial" w:hAnsi="Arial"/>
                <w:sz w:val="18"/>
                <w:szCs w:val="18"/>
                <w:color w:val="auto"/>
              </w:rPr>
              <w:t>Costs incurred</w:t>
            </w:r>
          </w:p>
        </w:tc>
        <w:tc>
          <w:tcPr>
            <w:tcW w:w="740" w:type="dxa"/>
            <w:vAlign w:val="bottom"/>
          </w:tcPr>
          <w:p>
            <w:pPr>
              <w:spacing w:after="0"/>
              <w:rPr>
                <w:sz w:val="20"/>
                <w:szCs w:val="20"/>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36,586</w:t>
            </w:r>
          </w:p>
        </w:tc>
        <w:tc>
          <w:tcPr>
            <w:tcW w:w="120" w:type="dxa"/>
            <w:vAlign w:val="bottom"/>
          </w:tcPr>
          <w:p>
            <w:pPr>
              <w:spacing w:after="0"/>
              <w:rPr>
                <w:sz w:val="20"/>
                <w:szCs w:val="20"/>
                <w:color w:val="auto"/>
              </w:rPr>
            </w:pPr>
          </w:p>
        </w:tc>
      </w:tr>
      <w:tr>
        <w:trPr>
          <w:trHeight w:val="243"/>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w:t>
            </w:r>
          </w:p>
        </w:tc>
        <w:tc>
          <w:tcPr>
            <w:tcW w:w="740" w:type="dxa"/>
            <w:vAlign w:val="bottom"/>
            <w:shd w:val="clear" w:color="auto" w:fill="CFF0FC"/>
          </w:tcPr>
          <w:p>
            <w:pPr>
              <w:spacing w:after="0"/>
              <w:rPr>
                <w:sz w:val="21"/>
                <w:szCs w:val="21"/>
                <w:color w:val="auto"/>
              </w:rPr>
            </w:pPr>
          </w:p>
        </w:tc>
        <w:tc>
          <w:tcPr>
            <w:tcW w:w="3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(10,324 )</w:t>
            </w:r>
          </w:p>
        </w:tc>
      </w:tr>
      <w:tr>
        <w:trPr>
          <w:trHeight w:val="236"/>
        </w:trPr>
        <w:tc>
          <w:tcPr>
            <w:tcW w:w="58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at June 30, 2023</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3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26,454</w:t>
            </w:r>
          </w:p>
        </w:tc>
        <w:tc>
          <w:tcPr>
            <w:tcW w:w="120" w:type="dxa"/>
            <w:vAlign w:val="bottom"/>
            <w:tcBorders>
              <w:top w:val="single" w:sz="8" w:color="CFF0FC"/>
            </w:tcBorders>
          </w:tcPr>
          <w:p>
            <w:pPr>
              <w:spacing w:after="0"/>
              <w:rPr>
                <w:sz w:val="20"/>
                <w:szCs w:val="20"/>
                <w:color w:val="auto"/>
              </w:rPr>
            </w:pPr>
          </w:p>
        </w:tc>
      </w:tr>
      <w:tr>
        <w:trPr>
          <w:trHeight w:val="20"/>
        </w:trPr>
        <w:tc>
          <w:tcPr>
            <w:tcW w:w="58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-187960</wp:posOffset>
            </wp:positionV>
            <wp:extent cx="7747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jc w:val="both"/>
        <w:ind w:right="48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88" w:lineRule="exact"/>
        <w:rPr>
          <w:sz w:val="20"/>
          <w:szCs w:val="20"/>
          <w:color w:val="auto"/>
        </w:rPr>
      </w:pPr>
    </w:p>
    <w:p>
      <w:pPr>
        <w:ind w:left="880" w:hanging="872"/>
        <w:spacing w:after="0"/>
        <w:tabs>
          <w:tab w:leader="none" w:pos="8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Intangible asset consists of website development costs and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In accordance with ASC 350, the Company evaluates the remaining useful life of the intangible asset at each reporting period to determine if any events or circumstances warrant a revision to the remaining period of amortization. As of June 30, 2023, the intangible asset has an estimated weighted-average remaining life of 7.6 years. The carrying value as of June 30, 2023 and December 31, 2022 is as follows: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6"/>
                <w:szCs w:val="16"/>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December 31, 2022</w:t>
            </w:r>
          </w:p>
        </w:tc>
      </w:tr>
      <w:tr>
        <w:trPr>
          <w:trHeight w:val="236"/>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rights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32,859</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32,859</w:t>
            </w:r>
          </w:p>
        </w:tc>
        <w:tc>
          <w:tcPr>
            <w:tcW w:w="120" w:type="dxa"/>
            <w:vAlign w:val="bottom"/>
            <w:shd w:val="clear" w:color="auto" w:fill="CFF0FC"/>
          </w:tcPr>
          <w:p>
            <w:pPr>
              <w:spacing w:after="0"/>
              <w:rPr>
                <w:sz w:val="20"/>
                <w:szCs w:val="20"/>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20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(12,482 )</w:t>
            </w:r>
          </w:p>
        </w:tc>
        <w:tc>
          <w:tcPr>
            <w:tcW w:w="1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(11,079 )</w:t>
            </w:r>
          </w:p>
        </w:tc>
      </w:tr>
      <w:tr>
        <w:trPr>
          <w:trHeight w:val="277"/>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Intangible asset,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20,377</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21,780</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880" w:hanging="872"/>
        <w:spacing w:after="0"/>
        <w:tabs>
          <w:tab w:leader="none" w:pos="8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regulatory authorities. Inventories as of June 30, 2023 and December 31, 2022 consist of the following:</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5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r>
      <w:tr>
        <w:trPr>
          <w:trHeight w:val="23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128,252</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126,391</w:t>
            </w:r>
          </w:p>
        </w:tc>
        <w:tc>
          <w:tcPr>
            <w:tcW w:w="120" w:type="dxa"/>
            <w:vAlign w:val="bottom"/>
            <w:shd w:val="clear" w:color="auto" w:fill="CFF0FC"/>
          </w:tcPr>
          <w:p>
            <w:pPr>
              <w:spacing w:after="0"/>
              <w:rPr>
                <w:sz w:val="20"/>
                <w:szCs w:val="20"/>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52,297</w:t>
            </w:r>
          </w:p>
        </w:tc>
        <w:tc>
          <w:tcPr>
            <w:tcW w:w="120" w:type="dxa"/>
            <w:vAlign w:val="bottom"/>
          </w:tcPr>
          <w:p>
            <w:pPr>
              <w:spacing w:after="0"/>
              <w:rPr>
                <w:sz w:val="20"/>
                <w:szCs w:val="20"/>
                <w:color w:val="auto"/>
              </w:rPr>
            </w:pPr>
          </w:p>
        </w:tc>
      </w:tr>
      <w:tr>
        <w:trPr>
          <w:trHeight w:val="243"/>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220,693</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213,664</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43"/>
        </w:trPr>
        <w:tc>
          <w:tcPr>
            <w:tcW w:w="57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Total inventory </w:t>
            </w:r>
            <w:r>
              <w:rPr>
                <w:rFonts w:ascii="Arial" w:cs="Arial" w:eastAsia="Arial" w:hAnsi="Arial"/>
                <w:sz w:val="24"/>
                <w:szCs w:val="24"/>
                <w:color w:val="auto"/>
                <w:vertAlign w:val="superscript"/>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349,339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392,352</w:t>
            </w:r>
          </w:p>
        </w:tc>
        <w:tc>
          <w:tcPr>
            <w:tcW w:w="120" w:type="dxa"/>
            <w:vAlign w:val="bottom"/>
          </w:tcPr>
          <w:p>
            <w:pPr>
              <w:spacing w:after="0"/>
              <w:rPr>
                <w:sz w:val="21"/>
                <w:szCs w:val="2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74" w:lineRule="exact"/>
        <w:rPr>
          <w:sz w:val="20"/>
          <w:szCs w:val="20"/>
          <w:color w:val="auto"/>
        </w:rPr>
      </w:pPr>
    </w:p>
    <w:p>
      <w:pPr>
        <w:ind w:left="1360" w:right="1340" w:hanging="4"/>
        <w:spacing w:after="0" w:line="268" w:lineRule="auto"/>
        <w:tabs>
          <w:tab w:leader="none" w:pos="161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inventory consists of both current inventory and long-term inventory. During the three and six months ended June 30, 2023, approximately $1.1 million and $3.4 million, respectively, of inventory was expensed through cost of goods sold for both product dating and non-product dating unsellable inventory. During each of the three and six months ended June 30, 2022, approximately $9.6 million of finished goods were expensed through cost of goods sold related to unsellable inventory not related to product dating.</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4" w:right="39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color w:val="auto"/>
        </w:rPr>
        <w:t>As of June 30, 2023 and December 31, 2022, the Company had $122.3 million and $163.6 million of long-term inventory, respectively, as consumption is expected beyond the Company's operating cycle.</w:t>
      </w:r>
    </w:p>
    <w:p>
      <w:pPr>
        <w:spacing w:after="0" w:line="274"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Amarin accrues a liability for legal contingencies when it believes that it is both probable that a liability has been incurred and that it can reasonably estimate the amount of the loss. Amarin reviews these accruals and adjusts them to reflect ongoing negotiations, settlements, rulings, advice of legal counsel and other relevant information. To the extent new information is obtained and Amarin’s views on the probable outcomes of claims, suits, assessments, investigations or legal proceedings change, changes in Amarin’s accrued liabilities would be recorded in the period in which such determination is made. For the matters referenced below, the amount of liability is not probable nor can the amount be reasonably estimated; therefore, accruals have not been made. In addition, in accordance with the relevant authoritative guidance, for matters in which the likelihood of material loss is at least reasonably possible, Amarin provides disclosure of the possible loss or range of loss. If a reasonable estimate cannot be made, however, Amarin will provide disclosure to that effect.</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Litigation Updates</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Amarin intends to vigorously enforce its intellectual property rights relating to VASCEPA, but cannot predict the outcome of these lawsuits described below, those lawsuits described in the Company's Form 10-K or any subsequently filed lawsuits. Except as described below, there have been no material updates to our litigation as reported in the Company’s Form 10-K.</w:t>
      </w:r>
    </w:p>
    <w:p>
      <w:pPr>
        <w:spacing w:after="0" w:line="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April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In addition, in February 2023, Hikma filed a complaint against the Company in the United States District Court District of New Jersey (case no. 3:23-cv-01016) with allegations consistent with Dr. Reddy's complaint. Amarin believes it has valid defenses and will vigorously defend against the claims. Such litigation can be lengthy, costly and could materially affect and disrupt our business.</w:t>
      </w:r>
    </w:p>
    <w:p>
      <w:pPr>
        <w:spacing w:after="0" w:line="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Amarin is also named as a defendant in six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Such antitrust litigation, and antitrust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7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October 21, 2021, a purported investor in the Company's publicly traded securities filed a putative class action lawsuit against Amarin Corporation plc, the former chief executive officer and the former chief financial officer in the U.S. District Court for the District of New Jersey, Vincent Dang v. Amarin Corporation plc, John F. Thero and Michael W. Kalb, No. 1:21-cv-19212 (D.N.J. Oct. 21, 2021). A subsequent case, Dorfman v. Amarin Corporation plc, et al., No. 3:21-cv-19911 (D.N.J. filed Nov. 10, 2021), was filed in November 2021. In December 2021, several Amarin shareholders moved to consolidate the cases and appoint a lead plaintiff and lead counsel pursuant to the Private Securities Litigation Reform Act. The complaints in these actions are nearly identical and allege that the Company misled investors by allegedly downplaying the risk associated with the Company's ANDA litigation described above and the risk that certain of the Company's patents related to the MARINE indication would be invalidated. Based on these allegations, plaintiff alleges that he purchased securities at an inflated share price and brings claims under the Securities and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t>Exchange Act of 1934 seeking unspecified monetary damages and attorneys' fees and costs. On January 13, 2023, Lead Plaintiff filed an amended complaint that also named the former general counsel, and again alleged that the Company made false statements regarding the ANDA Litigation as well as about the REDUCE-IT indication and VASCEPA’s financial prospects resulting from REDUCE-IT. All Defendants have moved to dismiss the amended complaint. The Company believes it has valid defenses and will vigorously defend against the claims but cannot predict the outcome. The Company is unable to reasonably estimate the loss exposure, if any, associated with these claims.</w:t>
      </w:r>
    </w:p>
    <w:p>
      <w:pPr>
        <w:spacing w:after="0" w:line="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On March 29, 2023, purported investors in the Company’s publicly traded securities filed a derivative lawsuit, naming as defendants the Company’s former general counsel, the Company’s trial counsel for the ANDA litigation, and the Company as nominal defendant, in the Superior Court of New Jersey, Law Division, Monmouth County, captioned </w:t>
      </w:r>
      <w:r>
        <w:rPr>
          <w:rFonts w:ascii="Arial" w:cs="Arial" w:eastAsia="Arial" w:hAnsi="Arial"/>
          <w:sz w:val="18"/>
          <w:szCs w:val="18"/>
          <w:i w:val="1"/>
          <w:iCs w:val="1"/>
          <w:color w:val="auto"/>
        </w:rPr>
        <w:t>Anne Abramson, John Lissandrello, Georgette Appiano, and Andrew Bondarowicz v. Amarin Corporation plc,</w:t>
      </w:r>
      <w:r>
        <w:rPr>
          <w:rFonts w:ascii="Arial" w:cs="Arial" w:eastAsia="Arial" w:hAnsi="Arial"/>
          <w:sz w:val="18"/>
          <w:szCs w:val="18"/>
          <w:color w:val="auto"/>
        </w:rPr>
        <w:t xml:space="preserve"> </w:t>
      </w:r>
      <w:r>
        <w:rPr>
          <w:rFonts w:ascii="Arial" w:cs="Arial" w:eastAsia="Arial" w:hAnsi="Arial"/>
          <w:sz w:val="18"/>
          <w:szCs w:val="18"/>
          <w:i w:val="1"/>
          <w:iCs w:val="1"/>
          <w:color w:val="auto"/>
        </w:rPr>
        <w:t>Covington &amp; Burling, LLP, Joseph T. Kennedy, and John Does A-Z</w:t>
      </w:r>
      <w:r>
        <w:rPr>
          <w:rFonts w:ascii="Arial" w:cs="Arial" w:eastAsia="Arial" w:hAnsi="Arial"/>
          <w:sz w:val="18"/>
          <w:szCs w:val="18"/>
          <w:color w:val="auto"/>
        </w:rPr>
        <w:t>, No. MON-L-000984-23 (N.J. Super. Ct. Law Div. Mar. 29, 2023). The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that the defendants failed to exercise appropriate diligence and due care in their conduct of the ANDA litigation. Based on those allegations, the complaint alleged that the defendants committed legal malpractice and sought monetary damages and attorneys’ fees and costs. On April 8, 2023, the plaintiffs voluntarily dismissed this case without prejudice.</w:t>
      </w:r>
    </w:p>
    <w:p>
      <w:pPr>
        <w:spacing w:after="0" w:line="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On March 31, 2023, the Company’s former chief executive officer, Karim Mikhail, filed a complaint against the Company and certain of its affiliates in the Superior Court of New Jersey, Law Division – Somerset County, captioned </w:t>
      </w:r>
      <w:r>
        <w:rPr>
          <w:rFonts w:ascii="Arial" w:cs="Arial" w:eastAsia="Arial" w:hAnsi="Arial"/>
          <w:sz w:val="18"/>
          <w:szCs w:val="18"/>
          <w:i w:val="1"/>
          <w:iCs w:val="1"/>
          <w:color w:val="auto"/>
        </w:rPr>
        <w:t>Mikhail v. Amarin Corporation, plc</w:t>
      </w:r>
      <w:r>
        <w:rPr>
          <w:rFonts w:ascii="Arial" w:cs="Arial" w:eastAsia="Arial" w:hAnsi="Arial"/>
          <w:sz w:val="18"/>
          <w:szCs w:val="18"/>
          <w:color w:val="auto"/>
        </w:rPr>
        <w:t xml:space="preserve"> (Docket No. SOM-L-000366-23), concerning Mr. Mikhail’s alleged “constructive termination” from the Company. The complaint seeks unspecified damages arising from claims for breaches of his employment agreement, Executive Severance and Change of Control Plan, and the implied covenant of good faith and fair dealing. On April 3, 2023, the case moved to the United States District Court for the District of New Jersey (Civ. No. 3:23-cv-01856). On June 30, 2023, all defendants moved to dismiss this case without prejudice.</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currently has long-term supply agreements with multiple API suppliers and encapsulators. The Company is relying on these suppliers to meet current and potential future global demand for VASCEPA. Certain supply agreements require annual minimum volume commitments by the Company and certain volume shortfalls may require payments for such shortfalls.</w:t>
      </w:r>
    </w:p>
    <w:p>
      <w:pPr>
        <w:spacing w:after="0" w:line="76"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76"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 continues to negotiate with contract suppliers to align its supply arrangements with current and future global demand which may result in additional costs to the Company. As of June 30, 2023, the Company has a total of approximately $60.2 million in future contractual purchase obligations without consideration to ongoing discussions with other suppliers. In addition, the Company has total obligations of $58.3 million contingent on either certain suppliers obtaining regulatory approval in Europe or pricing reimbursement in certain European countries not occurring by June 30, 2024.</w:t>
      </w:r>
    </w:p>
    <w:p>
      <w:pPr>
        <w:spacing w:after="0" w:line="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such former shareholders) of £5 million (approximately $6.3 million as of June 30, 2023) for any such market approval.</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these obligations, except as noted above, since the amounts are either not paid or payable as of June 30, 2023.</w:t>
      </w:r>
    </w:p>
    <w:p>
      <w:pPr>
        <w:spacing w:after="0" w:line="352" w:lineRule="exact"/>
        <w:rPr>
          <w:sz w:val="20"/>
          <w:szCs w:val="20"/>
          <w:color w:val="auto"/>
        </w:rPr>
      </w:pPr>
    </w:p>
    <w:p>
      <w:pPr>
        <w:ind w:left="880" w:hanging="872"/>
        <w:spacing w:after="0"/>
        <w:tabs>
          <w:tab w:leader="none" w:pos="8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 xml:space="preserve">During the six months ended June 30, 2023 and 2022, in addition to ordinary shares issued as described in </w:t>
      </w:r>
      <w:r>
        <w:rPr>
          <w:rFonts w:ascii="Arial" w:cs="Arial" w:eastAsia="Arial" w:hAnsi="Arial"/>
          <w:sz w:val="17"/>
          <w:szCs w:val="17"/>
          <w:i w:val="1"/>
          <w:iCs w:val="1"/>
          <w:color w:val="auto"/>
        </w:rPr>
        <w:t>Incentive Equity Awards</w:t>
      </w:r>
      <w:r>
        <w:rPr>
          <w:rFonts w:ascii="Arial" w:cs="Arial" w:eastAsia="Arial" w:hAnsi="Arial"/>
          <w:sz w:val="17"/>
          <w:szCs w:val="17"/>
          <w:color w:val="auto"/>
        </w:rPr>
        <w:t xml:space="preserve"> below, the Company issued 205,861 and 265,214 ordinary shares, respectively, under the Amarin Corporation plc 2017 Employee Stock Purchase Plan.</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aggregate number of stock options and restricted stock units, or RSUs, outstanding under the Amarin Corporation plc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Stock Incentive Plan, or the 2020 Plan, as of June 30, 2023: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520" w:type="dxa"/>
            <w:vAlign w:val="bottom"/>
            <w:gridSpan w:val="3"/>
          </w:tcPr>
          <w:p>
            <w:pPr>
              <w:ind w:left="1260"/>
              <w:spacing w:after="0"/>
              <w:rPr>
                <w:sz w:val="20"/>
                <w:szCs w:val="20"/>
                <w:color w:val="auto"/>
              </w:rPr>
            </w:pPr>
            <w:r>
              <w:rPr>
                <w:rFonts w:ascii="Arial" w:cs="Arial" w:eastAsia="Arial" w:hAnsi="Arial"/>
                <w:sz w:val="14"/>
                <w:szCs w:val="14"/>
                <w:b w:val="1"/>
                <w:bCs w:val="1"/>
                <w:color w:val="auto"/>
              </w:rPr>
              <w:t>June 30, 2023</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stock options</w:t>
            </w:r>
          </w:p>
        </w:tc>
        <w:tc>
          <w:tcPr>
            <w:tcW w:w="3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16,000,158</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 of outstanding shares on a fully-diluted basis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RSUs</w:t>
            </w:r>
          </w:p>
        </w:tc>
        <w:tc>
          <w:tcPr>
            <w:tcW w:w="3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14,902,947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 of outstanding shares on a fully-diluted basis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20" w:type="dxa"/>
            <w:vAlign w:val="bottom"/>
          </w:tcPr>
          <w:p>
            <w:pPr>
              <w:spacing w:after="0"/>
              <w:rPr>
                <w:sz w:val="20"/>
                <w:szCs w:val="20"/>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equity awards activity during the six months ended June 30, 2023 and 2022:</w:t>
      </w:r>
    </w:p>
    <w:p>
      <w:pPr>
        <w:spacing w:after="0" w:line="325"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15240</wp:posOffset>
            </wp:positionV>
            <wp:extent cx="33693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9310" cy="8255"/>
                    </a:xfrm>
                    <a:prstGeom prst="rect">
                      <a:avLst/>
                    </a:prstGeom>
                    <a:noFill/>
                  </pic:spPr>
                </pic:pic>
              </a:graphicData>
            </a:graphic>
          </wp:anchor>
        </w:drawing>
      </w:r>
    </w:p>
    <w:p>
      <w:pPr>
        <w:spacing w:after="0" w:line="76" w:lineRule="exact"/>
        <w:rPr>
          <w:sz w:val="20"/>
          <w:szCs w:val="20"/>
          <w:color w:val="auto"/>
        </w:rPr>
      </w:pPr>
    </w:p>
    <w:p>
      <w:pPr>
        <w:ind w:left="6860"/>
        <w:spacing w:after="0"/>
        <w:tabs>
          <w:tab w:leader="none" w:pos="97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15240</wp:posOffset>
            </wp:positionV>
            <wp:extent cx="15347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issued for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780" w:val="left"/>
        </w:tabs>
        <w:rPr>
          <w:sz w:val="20"/>
          <w:szCs w:val="20"/>
          <w:color w:val="auto"/>
        </w:rPr>
      </w:pPr>
      <w:r>
        <w:rPr>
          <w:rFonts w:ascii="Arial" w:cs="Arial" w:eastAsia="Arial" w:hAnsi="Arial"/>
          <w:sz w:val="18"/>
          <w:szCs w:val="18"/>
          <w:color w:val="auto"/>
        </w:rPr>
        <w:t>Gross and net proceeds from stock option exercises</w:t>
      </w:r>
      <w:r>
        <w:rPr>
          <w:sz w:val="20"/>
          <w:szCs w:val="20"/>
          <w:color w:val="auto"/>
        </w:rPr>
        <w:tab/>
      </w:r>
      <w:r>
        <w:rPr>
          <w:rFonts w:ascii="Arial" w:cs="Arial" w:eastAsia="Arial" w:hAnsi="Arial"/>
          <w:sz w:val="17"/>
          <w:szCs w:val="17"/>
          <w:color w:val="auto"/>
        </w:rPr>
        <w:t>$</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issued in settlement of vested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right="1320"/>
        <w:spacing w:after="0" w:line="310" w:lineRule="auto"/>
        <w:rPr>
          <w:sz w:val="20"/>
          <w:szCs w:val="20"/>
          <w:color w:val="auto"/>
        </w:rPr>
      </w:pPr>
      <w:r>
        <w:rPr>
          <w:rFonts w:ascii="Arial" w:cs="Arial" w:eastAsia="Arial" w:hAnsi="Arial"/>
          <w:sz w:val="15"/>
          <w:szCs w:val="15"/>
          <w:color w:val="auto"/>
        </w:rPr>
        <w:t xml:space="preserve">Shares retained for settlement of employee tax obligations ─ RSUs Common shares issued in settlement of vested Performance-based RSUs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right="1340"/>
        <w:spacing w:after="0" w:line="258" w:lineRule="auto"/>
        <w:rPr>
          <w:sz w:val="20"/>
          <w:szCs w:val="20"/>
          <w:color w:val="auto"/>
        </w:rPr>
      </w:pPr>
      <w:r>
        <w:rPr>
          <w:rFonts w:ascii="Arial" w:cs="Arial" w:eastAsia="Arial" w:hAnsi="Arial"/>
          <w:sz w:val="18"/>
          <w:szCs w:val="18"/>
          <w:color w:val="auto"/>
        </w:rPr>
        <w:t>Shares retained for settlement of employee tax obligations ─ Performance-based RSUs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87"/>
              </w:rPr>
              <w:t>1,238,263</w:t>
            </w:r>
          </w:p>
        </w:tc>
        <w:tc>
          <w:tcPr>
            <w:tcW w:w="9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25,247</w:t>
            </w:r>
          </w:p>
        </w:tc>
      </w:tr>
      <w:tr>
        <w:trPr>
          <w:trHeight w:val="236"/>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87"/>
              </w:rPr>
              <w:t>1,878,000</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49,000</w:t>
            </w:r>
          </w:p>
        </w:tc>
      </w:tr>
      <w:tr>
        <w:trPr>
          <w:trHeight w:val="243"/>
        </w:trPr>
        <w:tc>
          <w:tcPr>
            <w:tcW w:w="1200" w:type="dxa"/>
            <w:vAlign w:val="bottom"/>
          </w:tcPr>
          <w:p>
            <w:pPr>
              <w:jc w:val="right"/>
              <w:ind w:right="390"/>
              <w:spacing w:after="0"/>
              <w:rPr>
                <w:sz w:val="20"/>
                <w:szCs w:val="20"/>
                <w:color w:val="auto"/>
              </w:rPr>
            </w:pPr>
            <w:r>
              <w:rPr>
                <w:rFonts w:ascii="Arial" w:cs="Arial" w:eastAsia="Arial" w:hAnsi="Arial"/>
                <w:sz w:val="18"/>
                <w:szCs w:val="18"/>
                <w:color w:val="auto"/>
                <w:w w:val="87"/>
              </w:rPr>
              <w:t>3,037,583</w:t>
            </w:r>
          </w:p>
        </w:tc>
        <w:tc>
          <w:tcPr>
            <w:tcW w:w="9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681,216</w:t>
            </w:r>
          </w:p>
        </w:tc>
      </w:tr>
      <w:tr>
        <w:trPr>
          <w:trHeight w:val="257"/>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851,549</w:t>
            </w:r>
          </w:p>
        </w:tc>
        <w:tc>
          <w:tcPr>
            <w:tcW w:w="9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222,634</w:t>
            </w:r>
          </w:p>
        </w:tc>
      </w:tr>
      <w:tr>
        <w:trPr>
          <w:trHeight w:val="243"/>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277,607</w:t>
            </w:r>
          </w:p>
        </w:tc>
        <w:tc>
          <w:tcPr>
            <w:tcW w:w="9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51"/>
        </w:trPr>
        <w:tc>
          <w:tcPr>
            <w:tcW w:w="1200" w:type="dxa"/>
            <w:vAlign w:val="bottom"/>
          </w:tcPr>
          <w:p>
            <w:pPr>
              <w:jc w:val="right"/>
              <w:ind w:right="390"/>
              <w:spacing w:after="0"/>
              <w:rPr>
                <w:sz w:val="20"/>
                <w:szCs w:val="20"/>
                <w:color w:val="auto"/>
              </w:rPr>
            </w:pPr>
            <w:r>
              <w:rPr>
                <w:rFonts w:ascii="Arial" w:cs="Arial" w:eastAsia="Arial" w:hAnsi="Arial"/>
                <w:sz w:val="18"/>
                <w:szCs w:val="18"/>
                <w:color w:val="auto"/>
              </w:rPr>
              <w:t>120,214</w:t>
            </w:r>
          </w:p>
        </w:tc>
        <w:tc>
          <w:tcPr>
            <w:tcW w:w="9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sectPr>
          <w:pgSz w:w="11900" w:h="16838" w:orient="portrait"/>
          <w:cols w:equalWidth="0" w:num="2">
            <w:col w:w="6760" w:space="720"/>
            <w:col w:w="3780"/>
          </w:cols>
          <w:pgMar w:left="320" w:top="441" w:right="319" w:bottom="1440" w:gutter="0" w:footer="0" w:header="0"/>
          <w:type w:val="continuous"/>
        </w:sectPr>
      </w:pPr>
    </w:p>
    <w:p>
      <w:pPr>
        <w:ind w:left="760" w:right="560" w:hanging="378"/>
        <w:spacing w:after="0" w:line="308"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Performance-based RSUs vested in connection with the achievement of certain sales performance conditions on February 21, 2023. These performance-based RSUs will vest over a three-year period based on continuous service from the grant date.</w:t>
      </w:r>
    </w:p>
    <w:p>
      <w:pPr>
        <w:spacing w:after="0" w:line="3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July 2023, in connection with the implementation of a retention program, the Company granted a total of 3,978,300 stock options to employees under the 2020 Plan. The options vest 50% on both January 1, 2024 and January 1, 2025, respectively.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2023, the Company granted a total of 7,775,850 RSUs and 4,297,500 stock options to employees under the 2020 Plan. The RSUs vest annually over a three-year period and the stock options vest quarterly over a four-year period with a one-year cliff vesting. Also in February 2023, the Company granted a total of 1,368,800 RSUs to employees under the 2020 Plan that vest upon the achievement of specified sales and operational performance conditions.</w:t>
      </w:r>
    </w:p>
    <w:p>
      <w:pPr>
        <w:spacing w:after="0" w:line="7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June 2022, the Company granted a total of 661,459 RSUs and 817,873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2022, the Company granted a total of 5,987,500 RSUs and 1,976,600 stock options to employees under the 2020 Plan. The RSUs vest annually over a three-year period and the stock options vest quarterly over a four-year period with a one-year cliff vesting. Also in February 2022, the Company granted a total of 1,089,500 RSUs to employees under the 2020 Plan that vest upon the achievement of specified sales and operational performance conditions.</w:t>
      </w:r>
    </w:p>
    <w:p>
      <w:pPr>
        <w:spacing w:after="0" w:line="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January 2022 and May 2022, the Company granted a total of 81,082 and 360,000 RSUs, respectively, and 103,569 and 447,438 stock options, respectively, to newly appointed members of the Company’s Board of Directors under the 2020 Plan and in accordance with the Company's non-employee director compensation policy. The RSUs vest in equal installments over a three-year period upon the anniversary of the grant date, and are subject to deferred settlement upon the director’s separation of service with the Company. The stock options vested in full upon the one-year anniversary of the grant date.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268" w:lineRule="exact"/>
        <w:rPr>
          <w:sz w:val="20"/>
          <w:szCs w:val="20"/>
          <w:color w:val="auto"/>
        </w:rPr>
      </w:pPr>
    </w:p>
    <w:p>
      <w:pPr>
        <w:ind w:left="880" w:hanging="872"/>
        <w:spacing w:after="0"/>
        <w:tabs>
          <w:tab w:leader="none" w:pos="8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53"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45 days from the date of sale. The</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type w:val="continuous"/>
        </w:sectPr>
      </w:pPr>
    </w:p>
    <w:bookmarkStart w:id="16" w:name="page17"/>
    <w:bookmarkEnd w:id="16"/>
    <w:p>
      <w:pPr>
        <w:jc w:val="both"/>
        <w:spacing w:after="0" w:line="286" w:lineRule="auto"/>
        <w:rPr>
          <w:sz w:val="20"/>
          <w:szCs w:val="20"/>
          <w:color w:val="auto"/>
        </w:rPr>
      </w:pPr>
      <w:r>
        <w:rPr>
          <w:rFonts w:ascii="Arial" w:cs="Arial" w:eastAsia="Arial" w:hAnsi="Arial"/>
          <w:sz w:val="17"/>
          <w:szCs w:val="17"/>
          <w:color w:val="auto"/>
        </w:rPr>
        <w:t>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7"/>
          <w:szCs w:val="17"/>
          <w:color w:val="00B050"/>
        </w:rPr>
        <w:t>.</w:t>
      </w:r>
      <w:r>
        <w:rPr>
          <w:rFonts w:ascii="Arial" w:cs="Arial" w:eastAsia="Arial" w:hAnsi="Arial"/>
          <w:sz w:val="17"/>
          <w:szCs w:val="17"/>
          <w:color w:val="auto"/>
        </w:rPr>
        <w:t xml:space="preserve"> The Company calculates gross product revenues generally based on the wholesale acquisition cost or list price that the Company charges its distributors for VASCEPA.</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6" w:lineRule="exact"/>
        <w:rPr>
          <w:sz w:val="20"/>
          <w:szCs w:val="20"/>
          <w:color w:val="auto"/>
        </w:rPr>
      </w:pPr>
    </w:p>
    <w:p>
      <w:pPr>
        <w:ind w:left="520" w:right="40" w:firstLine="509"/>
        <w:spacing w:after="0" w:line="296"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in the U.S. and Europe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3" w:lineRule="exact"/>
        <w:rPr>
          <w:sz w:val="20"/>
          <w:szCs w:val="20"/>
          <w:color w:val="auto"/>
        </w:rPr>
      </w:pPr>
    </w:p>
    <w:p>
      <w:pPr>
        <w:ind w:left="520" w:firstLine="509"/>
        <w:spacing w:after="0" w:line="268"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Medicare,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76" w:lineRule="exact"/>
        <w:rPr>
          <w:sz w:val="20"/>
          <w:szCs w:val="20"/>
          <w:color w:val="auto"/>
        </w:rPr>
      </w:pPr>
    </w:p>
    <w:p>
      <w:pPr>
        <w:ind w:left="520" w:firstLine="509"/>
        <w:spacing w:after="0" w:line="266"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left="520" w:firstLine="509"/>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activity in each of the net product revenue allowance and reserve categories described above for the six months ended June 30, 2023 and 2022:</w:t>
      </w:r>
    </w:p>
    <w:p>
      <w:pPr>
        <w:spacing w:after="0" w:line="19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Trade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Rebates,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Product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6"/>
                <w:szCs w:val="16"/>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Allowances</w:t>
            </w:r>
          </w:p>
        </w:tc>
        <w:tc>
          <w:tcPr>
            <w:tcW w:w="20" w:type="dxa"/>
            <w:vAlign w:val="bottom"/>
          </w:tcPr>
          <w:p>
            <w:pPr>
              <w:spacing w:after="0"/>
              <w:rPr>
                <w:sz w:val="16"/>
                <w:szCs w:val="16"/>
                <w:color w:val="auto"/>
              </w:rPr>
            </w:pPr>
          </w:p>
        </w:tc>
        <w:tc>
          <w:tcPr>
            <w:tcW w:w="12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and Discounts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Returns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Incentives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44,626</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136,093</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8,746</w:t>
            </w:r>
          </w:p>
        </w:tc>
        <w:tc>
          <w:tcPr>
            <w:tcW w:w="1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2,056</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191,521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44,069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337,129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391,594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(7,168 )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(250 )</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(7,311 )</w:t>
            </w:r>
          </w:p>
        </w:tc>
        <w:tc>
          <w:tcPr>
            <w:tcW w:w="0" w:type="dxa"/>
            <w:vAlign w:val="bottom"/>
          </w:tcPr>
          <w:p>
            <w:pPr>
              <w:spacing w:after="0"/>
              <w:rPr>
                <w:sz w:val="1"/>
                <w:szCs w:val="1"/>
                <w:color w:val="auto"/>
              </w:rPr>
            </w:pPr>
          </w:p>
        </w:tc>
      </w:tr>
      <w:tr>
        <w:trPr>
          <w:trHeight w:val="237"/>
        </w:trPr>
        <w:tc>
          <w:tcPr>
            <w:tcW w:w="4320" w:type="dxa"/>
            <w:vAlign w:val="bottom"/>
          </w:tcPr>
          <w:p>
            <w:pPr>
              <w:ind w:left="20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(24,778 )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(256,492 )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(8,520 )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(289,790 )</w:t>
            </w: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(42,389 )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(70,842 )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(1,219 )</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(1,008 )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(115,458 )</w:t>
            </w:r>
          </w:p>
        </w:tc>
        <w:tc>
          <w:tcPr>
            <w:tcW w:w="0" w:type="dxa"/>
            <w:vAlign w:val="bottom"/>
          </w:tcPr>
          <w:p>
            <w:pPr>
              <w:spacing w:after="0"/>
              <w:rPr>
                <w:sz w:val="1"/>
                <w:szCs w:val="1"/>
                <w:color w:val="auto"/>
              </w:rPr>
            </w:pPr>
          </w:p>
        </w:tc>
      </w:tr>
      <w:tr>
        <w:trPr>
          <w:trHeight w:val="238"/>
        </w:trPr>
        <w:tc>
          <w:tcPr>
            <w:tcW w:w="43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21,528</w:t>
            </w:r>
          </w:p>
        </w:tc>
        <w:tc>
          <w:tcPr>
            <w:tcW w:w="22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138,720</w:t>
            </w:r>
          </w:p>
        </w:tc>
        <w:tc>
          <w:tcPr>
            <w:tcW w:w="20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8,336</w:t>
            </w:r>
          </w:p>
        </w:tc>
        <w:tc>
          <w:tcPr>
            <w:tcW w:w="18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1,972</w:t>
            </w:r>
          </w:p>
        </w:tc>
        <w:tc>
          <w:tcPr>
            <w:tcW w:w="14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170,556</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Trade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Rebates,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4"/>
              </w:rPr>
              <w:t>Product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Chargebacks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1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Allowances</w:t>
            </w:r>
          </w:p>
        </w:tc>
        <w:tc>
          <w:tcPr>
            <w:tcW w:w="20" w:type="dxa"/>
            <w:vAlign w:val="bottom"/>
          </w:tcPr>
          <w:p>
            <w:pPr>
              <w:spacing w:after="0"/>
              <w:rPr>
                <w:sz w:val="16"/>
                <w:szCs w:val="16"/>
                <w:color w:val="auto"/>
              </w:rPr>
            </w:pPr>
          </w:p>
        </w:tc>
        <w:tc>
          <w:tcPr>
            <w:tcW w:w="12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and Discounts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Returns</w:t>
            </w:r>
          </w:p>
        </w:tc>
        <w:tc>
          <w:tcPr>
            <w:tcW w:w="60" w:type="dxa"/>
            <w:vAlign w:val="bottom"/>
          </w:tcPr>
          <w:p>
            <w:pPr>
              <w:spacing w:after="0"/>
              <w:rPr>
                <w:sz w:val="16"/>
                <w:szCs w:val="16"/>
                <w:color w:val="auto"/>
              </w:rPr>
            </w:pPr>
          </w:p>
        </w:tc>
        <w:tc>
          <w:tcPr>
            <w:tcW w:w="11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9"/>
              </w:rPr>
              <w:t>Incentives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86,636</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184,756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8,089</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2,745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282,226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0"/>
              <w:spacing w:after="0"/>
              <w:rPr>
                <w:sz w:val="20"/>
                <w:szCs w:val="20"/>
                <w:color w:val="auto"/>
              </w:rPr>
            </w:pPr>
            <w:r>
              <w:rPr>
                <w:rFonts w:ascii="Arial" w:cs="Arial" w:eastAsia="Arial" w:hAnsi="Arial"/>
                <w:sz w:val="18"/>
                <w:szCs w:val="18"/>
                <w:color w:val="auto"/>
              </w:rPr>
              <w:t>Provision related to current period sales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48,472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333,126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398,246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related to prior period sales</w:t>
            </w: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200"/>
              <w:spacing w:after="0"/>
              <w:rPr>
                <w:sz w:val="20"/>
                <w:szCs w:val="20"/>
                <w:color w:val="auto"/>
              </w:rPr>
            </w:pPr>
            <w:r>
              <w:rPr>
                <w:rFonts w:ascii="Arial" w:cs="Arial" w:eastAsia="Arial" w:hAnsi="Arial"/>
                <w:sz w:val="18"/>
                <w:szCs w:val="18"/>
                <w:color w:val="auto"/>
              </w:rPr>
              <w:t>Credits/payments made for current period sales</w:t>
            </w:r>
          </w:p>
        </w:tc>
        <w:tc>
          <w:tcPr>
            <w:tcW w:w="12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(20,724 )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(237,768 )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(13,201 )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(271,693 )</w:t>
            </w: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Credits/payments made for prior period sales</w:t>
            </w:r>
          </w:p>
        </w:tc>
        <w:tc>
          <w:tcPr>
            <w:tcW w:w="120" w:type="dxa"/>
            <w:vAlign w:val="bottom"/>
            <w:shd w:val="clear" w:color="auto" w:fill="CFF0FC"/>
          </w:tcPr>
          <w:p>
            <w:pPr>
              <w:spacing w:after="0"/>
              <w:rPr>
                <w:sz w:val="21"/>
                <w:szCs w:val="21"/>
                <w:color w:val="auto"/>
              </w:rPr>
            </w:pPr>
          </w:p>
        </w:tc>
        <w:tc>
          <w:tcPr>
            <w:tcW w:w="10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(83,398 )</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(128,152 )</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(614 )</w:t>
            </w:r>
          </w:p>
        </w:tc>
        <w:tc>
          <w:tcPr>
            <w:tcW w:w="1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(2,630 )</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(214,794 )</w:t>
            </w:r>
          </w:p>
        </w:tc>
        <w:tc>
          <w:tcPr>
            <w:tcW w:w="0" w:type="dxa"/>
            <w:vAlign w:val="bottom"/>
          </w:tcPr>
          <w:p>
            <w:pPr>
              <w:spacing w:after="0"/>
              <w:rPr>
                <w:sz w:val="1"/>
                <w:szCs w:val="1"/>
                <w:color w:val="auto"/>
              </w:rPr>
            </w:pPr>
          </w:p>
        </w:tc>
      </w:tr>
      <w:tr>
        <w:trPr>
          <w:trHeight w:val="239"/>
        </w:trPr>
        <w:tc>
          <w:tcPr>
            <w:tcW w:w="43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as of June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30,986</w:t>
            </w:r>
          </w:p>
        </w:tc>
        <w:tc>
          <w:tcPr>
            <w:tcW w:w="4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152,069</w:t>
            </w:r>
          </w:p>
        </w:tc>
        <w:tc>
          <w:tcPr>
            <w:tcW w:w="6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8,653</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194,091</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-1610995</wp:posOffset>
            </wp:positionV>
            <wp:extent cx="7747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-1610995</wp:posOffset>
            </wp:positionV>
            <wp:extent cx="7683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-1610995</wp:posOffset>
            </wp:positionV>
            <wp:extent cx="7683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-1610995</wp:posOffset>
            </wp:positionV>
            <wp:extent cx="76835"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-1610995</wp:posOffset>
            </wp:positionV>
            <wp:extent cx="8572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-187960</wp:posOffset>
            </wp:positionV>
            <wp:extent cx="7747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76835"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7747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7683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-187960</wp:posOffset>
            </wp:positionV>
            <wp:extent cx="857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9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8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7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line="254" w:lineRule="auto"/>
        <w:rPr>
          <w:sz w:val="20"/>
          <w:szCs w:val="20"/>
          <w:color w:val="auto"/>
        </w:rPr>
      </w:pPr>
      <w:r>
        <w:rPr>
          <w:rFonts w:ascii="Arial" w:cs="Arial" w:eastAsia="Arial" w:hAnsi="Arial"/>
          <w:sz w:val="18"/>
          <w:szCs w:val="18"/>
          <w:color w:val="auto"/>
        </w:rPr>
        <w:t xml:space="preserve">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During the three months ended June 30, 2023, the Company adjusted the measure of performance and recognized an additional $5.0 million and $5.3 million of license revenue relating to Eddingpharm (Asia) Macao Commercial Offshore Limited, or Edding, and HLS Therapeutics Inc., or HLS, respectively. Refer to </w:t>
      </w:r>
      <w:r>
        <w:rPr>
          <w:rFonts w:ascii="Arial" w:cs="Arial" w:eastAsia="Arial" w:hAnsi="Arial"/>
          <w:sz w:val="18"/>
          <w:szCs w:val="18"/>
          <w:i w:val="1"/>
          <w:iCs w:val="1"/>
          <w:color w:val="auto"/>
        </w:rPr>
        <w:t>Note 8—Development, Commercialization and Supply Agreements</w:t>
      </w:r>
      <w:r>
        <w:rPr>
          <w:rFonts w:ascii="Arial" w:cs="Arial" w:eastAsia="Arial" w:hAnsi="Arial"/>
          <w:sz w:val="18"/>
          <w:szCs w:val="18"/>
          <w:color w:val="auto"/>
        </w:rPr>
        <w:t xml:space="preserve"> for further details.</w:t>
      </w:r>
    </w:p>
    <w:p>
      <w:pPr>
        <w:spacing w:after="0" w:line="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6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0"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i w:val="1"/>
          <w:iCs w:val="1"/>
          <w:u w:val="single" w:color="auto"/>
          <w:color w:val="auto"/>
        </w:rPr>
        <w:t>In-licenses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U.S. and certain other territories and the parties will collaborate to research and develop new products and indications based on EPA for the Company’s commercialization in the U.S. and certain other territories. The potential new product and indication opportunities contemplated under this agreement are currently in early stages of development.</w:t>
      </w:r>
    </w:p>
    <w:p>
      <w:pPr>
        <w:spacing w:after="0" w:line="8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7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January 2023 and 2022, the Company exercised certain rights under the agreement, resulting in payments of $1.0 million in each of such periods to Mochida, which was recorded as research and development expense in the condensed consolidated statement of operations.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February 2015, the Company entered into a Development, Commercialization and Supply Agreement, or the DCS Agreement, with Edding related to the development and commercialization of VASCEPA in Mainland China, Hong Kong, Macau and Taiwan, or collectively,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120"/>
        <w:spacing w:after="0" w:line="301" w:lineRule="auto"/>
        <w:rPr>
          <w:sz w:val="20"/>
          <w:szCs w:val="20"/>
          <w:color w:val="auto"/>
        </w:rPr>
      </w:pPr>
      <w:r>
        <w:rPr>
          <w:rFonts w:ascii="Arial" w:cs="Arial" w:eastAsia="Arial" w:hAnsi="Arial"/>
          <w:sz w:val="16"/>
          <w:szCs w:val="16"/>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The Company received approval of VASCEPA under the REDUCE-IT indication in Hong Kong in February 2022 and under the MARINE indication in Mainland China in the second quarter of 2023. Following approval of VASCEPA in Mainland China under the MARINE indication, the Company received a non-refundable $5.0 million milestone payment.</w:t>
      </w:r>
    </w:p>
    <w:p>
      <w:pPr>
        <w:spacing w:after="0" w:line="7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$148.0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As of June 30, 2023 the Company has received $6.0 million relating to milestone payments. Achievement of regulatory approval for a third indication is not probable. The achievement of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transaction price includes the $15.0 million up-front consideration received, the $1.0 million milestone payment received related to the successful submission of the CTA for the MARINE indication, and the $5.0 million milestone payment received related to the approval of VASCEPA under the MARINE indication. None of the other clinical or regulatory milestones has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40"/>
        <w:spacing w:after="0" w:line="291" w:lineRule="auto"/>
        <w:rPr>
          <w:sz w:val="20"/>
          <w:szCs w:val="20"/>
          <w:color w:val="auto"/>
        </w:rPr>
      </w:pPr>
      <w:r>
        <w:rPr>
          <w:rFonts w:ascii="Arial" w:cs="Arial" w:eastAsia="Arial" w:hAnsi="Arial"/>
          <w:sz w:val="16"/>
          <w:szCs w:val="16"/>
          <w:color w:val="auto"/>
        </w:rPr>
        <w:t xml:space="preserve">During the second quarter of 2023, </w:t>
      </w:r>
      <w:r>
        <w:rPr>
          <w:rFonts w:ascii="Arial" w:cs="Arial" w:eastAsia="Arial" w:hAnsi="Arial"/>
          <w:sz w:val="16"/>
          <w:szCs w:val="16"/>
          <w:color w:val="2D2D2D"/>
        </w:rPr>
        <w:t>Edding received regulatory approval in China under the MARINE indication and pursuit of additional indications</w:t>
      </w:r>
      <w:r>
        <w:rPr>
          <w:rFonts w:ascii="Arial" w:cs="Arial" w:eastAsia="Arial" w:hAnsi="Arial"/>
          <w:sz w:val="16"/>
          <w:szCs w:val="16"/>
          <w:color w:val="auto"/>
        </w:rPr>
        <w:t xml:space="preserve"> </w:t>
      </w:r>
      <w:r>
        <w:rPr>
          <w:rFonts w:ascii="Arial" w:cs="Arial" w:eastAsia="Arial" w:hAnsi="Arial"/>
          <w:sz w:val="16"/>
          <w:szCs w:val="16"/>
          <w:color w:val="2D2D2D"/>
        </w:rPr>
        <w:t xml:space="preserve">outside of the REDUCE-IT indication is not probable. As a result, the Company re-evaluated the performance period and determined that completion of the remaining performance obligations was estimated to be by the end of December 2025. The effect of this change in estimate from the previously received up-front payment and prior year milestone payments was an increase of $5.0 million in licensing revenue and a related reduction in net loss by $5.0 million in the three months ended June 30, 2023. In addition, the Company recognized $3.9 million related to the milestone payment received in the second quarter for the MARINE indication approval and the remaining $1.1 million will be recognized over the remaining performance period through December 2025. </w:t>
      </w:r>
      <w:r>
        <w:rPr>
          <w:rFonts w:ascii="Arial" w:cs="Arial" w:eastAsia="Arial" w:hAnsi="Arial"/>
          <w:sz w:val="16"/>
          <w:szCs w:val="16"/>
          <w:color w:val="000000"/>
        </w:rPr>
        <w:t>The change in estimate resulted in the remaining performance period decreasing from 11 years to 3 years for recognizing the remaining deferred revenue.</w:t>
      </w:r>
    </w:p>
    <w:p>
      <w:pPr>
        <w:spacing w:after="0" w:line="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During the six months ended June 30, 2023 and 2022, the Company recognized $9.4 million and $0.3 million, respectively, as licensing revenue related to the up-front and milestone payments received in connection with the Edding agreement. From contract inception through June 30, 2023 and December 31, 2022, the Company recognized $17.1 million and $7.7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$4.9 million and $9.3 million is recorded in deferred revenue as of June 30, 2023 and December 31, 2022, respectively, on the condensed consolidated balance sheets.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net product revenue for the three and six months ended June 30, 2023 and 2022, related to sales to Edding.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approval of VASCEPA under the MARINE and REDUCE-IT indications in the following countries: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3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MARINE</w:t>
            </w:r>
          </w:p>
        </w:tc>
        <w:tc>
          <w:tcPr>
            <w:tcW w:w="34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REDUCE-IT</w:t>
            </w: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Launch Date</w:t>
            </w:r>
          </w:p>
        </w:tc>
        <w:tc>
          <w:tcPr>
            <w:tcW w:w="140" w:type="dxa"/>
            <w:vAlign w:val="bottom"/>
          </w:tcPr>
          <w:p>
            <w:pPr>
              <w:spacing w:after="0"/>
              <w:rPr>
                <w:sz w:val="16"/>
                <w:szCs w:val="16"/>
                <w:color w:val="auto"/>
              </w:rPr>
            </w:pPr>
          </w:p>
        </w:tc>
      </w:tr>
      <w:tr>
        <w:trPr>
          <w:trHeight w:val="237"/>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Lebanon</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2018</w:t>
            </w:r>
          </w:p>
        </w:tc>
        <w:tc>
          <w:tcPr>
            <w:tcW w:w="34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August 2021</w:t>
            </w:r>
          </w:p>
        </w:tc>
        <w:tc>
          <w:tcPr>
            <w:tcW w:w="280" w:type="dxa"/>
            <w:vAlign w:val="bottom"/>
            <w:shd w:val="clear" w:color="auto" w:fill="CFF0FC"/>
          </w:tcPr>
          <w:p>
            <w:pPr>
              <w:spacing w:after="0"/>
              <w:rPr>
                <w:sz w:val="20"/>
                <w:szCs w:val="20"/>
                <w:color w:val="auto"/>
              </w:rPr>
            </w:pPr>
          </w:p>
        </w:tc>
        <w:tc>
          <w:tcPr>
            <w:tcW w:w="1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2018</w:t>
            </w:r>
          </w:p>
        </w:tc>
        <w:tc>
          <w:tcPr>
            <w:tcW w:w="140" w:type="dxa"/>
            <w:vAlign w:val="bottom"/>
            <w:shd w:val="clear" w:color="auto" w:fill="CFF0FC"/>
          </w:tcPr>
          <w:p>
            <w:pPr>
              <w:spacing w:after="0"/>
              <w:rPr>
                <w:sz w:val="20"/>
                <w:szCs w:val="20"/>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United Arab Emirates</w:t>
            </w:r>
          </w:p>
        </w:tc>
        <w:tc>
          <w:tcPr>
            <w:tcW w:w="3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2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February 2019</w:t>
            </w:r>
          </w:p>
        </w:tc>
        <w:tc>
          <w:tcPr>
            <w:tcW w:w="140" w:type="dxa"/>
            <w:vAlign w:val="bottom"/>
          </w:tcPr>
          <w:p>
            <w:pPr>
              <w:spacing w:after="0"/>
              <w:rPr>
                <w:sz w:val="20"/>
                <w:szCs w:val="20"/>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Qatar</w:t>
            </w: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2019</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2021</w:t>
            </w:r>
          </w:p>
        </w:tc>
        <w:tc>
          <w:tcPr>
            <w:tcW w:w="28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Bahrain</w:t>
            </w:r>
          </w:p>
        </w:tc>
        <w:tc>
          <w:tcPr>
            <w:tcW w:w="3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April 2021</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April 2022</w:t>
            </w:r>
          </w:p>
        </w:tc>
        <w:tc>
          <w:tcPr>
            <w:tcW w:w="28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Kuwait</w:t>
            </w: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2021</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2023</w:t>
            </w:r>
          </w:p>
        </w:tc>
        <w:tc>
          <w:tcPr>
            <w:tcW w:w="28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3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March 2022</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28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did not recognize net product revenue for the three months ended June 30, 2023 and 2022 and recognized net product revenue of $0.3 million and nil for the six months ended June 30, 2023 and 2022, respectively, related to sales to Biologix.</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September 2017, the Company entered into an agreement with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and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58"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40"/>
        <w:spacing w:after="0" w:line="263" w:lineRule="auto"/>
        <w:rPr>
          <w:sz w:val="20"/>
          <w:szCs w:val="20"/>
          <w:color w:val="auto"/>
        </w:rPr>
      </w:pPr>
      <w:r>
        <w:rPr>
          <w:rFonts w:ascii="Arial" w:cs="Arial" w:eastAsia="Arial" w:hAnsi="Arial"/>
          <w:sz w:val="18"/>
          <w:szCs w:val="18"/>
          <w:color w:val="auto"/>
        </w:rPr>
        <w:t>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8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During the second quarter of 2023, </w:t>
      </w:r>
      <w:r>
        <w:rPr>
          <w:rFonts w:ascii="Arial" w:cs="Arial" w:eastAsia="Arial" w:hAnsi="Arial"/>
          <w:sz w:val="17"/>
          <w:szCs w:val="17"/>
          <w:color w:val="2D2D2D"/>
        </w:rPr>
        <w:t>the Company concluded support for regulatory activities and pursuit of additional indications was deemed to be not</w:t>
      </w:r>
      <w:r>
        <w:rPr>
          <w:rFonts w:ascii="Arial" w:cs="Arial" w:eastAsia="Arial" w:hAnsi="Arial"/>
          <w:sz w:val="17"/>
          <w:szCs w:val="17"/>
          <w:color w:val="auto"/>
        </w:rPr>
        <w:t xml:space="preserve"> </w:t>
      </w:r>
      <w:r>
        <w:rPr>
          <w:rFonts w:ascii="Arial" w:cs="Arial" w:eastAsia="Arial" w:hAnsi="Arial"/>
          <w:sz w:val="17"/>
          <w:szCs w:val="17"/>
          <w:color w:val="2D2D2D"/>
        </w:rPr>
        <w:t>probable. As a result, the Company re-evaluated the performance period and determined that all remaining performance obligations were satisfied as of June 30, 2023, resulting in a decrease of the previous performance period of 8 years. The effect of this change in estimate was the remaining transaction price of $5.3 million being recognized in licensing revenue and a related reduction in net loss by $5.3 million in the three months ended June 30, 2023 from the previously received up-front payment and prior year milestone payments.</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six months ended June 30, 2023 and 2022, the Company recognized $5.6 million and $0.3 million, respectively, as licensing revenue related to up-front and milestone payments received in connection with the HLS agreement. From the contract’s inception through June 30, 2023 and December 31, 2022, the Company has recognized $13.8 million and $8.2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As of December 31, 2022, the remaining transaction price of $5.6 million is recorded in deferred revenue on the condensed consolidated balance sheets. The Company fully recognized the transaction price as of June 30, 2023.</w:t>
      </w:r>
    </w:p>
    <w:p>
      <w:pPr>
        <w:spacing w:after="0" w:line="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recognized net product revenue of nil and $2.3 million for the three months ended June 30, 2023 and 2022, respectively, and $1.6 million and $2.3 million for the six months ended June 30, 2023 and 2022, respectively, related to sales to HLS.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CSL Seqirus</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In February 2023, the Company entered into an agreement with CSL Seqirus, or CSL, to secure pricing and reimbursement, commercialize and distribute VAZKEPA in Australia and New Zealand. The Company received an up-front payment of $0.5 million which was fully recognized during the first quarter of 2023. In addition to the up-front payment, the Company will be eligible to receive event-related milestone payments of approximately $8.0 million and additional product-related milestone payments of approximately $4.0 million. The Company will be responsible for supplying finished product to CSL Seqirus at a price that is the greater of (i) a fixed transfer price, or (ii) a fixed percentage of the net selling price, as defined in the CSL agreement.</w:t>
      </w:r>
    </w:p>
    <w:p>
      <w:pPr>
        <w:spacing w:after="0" w:line="5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CSL, is a customer. The Company identified the following distinct performance obligations at the inception of the contract: an exclusive license to use its trademarks in connection with the importation, distribution, promotion, marketing and sale of VASCEPA in the Australia and New Zealand territories.</w:t>
      </w:r>
    </w:p>
    <w:p>
      <w:pPr>
        <w:spacing w:after="0" w:line="5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transaction price includes the $0.5 million up-front consideration. Any consideration related to event-based or product-based milestones will be recognized when the related milestone events occur and therefore have also been excluded from the transaction price. The Company will re-evaluate the transaction price in each reporting period and as uncertain events are resolved or other changes in circumstances occur.</w:t>
      </w:r>
    </w:p>
    <w:p>
      <w:pPr>
        <w:spacing w:after="0" w:line="5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six months ended June 30, 2023, the Company recognized $0.5 million as licensing revenue related to the up-front payment received in connection with the CSL agreement (none in 2022).</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Lotus Pharmaceuticals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July 2023, the Company entered into a distribution agreement with Lotus Pharmaceuticals, or Lotus, to commercialize and distribute VAZKEPA in South Korea and nine countries in Southeast Asia. The Company will receive an up-front payment of $0.3</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160" w:firstLine="45"/>
        <w:spacing w:after="0" w:line="277" w:lineRule="auto"/>
        <w:rPr>
          <w:sz w:val="20"/>
          <w:szCs w:val="20"/>
          <w:color w:val="auto"/>
        </w:rPr>
      </w:pPr>
      <w:r>
        <w:rPr>
          <w:rFonts w:ascii="Arial" w:cs="Arial" w:eastAsia="Arial" w:hAnsi="Arial"/>
          <w:sz w:val="18"/>
          <w:szCs w:val="18"/>
          <w:color w:val="auto"/>
        </w:rPr>
        <w:t>million and be eligible to receive event-related and product-related milestone payments. The Company will be responsible for supplying finished product to Lotus at a pre-defined supply price.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balances of the Company’s contract assets and liabilities during the six months ended June 30, 2023 and 2022:</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4"/>
              </w:rPr>
              <w:t>Balance at Beginning</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4"/>
                <w:szCs w:val="14"/>
                <w:color w:val="auto"/>
              </w:rPr>
            </w:pPr>
          </w:p>
        </w:tc>
      </w:tr>
      <w:tr>
        <w:trPr>
          <w:trHeight w:val="185"/>
        </w:trPr>
        <w:tc>
          <w:tcPr>
            <w:tcW w:w="43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of Period</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Deductions</w:t>
            </w:r>
          </w:p>
        </w:tc>
        <w:tc>
          <w:tcPr>
            <w:tcW w:w="360" w:type="dxa"/>
            <w:vAlign w:val="bottom"/>
          </w:tcPr>
          <w:p>
            <w:pPr>
              <w:spacing w:after="0"/>
              <w:rPr>
                <w:sz w:val="16"/>
                <w:szCs w:val="16"/>
                <w:color w:val="auto"/>
              </w:rPr>
            </w:pPr>
          </w:p>
        </w:tc>
        <w:tc>
          <w:tcPr>
            <w:tcW w:w="1300" w:type="dxa"/>
            <w:vAlign w:val="bottom"/>
          </w:tcPr>
          <w:p>
            <w:pPr>
              <w:jc w:val="right"/>
              <w:ind w:right="256"/>
              <w:spacing w:after="0"/>
              <w:rPr>
                <w:sz w:val="20"/>
                <w:szCs w:val="20"/>
                <w:color w:val="auto"/>
              </w:rPr>
            </w:pPr>
            <w:r>
              <w:rPr>
                <w:rFonts w:ascii="Arial" w:cs="Arial" w:eastAsia="Arial" w:hAnsi="Arial"/>
                <w:sz w:val="14"/>
                <w:szCs w:val="14"/>
                <w:b w:val="1"/>
                <w:bCs w:val="1"/>
                <w:color w:val="auto"/>
              </w:rPr>
              <w:t>End of Period</w:t>
            </w:r>
          </w:p>
        </w:tc>
        <w:tc>
          <w:tcPr>
            <w:tcW w:w="140" w:type="dxa"/>
            <w:vAlign w:val="bottom"/>
          </w:tcPr>
          <w:p>
            <w:pPr>
              <w:spacing w:after="0"/>
              <w:rPr>
                <w:sz w:val="16"/>
                <w:szCs w:val="16"/>
                <w:color w:val="auto"/>
              </w:rPr>
            </w:pPr>
          </w:p>
        </w:tc>
      </w:tr>
      <w:tr>
        <w:trPr>
          <w:trHeight w:val="250"/>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Six months ended June 30, 2023:</w:t>
            </w:r>
          </w:p>
        </w:tc>
        <w:tc>
          <w:tcPr>
            <w:tcW w:w="28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3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6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r>
      <w:tr>
        <w:trPr>
          <w:trHeight w:val="243"/>
        </w:trPr>
        <w:tc>
          <w:tcPr>
            <w:tcW w:w="438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Deferred revenue </w:t>
            </w:r>
            <w:r>
              <w:rPr>
                <w:rFonts w:ascii="Arial" w:cs="Arial" w:eastAsia="Arial" w:hAnsi="Arial"/>
                <w:sz w:val="24"/>
                <w:szCs w:val="24"/>
                <w:color w:val="auto"/>
                <w:vertAlign w:val="superscript"/>
              </w:rPr>
              <w:t>(1)</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15,346</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(14,990 )</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5,356</w:t>
            </w:r>
          </w:p>
        </w:tc>
        <w:tc>
          <w:tcPr>
            <w:tcW w:w="140" w:type="dxa"/>
            <w:vAlign w:val="bottom"/>
          </w:tcPr>
          <w:p>
            <w:pPr>
              <w:spacing w:after="0"/>
              <w:rPr>
                <w:sz w:val="21"/>
                <w:szCs w:val="21"/>
                <w:color w:val="auto"/>
              </w:rPr>
            </w:pPr>
          </w:p>
        </w:tc>
      </w:tr>
      <w:tr>
        <w:trPr>
          <w:trHeight w:val="257"/>
        </w:trPr>
        <w:tc>
          <w:tcPr>
            <w:tcW w:w="43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 2022:</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0"/>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16,709</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(701 )</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16,008</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60" w:firstLine="8"/>
        <w:spacing w:after="0" w:line="263" w:lineRule="auto"/>
        <w:tabs>
          <w:tab w:leader="none" w:pos="2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approximately $15.0 million dollar reduction consists of recognition of $5.0 million and $5.3 million relating to the change in estimate for Edding and HLS, respectively, as well as recognizing based on the revised timeline $3.9 million for the MARINE indication approval in China achieved during the three months ended June 30, 2023.</w:t>
      </w:r>
    </w:p>
    <w:p>
      <w:pPr>
        <w:spacing w:after="0" w:line="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six months ended June 30, 2023 and 2022, the Company recognized the following revenues as a result of changes in the contract asset and contract liability balances in the respective periods: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23"/>
        </w:trPr>
        <w:tc>
          <w:tcPr>
            <w:tcW w:w="73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recognized in the period from:</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9"/>
                <w:szCs w:val="19"/>
                <w:color w:val="auto"/>
              </w:rPr>
            </w:pPr>
          </w:p>
        </w:tc>
      </w:tr>
      <w:tr>
        <w:trPr>
          <w:trHeight w:val="237"/>
        </w:trPr>
        <w:tc>
          <w:tcPr>
            <w:tcW w:w="7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11,097</w:t>
            </w:r>
          </w:p>
        </w:tc>
        <w:tc>
          <w:tcPr>
            <w:tcW w:w="36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FF0FC"/>
          </w:tcPr>
          <w:p>
            <w:pPr>
              <w:spacing w:after="0"/>
              <w:rPr>
                <w:sz w:val="20"/>
                <w:szCs w:val="20"/>
                <w:color w:val="auto"/>
              </w:rPr>
            </w:pPr>
          </w:p>
        </w:tc>
      </w:tr>
      <w:tr>
        <w:trPr>
          <w:trHeight w:val="23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Performance obligations satisfied in previous periods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1,722</w:t>
            </w:r>
          </w:p>
        </w:tc>
        <w:tc>
          <w:tcPr>
            <w:tcW w:w="10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769"/>
        </w:trPr>
        <w:tc>
          <w:tcPr>
            <w:tcW w:w="360" w:type="dxa"/>
            <w:vAlign w:val="bottom"/>
          </w:tcPr>
          <w:p>
            <w:pPr>
              <w:spacing w:after="0"/>
              <w:rPr>
                <w:sz w:val="20"/>
                <w:szCs w:val="20"/>
                <w:color w:val="auto"/>
              </w:rPr>
            </w:pPr>
            <w:r>
              <w:rPr>
                <w:rFonts w:ascii="Arial" w:cs="Arial" w:eastAsia="Arial" w:hAnsi="Arial"/>
                <w:sz w:val="18"/>
                <w:szCs w:val="18"/>
                <w:b w:val="1"/>
                <w:bCs w:val="1"/>
                <w:color w:val="auto"/>
              </w:rPr>
              <w:t>(9)</w:t>
            </w:r>
          </w:p>
        </w:tc>
        <w:tc>
          <w:tcPr>
            <w:tcW w:w="6980" w:type="dxa"/>
            <w:vAlign w:val="bottom"/>
          </w:tcPr>
          <w:p>
            <w:pPr>
              <w:ind w:left="520"/>
              <w:spacing w:after="0"/>
              <w:rPr>
                <w:sz w:val="20"/>
                <w:szCs w:val="20"/>
                <w:color w:val="auto"/>
              </w:rPr>
            </w:pPr>
            <w:r>
              <w:rPr>
                <w:rFonts w:ascii="Arial" w:cs="Arial" w:eastAsia="Arial" w:hAnsi="Arial"/>
                <w:sz w:val="18"/>
                <w:szCs w:val="18"/>
                <w:b w:val="1"/>
                <w:bCs w:val="1"/>
                <w:color w:val="auto"/>
              </w:rPr>
              <w:t>Leases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6980" w:type="dxa"/>
            <w:vAlign w:val="bottom"/>
          </w:tcPr>
          <w:p>
            <w:pPr>
              <w:ind w:left="160"/>
              <w:spacing w:after="0"/>
              <w:rPr>
                <w:sz w:val="20"/>
                <w:szCs w:val="20"/>
                <w:color w:val="auto"/>
              </w:rPr>
            </w:pPr>
            <w:r>
              <w:rPr>
                <w:rFonts w:ascii="Arial" w:cs="Arial" w:eastAsia="Arial" w:hAnsi="Arial"/>
                <w:sz w:val="18"/>
                <w:szCs w:val="18"/>
                <w:i w:val="1"/>
                <w:iCs w:val="1"/>
                <w:color w:val="auto"/>
              </w:rPr>
              <w:t>Lessee</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80"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On February 5, 2019, the Company entered into a lease agreement for office space in Bridgewater, New Jersey, or the New Jersey Lease. The New Jersey Lease commenced on August 15, 2019, or the New Jersey Commencement Date, for an 11-year period, with two five-year renewal options. Subject to the terms of the New Jersey Lease, the Company will have a one-time option to terminate the agreement effective on the first day of the 97</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month after the New Jersey Commencement Date upon advance written notice and a termination payment specified in the Lease. Under the New Jersey Lease, the Company paid monthly rent of approximately $0.1 million for the first year following the New Jersey Commencement Date, and such rent increases by a nominal percentage every year following the first anniversary of the New Jersey Commencement Date. In addition, Amarin receives certain abatements subject to the limitations in the New Jersey Lease.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340"/>
        <w:spacing w:after="0" w:line="259" w:lineRule="auto"/>
        <w:rPr>
          <w:sz w:val="20"/>
          <w:szCs w:val="20"/>
          <w:color w:val="auto"/>
        </w:rPr>
      </w:pPr>
      <w:r>
        <w:rPr>
          <w:rFonts w:ascii="Arial" w:cs="Arial" w:eastAsia="Arial" w:hAnsi="Arial"/>
          <w:sz w:val="18"/>
          <w:szCs w:val="18"/>
          <w:color w:val="auto"/>
        </w:rPr>
        <w:t>On November 17, 2021, the Company entered into a lease agreement for new office space in Zug Switzerland, or the Zug Lease. The Zug Lease commenced on February 1, 2022, or the Zug Commencement Date, for a five-year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w:t>
      </w:r>
    </w:p>
    <w:p>
      <w:pPr>
        <w:spacing w:after="0" w:line="7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September 13, 2022, the Company entered into a lease agreement for new office space in Dublin, Ireland, or the Dublin Lease. The Dublin Lease commenced on October 1, 2022, or the Dublin Commencement Date, for a two-year period. Under the Dublin Lease, the Company will pay annual rent of approximately $0.4 million during the duration of the lease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real estate leases, the Company leases various vehicles with terms ranging from month-to-month up to 36 months.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June 30, 2023 and December 31, 2022, the total operating lease liability is $11.4 million and $11.6 million, respectively, and the total operating lease right-of-use asset is $9.0 million and $9.1 million, respectively.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lease expense for the three and six months ended June 30, 2023 is approximately $0.8 million and $1.7 million, respectively. The lease expense for the three and six months ended June 30, 2022 is approximately $0.6 million and $1.2 million, respectively.</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June 30,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1"/>
              </w:rPr>
              <w:t>Undiscounted lease payments</w:t>
            </w:r>
          </w:p>
        </w:tc>
      </w:tr>
      <w:tr>
        <w:trPr>
          <w:trHeight w:val="237"/>
        </w:trPr>
        <w:tc>
          <w:tcPr>
            <w:tcW w:w="8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140" w:type="dxa"/>
            <w:vAlign w:val="bottom"/>
            <w:shd w:val="clear" w:color="auto" w:fill="CFF0FC"/>
          </w:tcPr>
          <w:p>
            <w:pPr>
              <w:spacing w:after="0"/>
              <w:rPr>
                <w:sz w:val="20"/>
                <w:szCs w:val="20"/>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2,896</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2,156</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w:t>
            </w:r>
          </w:p>
        </w:tc>
        <w:tc>
          <w:tcPr>
            <w:tcW w:w="140" w:type="dxa"/>
            <w:vAlign w:val="bottom"/>
            <w:shd w:val="clear" w:color="auto" w:fill="CFF0FC"/>
          </w:tcPr>
          <w:p>
            <w:pPr>
              <w:spacing w:after="0"/>
              <w:rPr>
                <w:sz w:val="21"/>
                <w:szCs w:val="21"/>
                <w:color w:val="auto"/>
              </w:rPr>
            </w:pP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2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140" w:type="dxa"/>
            <w:vAlign w:val="bottom"/>
          </w:tcPr>
          <w:p>
            <w:pPr>
              <w:spacing w:after="0"/>
              <w:rPr>
                <w:sz w:val="21"/>
                <w:szCs w:val="21"/>
                <w:color w:val="auto"/>
              </w:rPr>
            </w:pPr>
          </w:p>
        </w:tc>
      </w:tr>
      <w:tr>
        <w:trPr>
          <w:trHeight w:val="237"/>
        </w:trPr>
        <w:tc>
          <w:tcPr>
            <w:tcW w:w="8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undiscounted payments</w:t>
            </w:r>
          </w:p>
        </w:tc>
        <w:tc>
          <w:tcPr>
            <w:tcW w:w="24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16,035</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Discount Adjustments</w:t>
            </w:r>
          </w:p>
        </w:tc>
        <w:tc>
          <w:tcPr>
            <w:tcW w:w="1000" w:type="dxa"/>
            <w:vAlign w:val="bottom"/>
            <w:gridSpan w:val="2"/>
          </w:tcPr>
          <w:p>
            <w:pPr>
              <w:jc w:val="right"/>
              <w:ind w:right="57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(4,647 )</w:t>
            </w:r>
          </w:p>
        </w:tc>
      </w:tr>
      <w:tr>
        <w:trPr>
          <w:trHeight w:val="236"/>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operating lease liability</w:t>
            </w:r>
          </w:p>
        </w:tc>
        <w:tc>
          <w:tcPr>
            <w:tcW w:w="24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140" w:type="dxa"/>
            <w:vAlign w:val="bottom"/>
            <w:shd w:val="clear" w:color="auto" w:fill="CFF0FC"/>
          </w:tcPr>
          <w:p>
            <w:pPr>
              <w:spacing w:after="0"/>
              <w:rPr>
                <w:sz w:val="20"/>
                <w:szCs w:val="20"/>
                <w:color w:val="auto"/>
              </w:rPr>
            </w:pP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Long-term operating lease liability</w:t>
            </w:r>
          </w:p>
        </w:tc>
        <w:tc>
          <w:tcPr>
            <w:tcW w:w="1000" w:type="dxa"/>
            <w:vAlign w:val="bottom"/>
            <w:gridSpan w:val="2"/>
          </w:tcPr>
          <w:p>
            <w:pPr>
              <w:jc w:val="right"/>
              <w:ind w:right="57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9,472</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-471170</wp:posOffset>
            </wp:positionV>
            <wp:extent cx="857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Lessor</w:t>
      </w:r>
    </w:p>
    <w:p>
      <w:pPr>
        <w:spacing w:after="0" w:line="11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classifies contractual lease arrangements entered as a lessor as a sales-type, direct financing or operating lease as described in ASC 842. For sales-type leases, the Company derecognizes the leased asset and recognizes the lease investment on the balance sheet.</w:t>
      </w:r>
    </w:p>
    <w:p>
      <w:pPr>
        <w:spacing w:after="0" w:line="38"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On January 20, 2023, the Company entered into a sublease agreement for 50,000-square feet of the 67,747-square foot New Jersey Lease and included within the sublease are furniture, fixtures and equipment, collectively the Sublease. The Sublease commenced on February 1, 2023, or the Sublease Commencement Date, for a 7.5-year period. Under the Sublease, the Company will be paid monthly rent of approximately $0.1 million for the first year following the Sublease Commencement Date, and such rent increases by a nominal percentage every year following the first anniversary of the Sublease Commencement Date. In addition, Amarin will provide certain abatements subject to the limitations in the Lease.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are as follows:</w:t>
      </w:r>
    </w:p>
    <w:p>
      <w:pPr>
        <w:sectPr>
          <w:pgSz w:w="11900" w:h="16838" w:orient="portrait"/>
          <w:cols w:equalWidth="0" w:num="1">
            <w:col w:w="11240"/>
          </w:cols>
          <w:pgMar w:left="320" w:top="449" w:right="339" w:bottom="1440" w:gutter="0" w:footer="0" w:header="0"/>
        </w:sectPr>
      </w:pPr>
    </w:p>
    <w:p>
      <w:pPr>
        <w:spacing w:after="0" w:line="230" w:lineRule="exact"/>
        <w:rPr>
          <w:sz w:val="20"/>
          <w:szCs w:val="20"/>
          <w:color w:val="auto"/>
        </w:rPr>
      </w:pPr>
    </w:p>
    <w:p>
      <w:pPr>
        <w:jc w:val="center"/>
        <w:ind w:left="5200"/>
        <w:spacing w:after="0"/>
        <w:rPr>
          <w:sz w:val="20"/>
          <w:szCs w:val="20"/>
          <w:color w:val="auto"/>
        </w:rPr>
      </w:pPr>
      <w:r>
        <w:rPr>
          <w:rFonts w:ascii="Arial" w:cs="Arial" w:eastAsia="Arial" w:hAnsi="Arial"/>
          <w:sz w:val="13"/>
          <w:szCs w:val="13"/>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22225</wp:posOffset>
            </wp:positionV>
            <wp:extent cx="17487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14" w:lineRule="exact"/>
        <w:rPr>
          <w:sz w:val="20"/>
          <w:szCs w:val="20"/>
          <w:color w:val="auto"/>
        </w:rPr>
      </w:pPr>
    </w:p>
    <w:p>
      <w:pPr>
        <w:jc w:val="center"/>
        <w:ind w:left="520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wp:posOffset>
            </wp:positionH>
            <wp:positionV relativeFrom="paragraph">
              <wp:posOffset>22225</wp:posOffset>
            </wp:positionV>
            <wp:extent cx="18688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14" w:lineRule="exact"/>
        <w:rPr>
          <w:sz w:val="20"/>
          <w:szCs w:val="20"/>
          <w:color w:val="auto"/>
        </w:rPr>
      </w:pPr>
    </w:p>
    <w:p>
      <w:pPr>
        <w:jc w:val="center"/>
        <w:ind w:right="520"/>
        <w:spacing w:after="0"/>
        <w:rPr>
          <w:sz w:val="20"/>
          <w:szCs w:val="20"/>
          <w:color w:val="auto"/>
        </w:rPr>
      </w:pPr>
      <w:r>
        <w:rPr>
          <w:rFonts w:ascii="Arial" w:cs="Arial" w:eastAsia="Arial" w:hAnsi="Arial"/>
          <w:sz w:val="14"/>
          <w:szCs w:val="14"/>
          <w:b w:val="1"/>
          <w:bCs w:val="1"/>
          <w:color w:val="auto"/>
        </w:rPr>
        <w:t>2023</w:t>
      </w:r>
    </w:p>
    <w:p>
      <w:pPr>
        <w:spacing w:after="0" w:line="24" w:lineRule="exact"/>
        <w:rPr>
          <w:sz w:val="20"/>
          <w:szCs w:val="20"/>
          <w:color w:val="auto"/>
        </w:rPr>
      </w:pPr>
    </w:p>
    <w:p>
      <w:pPr>
        <w:sectPr>
          <w:pgSz w:w="11900" w:h="16838" w:orient="portrait"/>
          <w:cols w:equalWidth="0" w:num="2">
            <w:col w:w="7820" w:space="720"/>
            <w:col w:w="2700"/>
          </w:cols>
          <w:pgMar w:left="320" w:top="449"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9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Interest income from sales-type leases</w:t>
            </w:r>
          </w:p>
        </w:tc>
        <w:tc>
          <w:tcPr>
            <w:tcW w:w="220" w:type="dxa"/>
            <w:vAlign w:val="bottom"/>
            <w:shd w:val="clear" w:color="auto" w:fill="CFF0FC"/>
          </w:tcPr>
          <w:p>
            <w:pPr>
              <w:spacing w:after="0"/>
              <w:rPr>
                <w:sz w:val="22"/>
                <w:szCs w:val="22"/>
                <w:color w:val="auto"/>
              </w:rPr>
            </w:pPr>
          </w:p>
        </w:tc>
        <w:tc>
          <w:tcPr>
            <w:tcW w:w="2260" w:type="dxa"/>
            <w:vAlign w:val="bottom"/>
            <w:tcBorders>
              <w:top w:val="single" w:sz="8" w:color="auto"/>
            </w:tcBorders>
            <w:shd w:val="clear" w:color="auto" w:fill="CFF0FC"/>
          </w:tcPr>
          <w:p>
            <w:pPr>
              <w:jc w:val="right"/>
              <w:ind w:right="20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FF0FC"/>
          </w:tcPr>
          <w:p>
            <w:pPr>
              <w:spacing w:after="0"/>
              <w:rPr>
                <w:sz w:val="22"/>
                <w:szCs w:val="22"/>
                <w:color w:val="auto"/>
              </w:rPr>
            </w:pPr>
          </w:p>
        </w:tc>
        <w:tc>
          <w:tcPr>
            <w:tcW w:w="1380" w:type="dxa"/>
            <w:vAlign w:val="bottom"/>
            <w:tcBorders>
              <w:top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2"/>
                <w:szCs w:val="22"/>
                <w:color w:val="auto"/>
              </w:rPr>
            </w:pPr>
          </w:p>
        </w:tc>
      </w:tr>
      <w:tr>
        <w:trPr>
          <w:trHeight w:val="26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Operating lease income</w:t>
            </w:r>
          </w:p>
        </w:tc>
        <w:tc>
          <w:tcPr>
            <w:tcW w:w="22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2"/>
                <w:szCs w:val="22"/>
                <w:color w:val="auto"/>
              </w:rPr>
            </w:pPr>
          </w:p>
        </w:tc>
      </w:tr>
      <w:tr>
        <w:trPr>
          <w:trHeight w:val="257"/>
        </w:trPr>
        <w:tc>
          <w:tcPr>
            <w:tcW w:w="5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Loss recognized at commencement date of sales type lease</w:t>
            </w:r>
          </w:p>
        </w:tc>
        <w:tc>
          <w:tcPr>
            <w:tcW w:w="2260" w:type="dxa"/>
            <w:vAlign w:val="bottom"/>
            <w:shd w:val="clear" w:color="auto" w:fill="CFF0FC"/>
          </w:tcPr>
          <w:p>
            <w:pPr>
              <w:spacing w:after="0"/>
              <w:rPr>
                <w:sz w:val="22"/>
                <w:szCs w:val="2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(61 )</w:t>
            </w:r>
          </w:p>
        </w:tc>
      </w:tr>
      <w:tr>
        <w:trPr>
          <w:trHeight w:val="257"/>
        </w:trPr>
        <w:tc>
          <w:tcPr>
            <w:tcW w:w="51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tcBorders>
          </w:tcPr>
          <w:p>
            <w:pPr>
              <w:jc w:val="right"/>
              <w:ind w:right="20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60" w:type="dxa"/>
            <w:vAlign w:val="bottom"/>
            <w:tcBorders>
              <w:top w:val="single" w:sz="8" w:color="CFF0FC"/>
            </w:tcBorders>
          </w:tcPr>
          <w:p>
            <w:pPr>
              <w:spacing w:after="0"/>
              <w:rPr>
                <w:sz w:val="22"/>
                <w:szCs w:val="22"/>
                <w:color w:val="auto"/>
              </w:rPr>
            </w:pPr>
          </w:p>
        </w:tc>
        <w:tc>
          <w:tcPr>
            <w:tcW w:w="138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Borders>
              <w:top w:val="single" w:sz="8" w:color="CFF0FC"/>
            </w:tcBorders>
          </w:tcPr>
          <w:p>
            <w:pPr>
              <w:spacing w:after="0"/>
              <w:rPr>
                <w:sz w:val="22"/>
                <w:szCs w:val="22"/>
                <w:color w:val="auto"/>
              </w:rPr>
            </w:pPr>
          </w:p>
        </w:tc>
      </w:tr>
      <w:tr>
        <w:trPr>
          <w:trHeight w:val="338"/>
        </w:trPr>
        <w:tc>
          <w:tcPr>
            <w:tcW w:w="7400" w:type="dxa"/>
            <w:vAlign w:val="bottom"/>
            <w:gridSpan w:val="3"/>
          </w:tcPr>
          <w:p>
            <w:pPr>
              <w:spacing w:after="0"/>
              <w:rPr>
                <w:sz w:val="20"/>
                <w:szCs w:val="20"/>
                <w:color w:val="auto"/>
              </w:rPr>
            </w:pPr>
            <w:r>
              <w:rPr>
                <w:rFonts w:ascii="Arial" w:cs="Arial" w:eastAsia="Arial" w:hAnsi="Arial"/>
                <w:sz w:val="18"/>
                <w:szCs w:val="18"/>
                <w:color w:val="auto"/>
                <w:w w:val="91"/>
              </w:rPr>
              <w:t>Future minimum sales type lease and operating lease receivables as of June 30, 2023 are as follows: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jc w:val="right"/>
              <w:ind w:right="159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1"/>
        </w:trPr>
        <w:tc>
          <w:tcPr>
            <w:tcW w:w="49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-668020</wp:posOffset>
            </wp:positionV>
            <wp:extent cx="85725"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85"/>
        </w:trPr>
        <w:tc>
          <w:tcPr>
            <w:tcW w:w="34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0"/>
              </w:rPr>
              <w:t>Sales-Type Leases</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6"/>
                <w:szCs w:val="16"/>
                <w:color w:val="auto"/>
              </w:rPr>
            </w:pPr>
          </w:p>
        </w:tc>
      </w:tr>
      <w:tr>
        <w:trPr>
          <w:trHeight w:val="237"/>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2023</w:t>
            </w:r>
          </w:p>
        </w:tc>
        <w:tc>
          <w:tcPr>
            <w:tcW w:w="3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140" w:type="dxa"/>
            <w:vAlign w:val="bottom"/>
            <w:shd w:val="clear" w:color="auto" w:fill="CFF0FC"/>
          </w:tcPr>
          <w:p>
            <w:pPr>
              <w:spacing w:after="0"/>
              <w:rPr>
                <w:sz w:val="20"/>
                <w:szCs w:val="20"/>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2024</w:t>
            </w: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1,006</w:t>
            </w:r>
          </w:p>
        </w:tc>
        <w:tc>
          <w:tcPr>
            <w:tcW w:w="140" w:type="dxa"/>
            <w:vAlign w:val="bottom"/>
          </w:tcPr>
          <w:p>
            <w:pPr>
              <w:spacing w:after="0"/>
              <w:rPr>
                <w:sz w:val="20"/>
                <w:szCs w:val="20"/>
                <w:color w:val="auto"/>
              </w:rPr>
            </w:pPr>
          </w:p>
        </w:tc>
      </w:tr>
      <w:tr>
        <w:trPr>
          <w:trHeight w:val="24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FF0FC"/>
          </w:tcPr>
          <w:p>
            <w:pPr>
              <w:spacing w:after="0"/>
              <w:rPr>
                <w:sz w:val="21"/>
                <w:szCs w:val="21"/>
                <w:color w:val="auto"/>
              </w:rPr>
            </w:pPr>
          </w:p>
        </w:tc>
      </w:tr>
      <w:tr>
        <w:trPr>
          <w:trHeight w:val="237"/>
        </w:trPr>
        <w:tc>
          <w:tcPr>
            <w:tcW w:w="3480" w:type="dxa"/>
            <w:vAlign w:val="bottom"/>
          </w:tcPr>
          <w:p>
            <w:pPr>
              <w:ind w:left="20"/>
              <w:spacing w:after="0"/>
              <w:rPr>
                <w:sz w:val="20"/>
                <w:szCs w:val="20"/>
                <w:color w:val="auto"/>
              </w:rPr>
            </w:pPr>
            <w:r>
              <w:rPr>
                <w:rFonts w:ascii="Arial" w:cs="Arial" w:eastAsia="Arial" w:hAnsi="Arial"/>
                <w:sz w:val="18"/>
                <w:szCs w:val="18"/>
                <w:color w:val="auto"/>
              </w:rPr>
              <w:t>2026</w:t>
            </w:r>
          </w:p>
        </w:tc>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20"/>
                <w:szCs w:val="20"/>
                <w:color w:val="auto"/>
              </w:rPr>
            </w:pPr>
          </w:p>
        </w:tc>
      </w:tr>
      <w:tr>
        <w:trPr>
          <w:trHeight w:val="249"/>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40" w:type="dxa"/>
            <w:vAlign w:val="bottom"/>
            <w:shd w:val="clear" w:color="auto" w:fill="CFF0FC"/>
          </w:tcPr>
          <w:p>
            <w:pPr>
              <w:spacing w:after="0"/>
              <w:rPr>
                <w:sz w:val="21"/>
                <w:szCs w:val="2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3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140" w:type="dxa"/>
            <w:vAlign w:val="bottom"/>
          </w:tcPr>
          <w:p>
            <w:pPr>
              <w:spacing w:after="0"/>
              <w:rPr>
                <w:sz w:val="21"/>
                <w:szCs w:val="21"/>
                <w:color w:val="auto"/>
              </w:rPr>
            </w:pPr>
          </w:p>
        </w:tc>
      </w:tr>
      <w:tr>
        <w:trPr>
          <w:trHeight w:val="236"/>
        </w:trPr>
        <w:tc>
          <w:tcPr>
            <w:tcW w:w="3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7,544</w:t>
            </w:r>
          </w:p>
        </w:tc>
        <w:tc>
          <w:tcPr>
            <w:tcW w:w="140" w:type="dxa"/>
            <w:vAlign w:val="bottom"/>
            <w:shd w:val="clear" w:color="auto" w:fill="CFF0FC"/>
          </w:tcPr>
          <w:p>
            <w:pPr>
              <w:spacing w:after="0"/>
              <w:rPr>
                <w:sz w:val="20"/>
                <w:szCs w:val="20"/>
                <w:color w:val="auto"/>
              </w:rPr>
            </w:pPr>
          </w:p>
        </w:tc>
      </w:tr>
      <w:tr>
        <w:trPr>
          <w:trHeight w:val="432"/>
        </w:trPr>
        <w:tc>
          <w:tcPr>
            <w:tcW w:w="3480" w:type="dxa"/>
            <w:vAlign w:val="bottom"/>
          </w:tcPr>
          <w:p>
            <w:pPr>
              <w:spacing w:after="0"/>
              <w:rPr>
                <w:sz w:val="24"/>
                <w:szCs w:val="24"/>
                <w:color w:val="auto"/>
              </w:rPr>
            </w:pPr>
          </w:p>
        </w:tc>
        <w:tc>
          <w:tcPr>
            <w:tcW w:w="3760" w:type="dxa"/>
            <w:vAlign w:val="bottom"/>
          </w:tcPr>
          <w:p>
            <w:pPr>
              <w:jc w:val="right"/>
              <w:ind w:right="143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2022, or our Annual Report, and under Part II, Item IA, “Risk Factors” of this Quarterly Report.</w:t>
      </w:r>
    </w:p>
    <w:p>
      <w:pPr>
        <w:spacing w:after="0" w:line="7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6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a pharmaceutical company focused on the commercialization and development of therapeutics to improve cardiovascular, or CV, health and</w:t>
      </w:r>
    </w:p>
    <w:p>
      <w:pPr>
        <w:spacing w:after="0" w:line="4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reduce CV risk. Our commercialized product, VASCEPA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(icosapent ethyl) was first approved by the United States, or U.S., Food and Drug Administration, or U.S. FDA, for use as an adjunct to diet to reduce triglyceride, or TG, levels in adult patients with severe (≥500 mg/dL) hypertriglyceridemia, or the MARINE indication and we commercially launched in 2013. On December 13, 2019, the U.S. FDA approved an indication and label expansion for VASCEPA based on the landmark results of our cardiovascular outcomes trial, REDUCE-IT</w:t>
      </w:r>
      <w:r>
        <w:rPr>
          <w:rFonts w:ascii="Arial" w:cs="Arial" w:eastAsia="Arial" w:hAnsi="Arial"/>
          <w:sz w:val="21"/>
          <w:szCs w:val="21"/>
          <w:color w:val="auto"/>
          <w:vertAlign w:val="superscript"/>
        </w:rPr>
        <w:t>®</w:t>
      </w:r>
      <w:r>
        <w:rPr>
          <w:rFonts w:ascii="Arial" w:cs="Arial" w:eastAsia="Arial" w:hAnsi="Arial"/>
          <w:sz w:val="16"/>
          <w:szCs w:val="16"/>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granted approval of the marketing authorization application in the European Union, or EU, for VAZKEPA</w:t>
      </w:r>
      <w:r>
        <w:rPr>
          <w:rFonts w:ascii="Arial" w:cs="Arial" w:eastAsia="Arial" w:hAnsi="Arial"/>
          <w:sz w:val="24"/>
          <w:szCs w:val="24"/>
          <w:color w:val="auto"/>
          <w:vertAlign w:val="superscript"/>
        </w:rPr>
        <w:t>®</w:t>
      </w:r>
      <w:r>
        <w:rPr>
          <w:rFonts w:ascii="Arial" w:cs="Arial" w:eastAsia="Arial" w:hAnsi="Arial"/>
          <w:sz w:val="18"/>
          <w:szCs w:val="18"/>
          <w:color w:val="auto"/>
        </w:rPr>
        <w:t>, hereinafter along with the U.S. brand name VASCEPA, collectively referred to as VASCEPA, which is the first and only EC approved therapy to reduce cardiovascular risk in high-risk statin-treated patients with elevated TG levels. On April 22, 2021, we announced that we received marketing authorization from the Medicines and Healthcare Products Regulatory Agency, or MHRA, for VAZKEPA in England, Wales and Scotland to reduce cardiovascular risk. On June 1, 2023, we announced that regulatory approval from the National Medical Products Administration, or NMPA, for VASCEPA in Mainland China was received by our partner for the MARINE indication.</w:t>
      </w:r>
    </w:p>
    <w:p>
      <w:pPr>
        <w:spacing w:after="0" w:line="9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VASCEPA is currently available by prescription in the U.S. and certain other countries throughout the world, as described below. We are responsible for the supply of VASCEPA to all markets in which the branded product is sold, either to and through our collaborations with third-party companies or by us. We are not responsible for providing any generic company with drug product. Geographies outside the United States in which VASCEPA is sold and under regulatory review are not subject to the U.S. patent litigation and judgment described below and no similar litigation is pending outside of the United States.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Organizational Restructuring Program</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July 18, 2023, we announced that we were implementing a new Organizational Restructuring Program, or the ORP, resulting in the elimination and consolidation of certain roles across our organization, both in the U.S. and abroad, representing a reduction of our total employee base by approximately 30% from current levels. The ORP was implemented following a review of our business and to better position the organization for a new strategic focus. We expect the ORP will reduce operating costs by approximately $40.0 million annually. Our refocused strategic priorities and restructuring plan focuses on three core areas:</w:t>
      </w:r>
    </w:p>
    <w:p>
      <w:pPr>
        <w:spacing w:after="0" w:line="80" w:lineRule="exact"/>
        <w:rPr>
          <w:sz w:val="20"/>
          <w:szCs w:val="20"/>
          <w:color w:val="auto"/>
        </w:rPr>
      </w:pPr>
    </w:p>
    <w:p>
      <w:pPr>
        <w:ind w:left="1020" w:right="120" w:hanging="503"/>
        <w:spacing w:after="0" w:line="25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Maximizing U.S. Cash Flow Through Streamlined Model: </w:t>
      </w:r>
      <w:r>
        <w:rPr>
          <w:rFonts w:ascii="Arial" w:cs="Arial" w:eastAsia="Arial" w:hAnsi="Arial"/>
          <w:sz w:val="18"/>
          <w:szCs w:val="18"/>
          <w:color w:val="auto"/>
        </w:rPr>
        <w:t>We intend to maintain VASCEPA as a cost-effective option to generics while</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implementing a reduction in force of all U.S. sales force positions and approximately 30% of non-sales positions. We intend to maintain our managed care and trade organization to support these efforts. We intend to continue to explore innovative approaches to driving revenue to maintain our leadership position in the icosapent ethyl, or IPE, market.</w:t>
      </w:r>
    </w:p>
    <w:p>
      <w:pPr>
        <w:spacing w:after="0" w:line="78" w:lineRule="exact"/>
        <w:rPr>
          <w:rFonts w:ascii="Arial" w:cs="Arial" w:eastAsia="Arial" w:hAnsi="Arial"/>
          <w:sz w:val="18"/>
          <w:szCs w:val="18"/>
          <w:color w:val="auto"/>
        </w:rPr>
      </w:pPr>
    </w:p>
    <w:p>
      <w:pPr>
        <w:ind w:left="1020" w:right="640" w:hanging="503"/>
        <w:spacing w:after="0" w:line="274"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European Redesign: </w:t>
      </w:r>
      <w:r>
        <w:rPr>
          <w:rFonts w:ascii="Arial" w:cs="Arial" w:eastAsia="Arial" w:hAnsi="Arial"/>
          <w:sz w:val="17"/>
          <w:szCs w:val="17"/>
          <w:color w:val="auto"/>
        </w:rPr>
        <w:t>We will redesign our commercial infrastructure in Europe to better align with pricing and reimbursement status,</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potential and progress to date, as well as streamline certain cross-geographic functions</w:t>
      </w: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6" w:name="page27"/>
    <w:bookmarkEnd w:id="26"/>
    <w:p>
      <w:pPr>
        <w:ind w:left="1020"/>
        <w:spacing w:after="0" w:line="277" w:lineRule="auto"/>
        <w:rPr>
          <w:sz w:val="20"/>
          <w:szCs w:val="20"/>
          <w:color w:val="auto"/>
        </w:rPr>
      </w:pPr>
      <w:r>
        <w:rPr>
          <w:rFonts w:ascii="Arial" w:cs="Arial" w:eastAsia="Arial" w:hAnsi="Arial"/>
          <w:sz w:val="18"/>
          <w:szCs w:val="18"/>
          <w:color w:val="auto"/>
        </w:rPr>
        <w:t>and better leverage learnings across countries. In addition, we intend to continue to advance our pricing and reimbursement activities to drive access in remaining geographies, including those where progress has been delayed.</w:t>
      </w:r>
    </w:p>
    <w:p>
      <w:pPr>
        <w:spacing w:after="0" w:line="62" w:lineRule="exact"/>
        <w:rPr>
          <w:sz w:val="20"/>
          <w:szCs w:val="20"/>
          <w:color w:val="auto"/>
        </w:rPr>
      </w:pPr>
    </w:p>
    <w:p>
      <w:pPr>
        <w:ind w:left="1020" w:right="200" w:hanging="503"/>
        <w:spacing w:after="0" w:line="30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Expanding Upon International Partnerships: </w:t>
      </w:r>
      <w:r>
        <w:rPr>
          <w:rFonts w:ascii="Arial" w:cs="Arial" w:eastAsia="Arial" w:hAnsi="Arial"/>
          <w:sz w:val="17"/>
          <w:szCs w:val="17"/>
          <w:color w:val="auto"/>
        </w:rPr>
        <w:t>We intend to work on generating revenue from our partnerships in key international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Canada, MENA, China, Australia and New Zealand and will continue to explore additional partnerships.</w:t>
      </w:r>
    </w:p>
    <w:p>
      <w:pPr>
        <w:spacing w:after="0" w:line="146" w:lineRule="exact"/>
        <w:rPr>
          <w:sz w:val="20"/>
          <w:szCs w:val="20"/>
          <w:color w:val="auto"/>
        </w:rPr>
      </w:pPr>
    </w:p>
    <w:p>
      <w:pPr>
        <w:ind w:right="1420" w:firstLine="509"/>
        <w:spacing w:after="0" w:line="277" w:lineRule="auto"/>
        <w:rPr>
          <w:sz w:val="20"/>
          <w:szCs w:val="20"/>
          <w:color w:val="auto"/>
        </w:rPr>
      </w:pPr>
      <w:r>
        <w:rPr>
          <w:rFonts w:ascii="Arial" w:cs="Arial" w:eastAsia="Arial" w:hAnsi="Arial"/>
          <w:sz w:val="18"/>
          <w:szCs w:val="18"/>
          <w:color w:val="auto"/>
        </w:rPr>
        <w:t>In addition, Patrick Holt was appointed to serve as the Company's President and Chief Executive Officer and as a member of the Board, effective July 18, 2023.</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VASCEPA is sold principally to a limited number of major wholesalers, as well as selected regional wholesalers and retail and mail order pharmacy providers, or collectively, our distributors or our customers, most of whom in turn resell VASCEPA to retail pharmacies for subsequent resale to patients. Since VASCEPA was made commercially available in 2013, more than 20 million estimated normalized total prescriptions of VASCEPA have been reported by Symphony Health. In 2020, following our unsuccessful appeals of a court ruling in favor of two generic drug companies, Dr. Reddy’s Laboratories, Inc., or Dr. Reddy’s, and Hikma Pharmaceuticals USA Inc., or Hikma, and certain of their affiliates, several of our patents covering the MARINE indication were declared invalid. As a result, the following generic versions of VASCEPA have obtained U.S. FDA approval with labeling consistent with the MARINE indication and have entered the U.S. market with a 1-gram capsule:</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3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FDA MARINE Indication Approval</w:t>
            </w:r>
          </w:p>
        </w:tc>
        <w:tc>
          <w:tcPr>
            <w:tcW w:w="36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Launch Date</w:t>
            </w: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Hikma Pharmaceuticals USA Inc.</w:t>
            </w:r>
          </w:p>
        </w:tc>
        <w:tc>
          <w:tcPr>
            <w:tcW w:w="340" w:type="dxa"/>
            <w:vAlign w:val="bottom"/>
            <w:shd w:val="clear" w:color="auto" w:fill="CFF0FC"/>
          </w:tcPr>
          <w:p>
            <w:pPr>
              <w:spacing w:after="0"/>
              <w:rPr>
                <w:sz w:val="20"/>
                <w:szCs w:val="20"/>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May 2020</w:t>
            </w:r>
          </w:p>
        </w:tc>
        <w:tc>
          <w:tcPr>
            <w:tcW w:w="360" w:type="dxa"/>
            <w:vAlign w:val="bottom"/>
            <w:shd w:val="clear" w:color="auto" w:fill="CFF0FC"/>
          </w:tcPr>
          <w:p>
            <w:pPr>
              <w:spacing w:after="0"/>
              <w:rPr>
                <w:sz w:val="20"/>
                <w:szCs w:val="20"/>
                <w:color w:val="auto"/>
              </w:rPr>
            </w:pPr>
          </w:p>
        </w:tc>
        <w:tc>
          <w:tcPr>
            <w:tcW w:w="2320" w:type="dxa"/>
            <w:vAlign w:val="bottom"/>
            <w:shd w:val="clear" w:color="auto" w:fill="CFF0FC"/>
          </w:tcPr>
          <w:p>
            <w:pPr>
              <w:jc w:val="center"/>
              <w:spacing w:after="0" w:line="236" w:lineRule="exact"/>
              <w:rPr>
                <w:sz w:val="20"/>
                <w:szCs w:val="20"/>
                <w:color w:val="auto"/>
              </w:rPr>
            </w:pPr>
            <w:r>
              <w:rPr>
                <w:rFonts w:ascii="Arial" w:cs="Arial" w:eastAsia="Arial" w:hAnsi="Arial"/>
                <w:sz w:val="18"/>
                <w:szCs w:val="18"/>
                <w:color w:val="auto"/>
                <w:w w:val="87"/>
              </w:rPr>
              <w:t xml:space="preserve">November 2020 </w:t>
            </w:r>
            <w:r>
              <w:rPr>
                <w:rFonts w:ascii="Arial" w:cs="Arial" w:eastAsia="Arial" w:hAnsi="Arial"/>
                <w:sz w:val="24"/>
                <w:szCs w:val="24"/>
                <w:color w:val="auto"/>
                <w:w w:val="87"/>
                <w:vertAlign w:val="superscript"/>
              </w:rPr>
              <w:t>(1)</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Dr. Reddy’s Laboratories, Inc.</w:t>
            </w:r>
          </w:p>
        </w:tc>
        <w:tc>
          <w:tcPr>
            <w:tcW w:w="340" w:type="dxa"/>
            <w:vAlign w:val="bottom"/>
          </w:tcPr>
          <w:p>
            <w:pPr>
              <w:spacing w:after="0"/>
              <w:rPr>
                <w:sz w:val="21"/>
                <w:szCs w:val="21"/>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2"/>
              </w:rPr>
              <w:t>August 2020</w:t>
            </w:r>
          </w:p>
        </w:tc>
        <w:tc>
          <w:tcPr>
            <w:tcW w:w="360" w:type="dxa"/>
            <w:vAlign w:val="bottom"/>
          </w:tcPr>
          <w:p>
            <w:pPr>
              <w:spacing w:after="0"/>
              <w:rPr>
                <w:sz w:val="21"/>
                <w:szCs w:val="21"/>
                <w:color w:val="auto"/>
              </w:rPr>
            </w:pPr>
          </w:p>
        </w:tc>
        <w:tc>
          <w:tcPr>
            <w:tcW w:w="2320" w:type="dxa"/>
            <w:vAlign w:val="bottom"/>
          </w:tcPr>
          <w:p>
            <w:pPr>
              <w:jc w:val="center"/>
              <w:spacing w:after="0" w:line="243" w:lineRule="exact"/>
              <w:rPr>
                <w:sz w:val="20"/>
                <w:szCs w:val="20"/>
                <w:color w:val="auto"/>
              </w:rPr>
            </w:pPr>
            <w:r>
              <w:rPr>
                <w:rFonts w:ascii="Arial" w:cs="Arial" w:eastAsia="Arial" w:hAnsi="Arial"/>
                <w:sz w:val="18"/>
                <w:szCs w:val="18"/>
                <w:color w:val="auto"/>
                <w:w w:val="84"/>
              </w:rPr>
              <w:t xml:space="preserve">June 2021 </w:t>
            </w:r>
            <w:r>
              <w:rPr>
                <w:rFonts w:ascii="Arial" w:cs="Arial" w:eastAsia="Arial" w:hAnsi="Arial"/>
                <w:sz w:val="24"/>
                <w:szCs w:val="24"/>
                <w:color w:val="auto"/>
                <w:w w:val="84"/>
                <w:vertAlign w:val="superscript"/>
              </w:rPr>
              <w:t>(2)</w:t>
            </w: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Teva Pharmaceuticals USA, Inc.</w:t>
            </w:r>
          </w:p>
        </w:tc>
        <w:tc>
          <w:tcPr>
            <w:tcW w:w="34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2020</w:t>
            </w:r>
          </w:p>
        </w:tc>
        <w:tc>
          <w:tcPr>
            <w:tcW w:w="36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line="243" w:lineRule="exact"/>
              <w:rPr>
                <w:sz w:val="20"/>
                <w:szCs w:val="20"/>
                <w:color w:val="auto"/>
              </w:rPr>
            </w:pPr>
            <w:r>
              <w:rPr>
                <w:rFonts w:ascii="Arial" w:cs="Arial" w:eastAsia="Arial" w:hAnsi="Arial"/>
                <w:sz w:val="18"/>
                <w:szCs w:val="18"/>
                <w:color w:val="auto"/>
                <w:w w:val="86"/>
              </w:rPr>
              <w:t xml:space="preserve">September 2022 </w:t>
            </w:r>
            <w:r>
              <w:rPr>
                <w:rFonts w:ascii="Arial" w:cs="Arial" w:eastAsia="Arial" w:hAnsi="Arial"/>
                <w:sz w:val="24"/>
                <w:szCs w:val="24"/>
                <w:color w:val="auto"/>
                <w:w w:val="86"/>
                <w:vertAlign w:val="superscript"/>
              </w:rPr>
              <w:t>(3)</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Apotex, Inc.</w:t>
            </w:r>
          </w:p>
        </w:tc>
        <w:tc>
          <w:tcPr>
            <w:tcW w:w="34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7"/>
              </w:rPr>
              <w:t>June 2021</w:t>
            </w:r>
          </w:p>
        </w:tc>
        <w:tc>
          <w:tcPr>
            <w:tcW w:w="36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January 2022</w:t>
            </w: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Zydus Lifesciences</w:t>
            </w:r>
          </w:p>
        </w:tc>
        <w:tc>
          <w:tcPr>
            <w:tcW w:w="34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2023</w:t>
            </w:r>
          </w:p>
        </w:tc>
        <w:tc>
          <w:tcPr>
            <w:tcW w:w="360" w:type="dxa"/>
            <w:vAlign w:val="bottom"/>
            <w:shd w:val="clear" w:color="auto" w:fill="CFF0FC"/>
          </w:tcPr>
          <w:p>
            <w:pPr>
              <w:spacing w:after="0"/>
              <w:rPr>
                <w:sz w:val="21"/>
                <w:szCs w:val="21"/>
                <w:color w:val="auto"/>
              </w:rPr>
            </w:pPr>
          </w:p>
        </w:tc>
        <w:tc>
          <w:tcPr>
            <w:tcW w:w="2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ind w:left="780" w:hanging="26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Hikma launched a 1-gram capsule in November 2020 and a 0.5-gram capsule in March 2023.</w:t>
      </w:r>
    </w:p>
    <w:p>
      <w:pPr>
        <w:spacing w:after="0" w:line="117" w:lineRule="exact"/>
        <w:rPr>
          <w:rFonts w:ascii="Arial" w:cs="Arial" w:eastAsia="Arial" w:hAnsi="Arial"/>
          <w:sz w:val="18"/>
          <w:szCs w:val="18"/>
          <w:color w:val="auto"/>
        </w:rPr>
      </w:pPr>
    </w:p>
    <w:p>
      <w:pPr>
        <w:ind w:left="780" w:hanging="263"/>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Reddy's launched a 1-gram capsule in June 2021 and a 0.5-gram capsule in June 2023.</w:t>
      </w:r>
    </w:p>
    <w:p>
      <w:pPr>
        <w:spacing w:after="0" w:line="117" w:lineRule="exact"/>
        <w:rPr>
          <w:rFonts w:ascii="Arial" w:cs="Arial" w:eastAsia="Arial" w:hAnsi="Arial"/>
          <w:sz w:val="18"/>
          <w:szCs w:val="18"/>
          <w:color w:val="auto"/>
        </w:rPr>
      </w:pPr>
    </w:p>
    <w:p>
      <w:pPr>
        <w:ind w:left="760" w:hanging="243"/>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Teva launched a 0.5-gram capsule in September 2022 and a 1-gram capsule in January 2023.</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 June 2022, to address shifts within our U.S. business due to these generic competitors, we announced a comprehensive cost and organizational restructuring plan which would result in savings of $100.0 million over the subsequent 12 months compared to 2021 operating expenses. We exceeded the $100.0 million in savings during this 12 month period.</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obtain data from a third party, Symphony Health, which collects and reports estimates of weekly, monthly, quarterly and annual prescription information. There is a limited amount of information available to determine the actual number of total prescriptions for products like VASCEPA during such periods. The vendor's estimate utilizes a proprietary projection methodology and is based on a combination of data received from pharmacies and other distributors, as well as historical data when actual data is unavailable. Based on data from Symphony Health,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59690</wp:posOffset>
            </wp:positionV>
            <wp:extent cx="4954905" cy="2451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5490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ind w:right="300" w:firstLine="509"/>
        <w:spacing w:after="0" w:line="263" w:lineRule="auto"/>
        <w:rPr>
          <w:sz w:val="20"/>
          <w:szCs w:val="20"/>
          <w:color w:val="auto"/>
        </w:rPr>
      </w:pPr>
      <w:r>
        <w:rPr>
          <w:rFonts w:ascii="Arial" w:cs="Arial" w:eastAsia="Arial" w:hAnsi="Arial"/>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7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previous calculations of prescription levels by this vendor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this vendor's information and we do not receive prescription data directly from retail pharmacies.</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2021, we received marketing authorization and regulatory approval in the EU, England, Wales and Scotland.</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Launch of VAZKEPA in individual countries depends on the timing of achieving product reimbursement on a country-by-country basis. To date we have filed 15 dossiers to gain market access in European countries, including in all of the largest countries in Europe. In most European countries, securing product reimbursement is a requisite to launching. In certain countries, such as Denmark, individual patient reimbursement is allowed prior to national, general organization reimbursement. In countries where individual price reimbursement is allowed prior to national reimbursement, product can be made available on a patient-by-patient basis, while the national reimbursements negotiations are ongoing. In all countries, securing adequate reimbursement is a requisite for commercial success of any therapeutic. The time required to secure reimbursement tends to vary from country to country and cannot be reliably predicted. While we believe that we have strong arguments regarding the cost effectiveness of VAZKEPA, the success of such reimbursement negotiations have a significant impact on the assessment of the commercial opportunity of VAZKEPA in Europe. Through the date of this Quarterly Report, we have received and made VAZKEPA available under individual reimbursement or received national reimbursement and launched commercial operations in the following countries, respectively.</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Country</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7"/>
              </w:rPr>
              <w:t>Individual</w:t>
            </w:r>
          </w:p>
        </w:tc>
        <w:tc>
          <w:tcPr>
            <w:tcW w:w="2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National</w:t>
            </w:r>
          </w:p>
        </w:tc>
        <w:tc>
          <w:tcPr>
            <w:tcW w:w="26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Product Availability</w:t>
            </w:r>
          </w:p>
        </w:tc>
        <w:tc>
          <w:tcPr>
            <w:tcW w:w="26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Launch Date</w:t>
            </w:r>
          </w:p>
        </w:tc>
        <w:tc>
          <w:tcPr>
            <w:tcW w:w="0" w:type="dxa"/>
            <w:vAlign w:val="bottom"/>
          </w:tcPr>
          <w:p>
            <w:pPr>
              <w:spacing w:after="0"/>
              <w:rPr>
                <w:sz w:val="1"/>
                <w:szCs w:val="1"/>
                <w:color w:val="auto"/>
              </w:rPr>
            </w:pPr>
          </w:p>
        </w:tc>
      </w:tr>
      <w:tr>
        <w:trPr>
          <w:trHeight w:val="185"/>
        </w:trPr>
        <w:tc>
          <w:tcPr>
            <w:tcW w:w="3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8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Reimbursement</w:t>
            </w:r>
          </w:p>
        </w:tc>
        <w:tc>
          <w:tcPr>
            <w:tcW w:w="26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Sweden</w:t>
            </w:r>
          </w:p>
        </w:tc>
        <w:tc>
          <w:tcPr>
            <w:tcW w:w="28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2022</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March 2022</w:t>
            </w:r>
          </w:p>
        </w:tc>
        <w:tc>
          <w:tcPr>
            <w:tcW w:w="260" w:type="dxa"/>
            <w:vAlign w:val="bottom"/>
            <w:shd w:val="clear" w:color="auto" w:fill="CFF0FC"/>
          </w:tcPr>
          <w:p>
            <w:pPr>
              <w:spacing w:after="0"/>
              <w:rPr>
                <w:sz w:val="20"/>
                <w:szCs w:val="20"/>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2022</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r>
              <w:rPr>
                <w:rFonts w:ascii="Arial" w:cs="Arial" w:eastAsia="Arial" w:hAnsi="Arial"/>
                <w:sz w:val="18"/>
                <w:szCs w:val="18"/>
                <w:color w:val="auto"/>
              </w:rPr>
              <w:t>Finland</w:t>
            </w:r>
          </w:p>
        </w:tc>
        <w:tc>
          <w:tcPr>
            <w:tcW w:w="2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October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4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Kingdom/Wales</w:t>
            </w: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October 2022</w:t>
            </w:r>
          </w:p>
        </w:tc>
        <w:tc>
          <w:tcPr>
            <w:tcW w:w="0" w:type="dxa"/>
            <w:vAlign w:val="bottom"/>
          </w:tcPr>
          <w:p>
            <w:pPr>
              <w:spacing w:after="0"/>
              <w:rPr>
                <w:sz w:val="1"/>
                <w:szCs w:val="1"/>
                <w:color w:val="auto"/>
              </w:rPr>
            </w:pPr>
          </w:p>
        </w:tc>
      </w:tr>
      <w:tr>
        <w:trPr>
          <w:trHeight w:val="243"/>
        </w:trPr>
        <w:tc>
          <w:tcPr>
            <w:tcW w:w="3200" w:type="dxa"/>
            <w:vAlign w:val="bottom"/>
          </w:tcPr>
          <w:p>
            <w:pPr>
              <w:spacing w:after="0" w:line="243" w:lineRule="exact"/>
              <w:rPr>
                <w:sz w:val="20"/>
                <w:szCs w:val="20"/>
                <w:color w:val="auto"/>
              </w:rPr>
            </w:pPr>
            <w:r>
              <w:rPr>
                <w:rFonts w:ascii="Arial" w:cs="Arial" w:eastAsia="Arial" w:hAnsi="Arial"/>
                <w:sz w:val="18"/>
                <w:szCs w:val="18"/>
                <w:color w:val="auto"/>
              </w:rPr>
              <w:t xml:space="preserve">Spain </w:t>
            </w:r>
            <w:r>
              <w:rPr>
                <w:rFonts w:ascii="Arial" w:cs="Arial" w:eastAsia="Arial" w:hAnsi="Arial"/>
                <w:sz w:val="24"/>
                <w:szCs w:val="24"/>
                <w:color w:val="auto"/>
                <w:vertAlign w:val="superscript"/>
              </w:rPr>
              <w:t>(1)</w:t>
            </w:r>
          </w:p>
        </w:tc>
        <w:tc>
          <w:tcPr>
            <w:tcW w:w="2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July 2023</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Austria</w:t>
            </w:r>
          </w:p>
        </w:tc>
        <w:tc>
          <w:tcPr>
            <w:tcW w:w="28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2022</w:t>
            </w: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2022</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Denmark</w:t>
            </w:r>
          </w:p>
        </w:tc>
        <w:tc>
          <w:tcPr>
            <w:tcW w:w="2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2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2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Product availability and launch under national reimbursement expected on September 1, 2023.</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As discussed above, as part of the ORP announced in July 2023, we redesigned our commercial infrastructure in Europe to better align with pricing and reimbursement status, commercial progress to date, as well as streamline certain cross-geographic functions and better leverage learnings across countries. In addition, we intend to continue to advance our pricing and reimbursement activities to drive access in remaining geographies, including those where progress has been delayed. We are leveraging third-party relationships for various support activities and are implementing an impactful and cost-effective hybrid commercial model balancing optimally digital and face-to-face approach for more impact and cost efficiency, which is or will be utilized throughout Europe as launches are rolled out.</w:t>
      </w:r>
    </w:p>
    <w:p>
      <w:pPr>
        <w:spacing w:after="0" w:line="8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Patients at high risk for cardiovascular disease tend to be treated more often by specialists, such as cardiologists, rather than by general practitioners. Privacy laws and other factors impact the availability of data to inform European commercial operations at an individual physician level. Generally, less data is available and at reduced frequencies than in the United States. However, this greater concentration of at-risk patients being treated by specialists in Europe should allow for more efficient promotion than in the United States. In Europe, VAZKEPA has the benefit of 10 years of market protection, and we have been issued a patent that expires in 2033 with additional pending applications that could extend exclusivity into 2039.</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 of World</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As discussed above, our ORP contemplates continuing to work on generating revenue from our partnerships in key international markets, including Canada, MENA, China, Australia and New Zealand and we will continue to explore additional partnerships.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China</w:t>
      </w:r>
    </w:p>
    <w:p>
      <w:pPr>
        <w:spacing w:after="0" w:line="117"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In February 2015, we entered into an exclusive agreement with Eddingpharm (Asia) Macao Commercial Offshore Limited, or Edding, to develop and commercialize VASCEPA capsules in what we refer to as the China Territory, consisting of the territories of Mainland China, Hong Kong, Macau and Taiwan.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ind w:right="20"/>
        <w:spacing w:after="0" w:line="270" w:lineRule="auto"/>
        <w:rPr>
          <w:sz w:val="20"/>
          <w:szCs w:val="20"/>
          <w:color w:val="auto"/>
        </w:rPr>
      </w:pPr>
      <w:r>
        <w:rPr>
          <w:rFonts w:ascii="Arial" w:cs="Arial" w:eastAsia="Arial" w:hAnsi="Arial"/>
          <w:sz w:val="17"/>
          <w:szCs w:val="17"/>
          <w:color w:val="auto"/>
        </w:rPr>
        <w:t>investigated VASCEPA as a treatment for patients with very high triglycerides (≥500 mg/dL), met its primary efficacy endpoint as defined in the clinical trial protocol and demonstrated a safety profile similar to placebo. There were no treatment-related serious adverse events in this study. On February 9, 2021, we announced that the regulatory review processes in Mainland China and Hong Kong had commenced. On February 23, 2022, the Hong Kong Department of Health completed their regulatory evaluation and approved the use of VASCEPA under the REDUCE-IT indication. In Mainland China, the NMPA accepted for review the new drug application for VASCEPA, submitted by Edding, based on the results from the Phase 3 clinical trial and the results from our prior studies of VASCEPA. In China, on October 10, 2022, following the completion of product testing by the China National Institutes for Food and Drug Control, or NIFDC, the final NMPA review of the VASCEPA NDA was initiated. The Company announced on June 1, 2023 that Edding received approval from NMPA for VASCEPA in Mainland China under the MARINE indication. Edding intends on submitting a regulatory filing to the NMPA for VASCEPA under the REDUCE-IT indication.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Middle East and North Africa (MENA)</w:t>
      </w:r>
    </w:p>
    <w:p>
      <w:pPr>
        <w:spacing w:after="0" w:line="117"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300" w:type="dxa"/>
            <w:vAlign w:val="bottom"/>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MARINE</w:t>
            </w:r>
          </w:p>
        </w:tc>
        <w:tc>
          <w:tcPr>
            <w:tcW w:w="34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REDUCE-IT</w:t>
            </w: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Launch Date</w:t>
            </w:r>
          </w:p>
        </w:tc>
        <w:tc>
          <w:tcPr>
            <w:tcW w:w="140" w:type="dxa"/>
            <w:vAlign w:val="bottom"/>
          </w:tcPr>
          <w:p>
            <w:pPr>
              <w:spacing w:after="0"/>
              <w:rPr>
                <w:sz w:val="16"/>
                <w:szCs w:val="16"/>
                <w:color w:val="auto"/>
              </w:rPr>
            </w:pPr>
          </w:p>
        </w:tc>
      </w:tr>
      <w:tr>
        <w:trPr>
          <w:trHeight w:val="236"/>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Lebanon</w:t>
            </w:r>
          </w:p>
        </w:tc>
        <w:tc>
          <w:tcPr>
            <w:tcW w:w="300" w:type="dxa"/>
            <w:vAlign w:val="bottom"/>
            <w:shd w:val="clear" w:color="auto" w:fill="CFF0FC"/>
          </w:tcPr>
          <w:p>
            <w:pPr>
              <w:spacing w:after="0"/>
              <w:rPr>
                <w:sz w:val="20"/>
                <w:szCs w:val="20"/>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2018</w:t>
            </w:r>
          </w:p>
        </w:tc>
        <w:tc>
          <w:tcPr>
            <w:tcW w:w="340" w:type="dxa"/>
            <w:vAlign w:val="bottom"/>
            <w:shd w:val="clear" w:color="auto" w:fill="CFF0FC"/>
          </w:tcPr>
          <w:p>
            <w:pPr>
              <w:spacing w:after="0"/>
              <w:rPr>
                <w:sz w:val="20"/>
                <w:szCs w:val="20"/>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August 2021</w:t>
            </w:r>
          </w:p>
        </w:tc>
        <w:tc>
          <w:tcPr>
            <w:tcW w:w="280" w:type="dxa"/>
            <w:vAlign w:val="bottom"/>
            <w:shd w:val="clear" w:color="auto" w:fill="CFF0FC"/>
          </w:tcPr>
          <w:p>
            <w:pPr>
              <w:spacing w:after="0"/>
              <w:rPr>
                <w:sz w:val="20"/>
                <w:szCs w:val="20"/>
                <w:color w:val="auto"/>
              </w:rPr>
            </w:pPr>
          </w:p>
        </w:tc>
        <w:tc>
          <w:tcPr>
            <w:tcW w:w="1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2018</w:t>
            </w:r>
          </w:p>
        </w:tc>
        <w:tc>
          <w:tcPr>
            <w:tcW w:w="140" w:type="dxa"/>
            <w:vAlign w:val="bottom"/>
            <w:shd w:val="clear" w:color="auto" w:fill="CFF0FC"/>
          </w:tcPr>
          <w:p>
            <w:pPr>
              <w:spacing w:after="0"/>
              <w:rPr>
                <w:sz w:val="20"/>
                <w:szCs w:val="20"/>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United Arab Emirates</w:t>
            </w:r>
          </w:p>
        </w:tc>
        <w:tc>
          <w:tcPr>
            <w:tcW w:w="3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July 2018</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October 2021</w:t>
            </w:r>
          </w:p>
        </w:tc>
        <w:tc>
          <w:tcPr>
            <w:tcW w:w="2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February 2019</w:t>
            </w:r>
          </w:p>
        </w:tc>
        <w:tc>
          <w:tcPr>
            <w:tcW w:w="140" w:type="dxa"/>
            <w:vAlign w:val="bottom"/>
          </w:tcPr>
          <w:p>
            <w:pPr>
              <w:spacing w:after="0"/>
              <w:rPr>
                <w:sz w:val="20"/>
                <w:szCs w:val="20"/>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Qatar</w:t>
            </w: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2019</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April 2021</w:t>
            </w:r>
          </w:p>
        </w:tc>
        <w:tc>
          <w:tcPr>
            <w:tcW w:w="28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Bahrain</w:t>
            </w:r>
          </w:p>
        </w:tc>
        <w:tc>
          <w:tcPr>
            <w:tcW w:w="3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6"/>
              </w:rPr>
              <w:t>April 2021</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6"/>
              </w:rPr>
              <w:t>April 2022</w:t>
            </w:r>
          </w:p>
        </w:tc>
        <w:tc>
          <w:tcPr>
            <w:tcW w:w="28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r>
      <w:tr>
        <w:trPr>
          <w:trHeight w:val="249"/>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Kuwait</w:t>
            </w:r>
          </w:p>
        </w:tc>
        <w:tc>
          <w:tcPr>
            <w:tcW w:w="300" w:type="dxa"/>
            <w:vAlign w:val="bottom"/>
            <w:shd w:val="clear" w:color="auto" w:fill="CFF0FC"/>
          </w:tcPr>
          <w:p>
            <w:pPr>
              <w:spacing w:after="0"/>
              <w:rPr>
                <w:sz w:val="21"/>
                <w:szCs w:val="21"/>
                <w:color w:val="auto"/>
              </w:rPr>
            </w:pPr>
          </w:p>
        </w:tc>
        <w:tc>
          <w:tcPr>
            <w:tcW w:w="1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December 2021</w:t>
            </w:r>
          </w:p>
        </w:tc>
        <w:tc>
          <w:tcPr>
            <w:tcW w:w="340" w:type="dxa"/>
            <w:vAlign w:val="bottom"/>
            <w:shd w:val="clear" w:color="auto" w:fill="CFF0FC"/>
          </w:tcPr>
          <w:p>
            <w:pPr>
              <w:spacing w:after="0"/>
              <w:rPr>
                <w:sz w:val="21"/>
                <w:szCs w:val="21"/>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March 2023</w:t>
            </w:r>
          </w:p>
        </w:tc>
        <w:tc>
          <w:tcPr>
            <w:tcW w:w="280" w:type="dxa"/>
            <w:vAlign w:val="bottom"/>
            <w:shd w:val="clear" w:color="auto" w:fill="CFF0FC"/>
          </w:tcPr>
          <w:p>
            <w:pPr>
              <w:spacing w:after="0"/>
              <w:rPr>
                <w:sz w:val="21"/>
                <w:szCs w:val="21"/>
                <w:color w:val="auto"/>
              </w:rPr>
            </w:pPr>
          </w:p>
        </w:tc>
        <w:tc>
          <w:tcPr>
            <w:tcW w:w="1880" w:type="dxa"/>
            <w:vAlign w:val="bottom"/>
            <w:shd w:val="clear" w:color="auto" w:fill="CFF0FC"/>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1"/>
                <w:szCs w:val="2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Saudi Arabia</w:t>
            </w:r>
          </w:p>
        </w:tc>
        <w:tc>
          <w:tcPr>
            <w:tcW w:w="30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2"/>
              </w:rPr>
              <w:t>March 2022</w:t>
            </w:r>
          </w:p>
        </w:tc>
        <w:tc>
          <w:tcPr>
            <w:tcW w:w="3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June 2023</w:t>
            </w:r>
          </w:p>
        </w:tc>
        <w:tc>
          <w:tcPr>
            <w:tcW w:w="28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r>
    </w:tbl>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VASCEPA is under registration in additional countries in the MENA region.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Canada</w:t>
      </w:r>
    </w:p>
    <w:p>
      <w:pPr>
        <w:spacing w:after="0" w:line="117" w:lineRule="exact"/>
        <w:rPr>
          <w:sz w:val="20"/>
          <w:szCs w:val="20"/>
          <w:color w:val="auto"/>
        </w:rPr>
      </w:pPr>
    </w:p>
    <w:p>
      <w:pPr>
        <w:ind w:right="20" w:firstLine="509"/>
        <w:spacing w:after="0" w:line="285"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In March 2019, HLS received formal confirmation from Health Canada that the Canadian regulatory authority had granted priority review status for the upcoming New Drug Submission, which was filed in April 2019.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 negotiations with Canada’s pan-Canadian Pharmaceutical Alliance for the terms and conditions under which VASCEPA would qualify for public market reimbursement in Canada. Following these negotiations, HLS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HLS has obtained reimbursement from all major private and public payors gaining access to a majority of eligible patients in Canada.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We are in the second year of a three-year plan to submit and obtain regulatory approval in 20 additional countries in order to ensure that patients in the top 50 cardiometabolic markets worldwide can benefit from VASCEPA. Through the date of this Quarterly Report, we have filed for regulatory review in 16 countries and have received approval in 11 countries outside of the United States and European Medicines Agency, or EMA, regulatory approval authority, including in Switzerland, Australia, New Zealand and Israel, under the REDUCE-IT indication. In addition, VAZKEPA has been made available under individual pricing reimbursement in Switzerland.</w:t>
      </w:r>
    </w:p>
    <w:p>
      <w:pPr>
        <w:spacing w:after="0" w:line="8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February 2023, the Company entered into an agreement with CSL Seqirus, or CSL, to secure pricing and reimbursement, commercialize and distribute VAZKEPA in Australia and New Zealand. The Company will be responsible for supplying finished product to CSL Seqirus. In July 2023, the Company entered into an agreement with Lotus Pharmaceuticals to commercialize and distribute VAZKEPA in South Korea and nine countries in Southeast Asia. We continue to assess other potential partnership opportunities for VASCEPA with companies outside of the United States and Europe with the intention of partnering in all other international markets where VASCEPA receives local regulatory approval.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Based on REDUCE-IT results, as of the date of the filing of this Quarterly Report, more than 30 clinical treatment guidelines, consensus statements or scientific statements from medical societies, scientific bodies, or journals have been updated recommending the use of icosapent ethyl in appropriate at-risk patients, including those statements which we were informed of by our global partners in Canada, China and the Middle East as well as guidelines or statements which were newly received during the second quarter of 2023 through the filing date of this Quarterly Report with recent examples as listed below:</w:t>
      </w:r>
    </w:p>
    <w:p>
      <w:pPr>
        <w:spacing w:after="0" w:line="80" w:lineRule="exact"/>
        <w:rPr>
          <w:sz w:val="20"/>
          <w:szCs w:val="20"/>
          <w:color w:val="auto"/>
        </w:rPr>
      </w:pPr>
    </w:p>
    <w:p>
      <w:pPr>
        <w:ind w:left="1020" w:right="340" w:hanging="503"/>
        <w:spacing w:after="0" w:line="31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Joint Expert Committee on Revision of Chinese Guidelines on Lipid Management revised its guidelines and included that IPE is recommended for treatment of patients receiving statins with TG levels &gt;2.3 mmol/L who have atherosclerotic cardiovascular disease, or ASCVD, or are at high risk and that IPE may further reduce the relative risk of a major adverse CV event by ≤25% in addition to statins.</w:t>
      </w:r>
    </w:p>
    <w:p>
      <w:pPr>
        <w:spacing w:after="0" w:line="40" w:lineRule="exact"/>
        <w:rPr>
          <w:rFonts w:ascii="Arial" w:cs="Arial" w:eastAsia="Arial" w:hAnsi="Arial"/>
          <w:sz w:val="16"/>
          <w:szCs w:val="16"/>
          <w:color w:val="auto"/>
        </w:rPr>
      </w:pPr>
    </w:p>
    <w:p>
      <w:pPr>
        <w:ind w:left="1020" w:right="6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Austrian Diabetes Association released its updated guidelines on management of dyslipidemia. The guidelines included that IPE reduces CV endpoints in patients with TG levels 135–499 mg/dL, with and without diabetes, when used as add-on therapy to preexisting statin therapy and at the dosage investigated in REDUCE-IT.</w:t>
      </w:r>
    </w:p>
    <w:p>
      <w:pPr>
        <w:spacing w:after="0" w:line="75" w:lineRule="exact"/>
        <w:rPr>
          <w:rFonts w:ascii="Arial" w:cs="Arial" w:eastAsia="Arial" w:hAnsi="Arial"/>
          <w:sz w:val="18"/>
          <w:szCs w:val="18"/>
          <w:color w:val="auto"/>
        </w:rPr>
      </w:pPr>
    </w:p>
    <w:p>
      <w:pPr>
        <w:ind w:left="1020" w:right="160" w:hanging="503"/>
        <w:spacing w:after="0" w:line="311" w:lineRule="auto"/>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Canadian Cardiovascular Society updated its guidelines on management of dyslipidemia, with a focus on pharmacists as the target audience. The guidelines included a recommendation for use of IPE in patients with ASCVD who have TG levels ≥1.5–5.6 mmol/L and are on a maximally tolerated statin dose with use of thresholds (as opposed to a specific lipid target) when titrating therapy.</w:t>
      </w:r>
    </w:p>
    <w:p>
      <w:pPr>
        <w:spacing w:after="0" w:line="40" w:lineRule="exact"/>
        <w:rPr>
          <w:rFonts w:ascii="Arial" w:cs="Arial" w:eastAsia="Arial" w:hAnsi="Arial"/>
          <w:sz w:val="16"/>
          <w:szCs w:val="16"/>
          <w:color w:val="auto"/>
        </w:rPr>
      </w:pPr>
    </w:p>
    <w:p>
      <w:pPr>
        <w:ind w:left="1020" w:right="48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American Association Of Clinical Endocrinology issued a consensus algorithm for management of type 2 diabetes. The guidance included a recommendation that IPE should be considered if TG levels are &gt;135 mg/dL in persons with type 2 diabetes and established ASCVD or 2 additional traditional CV risk factors.</w:t>
      </w:r>
    </w:p>
    <w:p>
      <w:pPr>
        <w:spacing w:after="0" w:line="76"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 xml:space="preserve">In April 2023, the EVAPORATE- FFRCT study was published online in the </w:t>
      </w:r>
      <w:r>
        <w:rPr>
          <w:rFonts w:ascii="Arial" w:cs="Arial" w:eastAsia="Arial" w:hAnsi="Arial"/>
          <w:sz w:val="18"/>
          <w:szCs w:val="18"/>
          <w:i w:val="1"/>
          <w:iCs w:val="1"/>
          <w:color w:val="auto"/>
        </w:rPr>
        <w:t>European Heart Journal - Cardiovascular Imaging</w:t>
      </w:r>
      <w:r>
        <w:rPr>
          <w:rFonts w:ascii="Arial" w:cs="Arial" w:eastAsia="Arial" w:hAnsi="Arial"/>
          <w:sz w:val="18"/>
          <w:szCs w:val="18"/>
          <w:color w:val="auto"/>
        </w:rPr>
        <w:t>. This subgroup analysis assessed the impact of VASCEPA on coronary physiology assessed by fractional flow reserve derived from coronary CTA data sets, or FFRCT, using imaging data from EVAPORATE. FFRCT has been associated with various clinical outcomes, such as the safe deferral of invasive coronary angiography, cardiovascular death or myocardial infarction, and revascularization.</w:t>
      </w:r>
    </w:p>
    <w:p>
      <w:pPr>
        <w:spacing w:after="0" w:line="79"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This study is the first assessment of FFRCT to determine drug effect, and there was significant improvement in the pre-specified primary endpoint of FFRCT value in the distal coronary segment from baseline to follow-up in the most diseased vessel per patient using VASCEPA compared with placebo. VASCEPA improved mean distal segment FFRCT at 9- and 18-months follow-up compared with placebo (P = 0.02, P = 0.03 respectively). The secondary endpoint, change in translesional FFRCT (change in FFRCT across the most severe (minimum 30%) diameter stenosis) coronary lesion per vessel was improved with VASCEPA treatment compared with placebo, although it was not statistically significant (P = 0.054).</w:t>
      </w:r>
    </w:p>
    <w:p>
      <w:pPr>
        <w:spacing w:after="0" w:line="5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2020, we announced that we were providing study drug product and limited financial support to independent investigators in multiple pilot studies designed to better understand the potential of VASCEPA and the potential role of VASCEPA in treating COVID-19. Independent studies are the sole responsibility of the independent investigator, and we do not have involvement in these studies outside of providing drug product and limited financial support. We were notified by the Kaiser Foundation Research Institute that the MITIGATE clinical trial has been terminated prior to analysis of the study data. The study was not terminated or stopped due to any safety, efficacy or quality concerns related to VASCEPA.</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17"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We manage the manufacturing and supply of VASCEPA internally and have done so since we began clinical development of VASCEPA prior to the drug’s marketing approval by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 specific country or region. The amount of supply we seek to purchase in future periods will depend on the level of growth of VASCEPA revenues and minimum purchase commitments with certain suppliers. Beginning in 2022, we reviewed our contractual supplier purchase obligations and began taking steps to amend supplier agreements to align supply arrangements with current and future market demand, while we decrease our current inventory levels primarily related to North America approved inventory. As 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0" w:name="page31"/>
    <w:bookmarkEnd w:id="30"/>
    <w:p>
      <w:pPr>
        <w:ind w:right="500"/>
        <w:spacing w:after="0" w:line="277" w:lineRule="auto"/>
        <w:rPr>
          <w:sz w:val="20"/>
          <w:szCs w:val="20"/>
          <w:color w:val="auto"/>
        </w:rPr>
      </w:pPr>
      <w:r>
        <w:rPr>
          <w:rFonts w:ascii="Arial" w:cs="Arial" w:eastAsia="Arial" w:hAnsi="Arial"/>
          <w:sz w:val="18"/>
          <w:szCs w:val="18"/>
          <w:color w:val="auto"/>
        </w:rPr>
        <w:t>June 30, 2023, we had inventory of $349.3 million, of which 90% is inventory approved for use in North America. We continue to negotiate with our contract suppliers to align our supply arrangements with current and future global market demand.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i w:val="1"/>
          <w:iCs w:val="1"/>
          <w:color w:val="auto"/>
        </w:rPr>
        <w:t>Product revenue, net</w:t>
      </w:r>
      <w:r>
        <w:rPr>
          <w:rFonts w:ascii="Arial" w:cs="Arial" w:eastAsia="Arial" w:hAnsi="Arial"/>
          <w:sz w:val="17"/>
          <w:szCs w:val="17"/>
          <w:color w:val="auto"/>
        </w:rPr>
        <w:t>. All of our product revenue is derived from product sales of 1-gram and 0.5-gram size capsules of VASCEPA, net of</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discounts, incentives, rebates, chargebacks and returns. In the United States, VASCEPA is sold to three major wholesalers, as well as several regional wholesalers along with mail order pharmacy providers, or collectively, our distributors or our customers. Most of these customers resell VASCEPA to retail pharmacies for purposes of dispensing VASCEPA to patients. Revenues from VASCEPA sales are recognized upon delivery to the distributor or customer. Timing of shipments to wholesalers, as used for revenue recognition, and timing of prescriptions as estimated by third-party sources, such as Symphony Health, may differ from period to period. During the quarters ended June 30, 2023 and 2022, our product revenue, net, included adjustment for co-pay mitigation rebates provided by us to commercially insured patients in the United States.</w:t>
      </w:r>
    </w:p>
    <w:p>
      <w:pPr>
        <w:spacing w:after="0" w:line="6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sales to our international commercial partners are recognized when the commercial partners obtain control of our product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05" w:lineRule="exact"/>
        <w:rPr>
          <w:sz w:val="20"/>
          <w:szCs w:val="20"/>
          <w:color w:val="auto"/>
        </w:rPr>
      </w:pPr>
    </w:p>
    <w:p>
      <w:pPr>
        <w:jc w:val="both"/>
        <w:ind w:right="560" w:firstLine="509"/>
        <w:spacing w:after="0" w:line="286"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currently consists of revenue attributable to receipt of up-front,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includes the cost of API for VASCEPA on which revenue was recognized during the period,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 In the three and six months ended June 30, 2023 and 2022, we incurred costs within </w:t>
      </w:r>
      <w:r>
        <w:rPr>
          <w:rFonts w:ascii="Arial" w:cs="Arial" w:eastAsia="Arial" w:hAnsi="Arial"/>
          <w:sz w:val="18"/>
          <w:szCs w:val="18"/>
          <w:i w:val="1"/>
          <w:iCs w:val="1"/>
          <w:color w:val="auto"/>
        </w:rPr>
        <w:t>Cost of goods sold - restructuring inventory</w:t>
      </w:r>
      <w:r>
        <w:rPr>
          <w:rFonts w:ascii="Arial" w:cs="Arial" w:eastAsia="Arial" w:hAnsi="Arial"/>
          <w:sz w:val="18"/>
          <w:szCs w:val="18"/>
          <w:color w:val="auto"/>
        </w:rPr>
        <w:t xml:space="preserve"> related to steps taken to amend supplier agreements to align supply arrangements with current and future market demand.</w:t>
      </w:r>
    </w:p>
    <w:p>
      <w:pPr>
        <w:spacing w:after="0" w:line="222" w:lineRule="exact"/>
        <w:rPr>
          <w:sz w:val="20"/>
          <w:szCs w:val="20"/>
          <w:color w:val="auto"/>
        </w:rPr>
      </w:pPr>
    </w:p>
    <w:p>
      <w:pPr>
        <w:ind w:right="140" w:firstLine="509"/>
        <w:spacing w:after="0" w:line="286" w:lineRule="auto"/>
        <w:rPr>
          <w:sz w:val="20"/>
          <w:szCs w:val="20"/>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9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204"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i w:val="1"/>
          <w:iCs w:val="1"/>
          <w:color w:val="auto"/>
        </w:rPr>
        <w:t>Restructuring expense</w:t>
      </w:r>
      <w:r>
        <w:rPr>
          <w:rFonts w:ascii="Arial" w:cs="Arial" w:eastAsia="Arial" w:hAnsi="Arial"/>
          <w:sz w:val="18"/>
          <w:szCs w:val="18"/>
          <w:color w:val="auto"/>
        </w:rPr>
        <w:t>. Restructuring expense consists of restructuring costs incurred under our July 2023 ORP, June 2022 Cost Reduction Plan, or</w:t>
      </w:r>
      <w:r>
        <w:rPr>
          <w:rFonts w:ascii="Arial" w:cs="Arial" w:eastAsia="Arial" w:hAnsi="Arial"/>
          <w:sz w:val="18"/>
          <w:szCs w:val="18"/>
          <w:i w:val="1"/>
          <w:iCs w:val="1"/>
          <w:color w:val="auto"/>
        </w:rPr>
        <w:t xml:space="preserve"> </w:t>
      </w:r>
      <w:r>
        <w:rPr>
          <w:rFonts w:ascii="Arial" w:cs="Arial" w:eastAsia="Arial" w:hAnsi="Arial"/>
          <w:sz w:val="18"/>
          <w:szCs w:val="18"/>
          <w:color w:val="auto"/>
        </w:rPr>
        <w:t>CRP, and August 2022 discontinuation of German operations, which consists of severance pay, incentive compensation, insurance benefits, stock-based compensation expense and other contract related costs.</w:t>
      </w:r>
    </w:p>
    <w:p>
      <w:pPr>
        <w:spacing w:after="0" w:line="211" w:lineRule="exact"/>
        <w:rPr>
          <w:sz w:val="20"/>
          <w:szCs w:val="20"/>
          <w:color w:val="auto"/>
        </w:rPr>
      </w:pPr>
    </w:p>
    <w:p>
      <w:pPr>
        <w:ind w:right="180" w:firstLine="509"/>
        <w:spacing w:after="0" w:line="258" w:lineRule="auto"/>
        <w:rPr>
          <w:sz w:val="20"/>
          <w:szCs w:val="20"/>
          <w:color w:val="auto"/>
        </w:rPr>
      </w:pPr>
      <w:r>
        <w:rPr>
          <w:rFonts w:ascii="Arial" w:cs="Arial" w:eastAsia="Arial" w:hAnsi="Arial"/>
          <w:sz w:val="18"/>
          <w:szCs w:val="18"/>
          <w:i w:val="1"/>
          <w:iCs w:val="1"/>
          <w:color w:val="auto"/>
        </w:rPr>
        <w:t>Interest income, net and other income (expense), net</w:t>
      </w:r>
      <w:r>
        <w:rPr>
          <w:rFonts w:ascii="Arial" w:cs="Arial" w:eastAsia="Arial" w:hAnsi="Arial"/>
          <w:sz w:val="18"/>
          <w:szCs w:val="18"/>
          <w:color w:val="auto"/>
        </w:rPr>
        <w:t>. Interest income, net consists primarily of interest earned on our cash and cash equivalents,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our short-term and long-term investments. Other income (expense), net, consists of the Employee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color w:val="auto"/>
        </w:rPr>
        <w:t>Retention Credit, or ERC, awarded as part of the Coronavirus Aid, Relief and Economic Stabilization Act, or CARES Act, and foreign exchange losses and gains as well as sublease income.</w:t>
      </w:r>
    </w:p>
    <w:p>
      <w:pPr>
        <w:spacing w:after="0" w:line="197"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Income tax provision, deferred tax assets and liabilities, and reserves for unrecognized tax benefits reflect management’s best</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2023 and 2022 are not more likely than not to be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requires us to make estimates and judgments that affect the reported amounts of assets, liabilities, revenue and expenses. On an ongoing basis, estimates are assessed and adjusted based on historical experience and on current market-specific indicators, environments and assumptions. Actual results may differ from these estimates under different assumptions or conditions.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our unaudited condensed consolidated financial statements included elsewhere in this Quarterly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2023 and June 30, 2022</w:t>
      </w:r>
    </w:p>
    <w:p>
      <w:pPr>
        <w:spacing w:after="0" w:line="252" w:lineRule="exact"/>
        <w:rPr>
          <w:sz w:val="20"/>
          <w:szCs w:val="20"/>
          <w:color w:val="auto"/>
        </w:rPr>
      </w:pPr>
    </w:p>
    <w:p>
      <w:pPr>
        <w:jc w:val="both"/>
        <w:ind w:right="440" w:firstLine="509"/>
        <w:spacing w:after="0" w:line="287" w:lineRule="auto"/>
        <w:rPr>
          <w:sz w:val="20"/>
          <w:szCs w:val="20"/>
          <w:color w:val="auto"/>
        </w:rPr>
      </w:pPr>
      <w:r>
        <w:rPr>
          <w:rFonts w:ascii="Arial" w:cs="Arial" w:eastAsia="Arial" w:hAnsi="Arial"/>
          <w:sz w:val="16"/>
          <w:szCs w:val="16"/>
          <w:i w:val="1"/>
          <w:iCs w:val="1"/>
          <w:color w:val="auto"/>
        </w:rPr>
        <w:t xml:space="preserve">Total revenue, net. </w:t>
      </w:r>
      <w:r>
        <w:rPr>
          <w:rFonts w:ascii="Arial" w:cs="Arial" w:eastAsia="Arial" w:hAnsi="Arial"/>
          <w:sz w:val="16"/>
          <w:szCs w:val="16"/>
          <w:color w:val="auto"/>
        </w:rPr>
        <w:t>We recorded total revenue, net, of $80.2 million and $94.4 million during the three months ended June 30, 2023 and 2022,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$14.3 million, or 15%. Total revenue, net, consists primarily of revenue from the sale of VASCEPA in the United States. In addition to the United States, during the three months ending June 30, 2023, we also sold VASCEPA by prescription in certain countries in Europe.</w:t>
      </w:r>
    </w:p>
    <w:p>
      <w:pPr>
        <w:spacing w:after="0" w:line="2"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VASCEPA is also available by prescription in Canada, Lebanon and the United Arab Emirates through collaborations with third-party companies. As further discussed below, the aforementioned decrease consists of a $26.2 million decrease in U.S. net product revenue and a $2.4 million decrease in net product revenue outside of the United States, offset in part by a $14.3 million increase in licensing and royalty revenue.</w:t>
      </w:r>
    </w:p>
    <w:p>
      <w:pPr>
        <w:spacing w:after="0" w:line="200" w:lineRule="exact"/>
        <w:rPr>
          <w:sz w:val="20"/>
          <w:szCs w:val="20"/>
          <w:color w:val="auto"/>
        </w:rPr>
      </w:pPr>
    </w:p>
    <w:p>
      <w:pPr>
        <w:ind w:right="60" w:firstLine="539"/>
        <w:spacing w:after="0" w:line="342"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We recorded product revenue, net, of $65.2 million and $93.8 million during the three months ended June 30, 2023 and 2022,</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$28.6 million, or 31%. This decrease was due primarily to a 29% decrease in VASCEPA sales in the United States.</w:t>
      </w:r>
    </w:p>
    <w:p>
      <w:pPr>
        <w:spacing w:after="0" w:line="16" w:lineRule="exact"/>
        <w:rPr>
          <w:sz w:val="20"/>
          <w:szCs w:val="20"/>
          <w:color w:val="auto"/>
        </w:rPr>
      </w:pPr>
    </w:p>
    <w:p>
      <w:pPr>
        <w:ind w:firstLine="539"/>
        <w:spacing w:after="0" w:line="311" w:lineRule="auto"/>
        <w:rPr>
          <w:sz w:val="20"/>
          <w:szCs w:val="20"/>
          <w:color w:val="auto"/>
        </w:rPr>
      </w:pPr>
      <w:r>
        <w:rPr>
          <w:rFonts w:ascii="Arial" w:cs="Arial" w:eastAsia="Arial" w:hAnsi="Arial"/>
          <w:sz w:val="16"/>
          <w:szCs w:val="16"/>
          <w:color w:val="auto"/>
        </w:rPr>
        <w:t>We recorded U.S. product revenue, net of $64.6 million and $90.8 million during the three months ended June 30, 2023 and 2022, respectively. This decrease was due to a decline in net selling price as a result of the impact from an increase in generic competition in the market. During the three months ended June 30, 2023, there were four generics in the market. During the three months ended June 30, 2022 there were three generics in the market.</w:t>
      </w:r>
    </w:p>
    <w:p>
      <w:pPr>
        <w:spacing w:after="0" w:line="41" w:lineRule="exact"/>
        <w:rPr>
          <w:sz w:val="20"/>
          <w:szCs w:val="20"/>
          <w:color w:val="auto"/>
        </w:rPr>
      </w:pPr>
    </w:p>
    <w:p>
      <w:pPr>
        <w:ind w:right="40" w:firstLine="539"/>
        <w:spacing w:after="0" w:line="257" w:lineRule="auto"/>
        <w:rPr>
          <w:sz w:val="20"/>
          <w:szCs w:val="20"/>
          <w:color w:val="auto"/>
        </w:rPr>
      </w:pPr>
      <w:r>
        <w:rPr>
          <w:rFonts w:ascii="Arial" w:cs="Arial" w:eastAsia="Arial" w:hAnsi="Arial"/>
          <w:sz w:val="18"/>
          <w:szCs w:val="18"/>
          <w:color w:val="auto"/>
        </w:rPr>
        <w:t>The overall icosapent ethyl market in the United States, based on prescription levels reported by Symphony Health, decreased for the three months ended June 30, 2023 by 3% as compared to the three months ended June 30, 2022. Our share of the icosapent ethyl market has decreased to approximately 57% in the three months ended June 30, 2023 compared to approximately 65% in the three months ended June 30, 2022. Additionally, based on prescription levels reported by Symphony Health, VASCEPA-branded prescriptions decreased by 8% in the three months ended June 30, 2023 compared to the three months ended June 30, 2022.</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Europe, we recorded product revenue, net, of $0.6 million during both the three months ended June 30, 2023 and 2022.</w:t>
      </w:r>
    </w:p>
    <w:p>
      <w:pPr>
        <w:spacing w:after="0" w:line="117" w:lineRule="exact"/>
        <w:rPr>
          <w:sz w:val="20"/>
          <w:szCs w:val="20"/>
          <w:color w:val="auto"/>
        </w:rPr>
      </w:pPr>
    </w:p>
    <w:p>
      <w:pPr>
        <w:ind w:right="220" w:firstLine="539"/>
        <w:spacing w:after="0" w:line="258" w:lineRule="auto"/>
        <w:rPr>
          <w:sz w:val="20"/>
          <w:szCs w:val="20"/>
          <w:color w:val="auto"/>
        </w:rPr>
      </w:pPr>
      <w:r>
        <w:rPr>
          <w:rFonts w:ascii="Arial" w:cs="Arial" w:eastAsia="Arial" w:hAnsi="Arial"/>
          <w:sz w:val="18"/>
          <w:szCs w:val="18"/>
          <w:color w:val="auto"/>
        </w:rPr>
        <w:t>For the three months ended June 30, 2023, we recorded nil of product revenue, net, to our collaboration partners compared to $2.3 million during the three months ended June 30, 2022.</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2" w:name="page33"/>
    <w:bookmarkEnd w:id="32"/>
    <w:p>
      <w:pPr>
        <w:jc w:val="both"/>
        <w:ind w:right="140" w:firstLine="539"/>
        <w:spacing w:after="0" w:line="263" w:lineRule="auto"/>
        <w:rPr>
          <w:sz w:val="20"/>
          <w:szCs w:val="20"/>
          <w:color w:val="auto"/>
        </w:rPr>
      </w:pPr>
      <w:r>
        <w:rPr>
          <w:rFonts w:ascii="Arial" w:cs="Arial" w:eastAsia="Arial" w:hAnsi="Arial"/>
          <w:sz w:val="18"/>
          <w:szCs w:val="18"/>
          <w:color w:val="auto"/>
        </w:rPr>
        <w:t>Despite the generic competition in the U.S., we remain confident that the global patient need for VASCEPA is high. In 2023, we continue to focus on obtaining pricing reimbursement and launching commercial operations in all remaining European markets as well as progressing regulatory filings and supporting approval processes in up to nine countries throughout the rest of the world.</w:t>
      </w:r>
    </w:p>
    <w:p>
      <w:pPr>
        <w:spacing w:after="0" w:line="211"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during the three months ended June 30, 2023 and 2022 was $15.0 million and $0.6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an increase of $14.3 million, or 2226%. The increase is primarily due to the recognition of previously received milestone and upfront payments relating to Edding and HLS due to a change in the estimates by which we previously recognized revenue. Licensing and royalty revenue relates to the recognition of amounts received in connection with the following VASCEPA licensing agreements:</w:t>
      </w:r>
    </w:p>
    <w:p>
      <w:pPr>
        <w:spacing w:after="0" w:line="63" w:lineRule="exact"/>
        <w:rPr>
          <w:sz w:val="20"/>
          <w:szCs w:val="20"/>
          <w:color w:val="auto"/>
        </w:rPr>
      </w:pPr>
    </w:p>
    <w:p>
      <w:pPr>
        <w:jc w:val="both"/>
        <w:ind w:left="900" w:right="280" w:hanging="383"/>
        <w:spacing w:after="0" w:line="263"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Edding – a $15.0 million up-front payment received in February 2015, a $1.0 million milestone payment achieved in March 2016 following submission of the clinical trial application to the Chinese regulatory authority, and a $5.0 million milestone payment achieved in June 2023 following NMPA approval of VASCEPA under the MARINE indication.</w:t>
      </w:r>
    </w:p>
    <w:p>
      <w:pPr>
        <w:spacing w:after="0" w:line="75" w:lineRule="exact"/>
        <w:rPr>
          <w:rFonts w:ascii="Arial" w:cs="Arial" w:eastAsia="Arial" w:hAnsi="Arial"/>
          <w:sz w:val="18"/>
          <w:szCs w:val="18"/>
          <w:color w:val="auto"/>
        </w:rPr>
      </w:pPr>
    </w:p>
    <w:p>
      <w:pPr>
        <w:ind w:left="900" w:right="420" w:hanging="383"/>
        <w:spacing w:after="0" w:line="30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another indication and label expansion in December 2019, and a $3.8 million milestone payment that was received as a result of obtaining a regulatory exclusivity designation in January 2020.</w:t>
      </w:r>
    </w:p>
    <w:p>
      <w:pPr>
        <w:spacing w:after="0" w:line="49" w:lineRule="exact"/>
        <w:rPr>
          <w:rFonts w:ascii="Arial" w:cs="Arial" w:eastAsia="Arial" w:hAnsi="Arial"/>
          <w:sz w:val="16"/>
          <w:szCs w:val="16"/>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CSL – a $0.5 million up-front payment which was received upon closing of the agreement in January 2023.</w:t>
      </w:r>
    </w:p>
    <w:p>
      <w:pPr>
        <w:spacing w:after="0" w:line="11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 xml:space="preserve">The up-front and milestone payments for Edding and HLS are being recognized over the estimated period in which we are required to provide regulatory and development support pursuant to the agreements. The up-front payment for CSL is recognized upon closing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 During the three months ended June 30, 2023, </w:t>
      </w:r>
      <w:r>
        <w:rPr>
          <w:rFonts w:ascii="Arial" w:cs="Arial" w:eastAsia="Arial" w:hAnsi="Arial"/>
          <w:sz w:val="17"/>
          <w:szCs w:val="17"/>
          <w:color w:val="2D2D2D"/>
        </w:rPr>
        <w:t xml:space="preserve">the performance period for Edding and HLS was re-evaluated and adjusted, resulting in the Company recognizing an additional $5.0 million and $5.3 million, respectively, in non-cash license revenues related to this change in estimate. For additional information over the change in estimate refer to </w:t>
      </w:r>
      <w:r>
        <w:rPr>
          <w:rFonts w:ascii="Arial" w:cs="Arial" w:eastAsia="Arial" w:hAnsi="Arial"/>
          <w:sz w:val="17"/>
          <w:szCs w:val="17"/>
          <w:i w:val="1"/>
          <w:iCs w:val="1"/>
          <w:color w:val="2D2D2D"/>
        </w:rPr>
        <w:t>Note 8</w:t>
      </w:r>
      <w:r>
        <w:rPr>
          <w:rFonts w:ascii="Arial" w:cs="Arial" w:eastAsia="Arial" w:hAnsi="Arial"/>
          <w:sz w:val="17"/>
          <w:szCs w:val="17"/>
          <w:color w:val="2D2D2D"/>
        </w:rPr>
        <w:t xml:space="preserve"> </w:t>
      </w:r>
      <w:r>
        <w:rPr>
          <w:rFonts w:ascii="Arial" w:cs="Arial" w:eastAsia="Arial" w:hAnsi="Arial"/>
          <w:sz w:val="17"/>
          <w:szCs w:val="17"/>
          <w:i w:val="1"/>
          <w:iCs w:val="1"/>
          <w:color w:val="2D2D2D"/>
        </w:rPr>
        <w:t>- Development, Commercialization and Supply Agreements.</w:t>
      </w:r>
    </w:p>
    <w:p>
      <w:pPr>
        <w:spacing w:after="0" w:line="69" w:lineRule="exact"/>
        <w:rPr>
          <w:sz w:val="20"/>
          <w:szCs w:val="20"/>
          <w:color w:val="auto"/>
        </w:rPr>
      </w:pPr>
    </w:p>
    <w:p>
      <w:pPr>
        <w:ind w:right="180" w:firstLine="509"/>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73"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during the three months ended June 30, 2023 and 2022 was $37.5 million and $50.8 million, respectively,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$13.3 million, or 26%.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three months ended June 30, 2023 and June 30, 2022, we continued to take steps to amend our supplier agreements to align supply arrangements with current and future demand resulting in charges of $14.3 million and $15.0 million, respectively, which were recorded as cost of goods sold - restructuring inventory. During the three months ended June 30, 2022, approximately $9.6 million of inventory was expensed through cost of goods sold due to unsellable inventory unrelated to product dating.</w:t>
      </w:r>
    </w:p>
    <w:p>
      <w:pPr>
        <w:spacing w:after="0" w:line="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API included in the calculation of the average cost of goods sold during the quarters ended June 30, 2023 and 2022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68"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Our overall gross margin on product sales for the three months ended June 30, 2023 and 2022 was 42% and 46%, respectively. Excluding the restructuring inventory and inventory write off charges, gross margin was 64% and 72% for the three months ended June 30, 2023 and 2022, respectively. The remaining decrease in gross margin is primarily as a result of a decrease in net selling price.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Selling, general and administrative expense for the three months ended June 30, 2023 and 2022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$51.0 million and $86.9 million, respectively, a decrease of $35.9 million, or 41%. Selling, general and administrative expenses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are summarized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r>
      <w:tr>
        <w:trPr>
          <w:trHeight w:val="169"/>
        </w:trPr>
        <w:tc>
          <w:tcPr>
            <w:tcW w:w="1120" w:type="dxa"/>
            <w:vAlign w:val="bottom"/>
          </w:tcPr>
          <w:p>
            <w:pPr>
              <w:spacing w:after="0"/>
              <w:rPr>
                <w:sz w:val="14"/>
                <w:szCs w:val="14"/>
                <w:color w:val="auto"/>
              </w:rPr>
            </w:pPr>
          </w:p>
        </w:tc>
        <w:tc>
          <w:tcPr>
            <w:tcW w:w="60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1120" w:type="dxa"/>
            <w:vAlign w:val="bottom"/>
          </w:tcPr>
          <w:p>
            <w:pPr>
              <w:spacing w:after="0"/>
              <w:rPr>
                <w:sz w:val="20"/>
                <w:szCs w:val="20"/>
                <w:color w:val="auto"/>
              </w:rPr>
            </w:pPr>
          </w:p>
        </w:tc>
        <w:tc>
          <w:tcPr>
            <w:tcW w:w="6060" w:type="dxa"/>
            <w:vAlign w:val="bottom"/>
            <w:gridSpan w:val="2"/>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32,311</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53,134</w:t>
            </w:r>
          </w:p>
        </w:tc>
        <w:tc>
          <w:tcPr>
            <w:tcW w:w="120" w:type="dxa"/>
            <w:vAlign w:val="bottom"/>
            <w:shd w:val="clear" w:color="auto" w:fill="CFF0FC"/>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606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17,691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26,110</w:t>
            </w:r>
          </w:p>
        </w:tc>
        <w:tc>
          <w:tcPr>
            <w:tcW w:w="120" w:type="dxa"/>
            <w:vAlign w:val="bottom"/>
          </w:tcPr>
          <w:p>
            <w:pPr>
              <w:spacing w:after="0"/>
              <w:rPr>
                <w:sz w:val="21"/>
                <w:szCs w:val="21"/>
                <w:color w:val="auto"/>
              </w:rPr>
            </w:pPr>
          </w:p>
        </w:tc>
      </w:tr>
      <w:tr>
        <w:trPr>
          <w:trHeight w:val="243"/>
        </w:trPr>
        <w:tc>
          <w:tcPr>
            <w:tcW w:w="1120" w:type="dxa"/>
            <w:vAlign w:val="bottom"/>
          </w:tcPr>
          <w:p>
            <w:pPr>
              <w:spacing w:after="0"/>
              <w:rPr>
                <w:sz w:val="21"/>
                <w:szCs w:val="21"/>
                <w:color w:val="auto"/>
              </w:rPr>
            </w:pPr>
          </w:p>
        </w:tc>
        <w:tc>
          <w:tcPr>
            <w:tcW w:w="6060" w:type="dxa"/>
            <w:vAlign w:val="bottom"/>
            <w:tcBorders>
              <w:bottom w:val="single" w:sz="8" w:color="CFF0FC"/>
            </w:tcBorders>
            <w:gridSpan w:val="2"/>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0"/>
        </w:trPr>
        <w:tc>
          <w:tcPr>
            <w:tcW w:w="112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Total selling, general and administrative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50,953</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86,893</w:t>
            </w:r>
          </w:p>
        </w:tc>
        <w:tc>
          <w:tcPr>
            <w:tcW w:w="12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1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-281940</wp:posOffset>
            </wp:positionV>
            <wp:extent cx="6858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-281940</wp:posOffset>
            </wp:positionV>
            <wp:extent cx="7747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6" w:lineRule="exact"/>
        <w:rPr>
          <w:sz w:val="20"/>
          <w:szCs w:val="20"/>
          <w:color w:val="auto"/>
        </w:rPr>
      </w:pPr>
    </w:p>
    <w:p>
      <w:pPr>
        <w:ind w:left="480" w:hanging="383"/>
        <w:spacing w:after="0" w:line="299"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Selling expense for the three months ended June 30, 2023 and 2022 was $32.3 million and $53.1 million, respectively, a decrease of $20.8 million, or 39%. This decrease is primarily due to a reduction in costs associated with our cost reduction plans resulting in decreased promotional initiatives, reduced travel and a decrease in our U.S. sales force, as well as our commercial withdrawal from Germany in the third quarter of 2022.</w:t>
      </w:r>
    </w:p>
    <w:p>
      <w:pPr>
        <w:ind w:left="480" w:hanging="383"/>
        <w:spacing w:after="0" w:line="260"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 for the three months ended June 30, 2023 and 2022 was $17.7 million and $26.1 million, respectively, a decrease of $8.4 million, or 32%. This decrease is primarily due to a decrease in employee-related costs as a result of the reduction in force from the cost reduction plans in 2022 and the commercial withdrawal from Germany in the third quarter of 2022.</w:t>
      </w:r>
    </w:p>
    <w:p>
      <w:pPr>
        <w:spacing w:after="0" w:line="2" w:lineRule="exact"/>
        <w:rPr>
          <w:rFonts w:ascii="Arial" w:cs="Arial" w:eastAsia="Arial" w:hAnsi="Arial"/>
          <w:sz w:val="18"/>
          <w:szCs w:val="18"/>
          <w:color w:val="auto"/>
        </w:rPr>
      </w:pPr>
    </w:p>
    <w:p>
      <w:pPr>
        <w:ind w:left="480" w:hanging="383"/>
        <w:spacing w:after="0" w:line="25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Non-cash stock-based compensation expense for the three months ended June 30, 2023 and 2022 was $1.0 million and $7.6 million, respectively, a decrease of $6.7 million, or 88%. Non-cash stock-based compensation expense represents the estimated costs associated with equity awards issued to internal personnel supporting our selling, general and administrative functions. The decrease is due to the reversal of expense associated with our former CEO's resignation, as well as certain performance-based awards as it was no longer deemed probable that the performance criteria for vesting would be achieved within the required timeframe.</w:t>
      </w:r>
    </w:p>
    <w:p>
      <w:pPr>
        <w:spacing w:after="0" w:line="21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As part of our ORP announced in July 2023, we have redesigned our commercial infrastructure in Europe to better align with pricing and reimbursement status, commercial progress to date, as well as streamline certain cross-geographic functions. In addition, we are continuing to advance our pricing and reimbursement activities to drive access in remaining geographies, as well as advancing regulatory filings internationally and focusing on maximizing U.S. cash flow through a streamlined model. We will continue to evaluate all of our spending commitments and priorities based on our refocused strategic priorities and restructuring plan.</w:t>
      </w:r>
    </w:p>
    <w:p>
      <w:pPr>
        <w:spacing w:after="0" w:line="21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June 30, 2023 and 2022 was $5.6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$9.4 million, respectively, a decrease of $3.7 million, or 40%. Research and development expenses for the three months ended June 30, 2023 and 2022 are summarized in the table below:</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r>
      <w:tr>
        <w:trPr>
          <w:trHeight w:val="169"/>
        </w:trPr>
        <w:tc>
          <w:tcPr>
            <w:tcW w:w="6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60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FF0FC"/>
          </w:tcPr>
          <w:p>
            <w:pPr>
              <w:spacing w:after="0"/>
              <w:rPr>
                <w:sz w:val="20"/>
                <w:szCs w:val="20"/>
                <w:color w:val="auto"/>
              </w:rPr>
            </w:pPr>
          </w:p>
        </w:tc>
      </w:tr>
      <w:tr>
        <w:trPr>
          <w:trHeight w:val="243"/>
        </w:trPr>
        <w:tc>
          <w:tcPr>
            <w:tcW w:w="6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Fixed-dose combination </w:t>
            </w:r>
            <w:r>
              <w:rPr>
                <w:rFonts w:ascii="Arial" w:cs="Arial" w:eastAsia="Arial" w:hAnsi="Arial"/>
                <w:sz w:val="24"/>
                <w:szCs w:val="24"/>
                <w:color w:val="auto"/>
                <w:vertAlign w:val="superscript"/>
              </w:rPr>
              <w:t>(2)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21"/>
                <w:szCs w:val="21"/>
                <w:color w:val="auto"/>
              </w:rPr>
            </w:pPr>
          </w:p>
        </w:tc>
      </w:tr>
      <w:tr>
        <w:trPr>
          <w:trHeight w:val="243"/>
        </w:trPr>
        <w:tc>
          <w:tcPr>
            <w:tcW w:w="60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(3)</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21"/>
                <w:szCs w:val="21"/>
                <w:color w:val="auto"/>
              </w:rPr>
            </w:pPr>
          </w:p>
        </w:tc>
      </w:tr>
      <w:tr>
        <w:trPr>
          <w:trHeight w:val="243"/>
        </w:trPr>
        <w:tc>
          <w:tcPr>
            <w:tcW w:w="6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(4)</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w:t>
            </w:r>
          </w:p>
        </w:tc>
        <w:tc>
          <w:tcPr>
            <w:tcW w:w="120" w:type="dxa"/>
            <w:vAlign w:val="bottom"/>
          </w:tcPr>
          <w:p>
            <w:pPr>
              <w:spacing w:after="0"/>
              <w:rPr>
                <w:sz w:val="21"/>
                <w:szCs w:val="21"/>
                <w:color w:val="auto"/>
              </w:rPr>
            </w:pPr>
          </w:p>
        </w:tc>
      </w:tr>
      <w:tr>
        <w:trPr>
          <w:trHeight w:val="23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 excluding non-cash expense</w:t>
            </w: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w:t>
            </w:r>
          </w:p>
        </w:tc>
        <w:tc>
          <w:tcPr>
            <w:tcW w:w="120" w:type="dxa"/>
            <w:vAlign w:val="bottom"/>
            <w:shd w:val="clear" w:color="auto" w:fill="CFF0FC"/>
          </w:tcPr>
          <w:p>
            <w:pPr>
              <w:spacing w:after="0"/>
              <w:rPr>
                <w:sz w:val="20"/>
                <w:szCs w:val="20"/>
                <w:color w:val="auto"/>
              </w:rPr>
            </w:pPr>
          </w:p>
        </w:tc>
      </w:tr>
      <w:tr>
        <w:trPr>
          <w:trHeight w:val="243"/>
        </w:trPr>
        <w:tc>
          <w:tcPr>
            <w:tcW w:w="6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(5)</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r>
      <w:tr>
        <w:trPr>
          <w:trHeight w:val="270"/>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5,642</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9,356</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 w:lineRule="exact"/>
        <w:rPr>
          <w:sz w:val="20"/>
          <w:szCs w:val="20"/>
          <w:color w:val="auto"/>
        </w:rPr>
      </w:pPr>
    </w:p>
    <w:p>
      <w:pPr>
        <w:ind w:left="520" w:right="220" w:hanging="512"/>
        <w:spacing w:after="0" w:line="290" w:lineRule="auto"/>
        <w:tabs>
          <w:tab w:leader="none" w:pos="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decrease in expenses for the REDUCE-IT study is primarily driven by incremental efficiencies applied to ongoing analyses performed on the REDUCE-IT cardiovascular outcomes trial data, further leveraging existing internal resources compared to outsourced support.</w:t>
      </w:r>
    </w:p>
    <w:p>
      <w:pPr>
        <w:ind w:left="520" w:right="20" w:hanging="512"/>
        <w:spacing w:after="0" w:line="266"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decrease in fixed-dose combination expenses is primarily due to initial start-up and other costs associated with planning and development of the fixed-dose combination of VASCEPA and a statin, which began in 2022.</w:t>
      </w:r>
    </w:p>
    <w:p>
      <w:pPr>
        <w:jc w:val="both"/>
        <w:ind w:left="520" w:right="340" w:hanging="512"/>
        <w:spacing w:after="0" w:line="308" w:lineRule="auto"/>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decrease in regulatory filing fees is primarily related to higher spend in 2022 relating to the preparation, submission, and review defense of regulatory filings for several countries. The Company has not prepared nor submitted as many regulatory filings in 2023 as in the previous year.</w:t>
      </w:r>
    </w:p>
    <w:p>
      <w:pPr>
        <w:ind w:left="520" w:hanging="512"/>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w:t>
      </w:r>
    </w:p>
    <w:p>
      <w:pPr>
        <w:spacing w:after="0" w:line="46" w:lineRule="exact"/>
        <w:rPr>
          <w:sz w:val="20"/>
          <w:szCs w:val="20"/>
          <w:color w:val="auto"/>
        </w:rPr>
      </w:pPr>
    </w:p>
    <w:p>
      <w:pPr>
        <w:ind w:left="520"/>
        <w:spacing w:after="0" w:line="265" w:lineRule="auto"/>
        <w:rPr>
          <w:sz w:val="20"/>
          <w:szCs w:val="20"/>
          <w:color w:val="auto"/>
        </w:rPr>
      </w:pPr>
      <w:r>
        <w:rPr>
          <w:rFonts w:ascii="Arial" w:cs="Arial" w:eastAsia="Arial" w:hAnsi="Arial"/>
          <w:sz w:val="17"/>
          <w:szCs w:val="17"/>
          <w:color w:val="auto"/>
        </w:rPr>
        <w:t>development and regulatory affairs activities and related overhead costs including consulting and other professional fees that are not allocated to specific projects, including costs associated with securing and maintaining regulatory approvals for VAZKEPA in Europe as originally achieved in 2021, as well as regulatory expansion in other countries throughout 2023. Also included are costs related to qualifying suppliers and costs associated with various other activities, including other costs in collaboration with Mochida and pilot studies regarding VASCEPA.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4" w:name="page35"/>
    <w:bookmarkEnd w:id="34"/>
    <w:p>
      <w:pPr>
        <w:jc w:val="both"/>
        <w:ind w:left="520" w:right="520" w:hanging="512"/>
        <w:spacing w:after="0" w:line="311"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that the performance criteria for vesting would be achieved within the required timeframe.</w:t>
      </w:r>
    </w:p>
    <w:p>
      <w:pPr>
        <w:spacing w:after="0" w:line="41" w:lineRule="exact"/>
        <w:rPr>
          <w:sz w:val="20"/>
          <w:szCs w:val="20"/>
          <w:color w:val="auto"/>
        </w:rPr>
      </w:pPr>
    </w:p>
    <w:p>
      <w:pPr>
        <w:ind w:right="360" w:firstLine="509"/>
        <w:spacing w:after="0" w:line="342" w:lineRule="auto"/>
        <w:rPr>
          <w:sz w:val="20"/>
          <w:szCs w:val="20"/>
          <w:color w:val="auto"/>
        </w:rPr>
      </w:pPr>
      <w:r>
        <w:rPr>
          <w:rFonts w:ascii="Arial" w:cs="Arial" w:eastAsia="Arial" w:hAnsi="Arial"/>
          <w:sz w:val="16"/>
          <w:szCs w:val="16"/>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7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i w:val="1"/>
          <w:iCs w:val="1"/>
          <w:color w:val="auto"/>
        </w:rPr>
        <w:t>Restructuring expense</w:t>
      </w:r>
      <w:r>
        <w:rPr>
          <w:rFonts w:ascii="Arial" w:cs="Arial" w:eastAsia="Arial" w:hAnsi="Arial"/>
          <w:sz w:val="16"/>
          <w:szCs w:val="16"/>
          <w:color w:val="auto"/>
        </w:rPr>
        <w:t>. Restructuring expense for the three months ended June 30, 2023 and 2022 was $10.0 million and $10.2 million, respectively,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decrease of $0.2 million, or 2%. The charge in the current year is due to the implementation of the ORP which was approved during the second quarter 2023 and announced on July 18, 2023, which resulted in a reduction of our entire U.S. sales field force, with our managed care and trade organization continuing to support our U.S. commercial efforts, as well as a reduction of approximately 30% of non-sales positions. The prior year charge was the result of the implementation of the CRP announced on June 6, 2022, which primarily related to the reduction of our U.S. field force from approximately 300 sales representatives to approximately 75 sales representatives. Refer to </w:t>
      </w:r>
      <w:r>
        <w:rPr>
          <w:rFonts w:ascii="Arial" w:cs="Arial" w:eastAsia="Arial" w:hAnsi="Arial"/>
          <w:sz w:val="16"/>
          <w:szCs w:val="16"/>
          <w:i w:val="1"/>
          <w:iCs w:val="1"/>
          <w:color w:val="auto"/>
        </w:rPr>
        <w:t>Note 2 Significant Accounting Policies</w:t>
      </w:r>
      <w:r>
        <w:rPr>
          <w:rFonts w:ascii="Arial" w:cs="Arial" w:eastAsia="Arial" w:hAnsi="Arial"/>
          <w:sz w:val="16"/>
          <w:szCs w:val="16"/>
          <w:color w:val="auto"/>
        </w:rPr>
        <w:t xml:space="preserve"> for additional information.</w:t>
      </w:r>
    </w:p>
    <w:p>
      <w:pPr>
        <w:spacing w:after="0" w:line="191"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i w:val="1"/>
          <w:iCs w:val="1"/>
          <w:color w:val="auto"/>
        </w:rPr>
        <w:t>Interest income, net</w:t>
      </w:r>
      <w:r>
        <w:rPr>
          <w:rFonts w:ascii="Arial" w:cs="Arial" w:eastAsia="Arial" w:hAnsi="Arial"/>
          <w:sz w:val="18"/>
          <w:szCs w:val="18"/>
          <w:color w:val="auto"/>
        </w:rPr>
        <w:t>. Interest income, net for the three months ended June 30, 2023 and 2022 was $3.0 million and $0.3 million, respectively,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$2.7 million, or 942%. Interest income, net, represents income earned on cash and investment balances. The increase is primarily due to higher interest rates in the current year period compared to the prior year period.</w:t>
      </w:r>
    </w:p>
    <w:p>
      <w:pPr>
        <w:spacing w:after="0" w:line="21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the three months ended June 30, 2023 and 2022 was income of $3.0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$2.3 million, respectively, an increase of $5.3 million, or 235%. Other income (expense), net, primarily consists of the ERC awarded as part of the CARES Act, gains and losses on foreign exchange transactions and sublease income related to our Bridgewater, NJ facility. The increase in other income (expense), net, is primarily due to receiving formal notice from the IRS that we are entitled to the ERC funds and that receipt of a $3.9 million credit is probable.</w:t>
      </w:r>
    </w:p>
    <w:p>
      <w:pPr>
        <w:spacing w:after="0" w:line="21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Income tax benefit (provision) for the three months ended June 30, 2023 and 2022 was a benefit of $0.4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 provision of $5.2 million, respectively. The benefit for the three months ended June 30, 2023 is the result of 2022 tax provision to tax return true-up, changes in unrecognized tax benefits, and income generated by our U.S. and foreign operations for which tax expense has been recognized based on a full year estimated U.S. and foreign income tax liability.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2023 and June 30, 2022</w:t>
      </w:r>
    </w:p>
    <w:p>
      <w:pPr>
        <w:spacing w:after="0" w:line="25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i w:val="1"/>
          <w:iCs w:val="1"/>
          <w:color w:val="auto"/>
        </w:rPr>
        <w:t xml:space="preserve">Total revenue, net. </w:t>
      </w:r>
      <w:r>
        <w:rPr>
          <w:rFonts w:ascii="Arial" w:cs="Arial" w:eastAsia="Arial" w:hAnsi="Arial"/>
          <w:sz w:val="17"/>
          <w:szCs w:val="17"/>
          <w:color w:val="auto"/>
        </w:rPr>
        <w:t>We recorded total revenue, net, of $166.1 million and $189.1 million during the six months ended June 30, 2023 and 2022,</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 decrease of $22.9 million, or 12%. Total revenue, net, consists primarily of revenue from the sale of VASCEPA in the United States. In addition to the United States, during the six months ended June 30, 2023, we also sold VASCEPA by prescription in certain countries in Europe. VASCEPA is also available by prescription in Canada, Lebanon and the United Arab Emirates through collaborations with third-party companies. As further discussed below, the aforementioned decrease consists of a $37.4 million decrease in U.S. net product revenue and a $0.6 million decrease in net product revenue outside of the United States offset in part by a $15.0 million increase in licensing and royalty revenue.</w:t>
      </w:r>
    </w:p>
    <w:p>
      <w:pPr>
        <w:spacing w:after="0" w:line="205" w:lineRule="exact"/>
        <w:rPr>
          <w:sz w:val="20"/>
          <w:szCs w:val="20"/>
          <w:color w:val="auto"/>
        </w:rPr>
      </w:pPr>
    </w:p>
    <w:p>
      <w:pPr>
        <w:ind w:right="20" w:firstLine="539"/>
        <w:spacing w:after="0" w:line="308"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product revenue, net, of $149.8 million and $187.8 million during the six months ended June 30, 2023 and 2022,</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 decrease of $37.9 million, or 20%. This decrease was due primarily to a 20% decrease in VASCEPA sales in the United States.</w:t>
      </w:r>
    </w:p>
    <w:p>
      <w:pPr>
        <w:spacing w:after="0" w:line="38" w:lineRule="exact"/>
        <w:rPr>
          <w:sz w:val="20"/>
          <w:szCs w:val="20"/>
          <w:color w:val="auto"/>
        </w:rPr>
      </w:pPr>
    </w:p>
    <w:p>
      <w:pPr>
        <w:ind w:right="180" w:firstLine="539"/>
        <w:spacing w:after="0" w:line="259" w:lineRule="auto"/>
        <w:rPr>
          <w:sz w:val="20"/>
          <w:szCs w:val="20"/>
          <w:color w:val="auto"/>
        </w:rPr>
      </w:pPr>
      <w:r>
        <w:rPr>
          <w:rFonts w:ascii="Arial" w:cs="Arial" w:eastAsia="Arial" w:hAnsi="Arial"/>
          <w:sz w:val="18"/>
          <w:szCs w:val="18"/>
          <w:color w:val="auto"/>
        </w:rPr>
        <w:t>We recorded U.S. product revenue, net, of $146.6 million and $184.0 million during the six months ended June 30, 2023 and 2022, respectively. This decrease was due to a decline net selling price as a result of the impact from an increase in generic competition in the market. During the six months ended June 30, 2023, there were four generics in the market. During the majority of the six months ended June 30, 2022, there were three generics in the market.</w:t>
      </w:r>
    </w:p>
    <w:p>
      <w:pPr>
        <w:spacing w:after="0" w:line="79" w:lineRule="exact"/>
        <w:rPr>
          <w:sz w:val="20"/>
          <w:szCs w:val="20"/>
          <w:color w:val="auto"/>
        </w:rPr>
      </w:pPr>
    </w:p>
    <w:p>
      <w:pPr>
        <w:ind w:right="240" w:firstLine="539"/>
        <w:spacing w:after="0" w:line="257" w:lineRule="auto"/>
        <w:rPr>
          <w:sz w:val="20"/>
          <w:szCs w:val="20"/>
          <w:color w:val="auto"/>
        </w:rPr>
      </w:pPr>
      <w:r>
        <w:rPr>
          <w:rFonts w:ascii="Arial" w:cs="Arial" w:eastAsia="Arial" w:hAnsi="Arial"/>
          <w:sz w:val="18"/>
          <w:szCs w:val="18"/>
          <w:color w:val="auto"/>
        </w:rPr>
        <w:t>The overall icosapent ethyl market in the United States, based on prescription levels reported by Symphony Health, increased for the six months ended June 30, 2023 by 4% as compared to the six months ended June 30, 2022. Our share of the icosapent ethyl market has decreased to approximately 57% in the six months ended June 30, 2023 compared to approximately 68% in the six months ended June 30, 2022. Additionally, based on prescription levels reported by Symphony Health, VASCEPA-branded prescriptions decreased by 13% in the six months ended June 30, 2023 compared to the six months ended June 30, 2022.</w:t>
      </w:r>
    </w:p>
    <w:p>
      <w:pPr>
        <w:spacing w:after="0" w:line="80" w:lineRule="exact"/>
        <w:rPr>
          <w:sz w:val="20"/>
          <w:szCs w:val="20"/>
          <w:color w:val="auto"/>
        </w:rPr>
      </w:pPr>
    </w:p>
    <w:p>
      <w:pPr>
        <w:jc w:val="center"/>
        <w:ind w:left="620" w:right="240"/>
        <w:spacing w:after="0" w:line="277" w:lineRule="auto"/>
        <w:rPr>
          <w:sz w:val="20"/>
          <w:szCs w:val="20"/>
          <w:color w:val="auto"/>
        </w:rPr>
      </w:pPr>
      <w:r>
        <w:rPr>
          <w:rFonts w:ascii="Arial" w:cs="Arial" w:eastAsia="Arial" w:hAnsi="Arial"/>
          <w:sz w:val="18"/>
          <w:szCs w:val="18"/>
          <w:color w:val="auto"/>
        </w:rPr>
        <w:t>In Europe, we recorded product revenue, net, of $1.1 million and $1.5 million during the six months ended June 30, 2023 and 2022, respectively.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35" w:name="page36"/>
    <w:bookmarkEnd w:id="35"/>
    <w:p>
      <w:pPr>
        <w:ind w:right="200" w:firstLine="539"/>
        <w:spacing w:after="0" w:line="277" w:lineRule="auto"/>
        <w:rPr>
          <w:sz w:val="20"/>
          <w:szCs w:val="20"/>
          <w:color w:val="auto"/>
        </w:rPr>
      </w:pPr>
      <w:r>
        <w:rPr>
          <w:rFonts w:ascii="Arial" w:cs="Arial" w:eastAsia="Arial" w:hAnsi="Arial"/>
          <w:sz w:val="18"/>
          <w:szCs w:val="18"/>
          <w:color w:val="auto"/>
        </w:rPr>
        <w:t>For the six months ended June 30, 2023, we recorded $2.1 million of product revenue, net, to our collaboration partners compared to $2.3 million during the six months ended June 30, 2022.</w:t>
      </w:r>
    </w:p>
    <w:p>
      <w:pPr>
        <w:spacing w:after="0" w:line="62" w:lineRule="exact"/>
        <w:rPr>
          <w:sz w:val="20"/>
          <w:szCs w:val="20"/>
          <w:color w:val="auto"/>
        </w:rPr>
      </w:pPr>
    </w:p>
    <w:p>
      <w:pPr>
        <w:jc w:val="both"/>
        <w:ind w:right="120" w:firstLine="539"/>
        <w:spacing w:after="0" w:line="263" w:lineRule="auto"/>
        <w:rPr>
          <w:sz w:val="20"/>
          <w:szCs w:val="20"/>
          <w:color w:val="auto"/>
        </w:rPr>
      </w:pPr>
      <w:r>
        <w:rPr>
          <w:rFonts w:ascii="Arial" w:cs="Arial" w:eastAsia="Arial" w:hAnsi="Arial"/>
          <w:sz w:val="18"/>
          <w:szCs w:val="18"/>
          <w:color w:val="auto"/>
        </w:rPr>
        <w:t>Despite the generic competition in the U.S., we remain confident that the global patient need for VASCEPA is high. In 2023, we continue to focus on obtaining pricing reimbursement and launching commercial operations in all remaining European markets as well as progressing regulatory filings and supporting approval processes in up to nine countries throughout the rest of the world.</w:t>
      </w:r>
    </w:p>
    <w:p>
      <w:pPr>
        <w:spacing w:after="0" w:line="21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during the six months ended June 30, 2023 and 2022 was $16.3 million and $1.3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an increase of $15.0 million, or 1166%. The increase is primarily due to the recognition of previously deferred milestone and upfront payments relating to Edding and HLS due to a change in the estimates in which we previously recognized revenue. Licensing and royalty revenue relates to the recognition of amounts received in connection with the following VASCEPA licensing agreements:</w:t>
      </w:r>
    </w:p>
    <w:p>
      <w:pPr>
        <w:spacing w:after="0" w:line="63" w:lineRule="exact"/>
        <w:rPr>
          <w:sz w:val="20"/>
          <w:szCs w:val="20"/>
          <w:color w:val="auto"/>
        </w:rPr>
      </w:pPr>
    </w:p>
    <w:p>
      <w:pPr>
        <w:jc w:val="both"/>
        <w:ind w:left="900" w:right="260" w:hanging="383"/>
        <w:spacing w:after="0" w:line="263"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Edding – a $15.0 million up-front payment received in February 2015, a $1.0 million milestone payment achieved in March 2016 following submission of the clinical trial application to the Chinese regulatory authority, and a $5.0 million milestone payment achieved in June 2023 following NMPA approval of VASCEPA under the MARINE indication.</w:t>
      </w:r>
    </w:p>
    <w:p>
      <w:pPr>
        <w:spacing w:after="0" w:line="75" w:lineRule="exact"/>
        <w:rPr>
          <w:rFonts w:ascii="Arial" w:cs="Arial" w:eastAsia="Arial" w:hAnsi="Arial"/>
          <w:sz w:val="18"/>
          <w:szCs w:val="18"/>
          <w:color w:val="auto"/>
        </w:rPr>
      </w:pPr>
    </w:p>
    <w:p>
      <w:pPr>
        <w:ind w:left="900" w:right="400" w:hanging="383"/>
        <w:spacing w:after="0" w:line="30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49" w:lineRule="exact"/>
        <w:rPr>
          <w:rFonts w:ascii="Arial" w:cs="Arial" w:eastAsia="Arial" w:hAnsi="Arial"/>
          <w:sz w:val="16"/>
          <w:szCs w:val="16"/>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CSL – a $0.5 million up-front payment which was received upon closing of the agreement in January 2023.</w:t>
      </w:r>
    </w:p>
    <w:p>
      <w:pPr>
        <w:spacing w:after="0" w:line="117"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 xml:space="preserve">The up-front and milestone payments for Edding and HLS are being recognized over the estimated period in which we are required to provide regulatory and development support pursuant to the agreements. The up-front payment for CSL is recognized upon closing the agreement as no regulatory and development support is required pursuant to the agreement. The amount of licensing and royalty revenue is expected to vary from period to period based on timing of milestones achieved and changes in estimates of the timing and level of support required. During the six months ended June 30, 2023, </w:t>
      </w:r>
      <w:r>
        <w:rPr>
          <w:rFonts w:ascii="Arial" w:cs="Arial" w:eastAsia="Arial" w:hAnsi="Arial"/>
          <w:sz w:val="18"/>
          <w:szCs w:val="18"/>
          <w:color w:val="2D2D2D"/>
        </w:rPr>
        <w:t xml:space="preserve">the performance period for Edding and HLS was re-evaluated and adjusted, resulting in the Company recognizing an additional $5.0 million and $5.3 million, respectively, in license revenues related to this change in estimate. For additional information over the change in estimate refer to </w:t>
      </w:r>
      <w:r>
        <w:rPr>
          <w:rFonts w:ascii="Arial" w:cs="Arial" w:eastAsia="Arial" w:hAnsi="Arial"/>
          <w:sz w:val="18"/>
          <w:szCs w:val="18"/>
          <w:i w:val="1"/>
          <w:iCs w:val="1"/>
          <w:color w:val="2D2D2D"/>
        </w:rPr>
        <w:t>Note 8 -</w:t>
      </w:r>
      <w:r>
        <w:rPr>
          <w:rFonts w:ascii="Arial" w:cs="Arial" w:eastAsia="Arial" w:hAnsi="Arial"/>
          <w:sz w:val="18"/>
          <w:szCs w:val="18"/>
          <w:color w:val="2D2D2D"/>
        </w:rPr>
        <w:t xml:space="preserve"> </w:t>
      </w:r>
      <w:r>
        <w:rPr>
          <w:rFonts w:ascii="Arial" w:cs="Arial" w:eastAsia="Arial" w:hAnsi="Arial"/>
          <w:sz w:val="18"/>
          <w:szCs w:val="18"/>
          <w:i w:val="1"/>
          <w:iCs w:val="1"/>
          <w:color w:val="2D2D2D"/>
        </w:rPr>
        <w:t>Development, Commercialization and Supply Agreements.</w:t>
      </w:r>
    </w:p>
    <w:p>
      <w:pPr>
        <w:spacing w:after="0" w:line="87" w:lineRule="exact"/>
        <w:rPr>
          <w:sz w:val="20"/>
          <w:szCs w:val="20"/>
          <w:color w:val="auto"/>
        </w:rPr>
      </w:pPr>
    </w:p>
    <w:p>
      <w:pPr>
        <w:ind w:right="160" w:firstLine="509"/>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73" w:lineRule="exact"/>
        <w:rPr>
          <w:sz w:val="20"/>
          <w:szCs w:val="20"/>
          <w:color w:val="auto"/>
        </w:rPr>
      </w:pPr>
    </w:p>
    <w:p>
      <w:pPr>
        <w:ind w:right="160" w:firstLine="509"/>
        <w:spacing w:after="0" w:line="254"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during the six months ended June 30, 2023 and 2022 was $75.5 million and $73.0 million, respectively,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$2.5 million, or 3%.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 During the six months ended June 30, 2023 and 2022, we have taken steps to amend supplier agreements to align supply arrangements with current and future demand resulting in charges of $26.6 million and $15.0 million, respectively, which were recorded as cost of goods sold - restructuring inventory. During the six months ended June 30, 2022, approximately $9.6 million of inventory was expensed through cost of goods sold not due to product dating unsellable inventory.</w:t>
      </w:r>
    </w:p>
    <w:p>
      <w:pPr>
        <w:spacing w:after="0" w:line="84"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The API included in the calculation of the average cost of goods sold during the six months ended June 30, 2023 and 2022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The average cost may be variable from period to period depending upon the timing and quantity of API purchased from each supplier.</w:t>
      </w:r>
    </w:p>
    <w:p>
      <w:pPr>
        <w:spacing w:after="0" w:line="6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Our overall gross margin on product sales for each of the six months ended June 30, 2023 and 2022 was 50% and 61%, respectively. Excluding the restructuring inventory and inventory write-off charges, gross margin was 67% and 74% for the six months ended June 30, 2023 and 2022, respectively. The remaining decrease in gross margin is primarily as a result of a decrease in net selling price.</w:t>
      </w: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left="520"/>
        <w:spacing w:after="0"/>
        <w:rPr>
          <w:sz w:val="20"/>
          <w:szCs w:val="20"/>
          <w:color w:val="auto"/>
        </w:rPr>
      </w:pP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Selling, general and administrative expense for the six months ended June 30, 2023 and 2022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$110.5 million and $177.5 million, respectively, a decrease of $67.0 million, or 38%. Selling, general and administrative expenses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are summarized in the table below:</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r>
      <w:tr>
        <w:trPr>
          <w:trHeight w:val="169"/>
        </w:trPr>
        <w:tc>
          <w:tcPr>
            <w:tcW w:w="6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60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Selling expense </w:t>
            </w:r>
            <w:r>
              <w:rPr>
                <w:rFonts w:ascii="Arial" w:cs="Arial" w:eastAsia="Arial" w:hAnsi="Arial"/>
                <w:sz w:val="24"/>
                <w:szCs w:val="24"/>
                <w:color w:val="auto"/>
                <w:vertAlign w:val="superscript"/>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115,386</w:t>
            </w:r>
          </w:p>
        </w:tc>
        <w:tc>
          <w:tcPr>
            <w:tcW w:w="120" w:type="dxa"/>
            <w:vAlign w:val="bottom"/>
            <w:shd w:val="clear" w:color="auto" w:fill="CFF0FC"/>
          </w:tcPr>
          <w:p>
            <w:pPr>
              <w:spacing w:after="0"/>
              <w:rPr>
                <w:sz w:val="20"/>
                <w:szCs w:val="20"/>
                <w:color w:val="auto"/>
              </w:rPr>
            </w:pPr>
          </w:p>
        </w:tc>
      </w:tr>
      <w:tr>
        <w:trPr>
          <w:trHeight w:val="243"/>
        </w:trPr>
        <w:tc>
          <w:tcPr>
            <w:tcW w:w="6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General and administrative expense </w:t>
            </w:r>
            <w:r>
              <w:rPr>
                <w:rFonts w:ascii="Arial" w:cs="Arial" w:eastAsia="Arial" w:hAnsi="Arial"/>
                <w:sz w:val="24"/>
                <w:szCs w:val="24"/>
                <w:color w:val="auto"/>
                <w:vertAlign w:val="superscript"/>
              </w:rPr>
              <w:t>(2)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40,781</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49,876</w:t>
            </w:r>
          </w:p>
        </w:tc>
        <w:tc>
          <w:tcPr>
            <w:tcW w:w="120" w:type="dxa"/>
            <w:vAlign w:val="bottom"/>
          </w:tcPr>
          <w:p>
            <w:pPr>
              <w:spacing w:after="0"/>
              <w:rPr>
                <w:sz w:val="21"/>
                <w:szCs w:val="21"/>
                <w:color w:val="auto"/>
              </w:rPr>
            </w:pPr>
          </w:p>
        </w:tc>
      </w:tr>
      <w:tr>
        <w:trPr>
          <w:trHeight w:val="243"/>
        </w:trPr>
        <w:tc>
          <w:tcPr>
            <w:tcW w:w="606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(3)</w:t>
            </w:r>
          </w:p>
        </w:tc>
        <w:tc>
          <w:tcPr>
            <w:tcW w:w="3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Total selling, general and administrative expense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110,540</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177,540</w:t>
            </w:r>
          </w:p>
        </w:tc>
        <w:tc>
          <w:tcPr>
            <w:tcW w:w="120" w:type="dxa"/>
            <w:vAlign w:val="bottom"/>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-187960</wp:posOffset>
            </wp:positionV>
            <wp:extent cx="68580" cy="1885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9512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71" w:lineRule="exact"/>
        <w:rPr>
          <w:sz w:val="20"/>
          <w:szCs w:val="20"/>
          <w:color w:val="auto"/>
        </w:rPr>
      </w:pPr>
    </w:p>
    <w:p>
      <w:pPr>
        <w:ind w:left="480" w:right="60" w:hanging="383"/>
        <w:spacing w:after="0" w:line="299" w:lineRule="auto"/>
        <w:tabs>
          <w:tab w:leader="none" w:pos="4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Selling expense for the six months ended June 30, 2023 and 2022 was $64.5 million and $115.4 million, respectively, a decrease of $50.9 million, or 44%. This decrease is primarily due to a reduction in costs associated with our cost reduction plans resulting in decreased promotional initiatives, reduced travel and a decrease in our U.S. sales force as well as our commercial withdrawal from Germany in the third quarter of 2022.</w:t>
      </w:r>
    </w:p>
    <w:p>
      <w:pPr>
        <w:ind w:left="480" w:right="100" w:hanging="383"/>
        <w:spacing w:after="0" w:line="273" w:lineRule="auto"/>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General and administrative expense for the six months ended June 30, 2023 and 2022 was $40.8 million and $49.9 million, respectively, a decrease of $9.1 million, or 18%. This decrease is primarily due to a decrease in employee-related costs as a result of the reduction in force from the cost reduction plans as well as a decrease in branded pharma fees as a result of lower sales due to additional generic entrants in the market. The decrease in general and administrative expense was offset by advisory fees related to the shareholder's special meeting.</w:t>
      </w:r>
    </w:p>
    <w:p>
      <w:pPr>
        <w:spacing w:after="0" w:line="1" w:lineRule="exact"/>
        <w:rPr>
          <w:rFonts w:ascii="Arial" w:cs="Arial" w:eastAsia="Arial" w:hAnsi="Arial"/>
          <w:sz w:val="17"/>
          <w:szCs w:val="17"/>
          <w:color w:val="auto"/>
        </w:rPr>
      </w:pPr>
    </w:p>
    <w:p>
      <w:pPr>
        <w:ind w:left="480" w:hanging="383"/>
        <w:spacing w:after="0" w:line="257"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Non-cash stock-based compensation expense for the six months ended June 30, 2023 and 2022 was $5.3 million and $12.3 million, respectively, a decrease of $7.0 million, or 57%. Non-cash stock-based compensation expense represents the estimated costs associated with equity awards issued to internal personnel supporting our selling, general and administrative functions. The decrease is due to the reversal of expense associated with our former CEO's resignation, as well as certain performance-based awards as it was no longer deemed probable that the performance criteria for vesting would be achieved within the required timeframe.</w:t>
      </w:r>
    </w:p>
    <w:p>
      <w:pPr>
        <w:spacing w:after="0" w:line="215"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As part of our ORP announced in July 2023, we have redesigned our commercial infrastructure in Europe to better align with pricing and reimbursement status, commercial progress to date, as well as streamline certain cross-geographic functions. In addition, we are continuing to advance our pricing and reimbursement activities to drive access in remaining geographies, as well as advancing regulatory filings internationally and focusing on maximizing U.S. cash flow through a streamlined model. We will continue to evaluate all of our spending commitments and priorities based on our refocused strategic priorities and restructuring plan.</w:t>
      </w:r>
    </w:p>
    <w:p>
      <w:pPr>
        <w:spacing w:after="0" w:line="21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six months ended June 30, 2023 and 2022 was $11.3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$19.4 million, respectively, a decrease of $8.1 million, or 42%. Research and development expenses for the six months ended June 30, 2023 and 2022 are summarized in the table below:</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6"/>
                <w:szCs w:val="16"/>
                <w:color w:val="auto"/>
              </w:rPr>
            </w:pPr>
          </w:p>
        </w:tc>
      </w:tr>
      <w:tr>
        <w:trPr>
          <w:trHeight w:val="169"/>
        </w:trPr>
        <w:tc>
          <w:tcPr>
            <w:tcW w:w="60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60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REDUCE-IT study </w:t>
            </w:r>
            <w:r>
              <w:rPr>
                <w:rFonts w:ascii="Arial" w:cs="Arial" w:eastAsia="Arial" w:hAnsi="Arial"/>
                <w:sz w:val="24"/>
                <w:szCs w:val="24"/>
                <w:color w:val="auto"/>
                <w:vertAlign w:val="superscript"/>
              </w:rPr>
              <w:t>(1)</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FF0FC"/>
          </w:tcPr>
          <w:p>
            <w:pPr>
              <w:spacing w:after="0"/>
              <w:rPr>
                <w:sz w:val="20"/>
                <w:szCs w:val="20"/>
                <w:color w:val="auto"/>
              </w:rPr>
            </w:pPr>
          </w:p>
        </w:tc>
      </w:tr>
      <w:tr>
        <w:trPr>
          <w:trHeight w:val="243"/>
        </w:trPr>
        <w:tc>
          <w:tcPr>
            <w:tcW w:w="6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Fixed-dose combination </w:t>
            </w:r>
            <w:r>
              <w:rPr>
                <w:rFonts w:ascii="Arial" w:cs="Arial" w:eastAsia="Arial" w:hAnsi="Arial"/>
                <w:sz w:val="24"/>
                <w:szCs w:val="24"/>
                <w:color w:val="auto"/>
                <w:vertAlign w:val="superscript"/>
              </w:rPr>
              <w:t>(2)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Pr>
          <w:p>
            <w:pPr>
              <w:spacing w:after="0"/>
              <w:rPr>
                <w:sz w:val="21"/>
                <w:szCs w:val="21"/>
                <w:color w:val="auto"/>
              </w:rPr>
            </w:pPr>
          </w:p>
        </w:tc>
      </w:tr>
      <w:tr>
        <w:trPr>
          <w:trHeight w:val="243"/>
        </w:trPr>
        <w:tc>
          <w:tcPr>
            <w:tcW w:w="60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Regulatory filing fees and expenses </w:t>
            </w:r>
            <w:r>
              <w:rPr>
                <w:rFonts w:ascii="Arial" w:cs="Arial" w:eastAsia="Arial" w:hAnsi="Arial"/>
                <w:sz w:val="24"/>
                <w:szCs w:val="24"/>
                <w:color w:val="auto"/>
                <w:vertAlign w:val="superscript"/>
              </w:rPr>
              <w:t>(3)</w:t>
            </w:r>
          </w:p>
        </w:tc>
        <w:tc>
          <w:tcPr>
            <w:tcW w:w="3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21"/>
                <w:szCs w:val="21"/>
                <w:color w:val="auto"/>
              </w:rPr>
            </w:pPr>
          </w:p>
        </w:tc>
      </w:tr>
      <w:tr>
        <w:trPr>
          <w:trHeight w:val="243"/>
        </w:trPr>
        <w:tc>
          <w:tcPr>
            <w:tcW w:w="6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Internal staffing, overhead and other </w:t>
            </w:r>
            <w:r>
              <w:rPr>
                <w:rFonts w:ascii="Arial" w:cs="Arial" w:eastAsia="Arial" w:hAnsi="Arial"/>
                <w:sz w:val="24"/>
                <w:szCs w:val="24"/>
                <w:color w:val="auto"/>
                <w:vertAlign w:val="superscript"/>
              </w:rPr>
              <w:t>(4)</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11,431</w:t>
            </w:r>
          </w:p>
        </w:tc>
        <w:tc>
          <w:tcPr>
            <w:tcW w:w="120" w:type="dxa"/>
            <w:vAlign w:val="bottom"/>
          </w:tcPr>
          <w:p>
            <w:pPr>
              <w:spacing w:after="0"/>
              <w:rPr>
                <w:sz w:val="21"/>
                <w:szCs w:val="21"/>
                <w:color w:val="auto"/>
              </w:rPr>
            </w:pPr>
          </w:p>
        </w:tc>
      </w:tr>
      <w:tr>
        <w:trPr>
          <w:trHeight w:val="236"/>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 excluding non-cash expense</w:t>
            </w: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9,225</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16,507</w:t>
            </w:r>
          </w:p>
        </w:tc>
        <w:tc>
          <w:tcPr>
            <w:tcW w:w="120" w:type="dxa"/>
            <w:vAlign w:val="bottom"/>
            <w:shd w:val="clear" w:color="auto" w:fill="CFF0FC"/>
          </w:tcPr>
          <w:p>
            <w:pPr>
              <w:spacing w:after="0"/>
              <w:rPr>
                <w:sz w:val="20"/>
                <w:szCs w:val="20"/>
                <w:color w:val="auto"/>
              </w:rPr>
            </w:pPr>
          </w:p>
        </w:tc>
      </w:tr>
      <w:tr>
        <w:trPr>
          <w:trHeight w:val="243"/>
        </w:trPr>
        <w:tc>
          <w:tcPr>
            <w:tcW w:w="60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Non-cash stock-based compensation expense </w:t>
            </w:r>
            <w:r>
              <w:rPr>
                <w:rFonts w:ascii="Arial" w:cs="Arial" w:eastAsia="Arial" w:hAnsi="Arial"/>
                <w:sz w:val="24"/>
                <w:szCs w:val="24"/>
                <w:color w:val="auto"/>
                <w:vertAlign w:val="superscript"/>
              </w:rPr>
              <w:t>(5)</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r>
      <w:tr>
        <w:trPr>
          <w:trHeight w:val="270"/>
        </w:trPr>
        <w:tc>
          <w:tcPr>
            <w:tcW w:w="6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11,323</w:t>
            </w:r>
          </w:p>
        </w:tc>
        <w:tc>
          <w:tcPr>
            <w:tcW w:w="2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19,407</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774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ind w:left="520" w:right="220" w:hanging="512"/>
        <w:spacing w:after="0" w:line="290"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decrease in expenses for the REDUCE-IT study is primarily driven by incremental efficiencies applied to ongoing analyses performed on the REDUCE-IT cardiovascular outcomes trial data, further leveraging existing internal resources compared to outsourced support.</w:t>
      </w:r>
    </w:p>
    <w:p>
      <w:pPr>
        <w:ind w:left="520" w:right="20" w:hanging="512"/>
        <w:spacing w:after="0" w:line="266"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decrease in fixed-dose combination expenses is primarily due to initial start-up and other costs associated with planning and development of the fixed-dose combination of VASCEPA and a statin, which began in 2022.</w:t>
      </w:r>
    </w:p>
    <w:p>
      <w:pPr>
        <w:jc w:val="both"/>
        <w:ind w:left="520" w:right="340" w:hanging="512"/>
        <w:spacing w:after="0" w:line="308"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decrease in regulatory filing fees is primarily related to higher spend in 2022 relating to the preparation, submission, and review defense of regulatory filings for several countries. The Company has not prepared nor submitted as many regulatory filings in 2023 as in the previous year.</w:t>
      </w:r>
    </w:p>
    <w:p>
      <w:pPr>
        <w:ind w:left="520" w:hanging="512"/>
        <w:spacing w:after="0" w:line="291"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w:t>
      </w:r>
    </w:p>
    <w:p>
      <w:pPr>
        <w:ind w:left="5540" w:right="4560" w:hanging="5016"/>
        <w:spacing w:after="0" w:line="260" w:lineRule="auto"/>
        <w:rPr>
          <w:sz w:val="20"/>
          <w:szCs w:val="20"/>
          <w:color w:val="auto"/>
        </w:rPr>
      </w:pPr>
      <w:r>
        <w:rPr>
          <w:rFonts w:ascii="Arial" w:cs="Arial" w:eastAsia="Arial" w:hAnsi="Arial"/>
          <w:sz w:val="18"/>
          <w:szCs w:val="18"/>
          <w:color w:val="auto"/>
        </w:rPr>
        <w:t>specific projects, including costs associated with securing and maintaining regulatory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7" w:name="page38"/>
    <w:bookmarkEnd w:id="37"/>
    <w:p>
      <w:pPr>
        <w:ind w:left="520" w:right="560"/>
        <w:spacing w:after="0" w:line="260" w:lineRule="auto"/>
        <w:rPr>
          <w:sz w:val="20"/>
          <w:szCs w:val="20"/>
          <w:color w:val="auto"/>
        </w:rPr>
      </w:pPr>
      <w:r>
        <w:rPr>
          <w:rFonts w:ascii="Arial" w:cs="Arial" w:eastAsia="Arial" w:hAnsi="Arial"/>
          <w:sz w:val="18"/>
          <w:szCs w:val="18"/>
          <w:color w:val="auto"/>
        </w:rPr>
        <w:t>approvals for VAZKEPA in Europe as originally achieved in 2021, as well as regulatory expansion in other countries throughout 2023. Also included are costs related to qualifying suppliers and costs associated with various other activities, including other costs in collaboration with Mochida and pilot studies regarding VASCEPA.</w:t>
      </w:r>
    </w:p>
    <w:p>
      <w:pPr>
        <w:spacing w:after="0" w:line="2" w:lineRule="exact"/>
        <w:rPr>
          <w:sz w:val="20"/>
          <w:szCs w:val="20"/>
          <w:color w:val="auto"/>
        </w:rPr>
      </w:pPr>
    </w:p>
    <w:p>
      <w:pPr>
        <w:jc w:val="both"/>
        <w:ind w:left="520" w:right="540" w:hanging="512"/>
        <w:spacing w:after="0" w:line="311"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Non-cash stock-based compensation expense represents the estimated costs associated with equity awards issued to personnel supporting our research and development and regulatory functions. The decrease is due to the reversal of expense associated with certain performance-based awards as it was no longer deemed probable that the performance criteria for vesting would be achieved within the required timeframe.</w:t>
      </w:r>
    </w:p>
    <w:p>
      <w:pPr>
        <w:spacing w:after="0" w:line="41"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color w:val="auto"/>
        </w:rPr>
        <w:t>We continuously evaluate all of our spending commitments and priorities and we plan to adjust our level of research and development activities based on various factors, including the impact of U.S. generic competition as well as timing of pricing reimbursements throughout Europe.</w:t>
      </w:r>
    </w:p>
    <w:p>
      <w:pPr>
        <w:spacing w:after="0" w:line="70"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i w:val="1"/>
          <w:iCs w:val="1"/>
          <w:color w:val="auto"/>
        </w:rPr>
        <w:t>Restructuring expense</w:t>
      </w:r>
      <w:r>
        <w:rPr>
          <w:rFonts w:ascii="Arial" w:cs="Arial" w:eastAsia="Arial" w:hAnsi="Arial"/>
          <w:sz w:val="16"/>
          <w:szCs w:val="16"/>
          <w:color w:val="auto"/>
        </w:rPr>
        <w:t>. Restructuring expense for the six months ended June 30, 2023 and 2022 was $10.0 million and $10.2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decrease of $0.2 million, or 2%. The charge in the current year is due to the implementation of the ORP which was approved in the second quarter 2023 and announced on July 18, 2023, which resulted in a reduction of our entire U.S. sales field force, with our managed care and trade organization continuing to support our U.S. commercial efforts, as well as a reduction of approximately 30% of non-sales positions. The prior year charge was the result of the implementation of the CRP announced on June 6, 2022, which primarily related to the reduction of our U.S. field force from approximately 300 sales representatives to approximately 75 sales representatives. Refer to </w:t>
      </w:r>
      <w:r>
        <w:rPr>
          <w:rFonts w:ascii="Arial" w:cs="Arial" w:eastAsia="Arial" w:hAnsi="Arial"/>
          <w:sz w:val="16"/>
          <w:szCs w:val="16"/>
          <w:i w:val="1"/>
          <w:iCs w:val="1"/>
          <w:color w:val="auto"/>
        </w:rPr>
        <w:t>Note 2 Significant Accounting Policies</w:t>
      </w:r>
      <w:r>
        <w:rPr>
          <w:rFonts w:ascii="Arial" w:cs="Arial" w:eastAsia="Arial" w:hAnsi="Arial"/>
          <w:sz w:val="16"/>
          <w:szCs w:val="16"/>
          <w:color w:val="auto"/>
        </w:rPr>
        <w:t xml:space="preserve"> for additional information.</w:t>
      </w:r>
    </w:p>
    <w:p>
      <w:pPr>
        <w:spacing w:after="0" w:line="19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i w:val="1"/>
          <w:iCs w:val="1"/>
          <w:color w:val="auto"/>
        </w:rPr>
        <w:t>Interest income, net</w:t>
      </w:r>
      <w:r>
        <w:rPr>
          <w:rFonts w:ascii="Arial" w:cs="Arial" w:eastAsia="Arial" w:hAnsi="Arial"/>
          <w:sz w:val="18"/>
          <w:szCs w:val="18"/>
          <w:color w:val="auto"/>
        </w:rPr>
        <w:t>. Interest income, net for the six months ended June 30, 2023 and 2022 was $5.2 million and $0.5 million, respectively,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$4.7 million, or 964%. Interest income, net represents income earned on cash and investment balances. The increase is primarily due to higher interest rates in the current year period compared to the prior year period.</w:t>
      </w:r>
    </w:p>
    <w:p>
      <w:pPr>
        <w:spacing w:after="0" w:line="211"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(expense), net, for the six months ended June 30, 2023 and 2022 was income of $3.7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$2.5 million, respectively, an increase of $6.2 million, or 247%. Other income (expense), net, primarily consists of the ERC awarded as part of the CARES Act, gains and losses on foreign exchange transactions and sublease income related to our Bridgewater, NJ facility. The increase in other income (expense), net is primarily due to receiving formal notice from the IRS that we are entitled to the ERC funds and that receipt of the $3.9 million credit is probable.</w:t>
      </w:r>
    </w:p>
    <w:p>
      <w:pPr>
        <w:spacing w:after="0" w:line="13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Income tax benefit (provision) for the six months ended June 30, 2023 and 2022 was provisions of $1.6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$8.4 million, respectively. The provision for the six months ended June 30, 2023 is the result of income generated by our U.S. and foreign operations for which tax expense has been recognized based on a full year estimated U.S. and foreign income tax liability, offset by a true-up of the 2022 tax provision to the 2022 tax return.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As of June 30, 2023, our aggregate sources of liquidity include cash and cash equivalents and restricted cash of $233.5 million, short-term investments of $79.9 million and long-term investments of $0.1 million. We have no indebtedness. Our cash and cash equivalents primarily include checking accounts and money market funds with original maturities of less than 90 days. Our short-term investments consist of securities that will be due in one year or less. Our long-term investments consist of securities that will mature between one and two years.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87" w:lineRule="exact"/>
        <w:rPr>
          <w:sz w:val="20"/>
          <w:szCs w:val="20"/>
          <w:color w:val="auto"/>
        </w:rPr>
      </w:pPr>
    </w:p>
    <w:p>
      <w:pPr>
        <w:ind w:right="800" w:firstLine="509"/>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condensed consolidated statements of cash flows, are summarized in the following table:</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4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w w:val="83"/>
              </w:rPr>
              <w:t>2022</w:t>
            </w:r>
          </w:p>
        </w:tc>
        <w:tc>
          <w:tcPr>
            <w:tcW w:w="120" w:type="dxa"/>
            <w:vAlign w:val="bottom"/>
          </w:tcPr>
          <w:p>
            <w:pPr>
              <w:spacing w:after="0"/>
              <w:rPr>
                <w:sz w:val="14"/>
                <w:szCs w:val="14"/>
                <w:color w:val="auto"/>
              </w:rPr>
            </w:pPr>
          </w:p>
        </w:tc>
      </w:tr>
      <w:tr>
        <w:trPr>
          <w:trHeight w:val="237"/>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(163.4 )</w:t>
            </w:r>
          </w:p>
        </w:tc>
      </w:tr>
      <w:tr>
        <w:trPr>
          <w:trHeight w:val="249"/>
        </w:trPr>
        <w:tc>
          <w:tcPr>
            <w:tcW w:w="6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FF0FC"/>
          </w:tcPr>
          <w:p>
            <w:pPr>
              <w:spacing w:after="0"/>
              <w:rPr>
                <w:sz w:val="21"/>
                <w:szCs w:val="21"/>
                <w:color w:val="auto"/>
              </w:rPr>
            </w:pPr>
          </w:p>
        </w:tc>
      </w:tr>
      <w:tr>
        <w:trPr>
          <w:trHeight w:val="237"/>
        </w:trPr>
        <w:tc>
          <w:tcPr>
            <w:tcW w:w="64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(0.3 )</w:t>
            </w:r>
          </w:p>
        </w:tc>
      </w:tr>
      <w:tr>
        <w:trPr>
          <w:trHeight w:val="277"/>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 and cash equivalents and restricted cash</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7683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4" w:lineRule="exact"/>
        <w:rPr>
          <w:sz w:val="20"/>
          <w:szCs w:val="20"/>
          <w:color w:val="auto"/>
        </w:rPr>
      </w:pPr>
    </w:p>
    <w:p>
      <w:pPr>
        <w:jc w:val="both"/>
        <w:ind w:right="160" w:firstLine="509"/>
        <w:spacing w:after="0" w:line="271" w:lineRule="auto"/>
        <w:rPr>
          <w:sz w:val="20"/>
          <w:szCs w:val="20"/>
          <w:color w:val="auto"/>
        </w:rPr>
      </w:pPr>
      <w:r>
        <w:rPr>
          <w:rFonts w:ascii="Arial" w:cs="Arial" w:eastAsia="Arial" w:hAnsi="Arial"/>
          <w:sz w:val="17"/>
          <w:szCs w:val="17"/>
          <w:color w:val="auto"/>
        </w:rPr>
        <w:t>Net cash provided by operating activities increased during the six months ended June 30, 2023 as compared to net cash used in operating activities during the same period in 2022. This is primarily as a result of increased costs associated with commercial and pre-launch operations in Europe as well as an increase in inventory purchases in the first half of 2022, offset by a decrease in U.S. product revenue in 2023.</w:t>
      </w: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ind w:right="60" w:firstLine="509"/>
        <w:spacing w:after="0" w:line="259" w:lineRule="auto"/>
        <w:rPr>
          <w:sz w:val="20"/>
          <w:szCs w:val="20"/>
          <w:color w:val="auto"/>
        </w:rPr>
      </w:pPr>
      <w:r>
        <w:rPr>
          <w:rFonts w:ascii="Arial" w:cs="Arial" w:eastAsia="Arial" w:hAnsi="Arial"/>
          <w:sz w:val="18"/>
          <w:szCs w:val="18"/>
          <w:color w:val="auto"/>
        </w:rPr>
        <w:t>Net cash provided by investing activities during the six months ended June 30, 2023 decreased due primarily to proceeds from the maturity of $97.0 million in investment-grade interest bearing instruments, partially offset by $82.3 million in purchases of the investment-grade interest bearing instruments as compared to the same period in 2022 where proceeds from the maturity of investment-grade interest bearing instruments was $186.4 million, partially offset by $14.2 million in purchases of investment-grade interest bearing instruments.</w:t>
      </w:r>
    </w:p>
    <w:p>
      <w:pPr>
        <w:spacing w:after="0" w:line="7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Net cash provided by financing activities during the six months ended June 30, 2023 as compared to net cash used in financing activities during the same period in 2022 was primarily as a result of an increase in proceeds related to stock option exercises, offset by taxes paid related to stock-based awards.</w:t>
      </w:r>
    </w:p>
    <w:p>
      <w:pPr>
        <w:spacing w:after="0" w:line="76"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As of June 30, 2023, we had net accounts receivable of $122.7 million, current inventory of $227.0 million and long-term inventory of $122.3 million. We have incurred annual operating losses since our inception and, as a result, we had an accumulated deficit of $1.6 billion as of June 30, 2023. We anticipate that quarterly net cash outflows in future periods will continue to be variable as a result of the timing of certain items, including our purchases of API, the generic competition in the United States and pricing and reimbursement of VAZKEPA in Europe.</w:t>
      </w:r>
    </w:p>
    <w:p>
      <w:pPr>
        <w:spacing w:after="0" w:line="63"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 June 2022, we announced our Comprehensive Cost Reduction Plan to address shifts within our U.S. business which would result in savings of $100.0 million over 12 months compared to 2021 operating expenses. We exceeded the $100.0 million in savings during this 12 month period. In July 2023, we announced that we were implementing the ORP resulting in the elimination and consolidation of certain roles across the organization, both in the United States and abroad, representing a reduction of our total employee base by approximately 30%. In the U.S., all sales force positions were eliminated, with the managed care and trade organization continuing to support U.S. commercial efforts, and 30% of non-sales positions were eliminated, while in Europe we have redesigned our commercial infrastructure to better align with pricing and reimbursement status, commercial progress to date, as well as streamlining certain cross-geographic functions and better leveraging learnings across countries. We expect these actions will reduce operating costs by approximately $40.0 million annually.</w:t>
      </w:r>
    </w:p>
    <w:p>
      <w:pPr>
        <w:spacing w:after="0" w:line="70" w:lineRule="exact"/>
        <w:rPr>
          <w:sz w:val="20"/>
          <w:szCs w:val="20"/>
          <w:color w:val="auto"/>
        </w:rPr>
      </w:pPr>
    </w:p>
    <w:p>
      <w:pPr>
        <w:ind w:right="60" w:firstLine="599"/>
        <w:spacing w:after="0" w:line="293" w:lineRule="auto"/>
        <w:rPr>
          <w:sz w:val="20"/>
          <w:szCs w:val="20"/>
          <w:color w:val="auto"/>
        </w:rPr>
      </w:pPr>
      <w:r>
        <w:rPr>
          <w:rFonts w:ascii="Arial" w:cs="Arial" w:eastAsia="Arial" w:hAnsi="Arial"/>
          <w:sz w:val="16"/>
          <w:szCs w:val="16"/>
          <w:color w:val="auto"/>
        </w:rPr>
        <w:t>As of June 30, 2023, we had cash and cash equivalents of $233.0 million and short-term investments of $79.9 million. In accordance with ASC 205-40, management is required to evaluate our ability to continue as a going concern for at least one year after the date the financial statements are issued. We believe that our cash and cash equivalents and our short-term investments will be sufficient to fund our projected operations for at least one year from the issuance date of our unaudited condensed consolidated financial statements included elsewhere in this Quarterly Report and are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Our contractual obligations consist mainly of payments related to purchase obligations with certain supply chain contracting parties and operating leases related to real estate used as office space.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80" w:lineRule="exact"/>
        <w:rPr>
          <w:sz w:val="20"/>
          <w:szCs w:val="20"/>
          <w:color w:val="auto"/>
        </w:rPr>
      </w:pPr>
    </w:p>
    <w:p>
      <w:pPr>
        <w:jc w:val="both"/>
        <w:ind w:right="60" w:firstLine="509"/>
        <w:spacing w:after="0" w:line="342" w:lineRule="auto"/>
        <w:rPr>
          <w:sz w:val="20"/>
          <w:szCs w:val="20"/>
          <w:color w:val="auto"/>
        </w:rPr>
      </w:pPr>
      <w:r>
        <w:rPr>
          <w:rFonts w:ascii="Arial" w:cs="Arial" w:eastAsia="Arial" w:hAnsi="Arial"/>
          <w:sz w:val="16"/>
          <w:szCs w:val="16"/>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 w:lineRule="exact"/>
        <w:rPr>
          <w:sz w:val="20"/>
          <w:szCs w:val="20"/>
          <w:color w:val="auto"/>
        </w:rPr>
      </w:pPr>
    </w:p>
    <w:p>
      <w:pPr>
        <w:ind w:right="460" w:firstLine="509"/>
        <w:spacing w:after="0" w:line="258"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of June 30, 2023. Based on such evaluation, our principal executive 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160"/>
        <w:spacing w:after="0" w:line="277" w:lineRule="auto"/>
        <w:rPr>
          <w:sz w:val="20"/>
          <w:szCs w:val="20"/>
          <w:color w:val="auto"/>
        </w:rPr>
      </w:pPr>
      <w:r>
        <w:rPr>
          <w:rFonts w:ascii="Arial" w:cs="Arial" w:eastAsia="Arial" w:hAnsi="Arial"/>
          <w:sz w:val="18"/>
          <w:szCs w:val="18"/>
          <w:color w:val="auto"/>
        </w:rPr>
        <w:t>and principal financial officer have concluded that as of June 30, 2023, our disclosure controls and procedures were effective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During the quarter ended June 30, 2023,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 xml:space="preserve">In the ordinary course of business, we are from time to time involved in lawsuits, claims, investigations, proceedings, and threats of litigation relating to intellectual property, commercial arrangements and other matters. Information regarding reportable legal proceedings is contained in “Item 3. Legal Proceedings” of our Annual Report. Refer to Note 5 – Commitments and Contingencies in this Quarterly Report for any legal proceedings that became reportable during the three and six months ended June 30, 2023, and updates any descriptions of previously reported legal proceedings in which there have been material developments during such period. The discussion of legal proceedings included within </w:t>
      </w:r>
      <w:r>
        <w:rPr>
          <w:rFonts w:ascii="Arial" w:cs="Arial" w:eastAsia="Arial" w:hAnsi="Arial"/>
          <w:sz w:val="18"/>
          <w:szCs w:val="18"/>
          <w:i w:val="1"/>
          <w:iCs w:val="1"/>
          <w:color w:val="auto"/>
        </w:rPr>
        <w:t>Note 5 – Commitments and Contingencies</w:t>
      </w:r>
      <w:r>
        <w:rPr>
          <w:rFonts w:ascii="Arial" w:cs="Arial" w:eastAsia="Arial" w:hAnsi="Arial"/>
          <w:sz w:val="18"/>
          <w:szCs w:val="18"/>
          <w:color w:val="auto"/>
        </w:rPr>
        <w:t xml:space="preserve"> is incorporated into this Item 1 by reference.</w:t>
      </w:r>
    </w:p>
    <w:p>
      <w:pPr>
        <w:spacing w:after="0" w:line="2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Except where denoted with an “*”, these risk factors have not been materially updated from our Annual Report on 10-K for the year ended December 31, 2022 filed with the SEC on March 1, 2023, or our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67" w:lineRule="exact"/>
        <w:rPr>
          <w:sz w:val="20"/>
          <w:szCs w:val="20"/>
          <w:color w:val="auto"/>
        </w:rPr>
      </w:pPr>
    </w:p>
    <w:p>
      <w:pPr>
        <w:ind w:left="900" w:right="60" w:hanging="383"/>
        <w:spacing w:after="0" w:line="232"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substantially dependent upon VASCEPA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(icosapent ethyl), its commercialization in the United States and its development, launch and commercialization in Europe and other major markets.</w:t>
      </w:r>
    </w:p>
    <w:p>
      <w:pPr>
        <w:spacing w:after="0" w:line="95" w:lineRule="exact"/>
        <w:rPr>
          <w:rFonts w:ascii="Arial" w:cs="Arial" w:eastAsia="Arial" w:hAnsi="Arial"/>
          <w:sz w:val="18"/>
          <w:szCs w:val="18"/>
          <w:color w:val="auto"/>
        </w:rPr>
      </w:pPr>
    </w:p>
    <w:p>
      <w:pPr>
        <w:ind w:left="900" w:right="4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United States, we face increasing competition from generic drug companies in the near term and our revenues and results could continue to be materially and adversely affected.</w:t>
      </w:r>
    </w:p>
    <w:p>
      <w:pPr>
        <w:spacing w:after="0" w:line="62" w:lineRule="exact"/>
        <w:rPr>
          <w:rFonts w:ascii="Arial" w:cs="Arial" w:eastAsia="Arial" w:hAnsi="Arial"/>
          <w:sz w:val="18"/>
          <w:szCs w:val="18"/>
          <w:color w:val="auto"/>
        </w:rPr>
      </w:pPr>
    </w:p>
    <w:p>
      <w:pPr>
        <w:ind w:left="900" w:right="100" w:hanging="383"/>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15" w:lineRule="exact"/>
        <w:rPr>
          <w:rFonts w:ascii="Arial" w:cs="Arial" w:eastAsia="Arial" w:hAnsi="Arial"/>
          <w:sz w:val="16"/>
          <w:szCs w:val="16"/>
          <w:color w:val="auto"/>
        </w:rPr>
      </w:pPr>
    </w:p>
    <w:p>
      <w:pPr>
        <w:ind w:left="900" w:hanging="383"/>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commercial value of VASCEPA outside the United States may be smaller than we anticipate, including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75"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Factors outside of our control make it more difficult for VASCEPA to achieve a level of market acceptance by physicians, patients, healthcare payors and others in the medical community at levels sufficient to achieve commercial success.</w:t>
      </w:r>
    </w:p>
    <w:p>
      <w:pPr>
        <w:spacing w:after="0" w:line="62" w:lineRule="exact"/>
        <w:rPr>
          <w:rFonts w:ascii="Arial" w:cs="Arial" w:eastAsia="Arial" w:hAnsi="Arial"/>
          <w:sz w:val="18"/>
          <w:szCs w:val="18"/>
          <w:color w:val="auto"/>
        </w:rPr>
      </w:pPr>
    </w:p>
    <w:p>
      <w:pPr>
        <w:ind w:left="900" w:right="300" w:hanging="383"/>
        <w:spacing w:after="0" w:line="34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recently announced Organizational Restructuring Program, or ORP, and any similar efforts we may undertake in the future, may not be successful in mitigating risks and challenges associated with our U.S. business and establishing a more significant international footprint.</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manufacture, supply and commercialization, including promotional activities, of VASCEPA is subject to regulatory scrutiny.</w:t>
      </w:r>
    </w:p>
    <w:p>
      <w:pPr>
        <w:spacing w:after="0" w:line="117" w:lineRule="exact"/>
        <w:rPr>
          <w:rFonts w:ascii="Arial" w:cs="Arial" w:eastAsia="Arial" w:hAnsi="Arial"/>
          <w:sz w:val="18"/>
          <w:szCs w:val="18"/>
          <w:color w:val="auto"/>
        </w:rPr>
      </w:pPr>
    </w:p>
    <w:p>
      <w:pPr>
        <w:ind w:left="900" w:right="140" w:hanging="383"/>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our competitors’ pharmaceutical products, including generic products. In addition, we face competition from omega-3 fatty acids that are marketed by other companies as non-prescription dietary supplements, subjecting us to non-prescription competition and consumer substitution.</w:t>
      </w:r>
    </w:p>
    <w:p>
      <w:pPr>
        <w:spacing w:after="0" w:line="75" w:lineRule="exact"/>
        <w:rPr>
          <w:rFonts w:ascii="Arial" w:cs="Arial" w:eastAsia="Arial" w:hAnsi="Arial"/>
          <w:sz w:val="18"/>
          <w:szCs w:val="18"/>
          <w:color w:val="auto"/>
        </w:rPr>
      </w:pPr>
    </w:p>
    <w:p>
      <w:pPr>
        <w:ind w:left="900" w:right="320" w:hanging="383"/>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dependence on third parties in the distribution channel from our manufacturers to patients subjects us to risks that limit our profitability</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 could limit our ability to supply VASCEPA to large market segments.</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ind w:left="900" w:right="40" w:hanging="383"/>
        <w:spacing w:after="0" w:line="27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63" w:lineRule="exact"/>
        <w:rPr>
          <w:rFonts w:ascii="Arial" w:cs="Arial" w:eastAsia="Arial" w:hAnsi="Arial"/>
          <w:sz w:val="17"/>
          <w:szCs w:val="17"/>
          <w:color w:val="auto"/>
        </w:rPr>
      </w:pPr>
    </w:p>
    <w:p>
      <w:pPr>
        <w:ind w:left="900" w:right="100" w:hanging="383"/>
        <w:spacing w:after="0" w:line="28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57" w:lineRule="exact"/>
        <w:rPr>
          <w:rFonts w:ascii="Arial" w:cs="Arial" w:eastAsia="Arial" w:hAnsi="Arial"/>
          <w:sz w:val="17"/>
          <w:szCs w:val="17"/>
          <w:color w:val="auto"/>
        </w:rPr>
      </w:pPr>
    </w:p>
    <w:p>
      <w:pPr>
        <w:jc w:val="both"/>
        <w:ind w:left="900" w:right="400" w:hanging="383"/>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1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25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b w:val="1"/>
          <w:bCs w:val="1"/>
          <w:i w:val="1"/>
          <w:iCs w:val="1"/>
          <w:color w:val="auto"/>
        </w:rPr>
        <w:t>We are substantially dependent upon VASCEPA (icosapent ethyl), its commercialization in the United States and its development, launch and commercialization in Europe and other major markets.</w:t>
      </w:r>
    </w:p>
    <w:p>
      <w:pPr>
        <w:spacing w:after="0" w:line="6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currently derive substantially all of our revenue from sales of VASCEPA. We may be substantially dependent on sales of VASCEPA for many years. Our financial condition and the success of our company will be materially adversely affected, we may have to further restructure our current operations, and our business prospects will be limited, if we experience any negative developments relating to VASCEPA. For example, in the first quarter of 2020, the U.S. District Court for the District of Nevada issued a ruling in favor of two generic drug companies, Dr. Reddy's Laboratories, Inc., or Dr. Reddy's, and Hikma Pharmaceuticals USA Inc., or Hikma, and certain of their affiliates, that declared as invalid several patents of ours protecting the first U.S. FDA-approved use of our drug, to reduce severely high triglyceride levels, or the MARINE indication, or the ANDA litigation. We were unsuccessful in our appeals and our stock price was adversely and materially impacted by the ruling, the results of the appeals process and the introduction of generic competition. If other proprietary rights protecting VASCEPA or its use are challenged, our stock price could further decline, particularly if such challenges, which are costly to defend, are successful.</w:t>
      </w:r>
    </w:p>
    <w:p>
      <w:pPr>
        <w:spacing w:after="0" w:line="73"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Although we are exploring ways to broaden our development and commercial pipeline, such efforts are likely to be time consuming, costly and may utilize resources that could otherwise be focused on commercializing VASCEPA. It took over a decade of preceding product development before we received marketing approval for VAZKEPA in March 2021 from the European Commission, or the EC.</w:t>
      </w:r>
    </w:p>
    <w:p>
      <w:pPr>
        <w:spacing w:after="0" w:line="76"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Likewise, if we seek to diversify our development programs or product offerings through licensing or acquisitions, such transactions are also time consuming, may be dilutive to existing shareholdings, and may be initially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20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b w:val="1"/>
          <w:bCs w:val="1"/>
          <w:i w:val="1"/>
          <w:iCs w:val="1"/>
          <w:color w:val="auto"/>
        </w:rPr>
        <w:t>*In the United States, we face increasing competition from generic drug companies in the near term and our revenues and results of operations could continue to be materially and adversely affected.</w:t>
      </w:r>
    </w:p>
    <w:p>
      <w:pPr>
        <w:spacing w:after="0" w:line="6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Following the ANDA litigation rulings against the Company, generic versions of VASCEPA began launching in the United States in November 2020, and several generic versions are currently available, including for both the 0.5-gram and 1-gram capsules, and we expect that VASCEPA could face more competition from generic companies in the United States. Increasing sales of generic versions of VASCEPA could continue to have a material and adverse impact on our revenues and results of operations in the United States.</w:t>
      </w:r>
    </w:p>
    <w:p>
      <w:pPr>
        <w:spacing w:after="0" w:line="79" w:lineRule="exact"/>
        <w:rPr>
          <w:sz w:val="20"/>
          <w:szCs w:val="20"/>
          <w:color w:val="auto"/>
        </w:rPr>
      </w:pPr>
    </w:p>
    <w:p>
      <w:pPr>
        <w:ind w:right="180" w:firstLine="509"/>
        <w:spacing w:after="0" w:line="258" w:lineRule="auto"/>
        <w:rPr>
          <w:sz w:val="20"/>
          <w:szCs w:val="20"/>
          <w:color w:val="auto"/>
        </w:rPr>
      </w:pPr>
      <w:r>
        <w:rPr>
          <w:rFonts w:ascii="Arial" w:cs="Arial" w:eastAsia="Arial" w:hAnsi="Arial"/>
          <w:sz w:val="18"/>
          <w:szCs w:val="18"/>
          <w:color w:val="auto"/>
        </w:rPr>
        <w:t>Generally, once a generic version of a drug is available in the market, the generic version is typically used in many U.S. states to fill a prescription for any use of the drug, subject to state substitution laws. Although, we intend to vigorously defend our intellectual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60"/>
        <w:spacing w:after="0" w:line="308" w:lineRule="auto"/>
        <w:rPr>
          <w:sz w:val="20"/>
          <w:szCs w:val="20"/>
          <w:color w:val="auto"/>
        </w:rPr>
      </w:pPr>
      <w:r>
        <w:rPr>
          <w:rFonts w:ascii="Arial" w:cs="Arial" w:eastAsia="Arial" w:hAnsi="Arial"/>
          <w:sz w:val="17"/>
          <w:szCs w:val="17"/>
          <w:color w:val="auto"/>
        </w:rPr>
        <w:t>property rights related to VASCEPA, there can be no assurance that we will be successful in preventing use of generic versions of VASCEPA in indications for which they have not been approved by the U.S. FDA, even if such use is determined to infringe certain of our patent claims.</w:t>
      </w:r>
    </w:p>
    <w:p>
      <w:pPr>
        <w:spacing w:after="0" w:line="3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Given the changing dynamic in the U.S. market, in 2022 we initiated cost and organizational restructuring plans which reduced our U.S. commercial team from approximately 300 sales representatives to approximately 75 sales representatives by the end of 2022, and in July 2023 all remaining sales force positions in the U.S. were eliminated and our overall headcount was reduced by 30% as part of our Organizational Restructuring Program, or ORP.</w:t>
      </w:r>
    </w:p>
    <w:p>
      <w:pPr>
        <w:spacing w:after="0" w:line="2" w:lineRule="exact"/>
        <w:rPr>
          <w:sz w:val="20"/>
          <w:szCs w:val="20"/>
          <w:color w:val="auto"/>
        </w:rPr>
      </w:pPr>
    </w:p>
    <w:p>
      <w:pPr>
        <w:jc w:val="both"/>
        <w:ind w:right="640"/>
        <w:spacing w:after="0" w:line="323" w:lineRule="auto"/>
        <w:rPr>
          <w:sz w:val="20"/>
          <w:szCs w:val="20"/>
          <w:color w:val="auto"/>
        </w:rPr>
      </w:pPr>
      <w:r>
        <w:rPr>
          <w:rFonts w:ascii="Arial" w:cs="Arial" w:eastAsia="Arial" w:hAnsi="Arial"/>
          <w:sz w:val="16"/>
          <w:szCs w:val="16"/>
          <w:color w:val="auto"/>
        </w:rPr>
        <w:t>Although these initiatives are expected to result in an improved expense structure, such efforts could impact employee morale and make hiring and retaining talented personnel more challenging, may not result in all of the cost savings or other benefits we anticipate, and are costly to implement.</w:t>
      </w:r>
    </w:p>
    <w:p>
      <w:pPr>
        <w:spacing w:after="0" w:line="165"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b w:val="1"/>
          <w:bCs w:val="1"/>
          <w:i w:val="1"/>
          <w:iCs w:val="1"/>
          <w:color w:val="auto"/>
        </w:rPr>
        <w:t>In Europe, we are seeking relevant pricing approvals in various countries; however, we may not be successful in obtaining such approvals in a timely manner or at all and even if successfully obtained, we may not be successful in commercializing VAZKEPA in Europe.</w:t>
      </w:r>
    </w:p>
    <w:p>
      <w:pPr>
        <w:spacing w:after="0" w:line="16"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continue our development efforts to support commercialization of VASCEPA in major markets outside the United States, particularly in light of the level of competition, including from generic products, in the United States, and as part of our ORP, we intend to redesign our commercial infrastructure in Europe and work on generating revenues in other international markets as well. This process is conducted on a country-by-country basis and is time consuming and complex, and, even though the EC approved the marketing authorization for VAZKEPA in March 2021, and we have received positive national pricing and reimbursement decisions in certain countries, including, England and Wales, Spain, Sweden and Finland, there is no guarantee that we will be able to negotiate and obtain further reimbursement and pricing terms on favorable terms, or at all, in the countries where we are pursuing commercialization. Further, successful progress or pricing terms in one country may not be indicative of our outcomes in other jurisdictions. For example, although the UK’s National Institute for Health and Care Excellence, or NICE, announced final guidance for reimbursement for VAZKEPA® and use across the National Health Service, or NHS, in England and Wales, we decided to discontinue business operations in Germany following the conclusion of negotiations with the National Association of Statutory Health Insurance Funds during which a viable agreement on the reimbursement price of VAZKEPA could not be reached. The Arbitration Board process concluded without an agreement in November 2022 and although we plan to resubmit a pricing and reimbursement dossier with new data in Germany, we may be unable to resume commercial operations in Germany. We may not be successful in obtaining additional approvals in a timely manner with acceptable terms, or in additional countries, and if we are unable to do so, and continue to face increased competition in the United States, our financial position could be materially and adversely impacted.</w:t>
      </w:r>
    </w:p>
    <w:p>
      <w:pPr>
        <w:spacing w:after="0" w:line="63"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have been developing VAZKEPA on our own in Europe, where we have limited experience. We are exploring possible strategic collaborations in smaller markets within Europe and in other major markets, which will increase our reliance on third parties, over whom we have limited control. We currently have multiple partners for the development and commercialization of VASCEPA in select geographies and are assessing potential partners to commercialize VASCEPA in other parts of the world. We have strategic collaborations for the development and commercialization of VASCEPA in Canada, the Middle East, Australia, New Zealand and Greater China. However, we cannot make any guarantees as to the success of these efforts or that our beliefs about the value potential are accurate, or that we will be able to rely upon these third parties; if commercialization plans for VASCEPA do not meet expectations in major markets such as the United States and Europe, our business and prospects could be materially and adversely affected.</w:t>
      </w:r>
    </w:p>
    <w:p>
      <w:pPr>
        <w:spacing w:after="0" w:line="193"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b w:val="1"/>
          <w:bCs w:val="1"/>
          <w:i w:val="1"/>
          <w:iCs w:val="1"/>
          <w:color w:val="auto"/>
        </w:rPr>
        <w:t>The commercial value of VASCEPA outside the United States may be smaller than we anticipate, including if we are unable to secure favorable product pricing and reimbursement levels, which vary from country to country. If we are unable to realize product reimbursement rates at reasonable price levels, or at all, patient access to VASCEPA may be limited.</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There can be no assurance as to the market for VASCEPA outside the United States, or we may face challenges in successfully achieving market opportunities available to us. Despite having received EC approval to commercialize VAZKEPA in Europe and approval elsewhere around the world, applicable regulatory agencies may impose restrictions on the product’s conditions for use, distribution or marketing, and in some cases may impose ongoing requirements for post-market surveillance, post-approval studies or clinical trials, any of which could limit the market opportunity, or our ability to capitalize on such opportunity, for VASCEPA.</w:t>
      </w:r>
    </w:p>
    <w:p>
      <w:pPr>
        <w:spacing w:after="0" w:line="80"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and these negotiations are not always successful. For example, after the conclusion of negotiations with the National Association of Statutory Health Insurance Funds, a viable agreement on the reimbursement price of VAZKEPA in Germany could not be reached. As a result of the negotiation outcome, we discontinued our German operations as of September 1, 2022. In November 2022, the Arbitration Board process concluded without an agreement.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20" w:firstLine="509"/>
        <w:spacing w:after="0" w:line="293" w:lineRule="auto"/>
        <w:rPr>
          <w:sz w:val="20"/>
          <w:szCs w:val="20"/>
          <w:color w:val="auto"/>
        </w:rPr>
      </w:pPr>
      <w:r>
        <w:rPr>
          <w:rFonts w:ascii="Arial" w:cs="Arial" w:eastAsia="Arial" w:hAnsi="Arial"/>
          <w:sz w:val="16"/>
          <w:szCs w:val="16"/>
          <w:color w:val="auto"/>
        </w:rPr>
        <w:t>Further, in certain European countries, securing product reimbursement is a requisite to commercial launch. To obtain reimbursement or pricing approval in some countries, we may be required to conduct a pharmacoeconomic study that compares the cost effectiveness of VASCEPA to other available therapies. Such pharmacoeconomic studies can be costly and the results uncertain. The time required to secure reimbursement tends to vary from country to country and cannot be reliably predicted at this time.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56"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We, or our partners, may even choose to not proceed with marketing VASCEPA in a market, even after obtaining all necessary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0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may be unsuccessful in expanding our global footprint. We are launching VAZKEPA on our own in the most commercially significant markets in Europe, and intend to redesign our commercial infrastructure in Europe. The commercial launch of a new pharmaceutical product is a complex and resource heavy undertaking for a company to manage and may be impacted by decisions by and interactions with local regulators. We have no prior experience as a company operating a commercial-stage pharmaceutical business in Europe. As noted above, a viable agreement on the reimbursement price of VAZKEPA in Germany could not be reached with German regulators and we have discontinued our Germany business operations.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could inhibit our efforts to successfully commercialize VASCEPA include:</w:t>
      </w:r>
    </w:p>
    <w:p>
      <w:pPr>
        <w:spacing w:after="0" w:line="117"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expiration of regulatory exclusivities and entry into the market of additional generic versions of VASCEPA;</w:t>
      </w:r>
    </w:p>
    <w:p>
      <w:pPr>
        <w:spacing w:after="0" w:line="117" w:lineRule="exact"/>
        <w:rPr>
          <w:rFonts w:ascii="Arial" w:cs="Arial" w:eastAsia="Arial" w:hAnsi="Arial"/>
          <w:sz w:val="18"/>
          <w:szCs w:val="18"/>
          <w:color w:val="auto"/>
        </w:rPr>
      </w:pPr>
    </w:p>
    <w:p>
      <w:pPr>
        <w:ind w:left="900" w:right="160" w:hanging="383"/>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inability to attract and retain adequate numbers of effective sales and marketing personnel and senior management, particularly in light of our recent reductions in force, including our ORP announced in July 2023, and turnover on the management team;</w:t>
      </w:r>
    </w:p>
    <w:p>
      <w:pPr>
        <w:spacing w:after="0" w:line="38" w:lineRule="exact"/>
        <w:rPr>
          <w:rFonts w:ascii="Arial" w:cs="Arial" w:eastAsia="Arial" w:hAnsi="Arial"/>
          <w:sz w:val="17"/>
          <w:szCs w:val="17"/>
          <w:color w:val="auto"/>
        </w:rPr>
      </w:pPr>
    </w:p>
    <w:p>
      <w:pPr>
        <w:ind w:left="900" w:right="70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and our inability to adequately monitor compliance with applicable regulatory and other legal requirements;</w:t>
      </w:r>
    </w:p>
    <w:p>
      <w:pPr>
        <w:spacing w:after="0" w:line="62"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obtain access to or persuade adequate numbers of physicians to prescribe or patients to use VASCEPA, particularly in light of our elimination of all U.S. sales force positions in July 2023 as part of our ORP;</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overestimating the addressable market for VASCEPA;</w:t>
      </w:r>
    </w:p>
    <w:p>
      <w:pPr>
        <w:spacing w:after="0" w:line="117" w:lineRule="exact"/>
        <w:rPr>
          <w:rFonts w:ascii="Arial" w:cs="Arial" w:eastAsia="Arial" w:hAnsi="Arial"/>
          <w:sz w:val="18"/>
          <w:szCs w:val="18"/>
          <w:color w:val="auto"/>
        </w:rPr>
      </w:pPr>
    </w:p>
    <w:p>
      <w:pPr>
        <w:ind w:left="900" w:right="360" w:hanging="383"/>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15" w:lineRule="exact"/>
        <w:rPr>
          <w:rFonts w:ascii="Arial" w:cs="Arial" w:eastAsia="Arial" w:hAnsi="Arial"/>
          <w:sz w:val="16"/>
          <w:szCs w:val="16"/>
          <w:color w:val="auto"/>
        </w:rPr>
      </w:pPr>
    </w:p>
    <w:p>
      <w:pPr>
        <w:ind w:left="900" w:right="160" w:hanging="383"/>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15" w:lineRule="exact"/>
        <w:rPr>
          <w:rFonts w:ascii="Arial" w:cs="Arial" w:eastAsia="Arial" w:hAnsi="Arial"/>
          <w:sz w:val="16"/>
          <w:szCs w:val="16"/>
          <w:color w:val="auto"/>
        </w:rPr>
      </w:pPr>
    </w:p>
    <w:p>
      <w:pPr>
        <w:ind w:left="900" w:right="30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inability by us or our partners to obtain regulatory and marketing approval or establish marketing channels in foreign jurisdictions;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lingering or resumed impact from COVID-19 on healthcare providers, patients and personnel.</w:t>
      </w:r>
    </w:p>
    <w:p>
      <w:pPr>
        <w:spacing w:after="0" w:line="117" w:lineRule="exact"/>
        <w:rPr>
          <w:sz w:val="20"/>
          <w:szCs w:val="20"/>
          <w:color w:val="auto"/>
        </w:rPr>
      </w:pPr>
    </w:p>
    <w:p>
      <w:pPr>
        <w:ind w:right="320" w:firstLine="509"/>
        <w:spacing w:after="0" w:line="258" w:lineRule="auto"/>
        <w:rPr>
          <w:sz w:val="20"/>
          <w:szCs w:val="20"/>
          <w:color w:val="auto"/>
        </w:rPr>
      </w:pPr>
      <w:r>
        <w:rPr>
          <w:rFonts w:ascii="Arial" w:cs="Arial" w:eastAsia="Arial" w:hAnsi="Arial"/>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860" w:firstLine="509"/>
        <w:spacing w:after="0" w:line="277" w:lineRule="auto"/>
        <w:rPr>
          <w:sz w:val="20"/>
          <w:szCs w:val="20"/>
          <w:color w:val="auto"/>
        </w:rPr>
      </w:pPr>
      <w:r>
        <w:rPr>
          <w:rFonts w:ascii="Arial" w:cs="Arial" w:eastAsia="Arial" w:hAnsi="Arial"/>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6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generics.</w:t>
      </w:r>
    </w:p>
    <w:p>
      <w:pPr>
        <w:spacing w:after="0" w:line="8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 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73"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dynamics and developments discussed above serve to create pressure on the pricing and potential usage of products throughout the pharmaceutical industry, including VASCEPA.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219" w:lineRule="exact"/>
        <w:rPr>
          <w:sz w:val="20"/>
          <w:szCs w:val="20"/>
          <w:color w:val="auto"/>
        </w:rPr>
      </w:pPr>
    </w:p>
    <w:p>
      <w:pPr>
        <w:ind w:right="520" w:firstLine="509"/>
        <w:spacing w:after="0" w:line="277" w:lineRule="auto"/>
        <w:rPr>
          <w:sz w:val="20"/>
          <w:szCs w:val="20"/>
          <w:color w:val="auto"/>
        </w:rPr>
      </w:pPr>
      <w:r>
        <w:rPr>
          <w:rFonts w:ascii="Arial" w:cs="Arial" w:eastAsia="Arial" w:hAnsi="Arial"/>
          <w:sz w:val="18"/>
          <w:szCs w:val="18"/>
          <w:b w:val="1"/>
          <w:bCs w:val="1"/>
          <w:i w:val="1"/>
          <w:iCs w:val="1"/>
          <w:color w:val="auto"/>
        </w:rPr>
        <w:t>Government and commercial payor actions outside of the United States have affected and will continue to affect access to and sales of our products.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Outside of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of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We as an organization have limited experience in navigating the pricing and reimbursement regimes outside of the United States. The foreign regimes are varied and complex, and this might hinder our effectiveness in establishing satisfactory pricing, coverage and reimbursement levels in a timely manner or at all.</w:t>
      </w:r>
    </w:p>
    <w:p>
      <w:pPr>
        <w:spacing w:after="0" w:line="198"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achieve commercial success.</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January 2013, we launched VASCEPA based on the U.S. FDA approval of our MARINE indication, for use as an adjunct to diet to reduce triglyceride levels in adult patients with severe (TG ³500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CV risk. The effect of VASCEPA on the risk for pancreatitis in patients with severe hypertriglyceridemia has not been determined and our U.S. FDA-approved labeling and promotional efforts state this fact.</w:t>
      </w:r>
    </w:p>
    <w:p>
      <w:pPr>
        <w:spacing w:after="0" w:line="8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or our REDUCE-IT indication.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20" w:firstLine="509"/>
        <w:spacing w:after="0" w:line="257" w:lineRule="auto"/>
        <w:rPr>
          <w:sz w:val="20"/>
          <w:szCs w:val="20"/>
          <w:color w:val="auto"/>
        </w:rPr>
      </w:pPr>
      <w:r>
        <w:rPr>
          <w:rFonts w:ascii="Arial" w:cs="Arial" w:eastAsia="Arial" w:hAnsi="Arial"/>
          <w:sz w:val="18"/>
          <w:szCs w:val="18"/>
          <w:color w:val="auto"/>
        </w:rPr>
        <w:t>Despite U.S. FDA approval for this indication and expanded label for VASCEPA, we may not meet expectations for market acceptance by physicians, patients, healthcare payors and others in the medical community for this approved use, especially in light of generic competition. If VASCEPA does not achieve an adequate level of acceptance, we may not generate product revenues sufficient to become profitable, or, even if we do achieve profitability, we may not be able to generate consistent profitability. The degree of market acceptance of VASCEPA for its approved indications and uses or otherwise will depend on a number of factors, including:</w:t>
      </w:r>
    </w:p>
    <w:p>
      <w:pPr>
        <w:spacing w:after="0" w:line="80"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and outcome of adjudicated, settled and pending patent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commercialization and pricing of any current or potential generic versions of VASCEPA;</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warnings in VASCEPA's approved labeling internationally;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peer review of different elements of data supporting our REDUCE-IT indication over time;</w:t>
      </w:r>
    </w:p>
    <w:p>
      <w:pPr>
        <w:spacing w:after="0" w:line="117" w:lineRule="exact"/>
        <w:rPr>
          <w:rFonts w:ascii="Arial" w:cs="Arial" w:eastAsia="Arial" w:hAnsi="Arial"/>
          <w:sz w:val="18"/>
          <w:szCs w:val="18"/>
          <w:color w:val="auto"/>
        </w:rPr>
      </w:pPr>
    </w:p>
    <w:p>
      <w:pPr>
        <w:ind w:left="900" w:right="108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continued review and analysis of the results of our clinical data supporting our REDUCE-IT indication by regulatory authorities internationally;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our therapies and of physicians to prescribe these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900" w:right="44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continually promote VASCEPA in the United States consistent with U.S. FDA-approved labeling and the related perception thereof;</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VASCEPA and its prescribed uses, on-label and off-label;</w:t>
      </w:r>
    </w:p>
    <w:p>
      <w:pPr>
        <w:spacing w:after="0" w:line="117" w:lineRule="exact"/>
        <w:rPr>
          <w:rFonts w:ascii="Arial" w:cs="Arial" w:eastAsia="Arial" w:hAnsi="Arial"/>
          <w:sz w:val="18"/>
          <w:szCs w:val="18"/>
          <w:color w:val="auto"/>
        </w:rPr>
      </w:pPr>
    </w:p>
    <w:p>
      <w:pPr>
        <w:ind w:left="900" w:right="40" w:hanging="383"/>
        <w:spacing w:after="0" w:line="263"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pandemics, international conflicts and political unrest, all of which could negatively impact our supply chain or inhibit our ability to promote VASCEPA regionally and which could negatively affect product demand by creating obstacles for patients to seek treatment and fill prescriptions;</w:t>
      </w:r>
    </w:p>
    <w:p>
      <w:pPr>
        <w:spacing w:after="0" w:line="75" w:lineRule="exact"/>
        <w:rPr>
          <w:rFonts w:ascii="Arial" w:cs="Arial" w:eastAsia="Arial" w:hAnsi="Arial"/>
          <w:sz w:val="18"/>
          <w:szCs w:val="18"/>
          <w:color w:val="auto"/>
        </w:rPr>
      </w:pPr>
    </w:p>
    <w:p>
      <w:pPr>
        <w:ind w:left="900" w:right="56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6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Any one or more of the above factors could have a negative impact on our ability to successfully commercialize VASCEPA, which would in turn have a negative impact on our financial condition.</w:t>
      </w:r>
    </w:p>
    <w:p>
      <w:pPr>
        <w:spacing w:after="0" w:line="197" w:lineRule="exact"/>
        <w:rPr>
          <w:sz w:val="20"/>
          <w:szCs w:val="20"/>
          <w:color w:val="auto"/>
        </w:rPr>
      </w:pPr>
    </w:p>
    <w:p>
      <w:pPr>
        <w:ind w:right="380" w:firstLine="509"/>
        <w:spacing w:after="0" w:line="308" w:lineRule="auto"/>
        <w:rPr>
          <w:sz w:val="20"/>
          <w:szCs w:val="20"/>
          <w:color w:val="auto"/>
        </w:rPr>
      </w:pPr>
      <w:r>
        <w:rPr>
          <w:rFonts w:ascii="Arial" w:cs="Arial" w:eastAsia="Arial" w:hAnsi="Arial"/>
          <w:sz w:val="17"/>
          <w:szCs w:val="17"/>
          <w:b w:val="1"/>
          <w:bCs w:val="1"/>
          <w:i w:val="1"/>
          <w:iCs w:val="1"/>
          <w:color w:val="auto"/>
        </w:rPr>
        <w:t>Additional data or related interpretations that are generated or arise over time related to REDUCE-IT might not meet expectations, and the perception of REDUCE-IT results and VASCEPA revenue potential may suffer and our stock price may decline.</w:t>
      </w:r>
    </w:p>
    <w:p>
      <w:pPr>
        <w:spacing w:after="0" w:line="3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While the U.S. FDA approved the expanded label for VASCEPA for the REDUCE-IT indication in 2019, additional data assessment by international regulatory authorities or otherwise could yield additional information to inform greater understanding of study outcome, which information could impact the perception of VASCEPA. Such data or interpretations may not be favorable for us.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80" w:lineRule="exact"/>
        <w:rPr>
          <w:sz w:val="20"/>
          <w:szCs w:val="20"/>
          <w:color w:val="auto"/>
        </w:rPr>
      </w:pPr>
    </w:p>
    <w:p>
      <w:pPr>
        <w:ind w:right="100" w:firstLine="509"/>
        <w:spacing w:after="0" w:line="269" w:lineRule="auto"/>
        <w:rPr>
          <w:sz w:val="20"/>
          <w:szCs w:val="20"/>
          <w:color w:val="auto"/>
        </w:rPr>
      </w:pPr>
      <w:r>
        <w:rPr>
          <w:rFonts w:ascii="Arial" w:cs="Arial" w:eastAsia="Arial" w:hAnsi="Arial"/>
          <w:sz w:val="17"/>
          <w:szCs w:val="17"/>
          <w:color w:val="auto"/>
        </w:rPr>
        <w:t>In addition, the same set of data can sometimes be interpreted to reach different conclusions, as when Health Canada approved an indication based on our REDUCE-IT trial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ind w:right="320" w:firstLine="509"/>
        <w:spacing w:after="0" w:line="342" w:lineRule="auto"/>
        <w:rPr>
          <w:sz w:val="20"/>
          <w:szCs w:val="20"/>
          <w:color w:val="auto"/>
        </w:rPr>
      </w:pPr>
      <w:r>
        <w:rPr>
          <w:rFonts w:ascii="Arial" w:cs="Arial" w:eastAsia="Arial" w:hAnsi="Arial"/>
          <w:sz w:val="16"/>
          <w:szCs w:val="16"/>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16" w:lineRule="exact"/>
        <w:rPr>
          <w:sz w:val="20"/>
          <w:szCs w:val="20"/>
          <w:color w:val="auto"/>
        </w:rPr>
      </w:pPr>
    </w:p>
    <w:p>
      <w:pPr>
        <w:ind w:left="900" w:right="48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those related to adverse events, including bleeding and atrial fibrillation generally and in different sub-populations);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62" w:lineRule="exact"/>
        <w:rPr>
          <w:sz w:val="20"/>
          <w:szCs w:val="20"/>
          <w:color w:val="auto"/>
        </w:rPr>
      </w:pPr>
    </w:p>
    <w:p>
      <w:pPr>
        <w:ind w:right="120" w:firstLine="509"/>
        <w:spacing w:after="0" w:line="279" w:lineRule="auto"/>
        <w:rPr>
          <w:sz w:val="20"/>
          <w:szCs w:val="20"/>
          <w:color w:val="auto"/>
        </w:rPr>
      </w:pPr>
      <w:r>
        <w:rPr>
          <w:rFonts w:ascii="Arial" w:cs="Arial" w:eastAsia="Arial" w:hAnsi="Arial"/>
          <w:sz w:val="17"/>
          <w:szCs w:val="17"/>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198"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b w:val="1"/>
          <w:bCs w:val="1"/>
          <w:i w:val="1"/>
          <w:iCs w:val="1"/>
          <w:color w:val="auto"/>
        </w:rPr>
        <w:t>Ongoing clinical trials or new clinical data involving VASCEPA and similar moderate-to-high doses of eicosapentaenoic acid or icosapent ethyl could adversely impact public perception of VASCEPA’s clinical profile and the commercial and regulatory prospects of VASCEPA.</w:t>
      </w:r>
    </w:p>
    <w:p>
      <w:pPr>
        <w:spacing w:after="0" w:line="1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Ongoing trials of moderate-to-high doses of VASCEPA and icosapent ethyl, or a similar eicosapentaenoic acid product, could render new or adverse information on the effects of VASCEPA and its commercial and regulatory prospects.</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Results from this study were presented during the 2022 American Heart Association Scientific Sessions in November 2022 and were consistent with the evidence from the REDUCE-IT study.</w:t>
      </w:r>
    </w:p>
    <w:p>
      <w:pPr>
        <w:spacing w:after="0" w:line="79"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China’s National Medical Products Administration, or NMPA, approved VASCEPA as an adjunct to diet to reduce the levels of triglyceride in adult patients suffering from severe hypertriglyceridemia (≥500mg/dL) and Edding is now working towards securing National Reimbursement Drug Listing for VASCEPA in Mainland China. Even though such results from these trials were positive, additional clinical development efforts may be necessary in these markets to demonstrate the effectiveness of VASCEPA, which may be costly to pursue, or may not produce the desired or expected results.</w:t>
      </w:r>
    </w:p>
    <w:p>
      <w:pPr>
        <w:spacing w:after="0" w:line="8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If the outcomes of any study involving VASCEPA and icosapent ethyl is unfavorable, the perception of existing clinical results of VASCEPA, such as MARINE or REDUCE-IT, or the perceived clinical profile and commercial value of VASCEPA and its regulatory status, or perceptions about the potential for VASCEPA, including as a treatment for broader indications, may suffer. If this occurs our revenue and business could suffer and our stock price could significantly decline.</w:t>
      </w:r>
    </w:p>
    <w:p>
      <w:pPr>
        <w:spacing w:after="0" w:line="214"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b w:val="1"/>
          <w:bCs w:val="1"/>
          <w:i w:val="1"/>
          <w:iCs w:val="1"/>
          <w:color w:val="auto"/>
        </w:rPr>
        <w:t>*Our recently announced organizational restructuring programs and cost reduction plans, and any similar efforts we may undertake in the future, may not be successful in mitigating risks and challenges associated with our U.S. business and establishing a more significant international footprint.</w:t>
      </w:r>
    </w:p>
    <w:p>
      <w:pPr>
        <w:spacing w:after="0" w:line="7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If we are not successful in our efforts to continue to market and sell VASCEPA in the United States, including following our recently announced ORP that eliminated all remaining sales force positions in the United States, with the managed care and trade organization remaining to support U.S. commercial efforts, and approximately 30% of non-sales positions, our anticipated revenues or our expenses could be materially adversely affected, and we may not maintain profitability in the United States or obtain profitability internationally. Further, we may need to cut back on research and development activities or we may need to implement other cost-containment measures, or we may need to raise additional funding that could result in substantial dilution or impose considerable restrictions on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7" w:name="page48"/>
    <w:bookmarkEnd w:id="47"/>
    <w:p>
      <w:pPr>
        <w:ind w:right="100" w:firstLine="509"/>
        <w:spacing w:after="0" w:line="257" w:lineRule="auto"/>
        <w:rPr>
          <w:sz w:val="20"/>
          <w:szCs w:val="20"/>
          <w:color w:val="auto"/>
        </w:rPr>
      </w:pPr>
      <w:r>
        <w:rPr>
          <w:rFonts w:ascii="Arial" w:cs="Arial" w:eastAsia="Arial" w:hAnsi="Arial"/>
          <w:sz w:val="18"/>
          <w:szCs w:val="18"/>
          <w:color w:val="auto"/>
        </w:rPr>
        <w:t>Our promotional initiatives have had to adjust over the last several years, given the impact of COVID-19 and international instability, which efforts have been costly and require considerable resources. Shifts from traditional face-to-face interactions to mostly virtual outreach, specifically, access to healthcare professionals through digital or other channels, were not as productive as in-person interactions in promoting use of VASCEPA and prior to the recently announced ORP, we had been pursuing increased face-to-face interactions with targeted health care professionals as protocols have eased and travel has resumed to pre-pandemic levels.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manufacture, supply and commercialization, including promotional activities, of VASCEPA is subject to regulatory scrutiny.</w:t>
      </w:r>
    </w:p>
    <w:p>
      <w:pPr>
        <w:spacing w:after="0" w:line="129"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the U.S. government, including the U.S. FDA, can, and is willing to seek to, prevent truthful and non-misleading speech related to off-label uses of U.S. FDA-approved products such as VASCEPA.</w:t>
      </w:r>
    </w:p>
    <w:p>
      <w:pPr>
        <w:spacing w:after="0" w:line="53"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As a result of a lawsuit that we and a group of independent physicians filed against the U.S. FDA in 2015, we were granted preliminary relief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The U.S. FDA did not appeal the court’s ruling and ultimately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7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w:t>
      </w:r>
    </w:p>
    <w:p>
      <w:pPr>
        <w:spacing w:after="0" w:line="76"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Promotional activities in the biotechnology and pharmaceutical industries generally are subject to considerable regulatory scrutiny and, may be subject to enhanced scrutiny to ensure that our promotion remains within the scope covered by the settlement.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Although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74" w:lineRule="exact"/>
        <w:rPr>
          <w:sz w:val="20"/>
          <w:szCs w:val="20"/>
          <w:color w:val="auto"/>
        </w:rPr>
      </w:pPr>
    </w:p>
    <w:p>
      <w:pPr>
        <w:ind w:right="360" w:firstLine="509"/>
        <w:spacing w:after="0" w:line="285" w:lineRule="auto"/>
        <w:rPr>
          <w:sz w:val="20"/>
          <w:szCs w:val="20"/>
          <w:color w:val="auto"/>
        </w:rPr>
      </w:pPr>
      <w:r>
        <w:rPr>
          <w:rFonts w:ascii="Arial" w:cs="Arial" w:eastAsia="Arial" w:hAnsi="Arial"/>
          <w:sz w:val="16"/>
          <w:szCs w:val="16"/>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right="100" w:firstLine="509"/>
        <w:spacing w:after="0" w:line="263" w:lineRule="auto"/>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 including generic products. In addition, we face competition from omega-3 fatty acids that are marketed by other companies as non-prescription dietary supplements, subjecting us to non-prescription competition and consumer substitution.</w:t>
      </w:r>
    </w:p>
    <w:p>
      <w:pPr>
        <w:spacing w:after="0" w:line="76"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We expect that the number of companies seeking to develop products and therapies similar to VASCEPA may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69"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companies such as Hikma, Dr. Reddy's, Apotex and Teva, all of which have greater resources than us, and with the potential for further generic versions being launched,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84"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We also face considerable competition in the United States from branded products and generic versions of competing branded products and</w:t>
      </w:r>
    </w:p>
    <w:p>
      <w:pPr>
        <w:spacing w:after="0" w:line="3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formulations, including Lovaza</w:t>
      </w:r>
      <w:r>
        <w:rPr>
          <w:rFonts w:ascii="Arial" w:cs="Arial" w:eastAsia="Arial" w:hAnsi="Arial"/>
          <w:sz w:val="21"/>
          <w:szCs w:val="21"/>
          <w:color w:val="auto"/>
          <w:vertAlign w:val="superscript"/>
        </w:rPr>
        <w:t>®</w:t>
      </w:r>
      <w:r>
        <w:rPr>
          <w:rFonts w:ascii="Arial" w:cs="Arial" w:eastAsia="Arial" w:hAnsi="Arial"/>
          <w:sz w:val="16"/>
          <w:szCs w:val="16"/>
          <w:color w:val="auto"/>
        </w:rPr>
        <w:t>, Tricor,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Trilipix</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Niaspan</w:t>
      </w:r>
      <w:r>
        <w:rPr>
          <w:rFonts w:ascii="Arial" w:cs="Arial" w:eastAsia="Arial" w:hAnsi="Arial"/>
          <w:sz w:val="21"/>
          <w:szCs w:val="21"/>
          <w:color w:val="auto"/>
          <w:vertAlign w:val="superscript"/>
        </w:rPr>
        <w:t>®</w:t>
      </w:r>
      <w:r>
        <w:rPr>
          <w:rFonts w:ascii="Arial" w:cs="Arial" w:eastAsia="Arial" w:hAnsi="Arial"/>
          <w:sz w:val="16"/>
          <w:szCs w:val="16"/>
          <w:color w:val="auto"/>
        </w:rPr>
        <w:t>, all of which have multiple generic competing versions. We compete with these drugs in our U.S. FDA-approved indicated uses, even though such products do not have U.S. FDA approval to reduce CV risk on top of statin therapy.</w:t>
      </w:r>
    </w:p>
    <w:p>
      <w:pPr>
        <w:spacing w:after="0" w:line="68"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Further, drugs in development that are expected to compete with VASCEPA if they are ultimately approved and commercialized, and the perceived safety and efficacy of such commercialized drugs or drug products, could have a negative impact on the perceived safety and efficacy of VASCEPA.</w:t>
      </w:r>
    </w:p>
    <w:p>
      <w:pPr>
        <w:spacing w:after="0" w:line="1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CV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CV risk reduction indication without the need in advance to conduct a long and expensive CV outcomes study.</w:t>
      </w:r>
    </w:p>
    <w:p>
      <w:pPr>
        <w:spacing w:after="0" w:line="88" w:lineRule="exact"/>
        <w:rPr>
          <w:sz w:val="20"/>
          <w:szCs w:val="20"/>
          <w:color w:val="auto"/>
        </w:rPr>
      </w:pPr>
    </w:p>
    <w:p>
      <w:pPr>
        <w:ind w:right="180" w:firstLine="509"/>
        <w:spacing w:after="0" w:line="272" w:lineRule="auto"/>
        <w:rPr>
          <w:sz w:val="20"/>
          <w:szCs w:val="20"/>
          <w:color w:val="auto"/>
        </w:rPr>
      </w:pPr>
      <w:r>
        <w:rPr>
          <w:rFonts w:ascii="Arial" w:cs="Arial" w:eastAsia="Arial" w:hAnsi="Arial"/>
          <w:sz w:val="17"/>
          <w:szCs w:val="17"/>
          <w:color w:val="auto"/>
        </w:rPr>
        <w:t>VASCEPA also faces competition from dietary supplement manufacturers marketing omega-3 products as nutritional supplements. Such products are classified as food, not as prescription drugs or over-the-counter drugs, by the U.S. FDA and other regulators.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69"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Consistent with the competitive landscape in the United States, our competitors outside of the United States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5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24"/>
          <w:szCs w:val="24"/>
          <w:color w:val="auto"/>
          <w:vertAlign w:val="superscript"/>
        </w:rPr>
        <w:t>®</w:t>
      </w:r>
      <w:r>
        <w:rPr>
          <w:rFonts w:ascii="Arial" w:cs="Arial" w:eastAsia="Arial" w:hAnsi="Arial"/>
          <w:sz w:val="18"/>
          <w:szCs w:val="18"/>
          <w:color w:val="auto"/>
        </w:rPr>
        <w:t>/Omacor</w:t>
      </w:r>
      <w:r>
        <w:rPr>
          <w:rFonts w:ascii="Arial" w:cs="Arial" w:eastAsia="Arial" w:hAnsi="Arial"/>
          <w:sz w:val="24"/>
          <w:szCs w:val="24"/>
          <w:color w:val="auto"/>
          <w:vertAlign w:val="superscript"/>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ind w:right="300" w:firstLine="509"/>
        <w:spacing w:after="0" w:line="277" w:lineRule="auto"/>
        <w:rPr>
          <w:sz w:val="20"/>
          <w:szCs w:val="20"/>
          <w:color w:val="auto"/>
        </w:rPr>
      </w:pPr>
      <w:r>
        <w:rPr>
          <w:rFonts w:ascii="Arial" w:cs="Arial" w:eastAsia="Arial" w:hAnsi="Arial"/>
          <w:sz w:val="18"/>
          <w:szCs w:val="18"/>
          <w:b w:val="1"/>
          <w:bCs w:val="1"/>
          <w:i w:val="1"/>
          <w:iCs w:val="1"/>
          <w:color w:val="auto"/>
        </w:rPr>
        <w:t>As generic competitors seek to compete with VASCEPA in the United States and elsewhere we could face additional challenges to our patents and additional patent litigation.</w:t>
      </w:r>
    </w:p>
    <w:p>
      <w:pPr>
        <w:spacing w:after="0" w:line="62"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6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79"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rFonts w:ascii="Arial" w:cs="Arial" w:eastAsia="Arial" w:hAnsi="Arial"/>
          <w:sz w:val="16"/>
          <w:szCs w:val="16"/>
          <w:color w:val="auto"/>
        </w:rPr>
      </w:pPr>
    </w:p>
    <w:p>
      <w:pPr>
        <w:ind w:left="1020" w:right="3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listed patent for the reference drug is invalid, unenforceable, or will not be infringed by the manufacture, use or sale of the product for which the ANDA or 505(b)(2) NDA is submitted.</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80"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74"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right="40"/>
        <w:spacing w:after="0" w:line="259" w:lineRule="auto"/>
        <w:rPr>
          <w:sz w:val="20"/>
          <w:szCs w:val="20"/>
          <w:color w:val="auto"/>
        </w:rPr>
      </w:pPr>
      <w:r>
        <w:rPr>
          <w:rFonts w:ascii="Arial" w:cs="Arial" w:eastAsia="Arial" w:hAnsi="Arial"/>
          <w:sz w:val="18"/>
          <w:szCs w:val="18"/>
          <w:color w:val="auto"/>
        </w:rPr>
        <w:t>results. Such three-year exclusivity protection precluded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such protection expired on December 13, 2022, three years from the date of U.S. FDA approval of the REDUCE-IT sNDA.</w:t>
      </w:r>
    </w:p>
    <w:p>
      <w:pPr>
        <w:spacing w:after="0" w:line="79"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cannot predict the outcome of the pending lawsuits, any appeals, or any subsequently filed lawsuits or inter partes review.</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80"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Generic versions of VASCEPA made available in the market, even if based on a MARINE indication, are often used to fill a prescription for any intended use of the drug. If any approved ANDA filers are able to supply the product in significant commercial quantities, generic companies could introduce generic versions of VASCEPA in the market, as Hikma, Dr. Reddy's, Apotex and Teva have done.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53"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generic market entries beginning in 2020 have limited our U.S. sales, and had an adverse impact on our business and results of operations.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06" w:lineRule="exact"/>
        <w:rPr>
          <w:sz w:val="20"/>
          <w:szCs w:val="20"/>
          <w:color w:val="auto"/>
        </w:rPr>
      </w:pPr>
    </w:p>
    <w:p>
      <w:pPr>
        <w:ind w:right="200" w:firstLine="509"/>
        <w:spacing w:after="0" w:line="273" w:lineRule="auto"/>
        <w:rPr>
          <w:sz w:val="20"/>
          <w:szCs w:val="20"/>
          <w:color w:val="auto"/>
        </w:rPr>
      </w:pPr>
      <w:r>
        <w:rPr>
          <w:rFonts w:ascii="Arial" w:cs="Arial" w:eastAsia="Arial" w:hAnsi="Arial"/>
          <w:sz w:val="17"/>
          <w:szCs w:val="17"/>
          <w:b w:val="1"/>
          <w:bCs w:val="1"/>
          <w:i w:val="1"/>
          <w:iCs w:val="1"/>
          <w:color w:val="auto"/>
        </w:rPr>
        <w:t>The active pharmaceutical ingredient in VASCEPA is difficult and time consuming to manufacture. It often requires considerable advanced planning and long-term financial commitments to ensure sufficient capacity is available when needed. Certain generic competitors filed lawsuits against us claiming we have engaged in anticompetitive practices related to our building of adequate supply for our needs, and government agencies are investigating our business as it relates to the supply of the active pharmaceutical ingredient in VASCEPA. Consumer lawsuits with similar allegations have also been filed. This dynamic and resulting regulatory scrutiny could be costly for us and could negatively and materially interfere with our business plans.</w:t>
      </w:r>
    </w:p>
    <w:p>
      <w:pPr>
        <w:spacing w:after="0" w:line="7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active pharmaceutical ingredient in VASCEPA is difficult and time consuming to manufacture, and often requires considerable advanced planning and necessitates long-term financial commitments to ensure sufficient capacity is available when needed. We have invested over a decade of resources and expenses to develop active pharmaceutical ingredient, or API, with our third-party supplier, and to otherwise build our supply chain, improve our technical knowhow, establish manufacturing processes and obtain related regulatory approvals to help enable our suppliers to supply our clinical and commercial needs globally. Despite such efforts, the stability of the supply chain is largely out of our control and is subject to market and supply volatility and the actions of third parties. Any disruption to the supply chain, including the manufacturing processes and availability of API, would be disruptive to our business and would have a negative impact on our results of operations.</w:t>
      </w:r>
    </w:p>
    <w:p>
      <w:pPr>
        <w:spacing w:after="0" w:line="6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In April 2021, Dr. Reddy’s filed a complaint against us in the United States District Court District of New Jersey (case no. 2:21-cv-10309) alleging various antitrust violations stemming from alleged anticompetitive practices related to the supply of API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that such alleged violations resulted in higher prices to consumers. In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1" w:name="page52"/>
    <w:bookmarkEnd w:id="51"/>
    <w:p>
      <w:pPr>
        <w:ind w:right="100"/>
        <w:spacing w:after="0" w:line="342" w:lineRule="auto"/>
        <w:rPr>
          <w:sz w:val="20"/>
          <w:szCs w:val="20"/>
          <w:color w:val="auto"/>
        </w:rPr>
      </w:pPr>
      <w:r>
        <w:rPr>
          <w:rFonts w:ascii="Arial" w:cs="Arial" w:eastAsia="Arial" w:hAnsi="Arial"/>
          <w:sz w:val="16"/>
          <w:szCs w:val="16"/>
          <w:color w:val="auto"/>
        </w:rPr>
        <w:t>addition, in February 2023, Hikma filed a complaint against us in the United States District Court District of New Jersey (case no. 3:23-cv-01016) making allegations consistent with the Dr. Reddy's complaint. Such litigation can be lengthy, costly and could materially affect and disrupt our business.</w:t>
      </w:r>
    </w:p>
    <w:p>
      <w:pPr>
        <w:spacing w:after="0" w:line="1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In addition, as noted above, we have also received a CID from the U.S. FTC and a subpoena from the New York Attorney General with respect to practices relating to our supply of the API in VASCEPA.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203" w:lineRule="exact"/>
        <w:rPr>
          <w:sz w:val="20"/>
          <w:szCs w:val="20"/>
          <w:color w:val="auto"/>
        </w:rPr>
      </w:pPr>
    </w:p>
    <w:p>
      <w:pPr>
        <w:ind w:right="380" w:firstLine="509"/>
        <w:spacing w:after="0" w:line="342" w:lineRule="auto"/>
        <w:rPr>
          <w:sz w:val="20"/>
          <w:szCs w:val="20"/>
          <w:color w:val="auto"/>
        </w:rPr>
      </w:pPr>
      <w:r>
        <w:rPr>
          <w:rFonts w:ascii="Arial" w:cs="Arial" w:eastAsia="Arial" w:hAnsi="Arial"/>
          <w:sz w:val="16"/>
          <w:szCs w:val="16"/>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1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chemically-altered products are dietary supplements and that certain of such products reduce triglyceride levels or could reduce CV risk.</w:t>
      </w:r>
    </w:p>
    <w:p>
      <w:pPr>
        <w:spacing w:after="0" w:line="84"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Arial" w:cs="Arial" w:eastAsia="Arial" w:hAnsi="Arial"/>
          <w:sz w:val="16"/>
          <w:szCs w:val="16"/>
          <w:i w:val="1"/>
          <w:iCs w:val="1"/>
          <w:color w:val="auto"/>
        </w:rPr>
        <w:t>Supportive but not conclusive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shows that consumption of EPA and DHA omega-3 fatty acids may reduce the risk of coronary heart disease. </w:t>
      </w:r>
      <w:r>
        <w:rPr>
          <w:rFonts w:ascii="Arial" w:cs="Arial" w:eastAsia="Arial" w:hAnsi="Arial"/>
          <w:sz w:val="16"/>
          <w:szCs w:val="16"/>
          <w:color w:val="auto"/>
        </w:rPr>
        <w:t>Such companies are not,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permitted, based on U.S. FDA enforcement activity, to make claims that suggest or imply treatment of cardiovascular disease.</w:t>
      </w:r>
    </w:p>
    <w:p>
      <w:pPr>
        <w:spacing w:after="0" w:line="49" w:lineRule="exact"/>
        <w:rPr>
          <w:sz w:val="20"/>
          <w:szCs w:val="20"/>
          <w:color w:val="auto"/>
        </w:rPr>
      </w:pPr>
    </w:p>
    <w:p>
      <w:pPr>
        <w:ind w:right="200" w:firstLine="509"/>
        <w:spacing w:after="0" w:line="271" w:lineRule="auto"/>
        <w:rPr>
          <w:sz w:val="20"/>
          <w:szCs w:val="20"/>
          <w:color w:val="auto"/>
        </w:rPr>
      </w:pPr>
      <w:r>
        <w:rPr>
          <w:rFonts w:ascii="Arial" w:cs="Arial" w:eastAsia="Arial" w:hAnsi="Arial"/>
          <w:sz w:val="17"/>
          <w:szCs w:val="17"/>
          <w:color w:val="auto"/>
        </w:rPr>
        <w:t>In addition, the net price of VASCEPA to patients even after insurance reimbursement and offered discounts could be significantly higher than the prices of commercially available omega-3 fatty acids marketed by other companies as dietary supplements (through the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VASCEPA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117"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49"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With respect to sales and marketing activities, advertising and promotional materials must comply with U.S. FDA rules in addition to other applicable federal and local laws in the United States and in other countries. The result of our litigation and settlement with the U.S. FDA, as discussed above,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Drug manufacturers and other entities involved in the manufacture and distribution of approved drugs are also subject to periodic unannounced inspections by the U.S. FDA and state agencies for compliance with cGMP requirements. In addition, under the Food and Drug Omnibus Reform Act of 2022, or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120" w:firstLine="509"/>
        <w:spacing w:after="0" w:line="257" w:lineRule="auto"/>
        <w:rPr>
          <w:sz w:val="20"/>
          <w:szCs w:val="20"/>
          <w:color w:val="auto"/>
        </w:rPr>
      </w:pPr>
      <w:r>
        <w:rPr>
          <w:rFonts w:ascii="Arial" w:cs="Arial" w:eastAsia="Arial" w:hAnsi="Arial"/>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80"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 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cannot predict when these investigations will be resolved, the outcome of the investigations or their potential impact on our business. If the government determines that we have violated the U.S. Anti-Kickback Statute, the FCA or antitrust regulations, we could be subject to significant civil and criminal fines and penalties, and our reputation may be harmed.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72"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1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80"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58" w:lineRule="exact"/>
        <w:rPr>
          <w:sz w:val="20"/>
          <w:szCs w:val="20"/>
          <w:color w:val="auto"/>
        </w:rPr>
      </w:pPr>
    </w:p>
    <w:p>
      <w:pPr>
        <w:ind w:right="40" w:firstLine="509"/>
        <w:spacing w:after="0" w:line="308" w:lineRule="auto"/>
        <w:rPr>
          <w:sz w:val="20"/>
          <w:szCs w:val="20"/>
          <w:color w:val="auto"/>
        </w:rPr>
      </w:pPr>
      <w:r>
        <w:rPr>
          <w:rFonts w:ascii="Arial" w:cs="Arial" w:eastAsia="Arial" w:hAnsi="Arial"/>
          <w:sz w:val="16"/>
          <w:szCs w:val="16"/>
          <w:color w:val="auto"/>
        </w:rPr>
        <w:t>These and similar regulatory dynamics, including the entry of generic versions of VASCEPA into the market, and the potential for additional generic versions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VASCEPA.</w:t>
      </w:r>
    </w:p>
    <w:p>
      <w:pPr>
        <w:spacing w:after="0" w:line="238"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80" w:firstLine="509"/>
        <w:spacing w:after="0" w:line="258" w:lineRule="auto"/>
        <w:rPr>
          <w:sz w:val="20"/>
          <w:szCs w:val="20"/>
          <w:color w:val="auto"/>
        </w:rPr>
      </w:pPr>
      <w:r>
        <w:rPr>
          <w:rFonts w:ascii="Arial" w:cs="Arial" w:eastAsia="Arial" w:hAnsi="Arial"/>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80"/>
        <w:spacing w:after="0" w:line="273" w:lineRule="auto"/>
        <w:rPr>
          <w:sz w:val="20"/>
          <w:szCs w:val="20"/>
          <w:color w:val="auto"/>
        </w:rPr>
      </w:pPr>
      <w:r>
        <w:rPr>
          <w:rFonts w:ascii="Arial" w:cs="Arial" w:eastAsia="Arial" w:hAnsi="Arial"/>
          <w:sz w:val="17"/>
          <w:szCs w:val="17"/>
          <w:color w:val="auto"/>
        </w:rPr>
        <w:t>drugs that are dispensed to Medicaid beneficiaries and paid for by a state Medicaid program as a condition of having federal funds being made available to the states for our drugs under Medicaid and Medicare Part D.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70"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made significant changes to the Medicaid Drug Rebate program. CMS issued a final regulation, which became effective in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68" w:lineRule="exact"/>
        <w:rPr>
          <w:sz w:val="20"/>
          <w:szCs w:val="20"/>
          <w:color w:val="auto"/>
        </w:rPr>
      </w:pPr>
    </w:p>
    <w:p>
      <w:pPr>
        <w:ind w:right="60" w:firstLine="509"/>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58"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56"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56"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D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68"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D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58"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40"/>
        <w:spacing w:after="0" w:line="275" w:lineRule="auto"/>
        <w:rPr>
          <w:sz w:val="20"/>
          <w:szCs w:val="20"/>
          <w:color w:val="auto"/>
        </w:rPr>
      </w:pPr>
      <w:r>
        <w:rPr>
          <w:rFonts w:ascii="Arial" w:cs="Arial" w:eastAsia="Arial" w:hAnsi="Arial"/>
          <w:sz w:val="17"/>
          <w:szCs w:val="17"/>
          <w:color w:val="auto"/>
        </w:rPr>
        <w:t>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 consuming, and could have a material adverse effect on our business, financial condition, results of operations and growth prospects.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Changes in reimbursement procedures by government and other third-party payors may limit our ability to market and sell our approved drugs.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10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uses, or drug classes.</w:t>
      </w:r>
    </w:p>
    <w:p>
      <w:pPr>
        <w:spacing w:after="0" w:line="6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addition, certain U.S.-based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 which may not be favorable to us.</w:t>
      </w:r>
    </w:p>
    <w:p>
      <w:pPr>
        <w:spacing w:after="0" w:line="76" w:lineRule="exact"/>
        <w:rPr>
          <w:sz w:val="20"/>
          <w:szCs w:val="20"/>
          <w:color w:val="auto"/>
        </w:rPr>
      </w:pPr>
    </w:p>
    <w:p>
      <w:pPr>
        <w:ind w:right="60" w:firstLine="509"/>
        <w:spacing w:after="0" w:line="272"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15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In the U.S.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products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84"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The Inflation Reduction Act of 2022, or IRA, includes several provisions that may impact our business to varying degrees, including provisions that that reduce the out-of-pocket spending cap for Medicare Part D beneficiaries from $7,050 to $2,000 starting in 2025, thereby effectively eliminating the coverage gap,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implementation of the HHS rebate rule that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 of IRA on our business and the healthcare industry in general is not yet known.</w:t>
      </w:r>
    </w:p>
    <w:p>
      <w:pPr>
        <w:spacing w:after="0" w:line="78"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80"/>
        <w:spacing w:after="0" w:line="277" w:lineRule="auto"/>
        <w:rPr>
          <w:sz w:val="20"/>
          <w:szCs w:val="20"/>
          <w:color w:val="auto"/>
        </w:rPr>
      </w:pPr>
      <w:r>
        <w:rPr>
          <w:rFonts w:ascii="Arial" w:cs="Arial" w:eastAsia="Arial" w:hAnsi="Arial"/>
          <w:sz w:val="18"/>
          <w:szCs w:val="18"/>
          <w:color w:val="auto"/>
        </w:rPr>
        <w:t>administration may reverse or otherwise change these measures, both the Biden administration and Congress have indicated that they will continue to seek new legislative measures to control drug costs.</w:t>
      </w:r>
    </w:p>
    <w:p>
      <w:pPr>
        <w:spacing w:after="0" w:line="6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payers of healthcare services to contain or reduce costs of healthcare may adversely affect:</w:t>
      </w:r>
    </w:p>
    <w:p>
      <w:pPr>
        <w:spacing w:after="0" w:line="62"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demand for any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set a price that we believe is fair for any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15"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74"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operating results and business.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right="20" w:firstLine="509"/>
        <w:spacing w:after="0" w:line="266" w:lineRule="auto"/>
        <w:rPr>
          <w:sz w:val="20"/>
          <w:szCs w:val="20"/>
          <w:color w:val="auto"/>
        </w:rPr>
      </w:pPr>
      <w:r>
        <w:rPr>
          <w:rFonts w:ascii="Arial" w:cs="Arial" w:eastAsia="Arial" w:hAnsi="Arial"/>
          <w:sz w:val="17"/>
          <w:szCs w:val="17"/>
          <w:color w:val="auto"/>
        </w:rPr>
        <w:t>The REDUCE-IT cardiovascular outcomes trial was conducted in part through clinical sites in the EEA. As a result, we are subject to additional privacy restrictions. The collection and use of personal health data in the EU is governed by the provisions of the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EEA to third countries, including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spacing w:after="0" w:line="286" w:lineRule="auto"/>
        <w:rPr>
          <w:sz w:val="20"/>
          <w:szCs w:val="20"/>
          <w:color w:val="auto"/>
        </w:rPr>
      </w:pPr>
      <w:r>
        <w:rPr>
          <w:rFonts w:ascii="Arial" w:cs="Arial" w:eastAsia="Arial" w:hAnsi="Arial"/>
          <w:sz w:val="16"/>
          <w:szCs w:val="16"/>
          <w:color w:val="auto"/>
        </w:rPr>
        <w:t>GDPR, to controllers or processors established outside the EEA, and not subject to the GDPR. The new forms of standard contractual clauses have replaced the standard contractual clauses that were adopted previously under the Data Protection Directive. They require a case-by-case assessment of the law in the recipient country to ensure it provides “essentially equivalent” protections to safeguard the transferred personal data as the EEA, and require businesses to adopt supplementary measures if such standard is not met. The new SCCs do not apply to the UK, but the UK Information Commissioner’s Office has published its own transfer mechanism, the International Data Transfer Agreement, or UK IDTA, which entered into force on March 21, 2022, and enables data transfers originating from the UK. It requires a similar assessment of the data protection provided in the importer’s country. We will be required to transition to the new forms of transfer mechanisms and doing so will require significant effort and cost. The new transfer mechanisms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or the UK GDPR, and the related national data protection laws of the EEA Member States or the UK may result in substantial fines. The GDPR may impose additional responsibility and liability in relation to personal data that we process and we may be required to put in place additional mechanisms ensuring compliance with these and/or new data protection rules. This may be costly, onerous and adversely affect our business, financial condition, prospects and results of operations.</w:t>
      </w:r>
    </w:p>
    <w:p>
      <w:pPr>
        <w:spacing w:after="0" w:line="20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the REDUCE-IT indication,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7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70"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auto"/>
        </w:rPr>
        <w:t>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The subpoena from the New York State attorney general covers the same subject matter on which the FTC CID is focused.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7" w:name="page58"/>
    <w:bookmarkEnd w:id="57"/>
    <w:p>
      <w:pPr>
        <w:ind w:right="180" w:firstLine="509"/>
        <w:spacing w:after="0" w:line="342"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16"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128" w:lineRule="exact"/>
        <w:rPr>
          <w:rFonts w:ascii="Arial" w:cs="Arial" w:eastAsia="Arial" w:hAnsi="Arial"/>
          <w:sz w:val="17"/>
          <w:szCs w:val="17"/>
          <w:color w:val="auto"/>
        </w:rPr>
      </w:pPr>
    </w:p>
    <w:p>
      <w:pPr>
        <w:ind w:left="900" w:right="46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laws and regulations related to patient data privacy;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political instability or other social or government protocols affecting our clinical trial sites.</w:t>
      </w:r>
    </w:p>
    <w:p>
      <w:pPr>
        <w:spacing w:after="0" w:line="117"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w:t>
      </w:r>
    </w:p>
    <w:p>
      <w:pPr>
        <w:spacing w:after="0" w:line="49" w:lineRule="exact"/>
        <w:rPr>
          <w:sz w:val="20"/>
          <w:szCs w:val="20"/>
          <w:color w:val="auto"/>
        </w:rPr>
      </w:pPr>
    </w:p>
    <w:p>
      <w:pPr>
        <w:ind w:right="180" w:firstLine="509"/>
        <w:spacing w:after="0" w:line="291" w:lineRule="auto"/>
        <w:rPr>
          <w:sz w:val="20"/>
          <w:szCs w:val="20"/>
          <w:color w:val="auto"/>
        </w:rPr>
      </w:pPr>
      <w:r>
        <w:rPr>
          <w:rFonts w:ascii="Arial" w:cs="Arial" w:eastAsia="Arial" w:hAnsi="Arial"/>
          <w:sz w:val="16"/>
          <w:szCs w:val="16"/>
          <w:color w:val="auto"/>
        </w:rPr>
        <w:t>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5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8" w:name="page59"/>
    <w:bookmarkEnd w:id="58"/>
    <w:p>
      <w:pPr>
        <w:ind w:right="240" w:firstLine="509"/>
        <w:spacing w:after="0" w:line="263" w:lineRule="auto"/>
        <w:rPr>
          <w:sz w:val="20"/>
          <w:szCs w:val="20"/>
          <w:color w:val="auto"/>
        </w:rPr>
      </w:pPr>
      <w:r>
        <w:rPr>
          <w:rFonts w:ascii="Arial" w:cs="Arial" w:eastAsia="Arial" w:hAnsi="Arial"/>
          <w:sz w:val="18"/>
          <w:szCs w:val="18"/>
          <w:b w:val="1"/>
          <w:bCs w:val="1"/>
          <w:i w:val="1"/>
          <w:iCs w:val="1"/>
          <w:color w:val="auto"/>
        </w:rPr>
        <w:t>*As we continue to scale our infrastructure for commercializing VASCEPA based on market dynamics for VASCEPA in the United States and commercial initiatives and plans for VAZKEPA in Europe and other parts of the world, we may encounter difficulties in managing the size and adaptability of our operations successfully.</w:t>
      </w:r>
    </w:p>
    <w:p>
      <w:pPr>
        <w:spacing w:after="0" w:line="76"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process of establishing, maintaining, expanding and streamlining a commercial infrastructure is difficult, expensive and time consuming, particularly when such efforts need to adapt to changing market and business dynamics. In 2022 we implemented cost and organizational restructuring plans, which included a reduction to our U.S. commercial team to approximately 75 sales representatives by the end of 2022, and in July 2023 all remaining sales force positions in the U.S. were eliminated and our overall headcount was reduced by 30% as part of our ORP. As a result, we do not have a sales team to promote VASCEPA to physicians and other healthcare professionals in the United States, and will rely on only our managed care and trade organization to support sales of VASCEPA in the United States.</w:t>
      </w:r>
    </w:p>
    <w:p>
      <w:pPr>
        <w:spacing w:after="0" w:line="8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addition to the elimination of our sales force in the United States, we continue to work on our own and with our international partners to support regulatory efforts outside the United States based on REDUCE-IT results. If we are successful in obtaining sufficient approvals and adequate pricing and reimbursement levels in major markets in Europe and elsewhere, we will need to ensure that our operations are adequate to support a commercial launch and continued promotion. We intend to redesign our commercial infrastructure in Europe to better align with pricing and reimbursement status and commercial potential and will be operating with streamlined teams in Europe and elsewhere outside the United States and will need to expand internally and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In Europe we have built out our team subsequent to EC approval of the marketing authorization acceptance in 2021, with plans to continue to expand our European staff as deemed appropriate on a country-by-country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20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62"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Our life-cycle management is substantially dependent on our ability to develop, obtain regulatory approval and commercialize a fixed-dose combination of VASCEPA and yet to be disclosed statins. Due to the risks and uncertainties involved in progressing through development and bioequivalence or even potential additional trials (as may be required by specific regulatory agencies), and the time and cost involved in obtaining regulatory approvals,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84" w:lineRule="exact"/>
        <w:rPr>
          <w:sz w:val="20"/>
          <w:szCs w:val="20"/>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manufacture a combination of VASCEPA and a statin;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a supply of necessary statin for use in the fixed-dose combination;</w:t>
      </w:r>
    </w:p>
    <w:p>
      <w:pPr>
        <w:spacing w:after="0" w:line="117"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regulatory approvals for any and all markets in which we intend to commercialize a fixed-dose combination of VASCEPA and a statin;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payor acceptance and market access for a fixed-dose combination product of VASCEPA and a statin;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achieve market acceptance of a fixed-dose combination of VASCEPA and a statin.</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lasting results of business interruptions caused by the COVID-19 pandemic and related recovery efforts remain uncertain.</w:t>
      </w:r>
    </w:p>
    <w:p>
      <w:pPr>
        <w:spacing w:after="0" w:line="12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Despite the end of the COVID-19 pandemic, there may continue to be significant volatility, uncertainty and disruption in healthcare, social, supply and economic infrastructures in its wake. The extent to which the coronavirus pandemic will continue to impact our business, operations and financial results will depend on numerous evolving factors that we may not be able to accurately predict or plan around, including the lasting results and any resurgence of the pandemic, including on:</w:t>
      </w:r>
    </w:p>
    <w:p>
      <w:pPr>
        <w:spacing w:after="0" w:line="79"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and political activity and our supply chain;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ind w:left="1020" w:hanging="503"/>
        <w:spacing w:after="0" w:line="308"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38" w:lineRule="exact"/>
        <w:rPr>
          <w:rFonts w:ascii="Arial" w:cs="Arial" w:eastAsia="Arial" w:hAnsi="Arial"/>
          <w:sz w:val="17"/>
          <w:szCs w:val="17"/>
          <w:color w:val="auto"/>
        </w:rPr>
      </w:pPr>
    </w:p>
    <w:p>
      <w:pPr>
        <w:ind w:left="1020" w:right="4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patients’ and healthcare providers’ behavior and practices regarding face to face visits may have on our commercialization efforts, including whether virtual interactions will be as impactful as traditional, in-person interactions; and</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56"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b w:val="1"/>
          <w:bCs w:val="1"/>
          <w:i w:val="1"/>
          <w:iCs w:val="1"/>
          <w:color w:val="auto"/>
        </w:rPr>
        <w:t>Our supply of product for the commercial market and clinical trials is dependent upon relationships with third-party manufacturers and suppliers, including manufacturers and suppliers who may require us to comply with burdensome minimum purchase commitments, which may be greater than our supply needs.</w:t>
      </w:r>
    </w:p>
    <w:p>
      <w:pPr>
        <w:spacing w:after="0" w:line="76"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We have no in-house manufacturing capacity and rely entirely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or if they insist on burdensome terms, such as excessive minimum supply commitments, we may not be able to obtain adequate quantities of product in a timely manner, at cost efficient levels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69"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Any manufacturing problem, natural or manmade disaster affecting manufacturing facilities, government action, or the loss of a contract manufacturer could potentially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API (drug substance) or encapsulated bulk product (drug product), it would have a material adverse effect on our ability to continue to commercialize VASCEPA.</w:t>
      </w:r>
    </w:p>
    <w:p>
      <w:pPr>
        <w:spacing w:after="0" w:line="70"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We continue to take steps to negotiate our contract supply agreements to align supply arrangements with current and future global market demand.</w:t>
      </w:r>
    </w:p>
    <w:p>
      <w:pPr>
        <w:spacing w:after="0" w:line="7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Expanding manufacturing capacity and qualifying such capacity is complex and subject to numerous regulations and other operational challenges. We require supply capacity to support our direct and indirect commercialization of VASCEPA. We are also committed to providing supply to our commercial partners and distributors in Australia and New Zealand,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of commercial launch, including in China and various European countries. Our aggregate capacity to produce API is dependent upon the continued qualification of our API suppliers and, depending on the ability of existing suppliers to meet our supply demands, the ability to qualify any new suppliers. If no additional API supplier is approved by the U.S. FDA as part of an sNDA, our API supply will be limited to the API we purchase from previously approved suppliers. For example, the EMA has not yet approved use of each of our suppliers used for VASCEPA in the United States for supply of VAZKEPA in the EU.</w:t>
      </w:r>
    </w:p>
    <w:p>
      <w:pPr>
        <w:spacing w:after="0" w:line="77"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Further, 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76"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If our third-party manufacturing capacity is not appropriately qualified and/or compliant with applicable regulatory requirements, we may not be able to supply sufficient quantities of VASCEPA to meet anticipated demand.</w:t>
      </w:r>
    </w:p>
    <w:p>
      <w:pPr>
        <w:spacing w:after="0" w:line="6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cannot guarantee that we can contract with any future manufacturer on acceptable terms or that any such alternative supplier will not require capital investment from us in order for them to meet our requirements. Alternatively, our purchase of supply, or any minimum purchase requirements, may exceed actual demand for VASCEPA.</w:t>
      </w:r>
    </w:p>
    <w:p>
      <w:pPr>
        <w:spacing w:after="0" w:line="76" w:lineRule="exact"/>
        <w:rPr>
          <w:sz w:val="20"/>
          <w:szCs w:val="20"/>
          <w:color w:val="auto"/>
        </w:rPr>
      </w:pPr>
    </w:p>
    <w:p>
      <w:pPr>
        <w:ind w:right="620" w:firstLine="509"/>
        <w:spacing w:after="0" w:line="274"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12-month forecasts which in part are binding on us and the balance of which are</w:t>
      </w: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ind w:right="40"/>
        <w:spacing w:after="0" w:line="263" w:lineRule="auto"/>
        <w:rPr>
          <w:sz w:val="20"/>
          <w:szCs w:val="20"/>
          <w:color w:val="auto"/>
        </w:rPr>
      </w:pPr>
      <w:r>
        <w:rPr>
          <w:rFonts w:ascii="Arial" w:cs="Arial" w:eastAsia="Arial" w:hAnsi="Arial"/>
          <w:sz w:val="18"/>
          <w:szCs w:val="18"/>
          <w:color w:val="auto"/>
        </w:rPr>
        <w:t>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w:t>
      </w:r>
    </w:p>
    <w:p>
      <w:pPr>
        <w:spacing w:after="0" w:line="76"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If our minimum purchase commitments exceed our supply needs for VASCEPA, we may have to renegotiate with partners in our supply chain who may not be incentivized to renegotiate terms that are favorable to us, or at all. If we are unable to secure adequate levels of supply to meet demand, our financial condition could be negatively and materially impacted.</w:t>
      </w:r>
    </w:p>
    <w:p>
      <w:pPr>
        <w:spacing w:after="0" w:line="21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62"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required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adversely affect our profitability for the sale of VASCEPA and could increase over time further impacting our operating results. Consolidation among these industry participants could increase the pressure on us from these market dynamics.</w:t>
      </w:r>
    </w:p>
    <w:p>
      <w:pPr>
        <w:spacing w:after="0" w:line="19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77" w:lineRule="exact"/>
        <w:rPr>
          <w:sz w:val="20"/>
          <w:szCs w:val="20"/>
          <w:color w:val="auto"/>
        </w:rPr>
      </w:pPr>
    </w:p>
    <w:p>
      <w:pPr>
        <w:ind w:right="40" w:firstLine="509"/>
        <w:spacing w:after="0" w:line="266" w:lineRule="auto"/>
        <w:rPr>
          <w:sz w:val="20"/>
          <w:szCs w:val="20"/>
          <w:color w:val="auto"/>
        </w:rPr>
      </w:pPr>
      <w:r>
        <w:rPr>
          <w:rFonts w:ascii="Arial" w:cs="Arial" w:eastAsia="Arial" w:hAnsi="Arial"/>
          <w:sz w:val="17"/>
          <w:szCs w:val="17"/>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a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80"/>
        <w:spacing w:after="0" w:line="342" w:lineRule="auto"/>
        <w:rPr>
          <w:sz w:val="20"/>
          <w:szCs w:val="20"/>
          <w:color w:val="auto"/>
        </w:rPr>
      </w:pPr>
      <w:r>
        <w:rPr>
          <w:rFonts w:ascii="Arial" w:cs="Arial" w:eastAsia="Arial" w:hAnsi="Arial"/>
          <w:sz w:val="16"/>
          <w:szCs w:val="16"/>
          <w:color w:val="auto"/>
        </w:rPr>
        <w:t>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There are comparable foreign requirements under ICH guidelines. In addition, the impact of past COVID-19 restrictions could continue to affect the ability of regulatory agencies to conduct facility inspections in a timely manner and may affect the timing of further approvals. This review may be costly and time consuming and could delay or prevent the launch of a product.</w:t>
      </w:r>
    </w:p>
    <w:p>
      <w:pPr>
        <w:spacing w:after="0" w:line="76" w:lineRule="exact"/>
        <w:rPr>
          <w:sz w:val="20"/>
          <w:szCs w:val="20"/>
          <w:color w:val="auto"/>
        </w:rPr>
      </w:pPr>
    </w:p>
    <w:p>
      <w:pPr>
        <w:ind w:right="360" w:firstLine="509"/>
        <w:spacing w:after="0" w:line="296" w:lineRule="auto"/>
        <w:rPr>
          <w:sz w:val="20"/>
          <w:szCs w:val="20"/>
          <w:color w:val="auto"/>
        </w:rPr>
      </w:pPr>
      <w:r>
        <w:rPr>
          <w:rFonts w:ascii="Arial" w:cs="Arial" w:eastAsia="Arial" w:hAnsi="Arial"/>
          <w:sz w:val="16"/>
          <w:szCs w:val="16"/>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53" w:lineRule="exact"/>
        <w:rPr>
          <w:sz w:val="20"/>
          <w:szCs w:val="20"/>
          <w:color w:val="auto"/>
        </w:rPr>
      </w:pPr>
    </w:p>
    <w:p>
      <w:pPr>
        <w:ind w:right="360" w:firstLine="509"/>
        <w:spacing w:after="0" w:line="257" w:lineRule="auto"/>
        <w:rPr>
          <w:sz w:val="20"/>
          <w:szCs w:val="20"/>
          <w:color w:val="auto"/>
        </w:rPr>
      </w:pPr>
      <w:r>
        <w:rPr>
          <w:rFonts w:ascii="Arial" w:cs="Arial" w:eastAsia="Arial" w:hAnsi="Arial"/>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w:t>
      </w:r>
    </w:p>
    <w:p>
      <w:pPr>
        <w:spacing w:after="0" w:line="215"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b w:val="1"/>
          <w:bCs w:val="1"/>
          <w:i w:val="1"/>
          <w:iCs w:val="1"/>
          <w:color w:val="auto"/>
        </w:rPr>
        <w:t>We have limited experience commercializing VASCEPA outside the United States, and we may not be successful in building an infrastructure, including a sales force, that can navigate the regulatory and other dynamics outside of the United States. We are currently, and may continue to be, substantially dependent on third parties for our international efforts, and we may not be successful in negotiating or establishing relationships with business partners to support and maintain control over our international activities.</w:t>
      </w:r>
    </w:p>
    <w:p>
      <w:pPr>
        <w:spacing w:after="0" w:line="63"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Canada and, most recently, Australia and New Zealand. We continue to assess other opportunities to develop VASCEPA commercialization outside of the United States through similar arrangements.</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For example, Edding is responsible for development and commercialization activities in the China Territory and associated expenses under our development, commercialization and supply agreement with them. Additionally, Edding is required to conduct clinical trials in the China Territory to secure regulatory approval in certain territories. Edding has successfully undertaken clinical trials and approval initiatives under our arrangement with them, including the announcement of statistically significant positive topline results from Edding’s Phase 3 clinical trial of VASCEPA and has obtained approval for VASCEPA in Hong Kong under the REDUCE-IT indication and in Mainland China under the MARINE indication. Submission for the approval of the REDUCE-IT indication in Mainland China is planned by the end of 2023. However, Edding may be required to undertake clinical development efforts in these markets, or Edding may face challenges or be unsuccessful in pursuing commercial launch. Further, any development and regulatory efforts in the China Territory may be negatively impacted by the lingering effects of the coronavirus pandemic. Any development and regulatory efforts in the China Territory may be negatively impacted by heightened political tension between China and the United States, including issues expressed between the countries regarding trade practices, tariffs and honoring intellectual property rights. If Edding is not able to effectively commercialize VASCEPA in the China Territory, we may not be able to generate revenue from our agreement with Edding resulting from the sale of VASCEPA in the China Territory.</w:t>
      </w:r>
    </w:p>
    <w:p>
      <w:pPr>
        <w:spacing w:after="0" w:line="6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We are party to arrangements with Biologix FZCo, or Biologix, to register and commercialize VASCEPA in several Middle Eastern and North African countries, with HLS Therapeutics Inc., or HLS, to register, commercialize and distribute VASCEPA in Canada, with CSL Seqirus, or CSL, to commercialize and distribute VASCEPA in Australia and New Zealand and Lotus Pharmaceuticals, or Lotus, to commercial and distribute VASCEPA in several countries in Southeast Asia. Although Biologix is currently actively commercializing VASCEPA in the United Arab Emirates and Lebanon, and HLS is currently commercializing VASCEPA in Canada, we are completely reliant on these third parties to secure approval and successfully commercialize the product in those markets, which markets can be complex and challenging.</w:t>
      </w:r>
    </w:p>
    <w:p>
      <w:pPr>
        <w:spacing w:after="0" w:line="70" w:lineRule="exact"/>
        <w:rPr>
          <w:sz w:val="20"/>
          <w:szCs w:val="20"/>
          <w:color w:val="auto"/>
        </w:rPr>
      </w:pPr>
    </w:p>
    <w:p>
      <w:pPr>
        <w:ind w:right="600" w:firstLine="509"/>
        <w:spacing w:after="0" w:line="342" w:lineRule="auto"/>
        <w:rPr>
          <w:sz w:val="20"/>
          <w:szCs w:val="20"/>
          <w:color w:val="auto"/>
        </w:rPr>
      </w:pPr>
      <w:r>
        <w:rPr>
          <w:rFonts w:ascii="Arial" w:cs="Arial" w:eastAsia="Arial" w:hAnsi="Arial"/>
          <w:sz w:val="16"/>
          <w:szCs w:val="16"/>
          <w:color w:val="auto"/>
        </w:rPr>
        <w:t>If Edding, Biologix, HLS, CSL or Lotus, or other third parties who we rely on for development and commercialization of VASCEPA, do not successfully carry out their contractual obligations or meet expected deadlines, our recourse and remedies against these parties is limited.</w:t>
      </w:r>
    </w:p>
    <w:p>
      <w:pPr>
        <w:spacing w:after="0" w:line="16"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Our efforts to launch and support commercialization of VAZKEPA on our own in Europe is a complex undertaking for a company that, other than our launch of VAZKEPA in Germany in September 2021 (where operations were subsequently discontinued) and the launch of VAZKEPA in certain countries in the fourth quarter of 2022, including the UK in October 2022, has not launched or otherwise commercialized a product in Europe and could be subject to significant risks of execution to our successful development and revenue generation of VAZKEPA in Europe.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right="100" w:firstLine="509"/>
        <w:spacing w:after="0" w:line="255" w:lineRule="auto"/>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19"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Refer to “</w:t>
      </w:r>
      <w:r>
        <w:rPr>
          <w:rFonts w:ascii="Arial" w:cs="Arial" w:eastAsia="Arial" w:hAnsi="Arial"/>
          <w:sz w:val="17"/>
          <w:szCs w:val="17"/>
          <w:i w:val="1"/>
          <w:iCs w:val="1"/>
          <w:color w:val="auto"/>
        </w:rPr>
        <w:t>Item 1. Business - Government Regulation - Fraud and Abuse Laws and Data Regulation</w:t>
      </w:r>
      <w:r>
        <w:rPr>
          <w:rFonts w:ascii="Arial" w:cs="Arial" w:eastAsia="Arial" w:hAnsi="Arial"/>
          <w:sz w:val="17"/>
          <w:szCs w:val="17"/>
          <w:color w:val="auto"/>
        </w:rPr>
        <w:t>" in our Annual Report on Form 10-K for the year ended December 31, 2022 for further details.</w:t>
      </w:r>
    </w:p>
    <w:p>
      <w:pPr>
        <w:spacing w:after="0" w:line="77" w:lineRule="exact"/>
        <w:rPr>
          <w:sz w:val="20"/>
          <w:szCs w:val="20"/>
          <w:color w:val="auto"/>
        </w:rPr>
      </w:pPr>
    </w:p>
    <w:p>
      <w:pPr>
        <w:ind w:right="240" w:firstLine="509"/>
        <w:spacing w:after="0" w:line="301" w:lineRule="auto"/>
        <w:rPr>
          <w:sz w:val="20"/>
          <w:szCs w:val="20"/>
          <w:color w:val="auto"/>
        </w:rPr>
      </w:pPr>
      <w:r>
        <w:rPr>
          <w:rFonts w:ascii="Arial" w:cs="Arial" w:eastAsia="Arial" w:hAnsi="Arial"/>
          <w:sz w:val="16"/>
          <w:szCs w:val="16"/>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49"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the June 2020 CIDs from the DOJ informing us that the DOJ is investigating whether aspects of our promotional speaker programs and copayment waiver program violated the U.S. Anti-Kickback Statute, and from the FCA relating to the sale and marketing of VASCEPA by us and our previous co-marketing partner, Kowa America, as well as the March 2021 CID from the FTC in connection with the FTC’s investigation of whether we have engaged in, or are engaging in, anticompetitive practices or unfair methods of competition relating to VASCEPA require us to produce documents and answer written questions, or interrogatories, relevant to specified time periods; as does the subpoena from the New York State attorney general regarding the same subject matter on which the FTC CID is focused. As noted, we are cooperating with the government, but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286" w:lineRule="exact"/>
        <w:rPr>
          <w:sz w:val="20"/>
          <w:szCs w:val="20"/>
          <w:color w:val="auto"/>
        </w:rPr>
      </w:pPr>
    </w:p>
    <w:p>
      <w:pPr>
        <w:ind w:right="260" w:firstLine="509"/>
        <w:spacing w:after="0" w:line="255" w:lineRule="auto"/>
        <w:rPr>
          <w:sz w:val="20"/>
          <w:szCs w:val="20"/>
          <w:color w:val="auto"/>
        </w:rPr>
      </w:pPr>
      <w:r>
        <w:rPr>
          <w:rFonts w:ascii="Arial" w:cs="Arial" w:eastAsia="Arial" w:hAnsi="Arial"/>
          <w:sz w:val="18"/>
          <w:szCs w:val="18"/>
          <w:color w:val="auto"/>
        </w:rPr>
        <w:t>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right="480" w:firstLine="509"/>
        <w:spacing w:after="0" w:line="277" w:lineRule="auto"/>
        <w:rPr>
          <w:sz w:val="20"/>
          <w:szCs w:val="20"/>
          <w:color w:val="auto"/>
        </w:rPr>
      </w:pPr>
      <w:r>
        <w:rPr>
          <w:rFonts w:ascii="Arial" w:cs="Arial" w:eastAsia="Arial" w:hAnsi="Arial"/>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97"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70"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In addition, investigator initiated trials, or IITs, which are scientific research that is initiated, sponsored, and conducted by an independent investigator(s) and/or institution(s) not affiliated with us, are being, and additional IITs, may be conducted involving potential product candidates. The investigator, sponsor, and/or investigator/sponsor remains responsible for conception, design, data analysis, publication, and compliance with applicable law. Investigator initiated trials can contribute towards enhancing the understanding of products (such as mechanism of action) and sparking new ideas for further research; however, IITs are generally not supported by pharmaceutical companies for the purposes of generating data that can lead to product labelling changes. Even if an IIT has positive results, additional studies, along with regulatory agency guidance and approval, would be required to advance a pharmaceutical product to the next stage of development and new potential labelling changes or indications. If we are unable to confirm or replicate the results from an IIT or if negative results are obtained, we would likely be further delayed or prevented from advancing further clinical development. Further, if the data proves to be inadequate compared to the firsthand knowledge we might have gained had the IIT been sponsored and conducted by us, then our ability to design and conduct any future clinical trials ourselves may be adversely affected. Negative results in IITs could have a material adverse effect on our efforts to obtain regulatory approval for such product candidates and the public perception of such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56" w:lineRule="exact"/>
        <w:rPr>
          <w:sz w:val="20"/>
          <w:szCs w:val="20"/>
          <w:color w:val="auto"/>
        </w:rPr>
      </w:pPr>
    </w:p>
    <w:p>
      <w:pPr>
        <w:jc w:val="both"/>
        <w:ind w:right="120" w:firstLine="509"/>
        <w:spacing w:after="0" w:line="286" w:lineRule="auto"/>
        <w:rPr>
          <w:sz w:val="20"/>
          <w:szCs w:val="20"/>
          <w:color w:val="auto"/>
        </w:rPr>
      </w:pPr>
      <w:r>
        <w:rPr>
          <w:rFonts w:ascii="Arial" w:cs="Arial" w:eastAsia="Arial" w:hAnsi="Arial"/>
          <w:sz w:val="17"/>
          <w:szCs w:val="17"/>
          <w:b w:val="1"/>
          <w:bCs w:val="1"/>
          <w:i w:val="1"/>
          <w:iCs w:val="1"/>
          <w:color w:val="auto"/>
        </w:rPr>
        <w:t>We are dependent on patents, proprietary rights and confidentiality obligations of our employees, agents, business partners and third parties to protect the commercial value and potential of VASCEPA. Enforcing our patent rights is challenging and costly and, even if we are able to successfully enforce our patent rights, our issued patents may not prevent competitors from competing with VASCEPA.</w:t>
      </w:r>
    </w:p>
    <w:p>
      <w:pPr>
        <w:spacing w:after="0" w:line="5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plan to vigorously defend our rights under issued patents, however such defense activities can be costly to pursue and may not have the desired results.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CV risk. On January 25, 2021, we expanded the scope of this patent infringement lawsuit to include a healthcare insurance provider, Health Net, LLC. On January 4, 2022, the district court hearing the case granted Hikma's motion to dismiss. On October 13, 2022, the district court granted final judgement and the Company is appealing (Fed. Cir. No. 23-1169 filed November 21, 2022) the decision of the district court but cannot predict the outcome or the impact on its business. We entered into a settlement agreement with Health Net, LLC on December 26, 2022. The Company intends to continue to vigorously enforce its intellectual property rights relating to VASCEPA, but cannot predict the outcome of these lawsuits or any subsequently filed lawsuits.</w:t>
      </w:r>
    </w:p>
    <w:p>
      <w:pPr>
        <w:spacing w:after="0" w:line="57"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any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4" w:name="page65"/>
    <w:bookmarkEnd w:id="64"/>
    <w:p>
      <w:pPr>
        <w:ind w:right="300" w:firstLine="509"/>
        <w:spacing w:after="0" w:line="263"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11" w:lineRule="exact"/>
        <w:rPr>
          <w:sz w:val="20"/>
          <w:szCs w:val="20"/>
          <w:color w:val="auto"/>
        </w:rPr>
      </w:pPr>
    </w:p>
    <w:p>
      <w:pPr>
        <w:ind w:right="520" w:firstLine="509"/>
        <w:spacing w:after="0" w:line="375" w:lineRule="auto"/>
        <w:rPr>
          <w:sz w:val="20"/>
          <w:szCs w:val="20"/>
          <w:color w:val="auto"/>
        </w:rPr>
      </w:pPr>
      <w:r>
        <w:rPr>
          <w:rFonts w:ascii="Arial" w:cs="Arial" w:eastAsia="Arial" w:hAnsi="Arial"/>
          <w:sz w:val="15"/>
          <w:szCs w:val="15"/>
          <w:b w:val="1"/>
          <w:bCs w:val="1"/>
          <w:i w:val="1"/>
          <w:iCs w:val="1"/>
          <w:color w:val="auto"/>
        </w:rPr>
        <w:t>We have pending patent applications relating to VASCEPA and its use. There can be no assurance that any of these applications will issue patents, and even if patent protection is obtained, it may be insufficient to minimize competition or support our commercialization efforts.</w:t>
      </w:r>
    </w:p>
    <w:p>
      <w:pPr>
        <w:spacing w:after="0" w:line="1"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We have filed and are prosecuting numerous families of patent applications in the United States and internationally with claims designed to protect the proprietary position of VASCEPA/VAZKEPA.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However, our pending patent applications may not be granted or, if they are granted, there is no certainty that they will prevent competitors from competing with VASCEPA.</w:t>
      </w:r>
    </w:p>
    <w:p>
      <w:pPr>
        <w:spacing w:after="0" w:line="68"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93"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56"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January 2023, we disclosed our 2023 financial outlook. Such outlook is based on estimates, assumptions and the judgment of management at such time. Subsequently, in July 2023, we announced an Organizational Restructuring Program, which will have a significant effect on our results for 2023 and future years. Because of the inherent nature of estimates, including during the uncertainty of our European launch and the impact from U.S. generic competition, we have suspended providing net revenue guidance, as there could be significant differences between our estimates and the actual amount of product demand. If we fail to realize or if we change or update any element of our publicly disclosed financial guidance as we have done in the past or other expectations about our business and initiative change, our stock price could decline in value.</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loss of key personnel could have an adverse effect on our business, particularly in light of recent senior management changes.</w:t>
      </w:r>
    </w:p>
    <w:p>
      <w:pPr>
        <w:spacing w:after="0" w:line="129"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and the changes to our Board and our recent hiring of a new Chief Executive Officer,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globally we may experience continued or increased turnover among members of our senior management team. We may have difficulty identifying, attracting and integrating new executives to replace any such losses. As we pursue commercialization efforts in Europe, we need to rapidly hire employees and ensure that they are well trained and working cohesively with core values which are consistent with our existing operations and which, we believe, help improve our position for</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ind w:right="160"/>
        <w:spacing w:after="0" w:line="255" w:lineRule="auto"/>
        <w:rPr>
          <w:sz w:val="20"/>
          <w:szCs w:val="20"/>
          <w:color w:val="auto"/>
        </w:rPr>
      </w:pPr>
      <w:r>
        <w:rPr>
          <w:rFonts w:ascii="Arial" w:cs="Arial" w:eastAsia="Arial" w:hAnsi="Arial"/>
          <w:sz w:val="18"/>
          <w:szCs w:val="18"/>
          <w:color w:val="auto"/>
        </w:rPr>
        <w:t>success. In the United States, where we have recently eliminated all sales force positions, employees are increasingly being recruited by other companies. The current and potential threat of generic competition and our recent reductions in force, including as part of our Organizational Restructuring Program announced in July 2023, can create employee uncertainty which could lead to increased employee turnover. There is intense competition for qualified personnel in the areas of our activities. In this environment, we may not be able to attract or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19" w:lineRule="exact"/>
        <w:rPr>
          <w:sz w:val="20"/>
          <w:szCs w:val="20"/>
          <w:color w:val="auto"/>
        </w:rPr>
      </w:pPr>
    </w:p>
    <w:p>
      <w:pPr>
        <w:ind w:right="40" w:firstLine="509"/>
        <w:spacing w:after="0" w:line="224" w:lineRule="exact"/>
        <w:rPr>
          <w:sz w:val="20"/>
          <w:szCs w:val="20"/>
          <w:color w:val="auto"/>
        </w:rPr>
      </w:pPr>
      <w:r>
        <w:rPr>
          <w:rFonts w:ascii="Arial" w:cs="Arial" w:eastAsia="Arial" w:hAnsi="Arial"/>
          <w:sz w:val="16"/>
          <w:szCs w:val="16"/>
          <w:b w:val="1"/>
          <w:bCs w:val="1"/>
          <w:i w:val="1"/>
          <w:iCs w:val="1"/>
          <w:color w:val="auto"/>
        </w:rPr>
        <w:t>Our internal computer systems, or those of 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94" w:lineRule="exact"/>
        <w:rPr>
          <w:sz w:val="20"/>
          <w:szCs w:val="20"/>
          <w:color w:val="auto"/>
        </w:rPr>
      </w:pPr>
    </w:p>
    <w:p>
      <w:pPr>
        <w:ind w:firstLine="509"/>
        <w:spacing w:after="0" w:line="219"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95"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a more material breach could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63" w:lineRule="exact"/>
        <w:rPr>
          <w:sz w:val="20"/>
          <w:szCs w:val="20"/>
          <w:color w:val="auto"/>
        </w:rPr>
      </w:pPr>
    </w:p>
    <w:p>
      <w:pPr>
        <w:ind w:right="80" w:firstLine="509"/>
        <w:spacing w:after="0" w:line="289"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62"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change in our tax residence and/or tax laws could have a negative effect on our future profitability.</w:t>
      </w:r>
    </w:p>
    <w:p>
      <w:pPr>
        <w:spacing w:after="0" w:line="117" w:lineRule="exact"/>
        <w:rPr>
          <w:sz w:val="20"/>
          <w:szCs w:val="20"/>
          <w:color w:val="auto"/>
        </w:rPr>
      </w:pPr>
    </w:p>
    <w:p>
      <w:pPr>
        <w:ind w:right="100" w:firstLine="509"/>
        <w:spacing w:after="0" w:line="258" w:lineRule="auto"/>
        <w:rPr>
          <w:sz w:val="20"/>
          <w:szCs w:val="20"/>
          <w:color w:val="auto"/>
        </w:rPr>
      </w:pPr>
      <w:r>
        <w:rPr>
          <w:rFonts w:ascii="Arial" w:cs="Arial" w:eastAsia="Arial" w:hAnsi="Arial"/>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right="60"/>
        <w:spacing w:after="0" w:line="296" w:lineRule="auto"/>
        <w:rPr>
          <w:sz w:val="20"/>
          <w:szCs w:val="20"/>
          <w:color w:val="auto"/>
        </w:rPr>
      </w:pPr>
      <w:r>
        <w:rPr>
          <w:rFonts w:ascii="Arial" w:cs="Arial" w:eastAsia="Arial" w:hAnsi="Arial"/>
          <w:sz w:val="16"/>
          <w:szCs w:val="16"/>
          <w:color w:val="auto"/>
        </w:rPr>
        <w:t>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have at all times sought to conduct our affairs in such a way so as to be solely resident in Ireland for tax purposes by virtue of having our place of effective management situated in Ireland.</w:t>
      </w:r>
    </w:p>
    <w:p>
      <w:pPr>
        <w:spacing w:after="0" w:line="5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84"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84"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Our and our subsidiaries’ income tax returns are periodically examined by various tax authorities, including the Internal Revenue Service, or the IRS, and state tax authorities.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A significant portion of our sales are to wholesalers in the pharmaceutical industry. Three customers individually accounted for 10% or more of our U.S. gross product sales. Customers A, B, and C accounted for 30%, 36%, and 28%, respectively, of gross product sales for the six months ended June 30, 2023, and represented 39%, 34%, and 22%, respectively, of the gross accounts receivable balance as of June 30, 2023. Customers A, B, and C accounted for 25%, 38%, and 31%, respectively, of gross product sales for the six months ended June 30, 2022, and represented 41%, 33%, and 21%, respectively, of the gross accounts receivable balance as of June 30, 2022.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have not yet reached sustained profitability. For the fiscal years ended December 31, 2022 and 2020, we reported net losses of approximately $105.8 million and $18.0 million, respectively. For the fiscal year ended December 31, 2021, we reported net income of approximately $7.7 million. We had an accumulated deficit as of December 31, 2022 of $1.5 billion. For the six months ended June 30, 2023 and 2022, we reported losses of approximately $34.0 million and $101.5 million, respectively, and we had an accumulated deficit as of June 30, 2023 of $1.6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commercialization and research and development,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never generate sufficient revenue to achieve a steady state of profitability.</w:t>
      </w:r>
    </w:p>
    <w:p>
      <w:pPr>
        <w:spacing w:after="0" w:line="117"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ind w:right="460"/>
        <w:spacing w:after="0" w:line="277" w:lineRule="auto"/>
        <w:rPr>
          <w:sz w:val="20"/>
          <w:szCs w:val="20"/>
          <w:color w:val="auto"/>
        </w:rPr>
      </w:pPr>
      <w:r>
        <w:rPr>
          <w:rFonts w:ascii="Arial" w:cs="Arial" w:eastAsia="Arial" w:hAnsi="Arial"/>
          <w:sz w:val="18"/>
          <w:szCs w:val="18"/>
          <w:color w:val="auto"/>
        </w:rPr>
        <w:t>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consistently generate robust product revenues, we will not become profitable on a sustained basis in the near term, if ever, and may be unable to continue operations without continued funding.</w:t>
      </w:r>
    </w:p>
    <w:p>
      <w:pPr>
        <w:spacing w:after="0" w:line="20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We believe that our quarterly and annual results of operations may be affected by a variety of factors, including those risks and uncertainties described in this Part II, Item 1A and the following:</w:t>
      </w:r>
    </w:p>
    <w:p>
      <w:pPr>
        <w:spacing w:after="0" w:line="79" w:lineRule="exact"/>
        <w:rPr>
          <w:sz w:val="20"/>
          <w:szCs w:val="20"/>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recent and future potential launches of additional generic versions of VASCEPA;</w:t>
      </w:r>
    </w:p>
    <w:p>
      <w:pPr>
        <w:spacing w:after="0" w:line="117" w:lineRule="exact"/>
        <w:rPr>
          <w:rFonts w:ascii="Arial" w:cs="Arial" w:eastAsia="Arial" w:hAnsi="Arial"/>
          <w:sz w:val="18"/>
          <w:szCs w:val="18"/>
          <w:color w:val="auto"/>
        </w:rPr>
      </w:pPr>
    </w:p>
    <w:p>
      <w:pPr>
        <w:jc w:val="both"/>
        <w:ind w:left="900" w:right="280" w:hanging="383"/>
        <w:spacing w:after="0" w:line="263"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ability of efforts outside the United States</w:t>
      </w:r>
      <w:r>
        <w:rPr>
          <w:rFonts w:ascii="Arial" w:cs="Arial" w:eastAsia="Arial" w:hAnsi="Arial"/>
          <w:sz w:val="18"/>
          <w:szCs w:val="18"/>
          <w:color w:val="auto"/>
          <w:strike w:val="1"/>
        </w:rPr>
        <w:t>,</w:t>
      </w:r>
      <w:r>
        <w:rPr>
          <w:rFonts w:ascii="Arial" w:cs="Arial" w:eastAsia="Arial" w:hAnsi="Arial"/>
          <w:sz w:val="18"/>
          <w:szCs w:val="18"/>
          <w:color w:val="auto"/>
        </w:rPr>
        <w:t xml:space="preserve"> to develop, register and commercialize VASCEPA in Europe, the China Territory, several Middle Eastern and North African countries, and Canada, including obtaining necessary regulatory approvals, favorable pricing and establishing marketing channels;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28" w:lineRule="exact"/>
        <w:rPr>
          <w:rFonts w:ascii="Arial" w:cs="Arial" w:eastAsia="Arial" w:hAnsi="Arial"/>
          <w:sz w:val="17"/>
          <w:szCs w:val="17"/>
          <w:color w:val="auto"/>
        </w:rPr>
      </w:pPr>
    </w:p>
    <w:p>
      <w:pPr>
        <w:jc w:val="both"/>
        <w:ind w:left="900" w:right="340" w:hanging="383"/>
        <w:spacing w:after="0" w:line="263"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75" w:lineRule="exact"/>
        <w:rPr>
          <w:rFonts w:ascii="Arial" w:cs="Arial" w:eastAsia="Arial" w:hAnsi="Arial"/>
          <w:sz w:val="18"/>
          <w:szCs w:val="18"/>
          <w:color w:val="auto"/>
        </w:rPr>
      </w:pPr>
    </w:p>
    <w:p>
      <w:pPr>
        <w:ind w:left="900" w:right="140" w:hanging="383"/>
        <w:spacing w:after="0" w:line="308"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timing, cost and level of investment in our sales and marketing efforts to support VASCEPA sales, and our cost and reorganization efforts, including our Organizational Restructuring Program announced in July 2023, and the resulting effectiveness of those efforts;</w:t>
      </w:r>
    </w:p>
    <w:p>
      <w:pPr>
        <w:spacing w:after="0" w:line="38" w:lineRule="exact"/>
        <w:rPr>
          <w:rFonts w:ascii="Arial" w:cs="Arial" w:eastAsia="Arial" w:hAnsi="Arial"/>
          <w:sz w:val="17"/>
          <w:szCs w:val="17"/>
          <w:color w:val="auto"/>
        </w:rPr>
      </w:pPr>
    </w:p>
    <w:p>
      <w:pPr>
        <w:ind w:left="900" w:right="380" w:hanging="383"/>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lasting impacts from the COVID-19 pandemic;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ongoing regulatory dialogue.</w:t>
      </w:r>
    </w:p>
    <w:p>
      <w:pPr>
        <w:spacing w:after="0" w:line="25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100" w:firstLine="509"/>
        <w:spacing w:after="0" w:line="266" w:lineRule="auto"/>
        <w:rPr>
          <w:sz w:val="20"/>
          <w:szCs w:val="20"/>
          <w:color w:val="auto"/>
        </w:rPr>
      </w:pPr>
      <w:r>
        <w:rPr>
          <w:rFonts w:ascii="Arial" w:cs="Arial" w:eastAsia="Arial" w:hAnsi="Arial"/>
          <w:sz w:val="17"/>
          <w:szCs w:val="17"/>
          <w:color w:val="auto"/>
        </w:rPr>
        <w:t>We currently operate with limited resources. We believe that our cash and cash equivalents balance of $233.0 million and short-term investment balance of $79.9 million as of June 30, 2023 will be sufficient to fund our projected operations for at least 12 months from the issuance date of our unaudited condensed consolidated financial statements included elsewhere in this Quarterly Report. We have based this estimate on assumptions that may prove to be wrong, and we could deplete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and VASCEPA promotional and educational activities, including launch activities in Europe on our operations and those of our customers and any current or potential generic competition.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20" w:right="20" w:hanging="503"/>
        <w:spacing w:after="0" w:line="259"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 and governmental inquiries;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time and costs involved in obtaining additional regulatory approvals for VASCEPA based on REDUCE-IT results internationally;</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laws could have a material adverse effect on our business, financial condition and results of operations.</w:t>
      </w:r>
    </w:p>
    <w:p>
      <w:pPr>
        <w:spacing w:after="0" w:line="117"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us,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58"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5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Changes in tax laws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5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The IRA was enacted into law on August 16, 2022. Included in the IRA was a provision to implement a 15% corporate alternative minimum tax on corporations whose average annual adjusted financial statement income during the most recently-completed three-year period exceeds $1.0 billion. This provision is effective for tax years beginning after December 31, 2022. We are in the process of evaluating the provisions of the IRA.</w:t>
      </w: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7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As of July 31, 2023, we had 407,909,197 common shares outstanding, including 387,502,130 shares held as ADSs and 20,407,067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900" w:right="180" w:hanging="383"/>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17" w:lineRule="exact"/>
        <w:rPr>
          <w:sz w:val="20"/>
          <w:szCs w:val="20"/>
          <w:color w:val="auto"/>
        </w:rPr>
      </w:pPr>
    </w:p>
    <w:p>
      <w:pPr>
        <w:ind w:right="100" w:firstLine="509"/>
        <w:spacing w:after="0" w:line="271" w:lineRule="auto"/>
        <w:rPr>
          <w:sz w:val="20"/>
          <w:szCs w:val="20"/>
          <w:color w:val="auto"/>
        </w:rPr>
      </w:pPr>
      <w:r>
        <w:rPr>
          <w:rFonts w:ascii="Arial" w:cs="Arial" w:eastAsia="Arial" w:hAnsi="Arial"/>
          <w:sz w:val="17"/>
          <w:szCs w:val="17"/>
          <w:color w:val="auto"/>
        </w:rPr>
        <w:t>Further, the long-term effects of the UK's departure from the EU, or Brexit, remain uncertain and may have a negative effect on global economic conditions, financial markets and our business, which could reduce the price of our ADSs and common shares. In particular, ongoing uncertainty related to Brexit and the long-term relationship between the UK and the EU could lead to a period of disruption in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05"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that they beneficially own. Generally, sales under such plans by members of our senior management team and directors require public filings. Actual or potential sales of our ADSs by such persons could cause the price of our ADSs to fall or prevent it from increasing for numerous reasons.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129"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ind w:right="20" w:firstLine="509"/>
        <w:spacing w:after="0" w:line="254" w:lineRule="auto"/>
        <w:rPr>
          <w:sz w:val="20"/>
          <w:szCs w:val="20"/>
          <w:color w:val="auto"/>
        </w:rPr>
      </w:pPr>
      <w:r>
        <w:rPr>
          <w:rFonts w:ascii="Arial" w:cs="Arial" w:eastAsia="Arial" w:hAnsi="Arial"/>
          <w:sz w:val="18"/>
          <w:szCs w:val="18"/>
          <w:color w:val="auto"/>
        </w:rPr>
        <w:t>Based on certain estimates of our gross income and gross assets, the latter determined by reference to the expected value of our ADSs and ordinary shares, we believe that we will not be classified as a PFIC for the taxable year ended December 31, 2022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6" w:lineRule="exact"/>
        <w:rPr>
          <w:sz w:val="20"/>
          <w:szCs w:val="20"/>
          <w:color w:val="auto"/>
        </w:rPr>
      </w:pPr>
    </w:p>
    <w:p>
      <w:pPr>
        <w:ind w:left="900" w:right="80" w:hanging="383"/>
        <w:spacing w:after="0" w:line="263"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rFonts w:ascii="Arial" w:cs="Arial" w:eastAsia="Arial" w:hAnsi="Arial"/>
          <w:sz w:val="18"/>
          <w:szCs w:val="18"/>
          <w:color w:val="auto"/>
        </w:rPr>
      </w:pPr>
    </w:p>
    <w:p>
      <w:pPr>
        <w:ind w:left="900" w:right="500" w:hanging="383"/>
        <w:spacing w:after="0" w:line="34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900" w:right="260" w:hanging="383"/>
        <w:spacing w:after="0" w:line="31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0" w:lineRule="exact"/>
        <w:rPr>
          <w:rFonts w:ascii="Arial" w:cs="Arial" w:eastAsia="Arial" w:hAnsi="Arial"/>
          <w:sz w:val="16"/>
          <w:szCs w:val="16"/>
          <w:color w:val="auto"/>
        </w:rPr>
      </w:pPr>
    </w:p>
    <w:p>
      <w:pPr>
        <w:ind w:left="900" w:right="200" w:hanging="383"/>
        <w:spacing w:after="0" w:line="25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9" w:lineRule="exact"/>
        <w:rPr>
          <w:rFonts w:ascii="Arial" w:cs="Arial" w:eastAsia="Arial" w:hAnsi="Arial"/>
          <w:sz w:val="18"/>
          <w:szCs w:val="18"/>
          <w:color w:val="auto"/>
        </w:rPr>
      </w:pPr>
    </w:p>
    <w:p>
      <w:pPr>
        <w:ind w:left="900" w:right="20" w:hanging="383"/>
        <w:spacing w:after="0" w:line="29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8" w:lineRule="exact"/>
        <w:rPr>
          <w:rFonts w:ascii="Arial" w:cs="Arial" w:eastAsia="Arial" w:hAnsi="Arial"/>
          <w:sz w:val="16"/>
          <w:szCs w:val="16"/>
          <w:color w:val="auto"/>
        </w:rPr>
      </w:pPr>
    </w:p>
    <w:p>
      <w:pPr>
        <w:ind w:left="900" w:right="40" w:hanging="383"/>
        <w:spacing w:after="0" w:line="301"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49" w:lineRule="exact"/>
        <w:rPr>
          <w:rFonts w:ascii="Arial" w:cs="Arial" w:eastAsia="Arial" w:hAnsi="Arial"/>
          <w:sz w:val="16"/>
          <w:szCs w:val="16"/>
          <w:color w:val="auto"/>
        </w:rPr>
      </w:pPr>
    </w:p>
    <w:p>
      <w:pPr>
        <w:jc w:val="both"/>
        <w:ind w:left="900" w:right="20" w:hanging="383"/>
        <w:spacing w:after="0" w:line="286"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w:t>
      </w:r>
    </w:p>
    <w:p>
      <w:pPr>
        <w:spacing w:after="0" w:line="1" w:lineRule="exact"/>
        <w:rPr>
          <w:sz w:val="20"/>
          <w:szCs w:val="20"/>
          <w:color w:val="auto"/>
        </w:rPr>
      </w:pPr>
    </w:p>
    <w:p>
      <w:pPr>
        <w:ind w:left="900" w:right="140"/>
        <w:spacing w:after="0" w:line="265" w:lineRule="auto"/>
        <w:rPr>
          <w:sz w:val="20"/>
          <w:szCs w:val="20"/>
          <w:color w:val="auto"/>
        </w:rPr>
      </w:pPr>
      <w:r>
        <w:rPr>
          <w:rFonts w:ascii="Arial" w:cs="Arial" w:eastAsia="Arial" w:hAnsi="Arial"/>
          <w:sz w:val="17"/>
          <w:szCs w:val="17"/>
          <w:color w:val="auto"/>
        </w:rPr>
        <w:t>in order to constitute a quorum. The minimum number of shares required for a quorum can be reduced pursuant to a provision in a company’s certificate of incorporation or bylaws, but typically not below one-third of the shares entitled to vote at the meeting.</w:t>
      </w: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1" w:name="page72"/>
    <w:bookmarkEnd w:id="71"/>
    <w:p>
      <w:pPr>
        <w:ind w:left="52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140"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63" w:lineRule="exact"/>
        <w:rPr>
          <w:sz w:val="20"/>
          <w:szCs w:val="20"/>
          <w:color w:val="auto"/>
        </w:rPr>
      </w:pPr>
    </w:p>
    <w:p>
      <w:pPr>
        <w:ind w:left="900" w:right="40" w:hanging="383"/>
        <w:spacing w:after="0" w:line="311"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40" w:lineRule="exact"/>
        <w:rPr>
          <w:rFonts w:ascii="Arial" w:cs="Arial" w:eastAsia="Arial" w:hAnsi="Arial"/>
          <w:sz w:val="16"/>
          <w:szCs w:val="16"/>
          <w:color w:val="auto"/>
        </w:rPr>
      </w:pPr>
    </w:p>
    <w:p>
      <w:pPr>
        <w:ind w:left="900" w:right="40" w:hanging="383"/>
        <w:spacing w:after="0" w:line="301"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49" w:lineRule="exact"/>
        <w:rPr>
          <w:rFonts w:ascii="Arial" w:cs="Arial" w:eastAsia="Arial" w:hAnsi="Arial"/>
          <w:sz w:val="16"/>
          <w:szCs w:val="16"/>
          <w:color w:val="auto"/>
        </w:rPr>
      </w:pPr>
    </w:p>
    <w:p>
      <w:pPr>
        <w:ind w:left="900" w:hanging="383"/>
        <w:spacing w:after="0" w:line="29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53" w:lineRule="exact"/>
        <w:rPr>
          <w:rFonts w:ascii="Arial" w:cs="Arial" w:eastAsia="Arial" w:hAnsi="Arial"/>
          <w:sz w:val="16"/>
          <w:szCs w:val="16"/>
          <w:color w:val="auto"/>
        </w:rPr>
      </w:pPr>
    </w:p>
    <w:p>
      <w:pPr>
        <w:ind w:left="900" w:right="20" w:hanging="383"/>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62"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62" w:lineRule="exact"/>
        <w:rPr>
          <w:rFonts w:ascii="Arial" w:cs="Arial" w:eastAsia="Arial" w:hAnsi="Arial"/>
          <w:sz w:val="18"/>
          <w:szCs w:val="18"/>
          <w:color w:val="auto"/>
        </w:rPr>
      </w:pPr>
    </w:p>
    <w:p>
      <w:pPr>
        <w:ind w:left="900" w:right="140" w:hanging="383"/>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directors of those parties issuing takeover circulars must include statements taking responsibility for the contents thereof.</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128" w:lineRule="exact"/>
        <w:rPr>
          <w:rFonts w:ascii="Arial" w:cs="Arial" w:eastAsia="Arial" w:hAnsi="Arial"/>
          <w:sz w:val="17"/>
          <w:szCs w:val="17"/>
          <w:color w:val="auto"/>
        </w:rPr>
      </w:pPr>
    </w:p>
    <w:p>
      <w:pPr>
        <w:ind w:left="900" w:right="360" w:hanging="383"/>
        <w:spacing w:after="0" w:line="279"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63" w:lineRule="exact"/>
        <w:rPr>
          <w:rFonts w:ascii="Arial" w:cs="Arial" w:eastAsia="Arial" w:hAnsi="Arial"/>
          <w:sz w:val="17"/>
          <w:szCs w:val="17"/>
          <w:color w:val="auto"/>
        </w:rPr>
      </w:pPr>
    </w:p>
    <w:p>
      <w:pPr>
        <w:ind w:left="900" w:right="120" w:hanging="383"/>
        <w:spacing w:after="0" w:line="263"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75" w:lineRule="exact"/>
        <w:rPr>
          <w:rFonts w:ascii="Arial" w:cs="Arial" w:eastAsia="Arial" w:hAnsi="Arial"/>
          <w:sz w:val="18"/>
          <w:szCs w:val="18"/>
          <w:color w:val="auto"/>
        </w:rPr>
      </w:pPr>
    </w:p>
    <w:p>
      <w:pPr>
        <w:ind w:left="900" w:hanging="383"/>
        <w:spacing w:after="0" w:line="291"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w:t>
      </w:r>
    </w:p>
    <w:p>
      <w:pPr>
        <w:jc w:val="center"/>
        <w:ind w:left="600" w:right="620"/>
        <w:spacing w:after="0" w:line="260" w:lineRule="auto"/>
        <w:rPr>
          <w:sz w:val="20"/>
          <w:szCs w:val="20"/>
          <w:color w:val="auto"/>
        </w:rPr>
      </w:pPr>
      <w:r>
        <w:rPr>
          <w:rFonts w:ascii="Arial" w:cs="Arial" w:eastAsia="Arial" w:hAnsi="Arial"/>
          <w:sz w:val="18"/>
          <w:szCs w:val="18"/>
          <w:color w:val="auto"/>
        </w:rPr>
        <w:t>effects of the offer on employment and pension schemes appended to the offeree board of directors’ circular or published on a website.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72" w:name="page73"/>
    <w:bookmarkEnd w:id="72"/>
    <w:p>
      <w:pPr>
        <w:ind w:left="52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91" w:lineRule="exact"/>
        <w:rPr>
          <w:sz w:val="20"/>
          <w:szCs w:val="20"/>
          <w:color w:val="auto"/>
        </w:rPr>
      </w:pPr>
    </w:p>
    <w:p>
      <w:pPr>
        <w:ind w:right="580" w:firstLine="509"/>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0" w:firstLine="509"/>
        <w:spacing w:after="0" w:line="254"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right="20" w:firstLine="509"/>
        <w:spacing w:after="0" w:line="296" w:lineRule="auto"/>
        <w:rPr>
          <w:sz w:val="20"/>
          <w:szCs w:val="20"/>
          <w:color w:val="auto"/>
        </w:rPr>
      </w:pPr>
      <w:r>
        <w:rPr>
          <w:rFonts w:ascii="Arial" w:cs="Arial" w:eastAsia="Arial" w:hAnsi="Arial"/>
          <w:sz w:val="16"/>
          <w:szCs w:val="16"/>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8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76"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The UK left the EU on January 31, 2020, but remained in the EU’s customs union and single market for a transitional period that expired on December 31, 2020. Although the UK entered into a trade and cooperation agreement with the EU, which was provisionally applicable since January 1, 2021 and formally applicable since May 1, 2021, the UK-EU TCA, that provides for, among other things, the free movement of goods between the United Kingdom and the EU, continued legal uncertainty and potentially divergent national laws and regulations in areas not specifically addressed in the UK-EU TCA may continue to affect trade and other interactions between the UK and the EU. In addition, UK service suppliers no longer benefit from automatic access to the entire EU single market and free movement of goods is subject to increased bureaucracy. The loss of these benefits could impact the attractiveness of the UK as a global business and financial center, which may have an adverse effect on the rate of economic growth in the UK and the EU.</w:t>
      </w:r>
    </w:p>
    <w:p>
      <w:pPr>
        <w:spacing w:after="0" w:line="5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a greater macroeconomic level, ongoing uncertainty related to Brexit and the UK’s legal, political and economic relationship with the EU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76"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These developments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63"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long-term effects of Brexit are currently unknown and will depend on the evolution of any agreements (or lack thereof) that the UK makes to retain access to the EU markets.</w:t>
      </w:r>
    </w:p>
    <w:p>
      <w:pPr>
        <w:spacing w:after="0" w:line="62" w:lineRule="exact"/>
        <w:rPr>
          <w:sz w:val="20"/>
          <w:szCs w:val="20"/>
          <w:color w:val="auto"/>
        </w:rPr>
      </w:pPr>
    </w:p>
    <w:p>
      <w:pPr>
        <w:ind w:right="400" w:firstLine="509"/>
        <w:spacing w:after="0" w:line="258" w:lineRule="auto"/>
        <w:rPr>
          <w:sz w:val="20"/>
          <w:szCs w:val="20"/>
          <w:color w:val="auto"/>
        </w:rPr>
      </w:pPr>
      <w:r>
        <w:rPr>
          <w:rFonts w:ascii="Arial" w:cs="Arial" w:eastAsia="Arial" w:hAnsi="Arial"/>
          <w:sz w:val="18"/>
          <w:szCs w:val="18"/>
          <w:color w:val="auto"/>
        </w:rPr>
        <w:t>Such a withdrawal from the EU is unprecedented, and it remains unclear how the UK’s access to the European single market for goods, capital, services and labor within the EU, or single market, and the wider commercial, legal and regulatory environment, will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spacing w:after="0" w:line="263" w:lineRule="auto"/>
        <w:rPr>
          <w:sz w:val="20"/>
          <w:szCs w:val="20"/>
          <w:color w:val="auto"/>
        </w:rPr>
      </w:pPr>
      <w:r>
        <w:rPr>
          <w:rFonts w:ascii="Arial" w:cs="Arial" w:eastAsia="Arial" w:hAnsi="Arial"/>
          <w:sz w:val="18"/>
          <w:szCs w:val="18"/>
          <w:color w:val="auto"/>
        </w:rPr>
        <w:t>impact our long-term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76"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We may also have to scale back or further restructure our operations. If we are unable to obtain additional funding when needed , we may be required to curtail or terminate some or all of our research or development programs or our commercialization strategies.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160" w:firstLine="509"/>
        <w:spacing w:after="0" w:line="286"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5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76" w:lineRule="exact"/>
        <w:rPr>
          <w:sz w:val="20"/>
          <w:szCs w:val="20"/>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1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11"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b w:val="1"/>
          <w:bCs w:val="1"/>
          <w:i w:val="1"/>
          <w:iCs w:val="1"/>
          <w:color w:val="auto"/>
        </w:rPr>
        <w:t>We are currently operating in a period of economic uncertainty and capital markets disruption, which has been significantly impacted by geopolitical instability, including in Europe, and record inflation. Our business, financial condition and results of operations could be materially and adversely affected by any negative impact on the global economy and capital markets resulting from these global economic conditions, particularly if such conditions are prolonged or worsen.</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firstLine="509"/>
        <w:spacing w:after="0" w:line="286" w:lineRule="auto"/>
        <w:rPr>
          <w:sz w:val="20"/>
          <w:szCs w:val="20"/>
          <w:color w:val="auto"/>
        </w:rPr>
      </w:pPr>
      <w:r>
        <w:rPr>
          <w:rFonts w:ascii="Arial" w:cs="Arial" w:eastAsia="Arial" w:hAnsi="Arial"/>
          <w:sz w:val="17"/>
          <w:szCs w:val="17"/>
          <w:color w:val="auto"/>
        </w:rPr>
        <w:t>Economic uncertainty in various global markets, including the U.S. and Europe, caused by political instability and conflict, such as Russia's invasion of Ukraine, and economic challenges caused by the COVID-19 pandemic, have led to market disruptions, including significant volatility in commodity prices, credit and capital market instability and supply chain interruptions, which have caused record inflation globally.</w:t>
      </w:r>
    </w:p>
    <w:p>
      <w:pPr>
        <w:spacing w:after="0" w:line="5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Although, to date, our business has not been materially impacted by these global economic and geopolitical conditions, it is impossible to predict the extent to which our operations will be impacted in the short and long term, or the ways in which such instability could impact our business and results of operations. The extent and duration of these market disruptions, whether as a result of the military conflict between Russia and Ukraine, geopolitical tensions, record inflation or otherwise, are impossible to predict, but could be substantial. Any such disruptions may also magnify the impact of other risks described in this report.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6640" w:type="dxa"/>
            <w:vAlign w:val="bottom"/>
            <w:gridSpan w:val="2"/>
          </w:tcPr>
          <w:p>
            <w:pPr>
              <w:ind w:left="520"/>
              <w:spacing w:after="0"/>
              <w:rPr>
                <w:sz w:val="20"/>
                <w:szCs w:val="20"/>
                <w:color w:val="auto"/>
              </w:rPr>
            </w:pPr>
            <w:r>
              <w:rPr>
                <w:rFonts w:ascii="Arial" w:cs="Arial" w:eastAsia="Arial" w:hAnsi="Arial"/>
                <w:sz w:val="18"/>
                <w:szCs w:val="18"/>
                <w:color w:val="auto"/>
              </w:rPr>
              <w:t>Shares purchased in the second quarter of 2023 are as follows:</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11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237"/>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136"/>
              <w:spacing w:after="0"/>
              <w:rPr>
                <w:sz w:val="20"/>
                <w:szCs w:val="20"/>
                <w:color w:val="auto"/>
              </w:rPr>
            </w:pPr>
            <w:r>
              <w:rPr>
                <w:rFonts w:ascii="Arial" w:cs="Arial" w:eastAsia="Arial" w:hAnsi="Arial"/>
                <w:sz w:val="14"/>
                <w:szCs w:val="14"/>
                <w:b w:val="1"/>
                <w:bCs w:val="1"/>
                <w:color w:val="auto"/>
                <w:w w:val="96"/>
              </w:rPr>
              <w:t>Average Price</w:t>
            </w:r>
          </w:p>
        </w:tc>
        <w:tc>
          <w:tcPr>
            <w:tcW w:w="120" w:type="dxa"/>
            <w:vAlign w:val="bottom"/>
          </w:tcPr>
          <w:p>
            <w:pPr>
              <w:spacing w:after="0"/>
              <w:rPr>
                <w:sz w:val="24"/>
                <w:szCs w:val="24"/>
                <w:color w:val="auto"/>
              </w:rPr>
            </w:pPr>
          </w:p>
        </w:tc>
      </w:tr>
      <w:tr>
        <w:trPr>
          <w:trHeight w:val="189"/>
        </w:trPr>
        <w:tc>
          <w:tcPr>
            <w:tcW w:w="1120" w:type="dxa"/>
            <w:vAlign w:val="bottom"/>
          </w:tcPr>
          <w:p>
            <w:pPr>
              <w:spacing w:after="0"/>
              <w:rPr>
                <w:sz w:val="16"/>
                <w:szCs w:val="16"/>
                <w:color w:val="auto"/>
              </w:rPr>
            </w:pP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Period</w:t>
            </w:r>
          </w:p>
        </w:tc>
        <w:tc>
          <w:tcPr>
            <w:tcW w:w="180" w:type="dxa"/>
            <w:vAlign w:val="bottom"/>
          </w:tcPr>
          <w:p>
            <w:pPr>
              <w:spacing w:after="0"/>
              <w:rPr>
                <w:sz w:val="16"/>
                <w:szCs w:val="16"/>
                <w:color w:val="auto"/>
              </w:rPr>
            </w:pPr>
          </w:p>
        </w:tc>
        <w:tc>
          <w:tcPr>
            <w:tcW w:w="1620" w:type="dxa"/>
            <w:vAlign w:val="bottom"/>
            <w:tcBorders>
              <w:bottom w:val="single" w:sz="8" w:color="auto"/>
            </w:tcBorders>
          </w:tcPr>
          <w:p>
            <w:pPr>
              <w:jc w:val="right"/>
              <w:ind w:right="117"/>
              <w:spacing w:after="0" w:line="189" w:lineRule="exact"/>
              <w:rPr>
                <w:sz w:val="20"/>
                <w:szCs w:val="20"/>
                <w:color w:val="auto"/>
              </w:rPr>
            </w:pPr>
            <w:r>
              <w:rPr>
                <w:rFonts w:ascii="Arial" w:cs="Arial" w:eastAsia="Arial" w:hAnsi="Arial"/>
                <w:sz w:val="14"/>
                <w:szCs w:val="14"/>
                <w:b w:val="1"/>
                <w:bCs w:val="1"/>
                <w:color w:val="auto"/>
                <w:w w:val="98"/>
              </w:rPr>
              <w:t xml:space="preserve">Shares Purchased </w:t>
            </w:r>
            <w:r>
              <w:rPr>
                <w:rFonts w:ascii="Arial" w:cs="Arial" w:eastAsia="Arial" w:hAnsi="Arial"/>
                <w:sz w:val="19"/>
                <w:szCs w:val="19"/>
                <w:b w:val="1"/>
                <w:bCs w:val="1"/>
                <w:color w:val="auto"/>
                <w:w w:val="98"/>
                <w:vertAlign w:val="superscript"/>
              </w:rPr>
              <w:t>(1)</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Paid per Share</w:t>
            </w:r>
          </w:p>
        </w:tc>
        <w:tc>
          <w:tcPr>
            <w:tcW w:w="120" w:type="dxa"/>
            <w:vAlign w:val="bottom"/>
          </w:tcPr>
          <w:p>
            <w:pPr>
              <w:spacing w:after="0"/>
              <w:rPr>
                <w:sz w:val="16"/>
                <w:szCs w:val="16"/>
                <w:color w:val="auto"/>
              </w:rPr>
            </w:pPr>
          </w:p>
        </w:tc>
      </w:tr>
      <w:tr>
        <w:trPr>
          <w:trHeight w:val="237"/>
        </w:trPr>
        <w:tc>
          <w:tcPr>
            <w:tcW w:w="1120" w:type="dxa"/>
            <w:vAlign w:val="bottom"/>
          </w:tcPr>
          <w:p>
            <w:pPr>
              <w:spacing w:after="0"/>
              <w:rPr>
                <w:sz w:val="20"/>
                <w:szCs w:val="20"/>
                <w:color w:val="auto"/>
              </w:rPr>
            </w:pPr>
          </w:p>
        </w:tc>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1 - 31, 2023</w:t>
            </w:r>
          </w:p>
        </w:tc>
        <w:tc>
          <w:tcPr>
            <w:tcW w:w="18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56,945</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May 1 - 31, 2023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28,050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r>
      <w:tr>
        <w:trPr>
          <w:trHeight w:val="243"/>
        </w:trPr>
        <w:tc>
          <w:tcPr>
            <w:tcW w:w="1120" w:type="dxa"/>
            <w:vAlign w:val="bottom"/>
          </w:tcPr>
          <w:p>
            <w:pPr>
              <w:spacing w:after="0"/>
              <w:rPr>
                <w:sz w:val="21"/>
                <w:szCs w:val="21"/>
                <w:color w:val="auto"/>
              </w:rPr>
            </w:pPr>
          </w:p>
        </w:tc>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1 - 30, 2023</w:t>
            </w:r>
          </w:p>
        </w:tc>
        <w:tc>
          <w:tcPr>
            <w:tcW w:w="18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59,245</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144,240</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-170815</wp:posOffset>
            </wp:positionV>
            <wp:extent cx="6858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-170815</wp:posOffset>
            </wp:positionV>
            <wp:extent cx="77470" cy="1714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71450"/>
                    </a:xfrm>
                    <a:prstGeom prst="rect">
                      <a:avLst/>
                    </a:prstGeom>
                    <a:noFill/>
                  </pic:spPr>
                </pic:pic>
              </a:graphicData>
            </a:graphic>
          </wp:anchor>
        </w:drawing>
      </w:r>
    </w:p>
    <w:p>
      <w:pPr>
        <w:spacing w:after="0" w:line="201" w:lineRule="exact"/>
        <w:rPr>
          <w:sz w:val="20"/>
          <w:szCs w:val="20"/>
          <w:color w:val="auto"/>
        </w:rPr>
      </w:pPr>
    </w:p>
    <w:p>
      <w:pPr>
        <w:ind w:left="380" w:right="180" w:hanging="372"/>
        <w:spacing w:after="0" w:line="218" w:lineRule="auto"/>
        <w:tabs>
          <w:tab w:leader="none" w:pos="326" w:val="left"/>
        </w:tabs>
        <w:numPr>
          <w:ilvl w:val="0"/>
          <w:numId w:val="45"/>
        </w:numPr>
        <w:rPr>
          <w:rFonts w:ascii="Arial" w:cs="Arial" w:eastAsia="Arial" w:hAnsi="Arial"/>
          <w:sz w:val="24"/>
          <w:szCs w:val="24"/>
          <w:color w:val="auto"/>
          <w:vertAlign w:val="superscript"/>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3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5" w:name="page76"/>
    <w:bookmarkEnd w:id="75"/>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incorporated by reference or filed or furnished as part of this report.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Incorporated by Reference Herein</w:t>
            </w:r>
          </w:p>
        </w:tc>
        <w:tc>
          <w:tcPr>
            <w:tcW w:w="0" w:type="dxa"/>
            <w:vAlign w:val="bottom"/>
          </w:tcPr>
          <w:p>
            <w:pPr>
              <w:spacing w:after="0"/>
              <w:rPr>
                <w:sz w:val="1"/>
                <w:szCs w:val="1"/>
                <w:color w:val="auto"/>
              </w:rPr>
            </w:pPr>
          </w:p>
        </w:tc>
      </w:tr>
      <w:tr>
        <w:trPr>
          <w:trHeight w:val="36"/>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3"/>
                <w:szCs w:val="3"/>
                <w:color w:val="auto"/>
              </w:rPr>
            </w:pPr>
          </w:p>
        </w:tc>
        <w:tc>
          <w:tcPr>
            <w:tcW w:w="41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Description</w:t>
            </w:r>
          </w:p>
        </w:tc>
        <w:tc>
          <w:tcPr>
            <w:tcW w:w="196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Borders>
              <w:bottom w:val="single" w:sz="8" w:color="auto"/>
            </w:tcBorders>
            <w:vMerge w:val="continue"/>
          </w:tcPr>
          <w:p>
            <w:pPr>
              <w:spacing w:after="0"/>
              <w:rPr>
                <w:sz w:val="14"/>
                <w:szCs w:val="14"/>
                <w:color w:val="auto"/>
              </w:rPr>
            </w:pPr>
          </w:p>
        </w:tc>
        <w:tc>
          <w:tcPr>
            <w:tcW w:w="19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Form</w:t>
            </w:r>
          </w:p>
        </w:tc>
        <w:tc>
          <w:tcPr>
            <w:tcW w:w="408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line="17"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0000F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2000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0000F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2000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5"/>
          <w:szCs w:val="15"/>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10795</wp:posOffset>
            </wp:positionV>
            <wp:extent cx="2000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5"/>
          </w:tcPr>
          <w:p>
            <w:pPr>
              <w:spacing w:after="0"/>
              <w:rPr>
                <w:sz w:val="20"/>
                <w:szCs w:val="20"/>
                <w:color w:val="auto"/>
              </w:rPr>
            </w:pPr>
            <w:r>
              <w:rPr>
                <w:rFonts w:ascii="Arial" w:cs="Arial" w:eastAsia="Arial" w:hAnsi="Arial"/>
                <w:sz w:val="18"/>
                <w:szCs w:val="18"/>
                <w:color w:val="0000FF"/>
              </w:rPr>
              <w:t>Non-Employee Director Compensation Policy</w:t>
            </w:r>
          </w:p>
        </w:tc>
        <w:tc>
          <w:tcPr>
            <w:tcW w:w="1100" w:type="dxa"/>
            <w:vAlign w:val="bottom"/>
          </w:tcPr>
          <w:p>
            <w:pPr>
              <w:ind w:left="60"/>
              <w:spacing w:after="0"/>
              <w:rPr>
                <w:sz w:val="20"/>
                <w:szCs w:val="20"/>
                <w:color w:val="auto"/>
              </w:rPr>
            </w:pPr>
            <w:r>
              <w:rPr>
                <w:rFonts w:ascii="Arial" w:cs="Arial" w:eastAsia="Arial" w:hAnsi="Arial"/>
                <w:sz w:val="18"/>
                <w:szCs w:val="18"/>
                <w:color w:val="auto"/>
                <w:w w:val="91"/>
              </w:rPr>
              <w:t>Filed herewith</w:t>
            </w:r>
          </w:p>
        </w:tc>
      </w:tr>
      <w:tr>
        <w:trPr>
          <w:trHeight w:val="20"/>
        </w:trPr>
        <w:tc>
          <w:tcPr>
            <w:tcW w:w="204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72"/>
        </w:trPr>
        <w:tc>
          <w:tcPr>
            <w:tcW w:w="39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0"/>
              </w:rPr>
              <w:t>Employement Agreement between Aaron D. Berg and</w:t>
            </w:r>
          </w:p>
        </w:tc>
        <w:tc>
          <w:tcPr>
            <w:tcW w:w="160" w:type="dxa"/>
            <w:vAlign w:val="bottom"/>
            <w:gridSpan w:val="2"/>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91"/>
              </w:rPr>
              <w:t>Filed herewith</w:t>
            </w:r>
          </w:p>
        </w:tc>
      </w:tr>
      <w:tr>
        <w:trPr>
          <w:trHeight w:val="196"/>
        </w:trPr>
        <w:tc>
          <w:tcPr>
            <w:tcW w:w="33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1"/>
              </w:rPr>
              <w:t>Amarin Corporation, plc. dated April 13, 2023</w:t>
            </w:r>
          </w:p>
        </w:tc>
        <w:tc>
          <w:tcPr>
            <w:tcW w:w="74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r>
      <w:tr>
        <w:trPr>
          <w:trHeight w:val="372"/>
        </w:trPr>
        <w:tc>
          <w:tcPr>
            <w:tcW w:w="39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3"/>
              </w:rPr>
              <w:t>Certification of President and Chief Executive Officer</w:t>
            </w:r>
          </w:p>
        </w:tc>
        <w:tc>
          <w:tcPr>
            <w:tcW w:w="14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91"/>
              </w:rPr>
              <w:t>Filed herewith</w:t>
            </w:r>
          </w:p>
        </w:tc>
      </w:tr>
      <w:tr>
        <w:trPr>
          <w:trHeight w:val="196"/>
        </w:trPr>
        <w:tc>
          <w:tcPr>
            <w:tcW w:w="40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2"/>
              </w:rPr>
              <w:t>(Principal Executive Officer) pursuant to Section 302 of</w:t>
            </w:r>
          </w:p>
        </w:tc>
        <w:tc>
          <w:tcPr>
            <w:tcW w:w="1100" w:type="dxa"/>
            <w:vAlign w:val="bottom"/>
          </w:tcPr>
          <w:p>
            <w:pPr>
              <w:spacing w:after="0"/>
              <w:rPr>
                <w:sz w:val="17"/>
                <w:szCs w:val="17"/>
                <w:color w:val="auto"/>
              </w:rPr>
            </w:pPr>
          </w:p>
        </w:tc>
      </w:tr>
      <w:tr>
        <w:trPr>
          <w:trHeight w:val="196"/>
        </w:trPr>
        <w:tc>
          <w:tcPr>
            <w:tcW w:w="20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Sarbanes-Oxley Act of 2002</w:t>
            </w:r>
          </w:p>
        </w:tc>
        <w:tc>
          <w:tcPr>
            <w:tcW w:w="204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r>
    </w:tbl>
    <w:p>
      <w:pPr>
        <w:spacing w:after="0" w:line="171" w:lineRule="exact"/>
        <w:rPr>
          <w:sz w:val="20"/>
          <w:szCs w:val="20"/>
          <w:color w:val="auto"/>
        </w:rPr>
      </w:pPr>
    </w:p>
    <w:p>
      <w:pPr>
        <w:sectPr>
          <w:pgSz w:w="11900" w:h="16838" w:orient="portrait"/>
          <w:cols w:equalWidth="0" w:num="2">
            <w:col w:w="420" w:space="660"/>
            <w:col w:w="1016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ind w:left="120"/>
              <w:spacing w:after="0"/>
              <w:rPr>
                <w:sz w:val="20"/>
                <w:szCs w:val="20"/>
                <w:color w:val="auto"/>
              </w:rPr>
            </w:pPr>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p>
        </w:tc>
        <w:tc>
          <w:tcPr>
            <w:tcW w:w="660" w:type="dxa"/>
            <w:vAlign w:val="bottom"/>
          </w:tcPr>
          <w:p>
            <w:pPr>
              <w:spacing w:after="0"/>
              <w:rPr>
                <w:sz w:val="17"/>
                <w:szCs w:val="17"/>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rPr>
              <w:t>Certification of Senior Vice President and Chief</w:t>
            </w:r>
          </w:p>
        </w:tc>
        <w:tc>
          <w:tcPr>
            <w:tcW w:w="60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0" w:type="dxa"/>
            <w:vAlign w:val="bottom"/>
            <w:tcBorders>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4"/>
              </w:rPr>
              <w:t>Financial Officer (Principal Financial Officer and</w:t>
            </w:r>
          </w:p>
        </w:tc>
        <w:tc>
          <w:tcPr>
            <w:tcW w:w="520" w:type="dxa"/>
            <w:vAlign w:val="bottom"/>
            <w:gridSpan w:val="3"/>
          </w:tcPr>
          <w:p>
            <w:pPr>
              <w:spacing w:after="0"/>
              <w:rPr>
                <w:sz w:val="17"/>
                <w:szCs w:val="17"/>
                <w:color w:val="auto"/>
              </w:rPr>
            </w:pPr>
          </w:p>
        </w:tc>
        <w:tc>
          <w:tcPr>
            <w:tcW w:w="60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2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2"/>
              </w:rPr>
              <w:t>Principal Accounting Officer) pursuant to Section 302 of</w:t>
            </w:r>
          </w:p>
        </w:tc>
        <w:tc>
          <w:tcPr>
            <w:tcW w:w="60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4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Sarbanes-Oxley Act of 2002</w:t>
            </w:r>
          </w:p>
        </w:tc>
        <w:tc>
          <w:tcPr>
            <w:tcW w:w="2080" w:type="dxa"/>
            <w:vAlign w:val="bottom"/>
            <w:gridSpan w:val="6"/>
          </w:tcPr>
          <w:p>
            <w:pPr>
              <w:spacing w:after="0"/>
              <w:rPr>
                <w:sz w:val="17"/>
                <w:szCs w:val="17"/>
                <w:color w:val="auto"/>
              </w:rPr>
            </w:pPr>
          </w:p>
        </w:tc>
        <w:tc>
          <w:tcPr>
            <w:tcW w:w="6040" w:type="dxa"/>
            <w:vAlign w:val="bottom"/>
          </w:tcPr>
          <w:p>
            <w:pPr>
              <w:spacing w:after="0"/>
              <w:rPr>
                <w:sz w:val="17"/>
                <w:szCs w:val="17"/>
                <w:color w:val="auto"/>
              </w:rPr>
            </w:pPr>
          </w:p>
        </w:tc>
      </w:tr>
      <w:tr>
        <w:trPr>
          <w:trHeight w:val="372"/>
        </w:trPr>
        <w:tc>
          <w:tcPr>
            <w:tcW w:w="420" w:type="dxa"/>
            <w:vAlign w:val="bottom"/>
            <w:gridSpan w:val="2"/>
          </w:tcPr>
          <w:p>
            <w:pPr>
              <w:ind w:left="120"/>
              <w:spacing w:after="0"/>
              <w:rPr>
                <w:sz w:val="20"/>
                <w:szCs w:val="20"/>
                <w:color w:val="auto"/>
              </w:rPr>
            </w:pPr>
            <w:r>
              <w:rPr>
                <w:rFonts w:ascii="Arial" w:cs="Arial" w:eastAsia="Arial" w:hAnsi="Arial"/>
                <w:sz w:val="18"/>
                <w:szCs w:val="18"/>
                <w:color w:val="0000FF"/>
                <w:w w:val="79"/>
              </w:rPr>
              <w:t>32.</w:t>
            </w:r>
            <w:r>
              <w:rPr>
                <w:rFonts w:ascii="Arial" w:cs="Arial" w:eastAsia="Arial" w:hAnsi="Arial"/>
                <w:sz w:val="18"/>
                <w:szCs w:val="18"/>
                <w:u w:val="single" w:color="auto"/>
                <w:color w:val="0000FF"/>
                <w:w w:val="79"/>
              </w:rPr>
              <w:t>1</w:t>
            </w:r>
          </w:p>
        </w:tc>
        <w:tc>
          <w:tcPr>
            <w:tcW w:w="660" w:type="dxa"/>
            <w:vAlign w:val="bottom"/>
          </w:tcPr>
          <w:p>
            <w:pPr>
              <w:spacing w:after="0"/>
              <w:rPr>
                <w:sz w:val="24"/>
                <w:szCs w:val="24"/>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0000FF"/>
                <w:w w:val="97"/>
              </w:rPr>
              <w:t>Certification of President and Chief Executive Officer</w:t>
            </w:r>
          </w:p>
        </w:tc>
        <w:tc>
          <w:tcPr>
            <w:tcW w:w="60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0"/>
        </w:trPr>
        <w:tc>
          <w:tcPr>
            <w:tcW w:w="1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2"/>
              </w:rPr>
              <w:t>(Principal Executive Officer) and Senior Vice President</w:t>
            </w:r>
          </w:p>
        </w:tc>
        <w:tc>
          <w:tcPr>
            <w:tcW w:w="8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4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4"/>
              </w:rPr>
              <w:t>and Chief Financial Officer (Principal Financial Officer</w:t>
            </w:r>
          </w:p>
        </w:tc>
        <w:tc>
          <w:tcPr>
            <w:tcW w:w="8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94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2"/>
              </w:rPr>
              <w:t>and Principal Accounting Officer) pursuant to Section</w:t>
            </w:r>
          </w:p>
        </w:tc>
        <w:tc>
          <w:tcPr>
            <w:tcW w:w="18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120" w:type="dxa"/>
            <w:vAlign w:val="bottom"/>
            <w:gridSpan w:val="7"/>
          </w:tcPr>
          <w:p>
            <w:pPr>
              <w:spacing w:after="0" w:line="196" w:lineRule="exact"/>
              <w:rPr>
                <w:sz w:val="20"/>
                <w:szCs w:val="20"/>
                <w:color w:val="auto"/>
              </w:rPr>
            </w:pPr>
            <w:r>
              <w:rPr>
                <w:rFonts w:ascii="Arial" w:cs="Arial" w:eastAsia="Arial" w:hAnsi="Arial"/>
                <w:sz w:val="18"/>
                <w:szCs w:val="18"/>
                <w:color w:val="0000FF"/>
              </w:rPr>
              <w:t>906 of Sarbanes-Oxley Act of 2002</w:t>
            </w:r>
          </w:p>
        </w:tc>
        <w:tc>
          <w:tcPr>
            <w:tcW w:w="6040" w:type="dxa"/>
            <w:vAlign w:val="bottom"/>
          </w:tcPr>
          <w:p>
            <w:pPr>
              <w:spacing w:after="0"/>
              <w:rPr>
                <w:sz w:val="17"/>
                <w:szCs w:val="17"/>
                <w:color w:val="auto"/>
              </w:rPr>
            </w:pPr>
          </w:p>
        </w:tc>
      </w:tr>
      <w:tr>
        <w:trPr>
          <w:trHeight w:val="20"/>
        </w:trPr>
        <w:tc>
          <w:tcPr>
            <w:tcW w:w="1080" w:type="dxa"/>
            <w:vAlign w:val="bottom"/>
            <w:gridSpan w:val="3"/>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12"/>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101.SCH</w:t>
            </w:r>
          </w:p>
        </w:tc>
        <w:tc>
          <w:tcPr>
            <w:tcW w:w="4120" w:type="dxa"/>
            <w:vAlign w:val="bottom"/>
            <w:gridSpan w:val="7"/>
          </w:tcPr>
          <w:p>
            <w:pPr>
              <w:spacing w:after="0"/>
              <w:rPr>
                <w:sz w:val="20"/>
                <w:szCs w:val="20"/>
                <w:color w:val="auto"/>
              </w:rPr>
            </w:pPr>
            <w:r>
              <w:rPr>
                <w:rFonts w:ascii="Arial" w:cs="Arial" w:eastAsia="Arial" w:hAnsi="Arial"/>
                <w:sz w:val="18"/>
                <w:szCs w:val="18"/>
                <w:color w:val="auto"/>
                <w:w w:val="96"/>
              </w:rPr>
              <w:t>Inline XBRL Taxonomy Extension Schema Document</w:t>
            </w:r>
          </w:p>
        </w:tc>
        <w:tc>
          <w:tcPr>
            <w:tcW w:w="60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77"/>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101.CAL</w:t>
            </w:r>
          </w:p>
        </w:tc>
        <w:tc>
          <w:tcPr>
            <w:tcW w:w="101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Filed herewith</w:t>
            </w: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6040" w:type="dxa"/>
            <w:vAlign w:val="bottom"/>
          </w:tcPr>
          <w:p>
            <w:pPr>
              <w:spacing w:after="0"/>
              <w:rPr>
                <w:sz w:val="20"/>
                <w:szCs w:val="20"/>
                <w:color w:val="auto"/>
              </w:rPr>
            </w:pPr>
          </w:p>
        </w:tc>
      </w:tr>
      <w:tr>
        <w:trPr>
          <w:trHeight w:val="377"/>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101.DEF</w:t>
            </w:r>
          </w:p>
        </w:tc>
        <w:tc>
          <w:tcPr>
            <w:tcW w:w="4120" w:type="dxa"/>
            <w:vAlign w:val="bottom"/>
            <w:gridSpan w:val="7"/>
          </w:tcPr>
          <w:p>
            <w:pPr>
              <w:spacing w:after="0"/>
              <w:rPr>
                <w:sz w:val="20"/>
                <w:szCs w:val="20"/>
                <w:color w:val="auto"/>
              </w:rPr>
            </w:pPr>
            <w:r>
              <w:rPr>
                <w:rFonts w:ascii="Arial" w:cs="Arial" w:eastAsia="Arial" w:hAnsi="Arial"/>
                <w:sz w:val="18"/>
                <w:szCs w:val="18"/>
                <w:color w:val="auto"/>
                <w:w w:val="96"/>
              </w:rPr>
              <w:t>Inline XBRL Taxonomy Extension Definition Linkbase</w:t>
            </w:r>
          </w:p>
        </w:tc>
        <w:tc>
          <w:tcPr>
            <w:tcW w:w="60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6040" w:type="dxa"/>
            <w:vAlign w:val="bottom"/>
          </w:tcPr>
          <w:p>
            <w:pPr>
              <w:spacing w:after="0"/>
              <w:rPr>
                <w:sz w:val="20"/>
                <w:szCs w:val="20"/>
                <w:color w:val="auto"/>
              </w:rPr>
            </w:pPr>
          </w:p>
        </w:tc>
      </w:tr>
      <w:tr>
        <w:trPr>
          <w:trHeight w:val="377"/>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101.LAB</w:t>
            </w:r>
          </w:p>
        </w:tc>
        <w:tc>
          <w:tcPr>
            <w:tcW w:w="412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w:t>
            </w:r>
          </w:p>
        </w:tc>
        <w:tc>
          <w:tcPr>
            <w:tcW w:w="60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6040" w:type="dxa"/>
            <w:vAlign w:val="bottom"/>
          </w:tcPr>
          <w:p>
            <w:pPr>
              <w:spacing w:after="0"/>
              <w:rPr>
                <w:sz w:val="20"/>
                <w:szCs w:val="20"/>
                <w:color w:val="auto"/>
              </w:rPr>
            </w:pPr>
          </w:p>
        </w:tc>
      </w:tr>
      <w:tr>
        <w:trPr>
          <w:trHeight w:val="377"/>
        </w:trPr>
        <w:tc>
          <w:tcPr>
            <w:tcW w:w="1080" w:type="dxa"/>
            <w:vAlign w:val="bottom"/>
            <w:gridSpan w:val="3"/>
          </w:tcPr>
          <w:p>
            <w:pPr>
              <w:ind w:left="20"/>
              <w:spacing w:after="0"/>
              <w:rPr>
                <w:sz w:val="20"/>
                <w:szCs w:val="20"/>
                <w:color w:val="auto"/>
              </w:rPr>
            </w:pPr>
            <w:r>
              <w:rPr>
                <w:rFonts w:ascii="Arial" w:cs="Arial" w:eastAsia="Arial" w:hAnsi="Arial"/>
                <w:sz w:val="18"/>
                <w:szCs w:val="18"/>
                <w:color w:val="auto"/>
              </w:rPr>
              <w:t>101.PRE</w:t>
            </w:r>
          </w:p>
        </w:tc>
        <w:tc>
          <w:tcPr>
            <w:tcW w:w="412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w:t>
            </w:r>
          </w:p>
        </w:tc>
        <w:tc>
          <w:tcPr>
            <w:tcW w:w="60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Linkbase Document</w:t>
            </w:r>
          </w:p>
        </w:tc>
        <w:tc>
          <w:tcPr>
            <w:tcW w:w="6040" w:type="dxa"/>
            <w:vAlign w:val="bottom"/>
          </w:tcPr>
          <w:p>
            <w:pPr>
              <w:spacing w:after="0"/>
              <w:rPr>
                <w:sz w:val="20"/>
                <w:szCs w:val="20"/>
                <w:color w:val="auto"/>
              </w:rPr>
            </w:pPr>
          </w:p>
        </w:tc>
      </w:tr>
      <w:tr>
        <w:trPr>
          <w:trHeight w:val="377"/>
        </w:trPr>
        <w:tc>
          <w:tcPr>
            <w:tcW w:w="42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4"/>
                <w:szCs w:val="24"/>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Cover Page Interactive Data File</w:t>
            </w:r>
          </w:p>
        </w:tc>
        <w:tc>
          <w:tcPr>
            <w:tcW w:w="604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16"/>
        </w:trPr>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w w:val="99"/>
              </w:rPr>
              <w:t>(formatted as inline XBRL with applicable taxonomy</w:t>
            </w:r>
          </w:p>
        </w:tc>
        <w:tc>
          <w:tcPr>
            <w:tcW w:w="604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120" w:type="dxa"/>
            <w:vAlign w:val="bottom"/>
            <w:gridSpan w:val="7"/>
          </w:tcPr>
          <w:p>
            <w:pPr>
              <w:spacing w:after="0"/>
              <w:rPr>
                <w:sz w:val="20"/>
                <w:szCs w:val="20"/>
                <w:color w:val="auto"/>
              </w:rPr>
            </w:pPr>
            <w:r>
              <w:rPr>
                <w:rFonts w:ascii="Arial" w:cs="Arial" w:eastAsia="Arial" w:hAnsi="Arial"/>
                <w:sz w:val="18"/>
                <w:szCs w:val="18"/>
                <w:color w:val="auto"/>
              </w:rPr>
              <w:t>extension information contained in Exhibits 101.*)</w:t>
            </w:r>
          </w:p>
        </w:tc>
        <w:tc>
          <w:tcPr>
            <w:tcW w:w="6040" w:type="dxa"/>
            <w:vAlign w:val="bottom"/>
          </w:tcPr>
          <w:p>
            <w:pPr>
              <w:spacing w:after="0"/>
              <w:rPr>
                <w:sz w:val="20"/>
                <w:szCs w:val="20"/>
                <w:color w:val="auto"/>
              </w:rPr>
            </w:pPr>
          </w:p>
        </w:tc>
      </w:tr>
      <w:tr>
        <w:trPr>
          <w:trHeight w:val="878"/>
        </w:trPr>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76</w:t>
            </w:r>
          </w:p>
        </w:tc>
      </w:tr>
      <w:tr>
        <w:trPr>
          <w:trHeight w:val="115"/>
        </w:trPr>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6" w:name="page77"/>
    <w:bookmarkEnd w:id="76"/>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AMARIN CORPORATION PLC</w:t>
      </w:r>
    </w:p>
    <w:p>
      <w:pPr>
        <w:spacing w:after="0" w:line="306"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Patrick Holt</w:t>
      </w:r>
    </w:p>
    <w:p>
      <w:pPr>
        <w:spacing w:after="0" w:line="27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26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AMARIN CORPORATION PLC</w:t>
      </w:r>
    </w:p>
    <w:p>
      <w:pPr>
        <w:spacing w:after="0" w:line="306"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23495</wp:posOffset>
            </wp:positionV>
            <wp:extent cx="25374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Tom Reilly</w:t>
      </w:r>
    </w:p>
    <w:p>
      <w:pPr>
        <w:spacing w:after="0" w:line="279" w:lineRule="exact"/>
        <w:rPr>
          <w:sz w:val="20"/>
          <w:szCs w:val="20"/>
          <w:color w:val="auto"/>
        </w:rPr>
      </w:pPr>
    </w:p>
    <w:p>
      <w:pPr>
        <w:ind w:left="7260"/>
        <w:spacing w:after="0"/>
        <w:rPr>
          <w:sz w:val="20"/>
          <w:szCs w:val="20"/>
          <w:color w:val="auto"/>
        </w:rPr>
      </w:pPr>
      <w:r>
        <w:rPr>
          <w:rFonts w:ascii="Arial" w:cs="Arial" w:eastAsia="Arial" w:hAnsi="Arial"/>
          <w:sz w:val="17"/>
          <w:szCs w:val="17"/>
          <w:color w:val="auto"/>
        </w:rPr>
        <w:t>Executive Vice President, Chief Financial Officer</w:t>
      </w:r>
    </w:p>
    <w:p>
      <w:pPr>
        <w:spacing w:after="0" w:line="48"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Financial and Accounting Officer)</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(On behalf of the Registrant)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2023</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52"/>
        </w:trPr>
        <w:tc>
          <w:tcPr>
            <w:tcW w:w="9520" w:type="dxa"/>
            <w:vAlign w:val="bottom"/>
          </w:tcPr>
          <w:p>
            <w:pPr>
              <w:spacing w:after="0"/>
              <w:rPr>
                <w:sz w:val="21"/>
                <w:szCs w:val="21"/>
                <w:color w:val="auto"/>
              </w:rPr>
            </w:pPr>
          </w:p>
        </w:tc>
        <w:tc>
          <w:tcPr>
            <w:tcW w:w="1720" w:type="dxa"/>
            <w:vAlign w:val="bottom"/>
            <w:gridSpan w:val="3"/>
          </w:tcPr>
          <w:p>
            <w:pPr>
              <w:ind w:left="760"/>
              <w:spacing w:after="0"/>
              <w:rPr>
                <w:sz w:val="20"/>
                <w:szCs w:val="20"/>
                <w:color w:val="auto"/>
              </w:rPr>
            </w:pPr>
            <w:r>
              <w:rPr>
                <w:rFonts w:ascii="Arial" w:cs="Arial" w:eastAsia="Arial" w:hAnsi="Arial"/>
                <w:sz w:val="20"/>
                <w:szCs w:val="20"/>
                <w:b w:val="1"/>
                <w:bCs w:val="1"/>
                <w:color w:val="auto"/>
                <w:w w:val="84"/>
              </w:rPr>
              <w:t>Exhibit 10.1</w:t>
            </w:r>
          </w:p>
        </w:tc>
      </w:tr>
      <w:tr>
        <w:trPr>
          <w:trHeight w:val="282"/>
        </w:trPr>
        <w:tc>
          <w:tcPr>
            <w:tcW w:w="9520" w:type="dxa"/>
            <w:vAlign w:val="bottom"/>
          </w:tcPr>
          <w:p>
            <w:pPr>
              <w:ind w:left="2760"/>
              <w:spacing w:after="0"/>
              <w:rPr>
                <w:sz w:val="20"/>
                <w:szCs w:val="20"/>
                <w:color w:val="auto"/>
              </w:rPr>
            </w:pPr>
            <w:r>
              <w:rPr>
                <w:rFonts w:ascii="Arial" w:cs="Arial" w:eastAsia="Arial" w:hAnsi="Arial"/>
                <w:sz w:val="22"/>
                <w:szCs w:val="22"/>
                <w:b w:val="1"/>
                <w:bCs w:val="1"/>
                <w:color w:val="auto"/>
              </w:rPr>
              <w:t>NON-EMPLOYEE DIRECTOR COMPENSATION POLICY</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9520" w:type="dxa"/>
            <w:vAlign w:val="bottom"/>
          </w:tcPr>
          <w:p>
            <w:pPr>
              <w:spacing w:after="0"/>
              <w:rPr>
                <w:sz w:val="20"/>
                <w:szCs w:val="20"/>
                <w:color w:val="auto"/>
              </w:rPr>
            </w:pPr>
            <w:r>
              <w:rPr>
                <w:rFonts w:ascii="Arial" w:cs="Arial" w:eastAsia="Arial" w:hAnsi="Arial"/>
                <w:sz w:val="22"/>
                <w:szCs w:val="22"/>
                <w:color w:val="auto"/>
              </w:rPr>
              <w:t>Effective May 2023</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5"/>
        </w:trPr>
        <w:tc>
          <w:tcPr>
            <w:tcW w:w="9520" w:type="dxa"/>
            <w:vAlign w:val="bottom"/>
          </w:tcPr>
          <w:p>
            <w:pPr>
              <w:spacing w:after="0"/>
              <w:rPr>
                <w:sz w:val="24"/>
                <w:szCs w:val="24"/>
                <w:color w:val="auto"/>
              </w:rPr>
            </w:pPr>
          </w:p>
        </w:tc>
        <w:tc>
          <w:tcPr>
            <w:tcW w:w="1720" w:type="dxa"/>
            <w:vAlign w:val="bottom"/>
            <w:gridSpan w:val="3"/>
          </w:tcPr>
          <w:p>
            <w:pPr>
              <w:ind w:left="180"/>
              <w:spacing w:after="0"/>
              <w:rPr>
                <w:sz w:val="20"/>
                <w:szCs w:val="20"/>
                <w:color w:val="auto"/>
              </w:rPr>
            </w:pPr>
            <w:r>
              <w:rPr>
                <w:rFonts w:ascii="Arial" w:cs="Arial" w:eastAsia="Arial" w:hAnsi="Arial"/>
                <w:sz w:val="22"/>
                <w:szCs w:val="22"/>
                <w:b w:val="1"/>
                <w:bCs w:val="1"/>
                <w:color w:val="auto"/>
              </w:rPr>
              <w:t>Retainer ($)</w:t>
            </w:r>
          </w:p>
        </w:tc>
      </w:tr>
      <w:tr>
        <w:trPr>
          <w:trHeight w:val="265"/>
        </w:trPr>
        <w:tc>
          <w:tcPr>
            <w:tcW w:w="95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Annual Board Retainer Fee:</w:t>
            </w:r>
          </w:p>
        </w:tc>
        <w:tc>
          <w:tcPr>
            <w:tcW w:w="1480" w:type="dxa"/>
            <w:vAlign w:val="bottom"/>
            <w:tcBorders>
              <w:top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tcPr>
          <w:p>
            <w:pPr>
              <w:ind w:left="20"/>
              <w:spacing w:after="0"/>
              <w:rPr>
                <w:sz w:val="20"/>
                <w:szCs w:val="20"/>
                <w:color w:val="auto"/>
              </w:rPr>
            </w:pPr>
            <w:r>
              <w:rPr>
                <w:rFonts w:ascii="Arial" w:cs="Arial" w:eastAsia="Arial" w:hAnsi="Arial"/>
                <w:sz w:val="22"/>
                <w:szCs w:val="22"/>
                <w:color w:val="auto"/>
              </w:rPr>
              <w:t>Non-Executive Chairman</w:t>
            </w:r>
          </w:p>
        </w:tc>
        <w:tc>
          <w:tcPr>
            <w:tcW w:w="1480" w:type="dxa"/>
            <w:vAlign w:val="bottom"/>
          </w:tcPr>
          <w:p>
            <w:pPr>
              <w:jc w:val="right"/>
              <w:spacing w:after="0"/>
              <w:rPr>
                <w:sz w:val="20"/>
                <w:szCs w:val="20"/>
                <w:color w:val="auto"/>
              </w:rPr>
            </w:pPr>
            <w:r>
              <w:rPr>
                <w:rFonts w:ascii="Arial" w:cs="Arial" w:eastAsia="Arial" w:hAnsi="Arial"/>
                <w:sz w:val="22"/>
                <w:szCs w:val="22"/>
                <w:color w:val="auto"/>
              </w:rPr>
              <w:t>95,000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All non-employee directors</w:t>
            </w:r>
          </w:p>
        </w:tc>
        <w:tc>
          <w:tcPr>
            <w:tcW w:w="1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62,500</w:t>
            </w:r>
          </w:p>
        </w:tc>
        <w:tc>
          <w:tcPr>
            <w:tcW w:w="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tcPr>
          <w:p>
            <w:pPr>
              <w:ind w:left="20"/>
              <w:spacing w:after="0"/>
              <w:rPr>
                <w:sz w:val="20"/>
                <w:szCs w:val="20"/>
                <w:color w:val="auto"/>
              </w:rPr>
            </w:pPr>
            <w:r>
              <w:rPr>
                <w:rFonts w:ascii="Arial" w:cs="Arial" w:eastAsia="Arial" w:hAnsi="Arial"/>
                <w:sz w:val="22"/>
                <w:szCs w:val="22"/>
                <w:color w:val="auto"/>
              </w:rPr>
              <w:t>Annual Chairman Retainer Fees:*</w:t>
            </w: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Audit Committee Chairman</w:t>
            </w:r>
          </w:p>
        </w:tc>
        <w:tc>
          <w:tcPr>
            <w:tcW w:w="1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25,000</w:t>
            </w:r>
          </w:p>
        </w:tc>
        <w:tc>
          <w:tcPr>
            <w:tcW w:w="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tcPr>
          <w:p>
            <w:pPr>
              <w:ind w:left="20"/>
              <w:spacing w:after="0"/>
              <w:rPr>
                <w:sz w:val="20"/>
                <w:szCs w:val="20"/>
                <w:color w:val="auto"/>
              </w:rPr>
            </w:pPr>
            <w:r>
              <w:rPr>
                <w:rFonts w:ascii="Arial" w:cs="Arial" w:eastAsia="Arial" w:hAnsi="Arial"/>
                <w:sz w:val="22"/>
                <w:szCs w:val="22"/>
                <w:color w:val="auto"/>
              </w:rPr>
              <w:t>Remuneration Committee Chairman</w:t>
            </w:r>
          </w:p>
        </w:tc>
        <w:tc>
          <w:tcPr>
            <w:tcW w:w="1480" w:type="dxa"/>
            <w:vAlign w:val="bottom"/>
          </w:tcPr>
          <w:p>
            <w:pPr>
              <w:jc w:val="right"/>
              <w:spacing w:after="0"/>
              <w:rPr>
                <w:sz w:val="20"/>
                <w:szCs w:val="20"/>
                <w:color w:val="auto"/>
              </w:rPr>
            </w:pPr>
            <w:r>
              <w:rPr>
                <w:rFonts w:ascii="Arial" w:cs="Arial" w:eastAsia="Arial" w:hAnsi="Arial"/>
                <w:sz w:val="22"/>
                <w:szCs w:val="22"/>
                <w:color w:val="auto"/>
              </w:rPr>
              <w:t>20,000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Nominating and Corporate Governance Committee Chairman</w:t>
            </w:r>
          </w:p>
        </w:tc>
        <w:tc>
          <w:tcPr>
            <w:tcW w:w="1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11,000</w:t>
            </w:r>
          </w:p>
        </w:tc>
        <w:tc>
          <w:tcPr>
            <w:tcW w:w="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tcPr>
          <w:p>
            <w:pPr>
              <w:ind w:left="20"/>
              <w:spacing w:after="0"/>
              <w:rPr>
                <w:sz w:val="20"/>
                <w:szCs w:val="20"/>
                <w:color w:val="auto"/>
              </w:rPr>
            </w:pPr>
            <w:r>
              <w:rPr>
                <w:rFonts w:ascii="Arial" w:cs="Arial" w:eastAsia="Arial" w:hAnsi="Arial"/>
                <w:sz w:val="22"/>
                <w:szCs w:val="22"/>
                <w:color w:val="auto"/>
              </w:rPr>
              <w:t>Annual Committee Member Retainer Fees:*</w:t>
            </w: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22"/>
                <w:szCs w:val="22"/>
                <w:color w:val="auto"/>
              </w:rPr>
              <w:t>Audit Committee</w:t>
            </w:r>
          </w:p>
        </w:tc>
        <w:tc>
          <w:tcPr>
            <w:tcW w:w="1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12,000</w:t>
            </w:r>
          </w:p>
        </w:tc>
        <w:tc>
          <w:tcPr>
            <w:tcW w:w="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tcPr>
          <w:p>
            <w:pPr>
              <w:ind w:left="20"/>
              <w:spacing w:after="0"/>
              <w:rPr>
                <w:sz w:val="20"/>
                <w:szCs w:val="20"/>
                <w:color w:val="auto"/>
              </w:rPr>
            </w:pPr>
            <w:r>
              <w:rPr>
                <w:rFonts w:ascii="Arial" w:cs="Arial" w:eastAsia="Arial" w:hAnsi="Arial"/>
                <w:sz w:val="22"/>
                <w:szCs w:val="22"/>
                <w:color w:val="auto"/>
              </w:rPr>
              <w:t>Remuneration Committee</w:t>
            </w:r>
          </w:p>
        </w:tc>
        <w:tc>
          <w:tcPr>
            <w:tcW w:w="1480" w:type="dxa"/>
            <w:vAlign w:val="bottom"/>
          </w:tcPr>
          <w:p>
            <w:pPr>
              <w:jc w:val="right"/>
              <w:spacing w:after="0"/>
              <w:rPr>
                <w:sz w:val="20"/>
                <w:szCs w:val="20"/>
                <w:color w:val="auto"/>
              </w:rPr>
            </w:pPr>
            <w:r>
              <w:rPr>
                <w:rFonts w:ascii="Arial" w:cs="Arial" w:eastAsia="Arial" w:hAnsi="Arial"/>
                <w:sz w:val="22"/>
                <w:szCs w:val="22"/>
                <w:color w:val="auto"/>
              </w:rPr>
              <w:t>10,000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22"/>
                <w:szCs w:val="22"/>
                <w:color w:val="auto"/>
              </w:rPr>
              <w:t>Nominating and Corporate Governance Committee</w:t>
            </w:r>
          </w:p>
        </w:tc>
        <w:tc>
          <w:tcPr>
            <w:tcW w:w="1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5,000</w:t>
            </w:r>
          </w:p>
        </w:tc>
        <w:tc>
          <w:tcPr>
            <w:tcW w:w="14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6" w:lineRule="exact"/>
        <w:rPr>
          <w:sz w:val="20"/>
          <w:szCs w:val="20"/>
          <w:color w:val="auto"/>
        </w:rPr>
      </w:pPr>
    </w:p>
    <w:p>
      <w:pPr>
        <w:ind w:left="20"/>
        <w:spacing w:after="0"/>
        <w:rPr>
          <w:sz w:val="20"/>
          <w:szCs w:val="20"/>
          <w:color w:val="auto"/>
        </w:rPr>
      </w:pPr>
      <w:r>
        <w:rPr>
          <w:rFonts w:ascii="Arial" w:cs="Arial" w:eastAsia="Arial" w:hAnsi="Arial"/>
          <w:sz w:val="22"/>
          <w:szCs w:val="22"/>
          <w:color w:val="auto"/>
        </w:rPr>
        <w:t>*  These fees are in addition to the Annual Board Retainer Fee, as applicable.</w:t>
      </w:r>
    </w:p>
    <w:p>
      <w:pPr>
        <w:spacing w:after="0" w:line="220"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The annual retainers are paid in equal installments in arrears within 30 days of the end of each calendar quarter, or upon the earlier resignation or removal of the non-employee director. For non-employee directors who join the Board during the calendar year, annual retainers are prorated based on the number of calendar days served by such director in the calendar year.</w:t>
      </w:r>
    </w:p>
    <w:p>
      <w:pPr>
        <w:spacing w:after="0" w:line="134"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Non-employee directors are given an annual election option, which option is to be exercised within ten calendar days of the end of each quarter, of receiving their annual retainers in the form of either (i) cash or (ii) unregistered non-ADS Ordinary Shares, with any such issuances to be priced at the greater of (a) the closing price of the Company’s ADSs on Nasdaq on the date which is ten calendar days after the end of each quarter or (b) £0.50 per share (i.e., par value per Ordinary Share).</w:t>
      </w:r>
    </w:p>
    <w:p>
      <w:pPr>
        <w:spacing w:after="0" w:line="143"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In addition, upon their initial appointment to the Board, non-employee directors will receive equity awards with a grant date fair value of $425,000, split in value between option awards and restricted stock units 75%/25%. The initial option awards and the restricted stock unit awards vest in equal installments over three years on each anniversary of the date of grant. The grant date for such awards is date of initial appointment, and the exercise price of any option award is equal to the closing market price on Nasdaq of the ADSs representing the Company’s ordinary shares on such date. The restricted stock unit awards are subject to deferred settlement and are settled upon the director’s separation of service with the Company (“DSUs”).</w:t>
      </w:r>
    </w:p>
    <w:p>
      <w:pPr>
        <w:spacing w:after="0" w:line="150"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color w:val="auto"/>
        </w:rPr>
        <w:t>In addition, for so long as the non-employee director remains on the Board, the non-employee director receives annual equity awards with a grant date fair value of $250,000, split in value between option awards and DSUs 75%/25%. Such annual option awards and DSU awards vest in full upon the earlier of the one-year anniversary of the date of grant or the annual general</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ACTIVE/123263020.3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79" w:name="page80"/>
    <w:bookmarkEnd w:id="79"/>
    <w:p>
      <w:pPr>
        <w:ind w:right="200"/>
        <w:spacing w:after="0"/>
        <w:rPr>
          <w:sz w:val="20"/>
          <w:szCs w:val="20"/>
          <w:color w:val="auto"/>
        </w:rPr>
      </w:pPr>
      <w:r>
        <w:rPr>
          <w:rFonts w:ascii="Arial" w:cs="Arial" w:eastAsia="Arial" w:hAnsi="Arial"/>
          <w:sz w:val="22"/>
          <w:szCs w:val="22"/>
          <w:color w:val="auto"/>
        </w:rPr>
        <w:t>meeting of shareholders in such anniversary year. The grant date for such awards is the date of Company’s annual general meeting of shareholders, and the exercise price of any option award is equal to the closing market price on Nasdaq of the ADSs representing the Company’s ordinary shares on such date.</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In addition, a Non-Executive Chairman of the Board that continues on the Board following the Company’s annual general meeting of shareholders (and who was not first elected to the Board at such meeting) is eligible to receive an annual equity award with a grant date fair value of $20,000, split in value between option awards and DSUs 75%/25%. Such awards have a grant date, vesting schedule and exercise price identical to other annual equity awards.</w:t>
      </w:r>
    </w:p>
    <w:p>
      <w:pPr>
        <w:spacing w:after="0" w:line="174" w:lineRule="exact"/>
        <w:rPr>
          <w:sz w:val="20"/>
          <w:szCs w:val="20"/>
          <w:color w:val="auto"/>
        </w:rPr>
      </w:pPr>
    </w:p>
    <w:p>
      <w:pPr>
        <w:ind w:right="320"/>
        <w:spacing w:after="0"/>
        <w:rPr>
          <w:sz w:val="20"/>
          <w:szCs w:val="20"/>
          <w:color w:val="auto"/>
        </w:rPr>
      </w:pPr>
      <w:r>
        <w:rPr>
          <w:rFonts w:ascii="Arial" w:cs="Arial" w:eastAsia="Arial" w:hAnsi="Arial"/>
          <w:sz w:val="22"/>
          <w:szCs w:val="22"/>
          <w:color w:val="auto"/>
        </w:rPr>
        <w:t>All equity awards are made pursuant to the terms of the Company’s 2020 Stock Incentive Plan, as amended and in effect from time to time. In the event of a change of control (as defined in the Stock Incentive Plan), all option awards and DSUs shall immediately become fully vested.</w:t>
      </w:r>
    </w:p>
    <w:p>
      <w:pPr>
        <w:spacing w:after="0" w:line="186" w:lineRule="exact"/>
        <w:rPr>
          <w:sz w:val="20"/>
          <w:szCs w:val="20"/>
          <w:color w:val="auto"/>
        </w:rPr>
      </w:pPr>
    </w:p>
    <w:p>
      <w:pPr>
        <w:ind w:right="280"/>
        <w:spacing w:after="0" w:line="250" w:lineRule="auto"/>
        <w:rPr>
          <w:sz w:val="20"/>
          <w:szCs w:val="20"/>
          <w:color w:val="auto"/>
        </w:rPr>
      </w:pPr>
      <w:r>
        <w:rPr>
          <w:rFonts w:ascii="Arial" w:cs="Arial" w:eastAsia="Arial" w:hAnsi="Arial"/>
          <w:sz w:val="22"/>
          <w:szCs w:val="22"/>
          <w:color w:val="auto"/>
        </w:rPr>
        <w:t>Non-employee directors are also reimbursed for their reasonable out-of-pocket expenses incurred in connection with attending Board and committee meetings.</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ACTIVE/123263020.3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303530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jc w:val="right"/>
        <w:spacing w:after="0"/>
        <w:rPr>
          <w:sz w:val="20"/>
          <w:szCs w:val="20"/>
          <w:color w:val="auto"/>
        </w:rPr>
      </w:pPr>
      <w:r>
        <w:rPr>
          <w:rFonts w:ascii="Arial" w:cs="Arial" w:eastAsia="Arial" w:hAnsi="Arial"/>
          <w:sz w:val="22"/>
          <w:szCs w:val="22"/>
          <w:b w:val="1"/>
          <w:bCs w:val="1"/>
          <w:color w:val="auto"/>
        </w:rPr>
        <w:t>Exhibit 10.2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April 13, 2023</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Via Email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Aaron Berg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Aaron:</w:t>
      </w:r>
    </w:p>
    <w:p>
      <w:pPr>
        <w:spacing w:after="0" w:line="206" w:lineRule="exact"/>
        <w:rPr>
          <w:sz w:val="20"/>
          <w:szCs w:val="20"/>
          <w:color w:val="auto"/>
        </w:rPr>
      </w:pPr>
    </w:p>
    <w:p>
      <w:pPr>
        <w:jc w:val="both"/>
        <w:ind w:right="420"/>
        <w:spacing w:after="0" w:line="257" w:lineRule="auto"/>
        <w:rPr>
          <w:sz w:val="20"/>
          <w:szCs w:val="20"/>
          <w:color w:val="auto"/>
        </w:rPr>
      </w:pPr>
      <w:r>
        <w:rPr>
          <w:rFonts w:ascii="Arial" w:cs="Arial" w:eastAsia="Arial" w:hAnsi="Arial"/>
          <w:sz w:val="21"/>
          <w:szCs w:val="21"/>
          <w:color w:val="auto"/>
        </w:rPr>
        <w:t>Amarin Corporation plc (the “</w:t>
      </w:r>
      <w:r>
        <w:rPr>
          <w:rFonts w:ascii="Arial" w:cs="Arial" w:eastAsia="Arial" w:hAnsi="Arial"/>
          <w:sz w:val="21"/>
          <w:szCs w:val="21"/>
          <w:u w:val="single" w:color="auto"/>
          <w:color w:val="auto"/>
        </w:rPr>
        <w:t>Company</w:t>
      </w:r>
      <w:r>
        <w:rPr>
          <w:rFonts w:ascii="Arial" w:cs="Arial" w:eastAsia="Arial" w:hAnsi="Arial"/>
          <w:sz w:val="21"/>
          <w:szCs w:val="21"/>
          <w:color w:val="auto"/>
        </w:rPr>
        <w:t>”) is pleased to extend you an offer to serve as Interim Chief Executive Officer of the Company (“</w:t>
      </w:r>
      <w:r>
        <w:rPr>
          <w:rFonts w:ascii="Arial" w:cs="Arial" w:eastAsia="Arial" w:hAnsi="Arial"/>
          <w:sz w:val="21"/>
          <w:szCs w:val="21"/>
          <w:u w:val="single" w:color="auto"/>
          <w:color w:val="auto"/>
        </w:rPr>
        <w:t>Interim CEO</w:t>
      </w:r>
      <w:r>
        <w:rPr>
          <w:rFonts w:ascii="Arial" w:cs="Arial" w:eastAsia="Arial" w:hAnsi="Arial"/>
          <w:sz w:val="21"/>
          <w:szCs w:val="21"/>
          <w:color w:val="auto"/>
        </w:rPr>
        <w:t>”), reporting to the Board of Directors of the Company (the “</w:t>
      </w:r>
      <w:r>
        <w:rPr>
          <w:rFonts w:ascii="Arial" w:cs="Arial" w:eastAsia="Arial" w:hAnsi="Arial"/>
          <w:sz w:val="21"/>
          <w:szCs w:val="21"/>
          <w:u w:val="single" w:color="auto"/>
          <w:color w:val="auto"/>
        </w:rPr>
        <w:t>Board</w:t>
      </w:r>
      <w:r>
        <w:rPr>
          <w:rFonts w:ascii="Arial" w:cs="Arial" w:eastAsia="Arial" w:hAnsi="Arial"/>
          <w:sz w:val="21"/>
          <w:szCs w:val="21"/>
          <w:color w:val="auto"/>
        </w:rPr>
        <w:t>”), effective April 13, 2023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The terms of your employment while you are in the Interim CEO role are as follows:</w:t>
      </w:r>
    </w:p>
    <w:p>
      <w:pPr>
        <w:spacing w:after="0" w:line="163" w:lineRule="exact"/>
        <w:rPr>
          <w:sz w:val="20"/>
          <w:szCs w:val="20"/>
          <w:color w:val="auto"/>
        </w:rPr>
      </w:pPr>
    </w:p>
    <w:p>
      <w:pPr>
        <w:ind w:firstLine="8"/>
        <w:spacing w:after="0" w:line="275" w:lineRule="auto"/>
        <w:tabs>
          <w:tab w:leader="none" w:pos="509"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It is anticipated that, in addition to continuing to serve as the Company’s Executive Vice President, President US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EVP, President US</w:t>
      </w:r>
      <w:r>
        <w:rPr>
          <w:rFonts w:ascii="Arial" w:cs="Arial" w:eastAsia="Arial" w:hAnsi="Arial"/>
          <w:sz w:val="19"/>
          <w:szCs w:val="19"/>
          <w:color w:val="auto"/>
        </w:rPr>
        <w:t>”), you will serve as Interim CEO from the Effective Date until the earlier of (i) the date that either you or another person is appointed as the Company’s Chief Executive Officer (the “</w:t>
      </w:r>
      <w:r>
        <w:rPr>
          <w:rFonts w:ascii="Arial" w:cs="Arial" w:eastAsia="Arial" w:hAnsi="Arial"/>
          <w:sz w:val="19"/>
          <w:szCs w:val="19"/>
          <w:u w:val="single" w:color="auto"/>
          <w:color w:val="auto"/>
        </w:rPr>
        <w:t>New CEO</w:t>
      </w:r>
      <w:r>
        <w:rPr>
          <w:rFonts w:ascii="Arial" w:cs="Arial" w:eastAsia="Arial" w:hAnsi="Arial"/>
          <w:sz w:val="19"/>
          <w:szCs w:val="19"/>
          <w:color w:val="auto"/>
        </w:rPr>
        <w:t>”) and commences employment with the Company (“</w:t>
      </w:r>
      <w:r>
        <w:rPr>
          <w:rFonts w:ascii="Arial" w:cs="Arial" w:eastAsia="Arial" w:hAnsi="Arial"/>
          <w:sz w:val="19"/>
          <w:szCs w:val="19"/>
          <w:u w:val="single" w:color="auto"/>
          <w:color w:val="auto"/>
        </w:rPr>
        <w:t>New CEO Commencement Date</w:t>
      </w:r>
      <w:r>
        <w:rPr>
          <w:rFonts w:ascii="Arial" w:cs="Arial" w:eastAsia="Arial" w:hAnsi="Arial"/>
          <w:sz w:val="19"/>
          <w:szCs w:val="19"/>
          <w:color w:val="auto"/>
        </w:rPr>
        <w:t>”); or (ii) May 31, 2023 (the “</w:t>
      </w:r>
      <w:r>
        <w:rPr>
          <w:rFonts w:ascii="Arial" w:cs="Arial" w:eastAsia="Arial" w:hAnsi="Arial"/>
          <w:sz w:val="19"/>
          <w:szCs w:val="19"/>
          <w:u w:val="single" w:color="auto"/>
          <w:color w:val="auto"/>
        </w:rPr>
        <w:t>Interim CEO Term</w:t>
      </w:r>
      <w:r>
        <w:rPr>
          <w:rFonts w:ascii="Arial" w:cs="Arial" w:eastAsia="Arial" w:hAnsi="Arial"/>
          <w:sz w:val="19"/>
          <w:szCs w:val="19"/>
          <w:color w:val="auto"/>
        </w:rPr>
        <w:t>”). If you become the New CEO, you and the Company will enter a New CEO employment agreement (the “</w:t>
      </w:r>
      <w:r>
        <w:rPr>
          <w:rFonts w:ascii="Arial" w:cs="Arial" w:eastAsia="Arial" w:hAnsi="Arial"/>
          <w:sz w:val="19"/>
          <w:szCs w:val="19"/>
          <w:u w:val="single" w:color="auto"/>
          <w:color w:val="auto"/>
        </w:rPr>
        <w:t>New CEO Employment Agreement</w:t>
      </w:r>
      <w:r>
        <w:rPr>
          <w:rFonts w:ascii="Arial" w:cs="Arial" w:eastAsia="Arial" w:hAnsi="Arial"/>
          <w:sz w:val="19"/>
          <w:szCs w:val="19"/>
          <w:color w:val="auto"/>
        </w:rPr>
        <w:t>”) with terms to be determined during the Interim CEO Term. If you do not become the New CEO, it is anticipated that you will return to your role as EVP, President, US upon the ending of the Interim CEO Term. If you return to the EVP, President US role, all of the terms and conditions of your employment as EVP, President that were in effect immediately prior to the Effective Date will revert without any action on the part of you, the Company or the Board.</w:t>
      </w:r>
    </w:p>
    <w:p>
      <w:pPr>
        <w:spacing w:after="0" w:line="149" w:lineRule="exact"/>
        <w:rPr>
          <w:rFonts w:ascii="Arial" w:cs="Arial" w:eastAsia="Arial" w:hAnsi="Arial"/>
          <w:sz w:val="19"/>
          <w:szCs w:val="19"/>
          <w:b w:val="1"/>
          <w:bCs w:val="1"/>
          <w:color w:val="auto"/>
        </w:rPr>
      </w:pPr>
    </w:p>
    <w:p>
      <w:pPr>
        <w:ind w:right="120" w:firstLine="8"/>
        <w:spacing w:after="0" w:line="239" w:lineRule="auto"/>
        <w:tabs>
          <w:tab w:leader="none" w:pos="50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Position</w:t>
      </w:r>
      <w:r>
        <w:rPr>
          <w:rFonts w:ascii="Arial" w:cs="Arial" w:eastAsia="Arial" w:hAnsi="Arial"/>
          <w:sz w:val="22"/>
          <w:szCs w:val="22"/>
          <w:color w:val="auto"/>
        </w:rPr>
        <w:t>. During the Interim CEO Term, in addition to your current roles and responsibilities, you shall have such</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powers and duties as may from time to time be prescribed by the Board in your capacity as EVP, President US and Interim CEO. At all times during the Interim CEO Term, you shall devote your full working time and efforts to the business and affairs of the Company.</w:t>
      </w:r>
    </w:p>
    <w:p>
      <w:pPr>
        <w:spacing w:after="0" w:line="180" w:lineRule="exact"/>
        <w:rPr>
          <w:rFonts w:ascii="Arial" w:cs="Arial" w:eastAsia="Arial" w:hAnsi="Arial"/>
          <w:sz w:val="22"/>
          <w:szCs w:val="22"/>
          <w:b w:val="1"/>
          <w:bCs w:val="1"/>
          <w:color w:val="auto"/>
        </w:rPr>
      </w:pPr>
    </w:p>
    <w:p>
      <w:pPr>
        <w:ind w:right="60" w:firstLine="8"/>
        <w:spacing w:after="0" w:line="237" w:lineRule="auto"/>
        <w:tabs>
          <w:tab w:leader="none" w:pos="50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Base Salary; Bonus</w:t>
      </w:r>
      <w:r>
        <w:rPr>
          <w:rFonts w:ascii="Arial" w:cs="Arial" w:eastAsia="Arial" w:hAnsi="Arial"/>
          <w:sz w:val="22"/>
          <w:szCs w:val="22"/>
          <w:color w:val="auto"/>
        </w:rPr>
        <w:t>. During the Interim CEO Term, the Company will pay you a base salary at the rate of $700,000 per</w:t>
      </w:r>
      <w:r>
        <w:rPr>
          <w:rFonts w:ascii="Arial" w:cs="Arial" w:eastAsia="Arial" w:hAnsi="Arial"/>
          <w:sz w:val="22"/>
          <w:szCs w:val="22"/>
          <w:b w:val="1"/>
          <w:bCs w:val="1"/>
          <w:color w:val="auto"/>
        </w:rPr>
        <w:t xml:space="preserve"> </w:t>
      </w:r>
      <w:r>
        <w:rPr>
          <w:rFonts w:ascii="Arial" w:cs="Arial" w:eastAsia="Arial" w:hAnsi="Arial"/>
          <w:sz w:val="22"/>
          <w:szCs w:val="22"/>
          <w:color w:val="auto"/>
        </w:rPr>
        <w:t>year, payable in accordance with the Company’s standard payroll schedule and subject to applicable deductions and withholdings (the “</w:t>
      </w:r>
      <w:r>
        <w:rPr>
          <w:rFonts w:ascii="Arial" w:cs="Arial" w:eastAsia="Arial" w:hAnsi="Arial"/>
          <w:sz w:val="22"/>
          <w:szCs w:val="22"/>
          <w:u w:val="single" w:color="auto"/>
          <w:color w:val="auto"/>
        </w:rPr>
        <w:t>Interim CEO Base Salary</w:t>
      </w:r>
      <w:r>
        <w:rPr>
          <w:rFonts w:ascii="Arial" w:cs="Arial" w:eastAsia="Arial" w:hAnsi="Arial"/>
          <w:sz w:val="22"/>
          <w:szCs w:val="22"/>
          <w:color w:val="auto"/>
        </w:rPr>
        <w:t>”). The Interim CEO Base Salary shall be payable in a manner that is consistent with the Company’s usual payroll practices. Your target bonus will not be impacted and will continue to be 50% of your EVP, President US Base Salary.</w:t>
      </w:r>
    </w:p>
    <w:p>
      <w:pPr>
        <w:spacing w:after="0" w:line="208" w:lineRule="exact"/>
        <w:rPr>
          <w:rFonts w:ascii="Arial" w:cs="Arial" w:eastAsia="Arial" w:hAnsi="Arial"/>
          <w:sz w:val="22"/>
          <w:szCs w:val="22"/>
          <w:b w:val="1"/>
          <w:bCs w:val="1"/>
          <w:color w:val="auto"/>
        </w:rPr>
      </w:pPr>
    </w:p>
    <w:p>
      <w:pPr>
        <w:ind w:right="140" w:firstLine="8"/>
        <w:spacing w:after="0" w:line="280" w:lineRule="auto"/>
        <w:tabs>
          <w:tab w:leader="none" w:pos="509"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Existing Equity Awards</w:t>
      </w:r>
      <w:r>
        <w:rPr>
          <w:rFonts w:ascii="Arial" w:cs="Arial" w:eastAsia="Arial" w:hAnsi="Arial"/>
          <w:sz w:val="21"/>
          <w:szCs w:val="21"/>
          <w:color w:val="auto"/>
        </w:rPr>
        <w:t>. During the Interim CEO Term, you will continue to vest in your existing equity awards,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terms of the applicable equity award agreements and equity incentive plan(s)(the “</w:t>
      </w:r>
      <w:r>
        <w:rPr>
          <w:rFonts w:ascii="Arial" w:cs="Arial" w:eastAsia="Arial" w:hAnsi="Arial"/>
          <w:sz w:val="21"/>
          <w:szCs w:val="21"/>
          <w:u w:val="single" w:color="auto"/>
          <w:color w:val="auto"/>
        </w:rPr>
        <w:t>Equity Documents</w:t>
      </w:r>
      <w:r>
        <w:rPr>
          <w:rFonts w:ascii="Arial" w:cs="Arial" w:eastAsia="Arial" w:hAnsi="Arial"/>
          <w:sz w:val="21"/>
          <w:szCs w:val="21"/>
          <w:color w:val="auto"/>
        </w:rPr>
        <w:t>”).</w:t>
      </w:r>
    </w:p>
    <w:p>
      <w:pPr>
        <w:spacing w:after="0" w:line="165" w:lineRule="exact"/>
        <w:rPr>
          <w:rFonts w:ascii="Arial" w:cs="Arial" w:eastAsia="Arial" w:hAnsi="Arial"/>
          <w:sz w:val="21"/>
          <w:szCs w:val="21"/>
          <w:b w:val="1"/>
          <w:bCs w:val="1"/>
          <w:color w:val="auto"/>
        </w:rPr>
      </w:pPr>
    </w:p>
    <w:p>
      <w:pPr>
        <w:ind w:right="340" w:firstLine="8"/>
        <w:spacing w:after="0" w:line="243" w:lineRule="auto"/>
        <w:tabs>
          <w:tab w:leader="none" w:pos="50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At all times your employment will continue to be “at will,” meaning you or the Company may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terminate your employment at any time. In the event of the termination of your employment for any reason, the terms of your existing employment agreement with the Company (dated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ACTIVE/122618694.5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82" w:name="page83"/>
    <w:bookmarkEnd w:id="82"/>
    <w:p>
      <w:pPr>
        <w:ind w:right="60" w:firstLine="509"/>
        <w:spacing w:after="0" w:line="273" w:lineRule="auto"/>
        <w:rPr>
          <w:sz w:val="20"/>
          <w:szCs w:val="20"/>
          <w:color w:val="auto"/>
        </w:rPr>
      </w:pPr>
      <w:r>
        <w:rPr>
          <w:rFonts w:ascii="Arial" w:cs="Arial" w:eastAsia="Arial" w:hAnsi="Arial"/>
          <w:sz w:val="19"/>
          <w:szCs w:val="19"/>
          <w:color w:val="auto"/>
        </w:rPr>
        <w:t>April 20, 2018) and your rights and benefits under the Company’s Executive Severance and Change of Control Plan (together, the “</w:t>
      </w:r>
      <w:r>
        <w:rPr>
          <w:rFonts w:ascii="Arial" w:cs="Arial" w:eastAsia="Arial" w:hAnsi="Arial"/>
          <w:sz w:val="19"/>
          <w:szCs w:val="19"/>
          <w:u w:val="single" w:color="auto"/>
          <w:color w:val="auto"/>
        </w:rPr>
        <w:t>Existing Agreements</w:t>
      </w:r>
      <w:r>
        <w:rPr>
          <w:rFonts w:ascii="Arial" w:cs="Arial" w:eastAsia="Arial" w:hAnsi="Arial"/>
          <w:sz w:val="19"/>
          <w:szCs w:val="19"/>
          <w:color w:val="auto"/>
        </w:rPr>
        <w:t>”) will continue to be in effect and govern (based on your Base Salary and other terms of employment immediately prior to the Effective Date) until and unless a New CEO Employment Agreement between you and the Company becomes effective and supercedes the Existing Agreements. Notwithstanding anything to the contrary in this Agreement or otherwise, you acknowledge and agree that any changes related to your employment associated with the Interim CEO position including, if applicable, reverting back to your EVP, President US role and previous compensation, will not constitute Good Reason under the Existing Agreements, the Equity Documents or otherwise. Similarly, and for the avoidance of doubt, the Company acknowledges that, should you decline the role of New CEO at the end of the Interim CEO Term, such declination will not constitute a resignation of employment by you or provide the Company with the basis for terminating your employment for Cause under the Existing Agreements, the Equity Documents or otherwise.</w:t>
      </w:r>
    </w:p>
    <w:p>
      <w:pPr>
        <w:spacing w:after="0" w:line="155" w:lineRule="exact"/>
        <w:rPr>
          <w:sz w:val="20"/>
          <w:szCs w:val="20"/>
          <w:color w:val="auto"/>
        </w:rPr>
      </w:pPr>
    </w:p>
    <w:p>
      <w:pPr>
        <w:ind w:right="540" w:firstLine="757"/>
        <w:spacing w:after="0" w:line="243" w:lineRule="auto"/>
        <w:tabs>
          <w:tab w:leader="none" w:pos="1018"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 Information and Restricted Activities</w:t>
      </w:r>
      <w:r>
        <w:rPr>
          <w:rFonts w:ascii="Arial" w:cs="Arial" w:eastAsia="Arial" w:hAnsi="Arial"/>
          <w:sz w:val="22"/>
          <w:szCs w:val="22"/>
          <w:color w:val="auto"/>
        </w:rPr>
        <w:t>. The Nondisclosure, Developments and 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dated November 19, 2012 (the “</w:t>
      </w:r>
      <w:r>
        <w:rPr>
          <w:rFonts w:ascii="Arial" w:cs="Arial" w:eastAsia="Arial" w:hAnsi="Arial"/>
          <w:sz w:val="22"/>
          <w:szCs w:val="22"/>
          <w:u w:val="single" w:color="auto"/>
          <w:color w:val="auto"/>
        </w:rPr>
        <w:t>Restrictive Covenants Agreement</w:t>
      </w:r>
      <w:r>
        <w:rPr>
          <w:rFonts w:ascii="Arial" w:cs="Arial" w:eastAsia="Arial" w:hAnsi="Arial"/>
          <w:sz w:val="22"/>
          <w:szCs w:val="22"/>
          <w:color w:val="auto"/>
        </w:rPr>
        <w:t>”) you entered into in connection with your employment will continue to be in full force and effect.</w:t>
      </w:r>
    </w:p>
    <w:p>
      <w:pPr>
        <w:spacing w:after="0" w:line="176" w:lineRule="exact"/>
        <w:rPr>
          <w:rFonts w:ascii="Arial" w:cs="Arial" w:eastAsia="Arial" w:hAnsi="Arial"/>
          <w:sz w:val="22"/>
          <w:szCs w:val="22"/>
          <w:b w:val="1"/>
          <w:bCs w:val="1"/>
          <w:color w:val="auto"/>
        </w:rPr>
      </w:pPr>
    </w:p>
    <w:p>
      <w:pPr>
        <w:ind w:right="540" w:firstLine="757"/>
        <w:spacing w:after="0" w:line="256" w:lineRule="auto"/>
        <w:tabs>
          <w:tab w:leader="none" w:pos="1018"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All payments made by the Company to you under this Agreement shall be net of any tax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required to be withheld by the Company under applicable law.</w:t>
      </w:r>
    </w:p>
    <w:p>
      <w:pPr>
        <w:spacing w:after="0" w:line="162" w:lineRule="exact"/>
        <w:rPr>
          <w:rFonts w:ascii="Arial" w:cs="Arial" w:eastAsia="Arial" w:hAnsi="Arial"/>
          <w:sz w:val="22"/>
          <w:szCs w:val="22"/>
          <w:b w:val="1"/>
          <w:bCs w:val="1"/>
          <w:color w:val="auto"/>
        </w:rPr>
      </w:pPr>
    </w:p>
    <w:p>
      <w:pPr>
        <w:ind w:right="20" w:firstLine="757"/>
        <w:spacing w:after="0" w:line="236" w:lineRule="auto"/>
        <w:tabs>
          <w:tab w:leader="none" w:pos="1018"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together with the Existing Agreements, the Equity Documents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Covenants Agreement, constitutes the complete agreement between you and the Company with respect to the subject matter herein and supersedes any prior agreements, representations or understandings (whether written, oral or implied) between you and the Company related to the terms and conditions of your roles as Interim CEO and EVP, President US. For the avoidance of doubt, in no event will a New CEO Employment Agreement become effective until and unless you are appointed as the New CEO.</w:t>
      </w:r>
    </w:p>
    <w:p>
      <w:pPr>
        <w:spacing w:after="0" w:line="181" w:lineRule="exact"/>
        <w:rPr>
          <w:rFonts w:ascii="Arial" w:cs="Arial" w:eastAsia="Arial" w:hAnsi="Arial"/>
          <w:sz w:val="22"/>
          <w:szCs w:val="22"/>
          <w:b w:val="1"/>
          <w:bCs w:val="1"/>
          <w:color w:val="auto"/>
        </w:rPr>
      </w:pPr>
    </w:p>
    <w:p>
      <w:pPr>
        <w:ind w:firstLine="757"/>
        <w:spacing w:after="0" w:line="280" w:lineRule="auto"/>
        <w:tabs>
          <w:tab w:leader="none" w:pos="1018"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Neither you nor the Company may make any assignment of this Agreement or any interest in it, by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operation of law or otherwise, without the prior written consent of the other;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This Agreement shall inure to the benefit of and be binding upon you and the Company, and each of your and its respective successors, executors, administrators, heirs and permitted assigns.</w:t>
      </w:r>
    </w:p>
    <w:p>
      <w:pPr>
        <w:spacing w:after="0" w:line="145" w:lineRule="exact"/>
        <w:rPr>
          <w:sz w:val="20"/>
          <w:szCs w:val="20"/>
          <w:color w:val="auto"/>
        </w:rPr>
      </w:pPr>
    </w:p>
    <w:p>
      <w:pPr>
        <w:ind w:firstLine="749"/>
        <w:spacing w:after="0" w:line="334" w:lineRule="auto"/>
        <w:rPr>
          <w:sz w:val="20"/>
          <w:szCs w:val="20"/>
          <w:color w:val="auto"/>
        </w:rPr>
      </w:pPr>
      <w:r>
        <w:rPr>
          <w:rFonts w:ascii="Arial" w:cs="Arial" w:eastAsia="Arial" w:hAnsi="Arial"/>
          <w:sz w:val="19"/>
          <w:szCs w:val="19"/>
          <w:b w:val="1"/>
          <w:bCs w:val="1"/>
          <w:color w:val="auto"/>
        </w:rPr>
        <w:t>10.Other Terms</w:t>
      </w:r>
      <w:r>
        <w:rPr>
          <w:rFonts w:ascii="Arial" w:cs="Arial" w:eastAsia="Arial" w:hAnsi="Arial"/>
          <w:sz w:val="19"/>
          <w:szCs w:val="19"/>
          <w:color w:val="auto"/>
        </w:rPr>
        <w:t>. This Agreement may be executed in any number of counterparts, each of which when so executed and</w:t>
      </w:r>
      <w:r>
        <w:rPr>
          <w:rFonts w:ascii="Arial" w:cs="Arial" w:eastAsia="Arial" w:hAnsi="Arial"/>
          <w:sz w:val="19"/>
          <w:szCs w:val="19"/>
          <w:b w:val="1"/>
          <w:bCs w:val="1"/>
          <w:color w:val="auto"/>
        </w:rPr>
        <w:t xml:space="preserve"> </w:t>
      </w:r>
      <w:r>
        <w:rPr>
          <w:rFonts w:ascii="Arial" w:cs="Arial" w:eastAsia="Arial" w:hAnsi="Arial"/>
          <w:sz w:val="19"/>
          <w:szCs w:val="19"/>
          <w:color w:val="auto"/>
        </w:rPr>
        <w:t>delivered shall be taken to be an original; but such counterparts shall together constitute one and the same document.</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follows.]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ACTIVE/122618694.5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1" w:right="399" w:bottom="1440" w:gutter="0" w:footer="0" w:header="0"/>
        </w:sectPr>
      </w:pPr>
    </w:p>
    <w:bookmarkStart w:id="83" w:name="page84"/>
    <w:bookmarkEnd w:id="83"/>
    <w:p>
      <w:pPr>
        <w:ind w:firstLine="749"/>
        <w:spacing w:after="0" w:line="328" w:lineRule="auto"/>
        <w:rPr>
          <w:sz w:val="20"/>
          <w:szCs w:val="20"/>
          <w:color w:val="auto"/>
        </w:rPr>
      </w:pPr>
      <w:r>
        <w:rPr>
          <w:rFonts w:ascii="Arial" w:cs="Arial" w:eastAsia="Arial" w:hAnsi="Arial"/>
          <w:sz w:val="19"/>
          <w:szCs w:val="19"/>
          <w:color w:val="auto"/>
        </w:rPr>
        <w:t>Thank you for your willingness to serve as the Interim CEO. You may indicate your agreement with these terms by signing and dating this Agreement and returning it to me. If you have any questions, please do not hesitate to contact me.</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AMARIN CORPORATION PLC.</w:t>
      </w: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Arial" w:cs="Arial" w:eastAsia="Arial" w:hAnsi="Arial"/>
          <w:sz w:val="22"/>
          <w:szCs w:val="22"/>
          <w:u w:val="single" w:color="auto"/>
          <w:color w:val="auto"/>
        </w:rPr>
        <w:t>/s/ Odysseas Kostas</w:t>
      </w:r>
    </w:p>
    <w:p>
      <w:pPr>
        <w:ind w:left="4880"/>
        <w:spacing w:after="0" w:line="238" w:lineRule="auto"/>
        <w:rPr>
          <w:sz w:val="20"/>
          <w:szCs w:val="20"/>
          <w:color w:val="auto"/>
        </w:rPr>
      </w:pPr>
      <w:r>
        <w:rPr>
          <w:rFonts w:ascii="Arial" w:cs="Arial" w:eastAsia="Arial" w:hAnsi="Arial"/>
          <w:sz w:val="22"/>
          <w:szCs w:val="22"/>
          <w:color w:val="auto"/>
        </w:rPr>
        <w:t>By: Odysseas Kostas</w:t>
      </w:r>
    </w:p>
    <w:p>
      <w:pPr>
        <w:ind w:left="4880"/>
        <w:spacing w:after="0"/>
        <w:rPr>
          <w:sz w:val="20"/>
          <w:szCs w:val="20"/>
          <w:color w:val="auto"/>
        </w:rPr>
      </w:pPr>
      <w:r>
        <w:rPr>
          <w:rFonts w:ascii="Arial" w:cs="Arial" w:eastAsia="Arial" w:hAnsi="Arial"/>
          <w:sz w:val="22"/>
          <w:szCs w:val="22"/>
          <w:color w:val="auto"/>
        </w:rPr>
        <w:t>Its: Chair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have read and accept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Aaron D. Berg</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Aaron D. Berg</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u w:val="single" w:color="auto"/>
          <w:color w:val="auto"/>
        </w:rPr>
        <w:t>April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3</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ACTIVE/122618694.5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631" w:right="81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Holt, certify that:</w:t>
      </w:r>
    </w:p>
    <w:p>
      <w:pPr>
        <w:spacing w:after="0" w:line="117"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479"/>
        <w:spacing w:after="0" w:line="263"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40" w:hanging="479"/>
        <w:spacing w:after="0" w:line="26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479"/>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479"/>
        <w:spacing w:after="0" w:line="263"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479"/>
        <w:spacing w:after="0" w:line="342"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60" w:hanging="479"/>
        <w:spacing w:after="0" w:line="277" w:lineRule="auto"/>
        <w:tabs>
          <w:tab w:leader="none" w:pos="13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700" w:val="left"/>
          <w:tab w:leader="none" w:pos="806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9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89325" cy="8890"/>
                    </a:xfrm>
                    <a:prstGeom prst="rect">
                      <a:avLst/>
                    </a:prstGeom>
                    <a:noFill/>
                  </pic:spPr>
                </pic:pic>
              </a:graphicData>
            </a:graphic>
          </wp:anchor>
        </w:drawing>
      </w:r>
    </w:p>
    <w:p>
      <w:pPr>
        <w:spacing w:after="0" w:line="30"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Patrick Holt</w:t>
      </w:r>
    </w:p>
    <w:p>
      <w:pPr>
        <w:spacing w:after="0" w:line="3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Tom Reilly, certify that:</w:t>
      </w:r>
    </w:p>
    <w:p>
      <w:pPr>
        <w:spacing w:after="0" w:line="117"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479"/>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40" w:hanging="479"/>
        <w:spacing w:after="0" w:line="263"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479"/>
        <w:spacing w:after="0" w:line="342"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479"/>
        <w:spacing w:after="0" w:line="263"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479"/>
        <w:spacing w:after="0" w:line="342"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60" w:hanging="479"/>
        <w:spacing w:after="0" w:line="277" w:lineRule="auto"/>
        <w:tabs>
          <w:tab w:leader="none" w:pos="13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7900" w:val="left"/>
          <w:tab w:leader="none" w:pos="824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9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89325" cy="8890"/>
                    </a:xfrm>
                    <a:prstGeom prst="rect">
                      <a:avLst/>
                    </a:prstGeom>
                    <a:noFill/>
                  </pic:spPr>
                </pic:pic>
              </a:graphicData>
            </a:graphic>
          </wp:anchor>
        </w:drawing>
      </w:r>
    </w:p>
    <w:p>
      <w:pPr>
        <w:spacing w:after="0" w:line="30"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Tom Reilly</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36"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Patrick Holt, President and Chief Executive Officer (Principal Executive Officer) of Amarin Corporation plc (the “Company”), and Tom Reilly, Executive Vice President and Chief Financial Officer (Principal Financial Officer and Principal Accounting Officer) of the Company, each hereby certifies that, to the best of his knowledge:</w:t>
      </w:r>
    </w:p>
    <w:p>
      <w:pPr>
        <w:spacing w:after="0" w:line="187" w:lineRule="exact"/>
        <w:rPr>
          <w:sz w:val="20"/>
          <w:szCs w:val="20"/>
          <w:color w:val="auto"/>
        </w:rPr>
      </w:pPr>
    </w:p>
    <w:p>
      <w:pPr>
        <w:ind w:right="600" w:firstLine="8"/>
        <w:spacing w:after="0" w:line="308" w:lineRule="auto"/>
        <w:tabs>
          <w:tab w:leader="none" w:pos="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2023, to which this Certification is attached as Exhibit 32.1 (the “Quarterly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right="480" w:firstLine="8"/>
        <w:spacing w:after="0" w:line="277"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Patrick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9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7"/>
          <w:szCs w:val="17"/>
          <w:color w:val="auto"/>
        </w:rPr>
        <w:t>Patrick Holt</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ind w:left="5760"/>
        <w:spacing w:after="0"/>
        <w:tabs>
          <w:tab w:leader="none" w:pos="60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Tom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9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893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2, 2023</w:t>
      </w:r>
      <w:r>
        <w:rPr>
          <w:sz w:val="20"/>
          <w:szCs w:val="20"/>
          <w:color w:val="auto"/>
        </w:rPr>
        <w:tab/>
      </w:r>
      <w:r>
        <w:rPr>
          <w:rFonts w:ascii="Arial" w:cs="Arial" w:eastAsia="Arial" w:hAnsi="Arial"/>
          <w:sz w:val="17"/>
          <w:szCs w:val="17"/>
          <w:color w:val="auto"/>
        </w:rPr>
        <w:t>Tom Reilly</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6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2"/>
    </w:lvl>
  </w:abstractNum>
  <w:abstractNum w:abstractNumId="5">
    <w:nsid w:val="2CA88611"/>
    <w:multiLevelType w:val="hybridMultilevel"/>
    <w:lvl w:ilvl="0">
      <w:lvlJc w:val="left"/>
      <w:lvlText w:val="(%1)"/>
      <w:numFmt w:val="lowerRoman"/>
      <w:start w:val="3"/>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3"/>
    </w:lvl>
  </w:abstractNum>
  <w:abstractNum w:abstractNumId="8">
    <w:nsid w:val="3A95F874"/>
    <w:multiLevelType w:val="hybridMultilevel"/>
    <w:lvl w:ilvl="0">
      <w:lvlJc w:val="left"/>
      <w:lvlText w:val="(%1)"/>
      <w:numFmt w:val="decimal"/>
      <w:start w:val="4"/>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6"/>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7"/>
    </w:lvl>
  </w:abstractNum>
  <w:abstractNum w:abstractNumId="13">
    <w:nsid w:val="6CEAF087"/>
    <w:multiLevelType w:val="hybridMultilevel"/>
    <w:lvl w:ilvl="0">
      <w:lvlJc w:val="left"/>
      <w:lvlText w:val="(%1)"/>
      <w:numFmt w:val="decimal"/>
      <w:start w:val="8"/>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5"/>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5"/>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6"/>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2023-08-02T06:16:32Z</dcterms:created>
  <dcterms:modified xsi:type="dcterms:W3CDTF">2023-08-02T06:16:32Z</dcterms:modified>
</cp:coreProperties>
</file>