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England and Wales</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360" w:type="dxa"/>
            <w:vAlign w:val="bottom"/>
          </w:tcPr>
          <w:p>
            <w:pPr>
              <w:jc w:val="center"/>
              <w:ind w:right="15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9"/>
              </w:rPr>
              <w:t>Incorporation or Organization)</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2 Pembroke House, Upper Pembroke Street 28-32</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92"/>
              </w:rPr>
              <w:t>Dublin 2, Ireland</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ind w:right="500"/>
        <w:spacing w:after="0" w:line="268" w:lineRule="auto"/>
        <w:rPr>
          <w:sz w:val="20"/>
          <w:szCs w:val="20"/>
          <w:color w:val="auto"/>
        </w:rPr>
      </w:pPr>
      <w:r>
        <w:rPr>
          <w:rFonts w:ascii="Arial" w:cs="Arial" w:eastAsia="Arial" w:hAnsi="Arial"/>
          <w:sz w:val="18"/>
          <w:szCs w:val="18"/>
          <w:color w:val="auto"/>
        </w:rPr>
        <w:t>149,769,550 shares held as American Depository Shares (ADS), each representing one Ordinary Share, 50 pence par value per share, and 365,080 ordinary shares, were outstanding as of November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0" w:type="dxa"/>
            <w:vAlign w:val="bottom"/>
            <w:gridSpan w:val="4"/>
            <w:vMerge w:val="restart"/>
          </w:tcPr>
          <w:p>
            <w:pPr>
              <w:jc w:val="cente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PART I – Financial Information</w:t>
              </w:r>
            </w:hyperlink>
          </w:p>
        </w:tc>
        <w:tc>
          <w:tcPr>
            <w:tcW w:w="3980" w:type="dxa"/>
            <w:vAlign w:val="bottom"/>
            <w:gridSpan w:val="6"/>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0" w:type="dxa"/>
            <w:vAlign w:val="bottom"/>
            <w:tcBorders>
              <w:bottom w:val="single" w:sz="8" w:color="0000EE"/>
            </w:tcBorders>
            <w:gridSpan w:val="4"/>
            <w:vMerge w:val="continue"/>
          </w:tcPr>
          <w:p>
            <w:pPr>
              <w:spacing w:after="0"/>
              <w:rPr>
                <w:sz w:val="13"/>
                <w:szCs w:val="13"/>
                <w:color w:val="auto"/>
              </w:rPr>
            </w:pPr>
          </w:p>
        </w:tc>
        <w:tc>
          <w:tcPr>
            <w:tcW w:w="398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160" w:type="dxa"/>
            <w:vAlign w:val="bottom"/>
            <w:gridSpan w:val="16"/>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2012 and December 31, 2011</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2012 and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280" w:type="dxa"/>
            <w:vAlign w:val="bottom"/>
            <w:tcBorders>
              <w:top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Changes in Equity (Deficit) at September 30, 2012 and September 30, 2011</w:t>
              </w:r>
            </w:hyperlink>
          </w:p>
        </w:tc>
        <w:tc>
          <w:tcPr>
            <w:tcW w:w="18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4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for the nine months ended September 30, 2012 and 2011</w:t>
              </w:r>
            </w:hyperlink>
          </w:p>
        </w:tc>
        <w:tc>
          <w:tcPr>
            <w:tcW w:w="21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6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5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8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9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9"/>
          </w:tcPr>
          <w:p>
            <w:pPr>
              <w:jc w:val="center"/>
              <w:ind w:right="4080"/>
              <w:spacing w:after="0"/>
              <w:rPr>
                <w:rFonts w:ascii="Arial" w:cs="Arial" w:eastAsia="Arial" w:hAnsi="Arial"/>
                <w:sz w:val="18"/>
                <w:szCs w:val="18"/>
                <w:b w:val="1"/>
                <w:bCs w:val="1"/>
                <w:color w:val="0000EE"/>
                <w:w w:val="92"/>
              </w:rPr>
            </w:pPr>
            <w:hyperlink w:anchor="page24">
              <w:r>
                <w:rPr>
                  <w:rFonts w:ascii="Arial" w:cs="Arial" w:eastAsia="Arial" w:hAnsi="Arial"/>
                  <w:sz w:val="18"/>
                  <w:szCs w:val="18"/>
                  <w:b w:val="1"/>
                  <w:bCs w:val="1"/>
                  <w:color w:val="0000EE"/>
                  <w:w w:val="92"/>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900" w:type="dxa"/>
            <w:vAlign w:val="bottom"/>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180" w:type="dxa"/>
            <w:vAlign w:val="bottom"/>
            <w:tcBorders>
              <w:top w:val="single" w:sz="8" w:color="0000EE"/>
            </w:tcBorders>
            <w:gridSpan w:val="2"/>
          </w:tcPr>
          <w:p>
            <w:pPr>
              <w:spacing w:after="0"/>
              <w:rPr>
                <w:sz w:val="24"/>
                <w:szCs w:val="24"/>
                <w:color w:val="auto"/>
              </w:rPr>
            </w:pPr>
          </w:p>
        </w:tc>
        <w:tc>
          <w:tcPr>
            <w:tcW w:w="40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8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280" w:type="dxa"/>
            <w:vAlign w:val="bottom"/>
            <w:tcBorders>
              <w:top w:val="single" w:sz="8" w:color="0000EE"/>
            </w:tcBorders>
          </w:tcPr>
          <w:p>
            <w:pPr>
              <w:spacing w:after="0"/>
              <w:rPr>
                <w:sz w:val="17"/>
                <w:szCs w:val="17"/>
                <w:color w:val="auto"/>
              </w:rPr>
            </w:pPr>
          </w:p>
        </w:tc>
        <w:tc>
          <w:tcPr>
            <w:tcW w:w="92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104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3"/>
        </w:trPr>
        <w:tc>
          <w:tcPr>
            <w:tcW w:w="8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980" w:type="dxa"/>
            <w:vAlign w:val="bottom"/>
            <w:gridSpan w:val="8"/>
          </w:tcPr>
          <w:p>
            <w:pPr>
              <w:jc w:val="right"/>
              <w:ind w:right="1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ind w:left="4020"/>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215,110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8,989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228,742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long term assets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15,672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1980"/>
              <w:spacing w:after="0"/>
              <w:rPr>
                <w:sz w:val="20"/>
                <w:szCs w:val="20"/>
                <w:color w:val="auto"/>
              </w:rPr>
            </w:pPr>
            <w:r>
              <w:rPr>
                <w:rFonts w:ascii="Arial" w:cs="Arial" w:eastAsia="Arial" w:hAnsi="Arial"/>
                <w:sz w:val="18"/>
                <w:szCs w:val="18"/>
                <w:b w:val="1"/>
                <w:bCs w:val="1"/>
                <w:color w:val="auto"/>
              </w:rPr>
              <w:t>LIABILITIES AND STOCKHOLDERS’ EQUITY (DEFICIT)</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13,696</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72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32,512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Warrant derivative liability</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90,963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 term debt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254,960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132,341</w:t>
            </w:r>
          </w:p>
        </w:tc>
        <w:tc>
          <w:tcPr>
            <w:tcW w:w="0" w:type="dxa"/>
            <w:vAlign w:val="bottom"/>
          </w:tcPr>
          <w:p>
            <w:pPr>
              <w:spacing w:after="0"/>
              <w:rPr>
                <w:sz w:val="1"/>
                <w:szCs w:val="1"/>
                <w:color w:val="auto"/>
              </w:rPr>
            </w:pPr>
          </w:p>
        </w:tc>
      </w:tr>
      <w:tr>
        <w:trPr>
          <w:trHeight w:val="329"/>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(Note 5)</w:t>
            </w: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w w:val="92"/>
              </w:rPr>
              <w:t>Common stock, £0.50 par, unlimited authorized; 149,921,422 issued, 149,901,343 outstanding at September 30,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640"/>
              <w:spacing w:after="0"/>
              <w:rPr>
                <w:sz w:val="20"/>
                <w:szCs w:val="20"/>
                <w:color w:val="auto"/>
              </w:rPr>
            </w:pPr>
            <w:r>
              <w:rPr>
                <w:rFonts w:ascii="Arial" w:cs="Arial" w:eastAsia="Arial" w:hAnsi="Arial"/>
                <w:sz w:val="18"/>
                <w:szCs w:val="18"/>
                <w:color w:val="auto"/>
              </w:rPr>
              <w:t>2012; 135,832,542 issued, 135,812,463 outstanding at December 31, 2011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124,244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113,321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613,087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Treasury stock; 20,079 shares at September 30, 2012 and December 31, 2011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(737,076)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(568,459)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8720" w:type="dxa"/>
            <w:vAlign w:val="bottom"/>
          </w:tcPr>
          <w:p>
            <w:pPr>
              <w:ind w:left="1280"/>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Three months ended September 30,</w:t>
            </w: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Marketing, general and administrative</w:t>
            </w:r>
          </w:p>
        </w:tc>
        <w:tc>
          <w:tcPr>
            <w:tcW w:w="880" w:type="dxa"/>
            <w:vAlign w:val="bottom"/>
          </w:tcPr>
          <w:p>
            <w:pPr>
              <w:jc w:val="right"/>
              <w:spacing w:after="0"/>
              <w:rPr>
                <w:sz w:val="20"/>
                <w:szCs w:val="20"/>
                <w:color w:val="auto"/>
              </w:rPr>
            </w:pPr>
            <w:r>
              <w:rPr>
                <w:rFonts w:ascii="Arial" w:cs="Arial" w:eastAsia="Arial" w:hAnsi="Arial"/>
                <w:sz w:val="18"/>
                <w:szCs w:val="18"/>
                <w:color w:val="auto"/>
              </w:rPr>
              <w:t>13,397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16,185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34,310</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(34,310)</w:t>
            </w: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(9,446)</w:t>
            </w:r>
          </w:p>
        </w:tc>
        <w:tc>
          <w:tcPr>
            <w:tcW w:w="2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(80,794)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(4,570)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(12,838)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740" w:type="dxa"/>
            <w:vAlign w:val="bottom"/>
            <w:gridSpan w:val="2"/>
          </w:tcPr>
          <w:p>
            <w:pPr>
              <w:spacing w:after="0"/>
              <w:rPr>
                <w:sz w:val="20"/>
                <w:szCs w:val="20"/>
                <w:color w:val="auto"/>
              </w:rPr>
            </w:pPr>
            <w:r>
              <w:rPr>
                <w:rFonts w:ascii="Arial" w:cs="Arial" w:eastAsia="Arial" w:hAnsi="Arial"/>
                <w:sz w:val="18"/>
                <w:szCs w:val="18"/>
                <w:color w:val="auto"/>
              </w:rPr>
              <w:t>(Loss) income from operations before taxes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(22,853)</w:t>
            </w:r>
          </w:p>
        </w:tc>
        <w:tc>
          <w:tcPr>
            <w:tcW w:w="24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97,112</w:t>
            </w:r>
          </w:p>
        </w:tc>
        <w:tc>
          <w:tcPr>
            <w:tcW w:w="2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(162,729)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(85,112)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74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(26,426)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96,345</w:t>
            </w:r>
          </w:p>
        </w:tc>
        <w:tc>
          <w:tcPr>
            <w:tcW w:w="28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(168,617)</w:t>
            </w: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(87,464)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income per share:</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0.72</w:t>
            </w:r>
          </w:p>
        </w:tc>
        <w:tc>
          <w:tcPr>
            <w:tcW w:w="2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323"/>
        </w:trPr>
        <w:tc>
          <w:tcPr>
            <w:tcW w:w="674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spacing w:after="0"/>
              <w:rPr>
                <w:sz w:val="20"/>
                <w:szCs w:val="20"/>
                <w:color w:val="auto"/>
              </w:rPr>
            </w:pPr>
            <w:r>
              <w:rPr>
                <w:rFonts w:ascii="Arial" w:cs="Arial" w:eastAsia="Arial" w:hAnsi="Arial"/>
                <w:sz w:val="18"/>
                <w:szCs w:val="18"/>
                <w:color w:val="auto"/>
              </w:rPr>
              <w:t>149,200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155,975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128,377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2011</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1"/>
              </w:rPr>
              <w:t>135,832,542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2"/>
              </w:rPr>
              <w:t>$ 113,321</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$449,393</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(217)</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$(568,459)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(5,962)</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10,881,276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8,407</w:t>
            </w:r>
          </w:p>
        </w:tc>
        <w:tc>
          <w:tcPr>
            <w:tcW w:w="1000" w:type="dxa"/>
            <w:vAlign w:val="bottom"/>
            <w:gridSpan w:val="5"/>
          </w:tcPr>
          <w:p>
            <w:pPr>
              <w:jc w:val="right"/>
              <w:ind w:right="160"/>
              <w:spacing w:after="0"/>
              <w:rPr>
                <w:sz w:val="20"/>
                <w:szCs w:val="20"/>
                <w:color w:val="auto"/>
              </w:rPr>
            </w:pPr>
            <w:r>
              <w:rPr>
                <w:rFonts w:ascii="Arial" w:cs="Arial" w:eastAsia="Arial" w:hAnsi="Arial"/>
                <w:sz w:val="18"/>
                <w:szCs w:val="18"/>
                <w:color w:val="auto"/>
              </w:rPr>
              <w:t>8,119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 equity</w:t>
            </w: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103,885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103,885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Conversion option of exchangeable notes</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5"/>
          </w:tcPr>
          <w:p>
            <w:pPr>
              <w:jc w:val="right"/>
              <w:ind w:right="160"/>
              <w:spacing w:after="0"/>
              <w:rPr>
                <w:sz w:val="20"/>
                <w:szCs w:val="20"/>
                <w:color w:val="auto"/>
              </w:rPr>
            </w:pPr>
            <w:r>
              <w:rPr>
                <w:rFonts w:ascii="Arial" w:cs="Arial" w:eastAsia="Arial" w:hAnsi="Arial"/>
                <w:sz w:val="18"/>
                <w:szCs w:val="18"/>
                <w:color w:val="auto"/>
              </w:rPr>
              <w:t>22,898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3,107,913</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5,395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color w:val="auto"/>
              </w:rPr>
              <w:t>Tax benefits realized from stock-based compensation</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160"/>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97,398</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color w:val="auto"/>
              </w:rPr>
              <w:t>Shares issued for services</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2,293</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gridSpan w:val="5"/>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13,344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13,344</w:t>
            </w:r>
          </w:p>
        </w:tc>
        <w:tc>
          <w:tcPr>
            <w:tcW w:w="0" w:type="dxa"/>
            <w:vAlign w:val="bottom"/>
          </w:tcPr>
          <w:p>
            <w:pPr>
              <w:spacing w:after="0"/>
              <w:rPr>
                <w:sz w:val="1"/>
                <w:szCs w:val="1"/>
                <w:color w:val="auto"/>
              </w:rPr>
            </w:pPr>
          </w:p>
        </w:tc>
      </w:tr>
      <w:tr>
        <w:trPr>
          <w:trHeight w:val="323"/>
        </w:trPr>
        <w:tc>
          <w:tcPr>
            <w:tcW w:w="556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(168,617)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(168,617)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September 30, 2012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149,921,422</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124,244</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613,087</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(217)</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(737,076)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740" w:type="dxa"/>
            <w:vAlign w:val="bottom"/>
            <w:gridSpan w:val="2"/>
          </w:tcPr>
          <w:p>
            <w:pPr>
              <w:spacing w:after="0"/>
              <w:rPr>
                <w:sz w:val="8"/>
                <w:szCs w:val="8"/>
                <w:color w:val="auto"/>
              </w:rPr>
            </w:pPr>
          </w:p>
        </w:tc>
        <w:tc>
          <w:tcPr>
            <w:tcW w:w="18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7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106,856,731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$ 90,465</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$206,718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0"/>
              </w:rPr>
              <w:t>(217)</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$(499,333)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(202,367)</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color w:val="auto"/>
              </w:rPr>
              <w:t>Warrants exercised</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12,855,642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10,263</w:t>
            </w: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8,398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 liabilities to equity</w:t>
            </w:r>
          </w:p>
        </w:tc>
        <w:tc>
          <w:tcPr>
            <w:tcW w:w="12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129,458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129,458</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color w:val="auto"/>
              </w:rPr>
              <w:t>Shares issued in January financing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13,800,000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10,723</w:t>
            </w: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87,931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98,654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color w:val="auto"/>
              </w:rPr>
              <w:t>Tax benefits from stock-based compensation</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1,571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22"/>
        </w:trPr>
        <w:tc>
          <w:tcPr>
            <w:tcW w:w="5560" w:type="dxa"/>
            <w:vAlign w:val="bottom"/>
            <w:gridSpan w:val="2"/>
          </w:tcPr>
          <w:p>
            <w:pPr>
              <w:spacing w:after="0"/>
              <w:rPr>
                <w:sz w:val="20"/>
                <w:szCs w:val="20"/>
                <w:color w:val="auto"/>
              </w:rPr>
            </w:pPr>
            <w:r>
              <w:rPr>
                <w:rFonts w:ascii="Arial" w:cs="Arial" w:eastAsia="Arial" w:hAnsi="Arial"/>
                <w:sz w:val="18"/>
                <w:szCs w:val="18"/>
                <w:color w:val="auto"/>
              </w:rPr>
              <w:t>Share based compensation</w:t>
            </w:r>
          </w:p>
        </w:tc>
        <w:tc>
          <w:tcPr>
            <w:tcW w:w="12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6,022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40" w:type="dxa"/>
            <w:vAlign w:val="bottom"/>
            <w:gridSpan w:val="2"/>
          </w:tcPr>
          <w:p>
            <w:pPr>
              <w:spacing w:after="0"/>
              <w:rPr>
                <w:sz w:val="9"/>
                <w:szCs w:val="9"/>
                <w:color w:val="auto"/>
              </w:rPr>
            </w:pPr>
          </w:p>
        </w:tc>
        <w:tc>
          <w:tcPr>
            <w:tcW w:w="1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(87,464)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(87,464)</w:t>
            </w:r>
          </w:p>
        </w:tc>
        <w:tc>
          <w:tcPr>
            <w:tcW w:w="0" w:type="dxa"/>
            <w:vAlign w:val="bottom"/>
          </w:tcPr>
          <w:p>
            <w:pPr>
              <w:spacing w:after="0"/>
              <w:rPr>
                <w:sz w:val="1"/>
                <w:szCs w:val="1"/>
                <w:color w:val="auto"/>
              </w:rPr>
            </w:pPr>
          </w:p>
        </w:tc>
      </w:tr>
      <w:tr>
        <w:trPr>
          <w:trHeight w:val="20"/>
        </w:trPr>
        <w:tc>
          <w:tcPr>
            <w:tcW w:w="5560" w:type="dxa"/>
            <w:vAlign w:val="bottom"/>
            <w:tcBorders>
              <w:right w:val="single" w:sz="8" w:color="auto"/>
            </w:tcBorders>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At September 30, 2011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135,780,817</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113,280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443,399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gridSpan w:val="3"/>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(217)</w:t>
            </w:r>
          </w:p>
        </w:tc>
        <w:tc>
          <w:tcPr>
            <w:tcW w:w="920" w:type="dxa"/>
            <w:vAlign w:val="bottom"/>
            <w:gridSpan w:val="4"/>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(586,797)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2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(168,617)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Excess tax benefit from stock-based awards</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Expense for commitment fee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Amortization of Laxdale milestone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change in fair value of derivative liability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(8,989)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Change in lease liability</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(78,539)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(27,863)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Purchases of equipment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Purchase of long term investment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awards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Proceeds from issuance of exchangeable debt, net of transaction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144,316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116,602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31,442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200"/>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640"/>
              <w:spacing w:after="0"/>
              <w:rPr>
                <w:sz w:val="20"/>
                <w:szCs w:val="20"/>
                <w:color w:val="auto"/>
              </w:rPr>
            </w:pPr>
            <w:r>
              <w:rPr>
                <w:rFonts w:ascii="Arial" w:cs="Arial" w:eastAsia="Arial" w:hAnsi="Arial"/>
                <w:sz w:val="18"/>
                <w:szCs w:val="18"/>
                <w:color w:val="auto"/>
              </w:rPr>
              <w:t>Non-cash transactions: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8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Amarin is a biopharmaceutical company with expertise in lipid science focused on the commercialization and development of therapeutics to improve cardiovascular health. On July 26, 2012, the Company received FDA approval to market and sell its lead product Vascepa</w:t>
      </w:r>
      <w:r>
        <w:rPr>
          <w:rFonts w:ascii="Arial" w:cs="Arial" w:eastAsia="Arial" w:hAnsi="Arial"/>
          <w:sz w:val="11"/>
          <w:szCs w:val="11"/>
          <w:color w:val="auto"/>
        </w:rPr>
        <w:t>TM</w:t>
      </w:r>
      <w:r>
        <w:rPr>
          <w:rFonts w:ascii="Arial" w:cs="Arial" w:eastAsia="Arial" w:hAnsi="Arial"/>
          <w:sz w:val="18"/>
          <w:szCs w:val="18"/>
          <w:color w:val="auto"/>
        </w:rPr>
        <w:t xml:space="preserve"> (icosapent ethyl) capsules (formerly known as AMR101)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Triglycerides are fats in the blood. Amarin is also developing Vascepa for the treatment of patients with high triglyceride levels who are also on statin therapy for elevated LDL-C levels, or what the Company refers to as mixed dyslipidemia.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commercialization and development of Vascepa, which received approval from the FDA on July 26, 2012. The Company is not considered a development stage business, as the release and sale of the previous product represented the exit of the Company from the development stage.</w:t>
      </w:r>
    </w:p>
    <w:p>
      <w:pPr>
        <w:spacing w:after="0" w:line="116"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At September 30, 2012, the Company had cash and cash equivalents of $215.1 million. The Company’s consolidated balance sheet also includes a significant derivative liability (see footnote 3—Warrants and Derivative Liability) reflecting the fair value of outstanding warrants to purchase shares of the Company’s common stock. This liability can only be settled in shares of the Company’s stock and, as such, would only result in cash inflows upon the exercise of the warrants—not a cash outflow. Accordingly, this warrant derivative liability presents neither a short nor long-term claim on the liquid assets of the Company.</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resulting in net proceeds to the Company of $144.3 million. The notes are the senior unsecured obligations of Corsicanto Limited and are guaranteed by Amarin. In July 2012 Amarin made its initial interest payment on the notes in the aggregate amount of $2.7 million.</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believes its cash and cash equivalents will be sufficient to fund its operations for at least the next twelve months, including advancement of the REDUCE-IT cardiovascular outcomes study, continuing the commercial preparation for and launch of Vascepa, working capital and other general corporate activities.</w:t>
      </w:r>
    </w:p>
    <w:p>
      <w:pPr>
        <w:spacing w:after="0" w:line="256" w:lineRule="exact"/>
        <w:rPr>
          <w:sz w:val="20"/>
          <w:szCs w:val="20"/>
          <w:color w:val="auto"/>
        </w:rPr>
      </w:pPr>
    </w:p>
    <w:p>
      <w:pPr>
        <w:ind w:left="240" w:right="8540" w:hanging="232"/>
        <w:spacing w:after="0" w:line="417" w:lineRule="auto"/>
        <w:tabs>
          <w:tab w:leader="none" w:pos="458"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Cash and Cash Equivalents</w:t>
      </w:r>
    </w:p>
    <w:p>
      <w:pPr>
        <w:spacing w:after="0" w:line="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states inventories at the lower of cost or market. Cost is determined based on actual cost. An allowance is established when management determines that certain inventories may not be saleable. If inventory cost exceeds expected market value due to obsolescence or quantities in excess of expected demand, the Company will record a reserve for the difference between cost and market value. The Company received FDA approval on July 26, 2012 and began capitalizing inventory purchases after that date. At September 30, 2012, the Company had approximately $9.0 million in inventory, which consisted primarily of raw materials.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ectPr>
          <w:pgSz w:w="11900" w:h="16838" w:orient="portrait"/>
          <w:cols w:equalWidth="0" w:num="1">
            <w:col w:w="11320"/>
          </w:cols>
          <w:pgMar w:left="240" w:top="459" w:right="339" w:bottom="1440" w:gutter="0" w:footer="0" w:header="0"/>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20"/>
          </w:cols>
          <w:pgMar w:left="240" w:top="459"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Marketing, General and Administrative Costs</w:t>
      </w:r>
    </w:p>
    <w:p>
      <w:pPr>
        <w:spacing w:after="0" w:line="9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Warrant related expense from non-cash changes in fair value of the derivative liability associated with warrants issued in October 2009 to former officers of Amarin is recorded as compensation expense and classified as part of marketing, general and administrative costs, net of warrants exercised.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2008, the Company arranged with United Kingdom tax authorities to migrate the tax residence of its parent company, Amarin Corporation plc, from the United Kingdom to Ireland. As part of this migration of tax residency, Amarin surrendered certain tax loss carryforwards accumulated prior to the time of such migration. The Company remains registered in the United Kingdom.</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Net (Loss) Income per Share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Basic net (loss) income per share is determined by dividing net (loss) income by the weighted average shares of common stock outstanding during the period. Diluted net (loss) income per share is determined by dividing net (loss) income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both basic and diluted net (loss) income per share (in thousands except share amounts):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right"/>
              <w:ind w:right="6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(26,426)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(168,617)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(87,464)</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149,200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133,238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141,947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128,377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employee stock options and warrants (1)</w:t>
            </w:r>
          </w:p>
        </w:tc>
        <w:tc>
          <w:tcPr>
            <w:tcW w:w="1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28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149,200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155,975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141,947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128,377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share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Diluted (loss) income per share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2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dilutive securities representing approximately 38.4 million and 3.2 million shares of common stock for the three month periods ended September 30, 2012 and September 30, 2011, respectively, and approximately 38.4 million and 31.9 million shares of common stock for the nine months ended September 30, 2012 and September 30, 2011, respectively were excluded from the computation of diluted earnings per share for these periods because their effect would have been anti-dilutive.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Stock-based compensation cost, apart from that described under “Marketing, General, and Administrative Costs” with respect to certain warrant-related expenses, is measured at the grant date, based on the then-fair value of the award, and is recognized as compensation cost over the requisite service period. Compensation expense is reduced for awards not expected to vest.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terms of warrants that initially require the warrants to be classified as derivative financial liabilities lapse, the derivative financial liability is reclassified out of financial liabilities into equity at its fair value on that date. At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at each period end while such instruments are outstanding. If the Company issues shares to discharge the liability, the debt obligation is derecognized and common stock and additional paid-in capital are recognized on the issuance of those shares.</w:t>
      </w:r>
    </w:p>
    <w:p>
      <w:pPr>
        <w:spacing w:after="0" w:line="107"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Our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over its estimated life.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net in the consolidated financial statements of operations. For transactions settled during the period, gains and losses are included in other income, net in the consolidated statements of operations. Foreign exchange gains (and losses) have not been significant in the periods presented.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following table presents information about the Company’s liability as of September 30, 2012 and December 31, 2011 that is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8"/>
              </w:rPr>
              <w:t>September 30, 2012</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$ 37.1</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91.0</w:t>
            </w:r>
          </w:p>
        </w:tc>
        <w:tc>
          <w:tcPr>
            <w:tcW w:w="3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85"/>
              </w:rPr>
              <w:t>91.0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2011</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39.0</w:t>
            </w: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$ 39.0</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123.1</w:t>
            </w:r>
          </w:p>
        </w:tc>
        <w:tc>
          <w:tcPr>
            <w:tcW w:w="38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880" w:type="dxa"/>
            <w:vAlign w:val="bottom"/>
            <w:gridSpan w:val="3"/>
          </w:tcPr>
          <w:p>
            <w:pPr>
              <w:ind w:lef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December 31, 2011, the fair value of the warrant derivative liability was determined to be $123.1 million using the Black-Scholes option valuation model applying the following assumptions: (i) risk-free rate of 0.36%, (ii) remaining term of 2.8 years, (iii) no dividend yield (iv) volatility of 118%, and (v) the stock price on the date of measurement.</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September 30, 2012, the fair value of the warrant derivative liability was determined to be $91.0 million using the Black-Scholes option valuation model applying the following assumptions: (i) risk-free rate of 0.23%, (ii) remaining term of 2.0 years, (iii) no dividend yield (iv) volatility of 97%, and (v) the stock price on the date of measurement. The $32.2 million decrease in the fair value of the warrant liability during the nine months ended September 30, 2012 was recognized as: (i) a $103.9 million transfer from warrant liability to additional paid-in capital for the fair value of warrants exercised during the nine months ended September 30, 2012, (ii) a $68.7 million loss on change in fair value of the remaining derivative liability and (iii) $3.0 million in compensation expense for change in fair value of warrants issued to former employees, both amounts are included in the consolidated statement of operations for the nine months ended September 30, 2012. The change in the fair value of the warrant derivative liability is as follows (in thousands):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auto"/>
        </w:rPr>
        <w:t>Balance at June 30, 2011 &amp; December 31,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-99695</wp:posOffset>
            </wp:positionV>
            <wp:extent cx="55054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151" w:lineRule="exact"/>
        <w:rPr>
          <w:sz w:val="20"/>
          <w:szCs w:val="20"/>
          <w:color w:val="auto"/>
        </w:rPr>
      </w:pPr>
    </w:p>
    <w:p>
      <w:pPr>
        <w:ind w:left="1380" w:right="420"/>
        <w:spacing w:after="0" w:line="305" w:lineRule="auto"/>
        <w:rPr>
          <w:sz w:val="20"/>
          <w:szCs w:val="20"/>
          <w:color w:val="auto"/>
        </w:rPr>
      </w:pPr>
      <w:r>
        <w:rPr>
          <w:rFonts w:ascii="Arial" w:cs="Arial" w:eastAsia="Arial" w:hAnsi="Arial"/>
          <w:sz w:val="15"/>
          <w:szCs w:val="15"/>
          <w:color w:val="auto"/>
        </w:rPr>
        <w:t>(Gain) loss on change in fair value of derivative liability Compensation (income) expense for change in fair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-135255</wp:posOffset>
            </wp:positionV>
            <wp:extent cx="550545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color w:val="auto"/>
        </w:rPr>
        <w:t>warrants issued to former employees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Transfers to equity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gridSpan w:val="4"/>
          </w:tcPr>
          <w:p>
            <w:pPr>
              <w:ind w:left="440"/>
              <w:spacing w:after="0"/>
              <w:rPr>
                <w:sz w:val="20"/>
                <w:szCs w:val="20"/>
                <w:color w:val="auto"/>
              </w:rPr>
            </w:pPr>
            <w:r>
              <w:rPr>
                <w:rFonts w:ascii="Arial" w:cs="Arial" w:eastAsia="Arial" w:hAnsi="Arial"/>
                <w:sz w:val="14"/>
                <w:szCs w:val="14"/>
                <w:b w:val="1"/>
                <w:bCs w:val="1"/>
                <w:color w:val="auto"/>
                <w:w w:val="89"/>
              </w:rPr>
              <w:t>Nine months ended</w:t>
            </w: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September 30</w:t>
            </w:r>
          </w:p>
        </w:tc>
      </w:tr>
      <w:tr>
        <w:trPr>
          <w:trHeight w:val="222"/>
        </w:trPr>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285,984</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230,069</w:t>
            </w:r>
          </w:p>
        </w:tc>
        <w:tc>
          <w:tcPr>
            <w:tcW w:w="60" w:type="dxa"/>
            <w:vAlign w:val="bottom"/>
          </w:tcPr>
          <w:p>
            <w:pPr>
              <w:spacing w:after="0"/>
              <w:rPr>
                <w:sz w:val="19"/>
                <w:szCs w:val="19"/>
                <w:color w:val="auto"/>
              </w:rPr>
            </w:pPr>
          </w:p>
        </w:tc>
      </w:tr>
      <w:tr>
        <w:trPr>
          <w:trHeight w:val="3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(106,614)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53,403</w:t>
            </w:r>
          </w:p>
        </w:tc>
        <w:tc>
          <w:tcPr>
            <w:tcW w:w="6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(3,352)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(21,000)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(129,458)</w:t>
            </w:r>
          </w:p>
        </w:tc>
      </w:tr>
    </w:tbl>
    <w:p>
      <w:pPr>
        <w:spacing w:after="0" w:line="20" w:lineRule="exact"/>
        <w:rPr>
          <w:sz w:val="20"/>
          <w:szCs w:val="20"/>
          <w:color w:val="auto"/>
        </w:rPr>
      </w:pPr>
    </w:p>
    <w:p>
      <w:pPr>
        <w:sectPr>
          <w:pgSz w:w="11900" w:h="16838" w:orient="portrait"/>
          <w:cols w:equalWidth="0" w:num="2">
            <w:col w:w="5980" w:space="720"/>
            <w:col w:w="4680"/>
          </w:cols>
          <w:pgMar w:left="240" w:top="459" w:right="279" w:bottom="1440" w:gutter="0" w:footer="0" w:header="0"/>
          <w:type w:val="continuous"/>
        </w:sectPr>
      </w:pPr>
    </w:p>
    <w:tbl>
      <w:tblPr>
        <w:tblLayout w:type="fixed"/>
        <w:tblInd w:w="13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6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Balance at September 30, 2011</w:t>
            </w:r>
          </w:p>
        </w:tc>
        <w:tc>
          <w:tcPr>
            <w:tcW w:w="580" w:type="dxa"/>
            <w:vAlign w:val="bottom"/>
            <w:gridSpan w:val="2"/>
            <w:shd w:val="clear" w:color="auto" w:fill="CCEEFF"/>
          </w:tcPr>
          <w:p>
            <w:pPr>
              <w:ind w:left="440"/>
              <w:spacing w:after="0" w:line="205"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155,018</w:t>
            </w:r>
          </w:p>
        </w:tc>
        <w:tc>
          <w:tcPr>
            <w:tcW w:w="4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line="205" w:lineRule="exact"/>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155,018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12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Balance at June 30, 2012 &amp; December 31, 2011, respectively</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120,214</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123,125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80" w:type="dxa"/>
            <w:vAlign w:val="bottom"/>
            <w:gridSpan w:val="2"/>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(16,454)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68,686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(income) expense for change in fair value of</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jc w:val="right"/>
              <w:ind w:right="1992"/>
              <w:spacing w:after="0"/>
              <w:rPr>
                <w:sz w:val="20"/>
                <w:szCs w:val="20"/>
                <w:color w:val="auto"/>
              </w:rPr>
            </w:pPr>
            <w:r>
              <w:rPr>
                <w:rFonts w:ascii="Arial" w:cs="Arial" w:eastAsia="Arial" w:hAnsi="Arial"/>
                <w:sz w:val="18"/>
                <w:szCs w:val="18"/>
                <w:color w:val="auto"/>
                <w:w w:val="93"/>
              </w:rPr>
              <w:t>warrants issued to former employees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(1,194)</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Transfers to equity</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(11,603)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(103,885)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2012</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90,963</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jc w:val="right"/>
              <w:ind w:right="372"/>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8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fair value of this warrant liability is determined using the Black-Scholes option valuation model and is therefore sensitive to changes in the market price of our common stock among other factors. In the event of a hypothetical 10% increase in the market price of our common stock ($13.84 based on the $12.58 market price of our stock at September 28, 2012) on which the September 30, 2012 valuation was based, the value would have increased by $10.1 million. Such increase would have been reflected as additional loss on revaluation of the warrant liability in our statement of operations. Significant increases (decreases) in this input in isolation would result in a significantly higher (lower) fair value asset measurement.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three and nine months ended September 30, 2012 and 2011,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Derivative Liability</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had 10,224,339 warrants to purchase common shares outstanding at September 30, 2012 at a weighted-average exercise price of $1.43,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Issue Date</w:t>
            </w:r>
          </w:p>
        </w:tc>
        <w:tc>
          <w:tcPr>
            <w:tcW w:w="502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Exercise Price</w:t>
            </w:r>
          </w:p>
        </w:tc>
        <w:tc>
          <w:tcPr>
            <w:tcW w:w="62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Expiration Date</w:t>
            </w:r>
          </w:p>
        </w:tc>
      </w:tr>
      <w:tr>
        <w:trPr>
          <w:trHeight w:val="203"/>
        </w:trPr>
        <w:tc>
          <w:tcPr>
            <w:tcW w:w="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4/27/07</w:t>
            </w:r>
          </w:p>
        </w:tc>
        <w:tc>
          <w:tcPr>
            <w:tcW w:w="5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17,500</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17.90</w:t>
            </w: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1/17/2014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12/5/07</w:t>
            </w:r>
          </w:p>
        </w:tc>
        <w:tc>
          <w:tcPr>
            <w:tcW w:w="6180" w:type="dxa"/>
            <w:vAlign w:val="bottom"/>
            <w:gridSpan w:val="3"/>
          </w:tcPr>
          <w:p>
            <w:pPr>
              <w:jc w:val="right"/>
              <w:ind w:right="300"/>
              <w:spacing w:after="0"/>
              <w:rPr>
                <w:sz w:val="20"/>
                <w:szCs w:val="20"/>
                <w:color w:val="auto"/>
              </w:rPr>
            </w:pPr>
            <w:r>
              <w:rPr>
                <w:rFonts w:ascii="Arial" w:cs="Arial" w:eastAsia="Arial" w:hAnsi="Arial"/>
                <w:sz w:val="18"/>
                <w:szCs w:val="18"/>
                <w:color w:val="auto"/>
              </w:rPr>
              <w:t>287,513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12/3/12</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7/31/09</w:t>
            </w:r>
          </w:p>
        </w:tc>
        <w:tc>
          <w:tcPr>
            <w:tcW w:w="6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138,888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7/31/09</w:t>
            </w:r>
          </w:p>
        </w:tc>
        <w:tc>
          <w:tcPr>
            <w:tcW w:w="6180" w:type="dxa"/>
            <w:vAlign w:val="bottom"/>
            <w:gridSpan w:val="3"/>
          </w:tcPr>
          <w:p>
            <w:pPr>
              <w:jc w:val="right"/>
              <w:ind w:right="300"/>
              <w:spacing w:after="0"/>
              <w:rPr>
                <w:sz w:val="20"/>
                <w:szCs w:val="20"/>
                <w:color w:val="auto"/>
              </w:rPr>
            </w:pPr>
            <w:r>
              <w:rPr>
                <w:rFonts w:ascii="Arial" w:cs="Arial" w:eastAsia="Arial" w:hAnsi="Arial"/>
                <w:sz w:val="18"/>
                <w:szCs w:val="18"/>
                <w:color w:val="auto"/>
              </w:rPr>
              <w:t>1,666,000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8"/>
              </w:rPr>
              <w:t>10/16/09</w:t>
            </w:r>
          </w:p>
        </w:tc>
        <w:tc>
          <w:tcPr>
            <w:tcW w:w="6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7,487,388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10/15/14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88"/>
              </w:rPr>
              <w:t>10/16/09</w:t>
            </w:r>
          </w:p>
        </w:tc>
        <w:tc>
          <w:tcPr>
            <w:tcW w:w="6180" w:type="dxa"/>
            <w:vAlign w:val="bottom"/>
            <w:gridSpan w:val="3"/>
          </w:tcPr>
          <w:p>
            <w:pPr>
              <w:jc w:val="right"/>
              <w:ind w:right="300"/>
              <w:spacing w:after="0"/>
              <w:rPr>
                <w:sz w:val="20"/>
                <w:szCs w:val="20"/>
                <w:color w:val="auto"/>
              </w:rPr>
            </w:pPr>
            <w:r>
              <w:rPr>
                <w:rFonts w:ascii="Arial" w:cs="Arial" w:eastAsia="Arial" w:hAnsi="Arial"/>
                <w:sz w:val="18"/>
                <w:szCs w:val="18"/>
                <w:color w:val="auto"/>
              </w:rPr>
              <w:t>627,050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10/15/14</w:t>
            </w:r>
          </w:p>
        </w:tc>
      </w:tr>
      <w:tr>
        <w:trPr>
          <w:trHeight w:val="115"/>
        </w:trPr>
        <w:tc>
          <w:tcPr>
            <w:tcW w:w="6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640" w:type="dxa"/>
            <w:vAlign w:val="bottom"/>
            <w:shd w:val="clear" w:color="auto" w:fill="CCEEFF"/>
          </w:tcPr>
          <w:p>
            <w:pPr>
              <w:spacing w:after="0"/>
              <w:rPr>
                <w:sz w:val="18"/>
                <w:szCs w:val="18"/>
                <w:color w:val="auto"/>
              </w:rPr>
            </w:pPr>
          </w:p>
        </w:tc>
        <w:tc>
          <w:tcPr>
            <w:tcW w:w="6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10,224,339</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47"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warrants issued in connection with the October 2009 financing contain a pricing variability feature which provides for an increase to the exercise price if the exchange rate between the U.S. dollar and British pound adjusts such that the warrants could be issued at a price less than the £0.5 par value of the common stock</w:t>
      </w:r>
    </w:p>
    <w:p>
      <w:pPr>
        <w:ind w:right="20"/>
        <w:spacing w:after="0" w:line="253" w:lineRule="auto"/>
        <w:rPr>
          <w:sz w:val="20"/>
          <w:szCs w:val="20"/>
          <w:color w:val="auto"/>
        </w:rPr>
      </w:pPr>
      <w:r>
        <w:rPr>
          <w:rFonts w:ascii="Arial" w:cs="Arial" w:eastAsia="Arial" w:hAnsi="Arial"/>
          <w:sz w:val="18"/>
          <w:szCs w:val="18"/>
          <w:color w:val="auto"/>
        </w:rPr>
        <w:t>– that is, if the exchange rate exceeds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fair value of this warrant derivative liability is remeasured at each reporting period, with changes in fair value recognized in the statement of operations. The fair value of the warrants at December 31, 2011 was determined to be approximately $123.1 million using the Black-Scholes option pricing model.</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the warrants contain a pricing variability feature, the number of common shares issuable under the warrants remains fixed. Therefore, as of September 30, 2012 the maximum number of common shares issuable as a result of the October 2009 private placement is 8.1 million. During the three and nine months ended September 30, 2012, approximately 1.0 million, and 10.6 million of the October 2009 warrants were exercised, respectively, resulting in gross proceeds to the Company of approximately $1.6 million and $15.9 million, respectively. During the three and nine months ended September 30, 2011, approximately 2.5 million and 12.1 million of the October 2009 warrants were exercised, respectively, resulting in gross proceeds to the Company of approximately $3.8 million and $18.1 million, respectively. Upon exercise, the fair value of the warrants exercised is remeasured and reclassified from warrant liability to additional paid-in capital. During the nine months ended September 30, 2012 and 2011, the fair value of the exercised warrants of $103.9 million and $129.5 million, respectively, was transferred from warrant liability to additional paid in capital with the change in the fair value on the exercise date recognized in the statement of operations. The fair value of the warrant liability at September 30, 2012 for the remaining warrants was determined to be approximately $91.0 million. The Company recognized a gain on change in fair value of derivative liability of $68.7 million and warrant compensation income of $3.0 million for the nine month period ended September 30, 2012. The Company recognized a loss on change in fair value of derivative liability of $53.4 million and warrant compensation expense of $1.0 million for the nine month period ended September 30, 2011.</w:t>
      </w:r>
    </w:p>
    <w:p>
      <w:pPr>
        <w:sectPr>
          <w:pgSz w:w="11900" w:h="16838" w:orient="portrait"/>
          <w:cols w:equalWidth="0" w:num="1">
            <w:col w:w="11380"/>
          </w:cols>
          <w:pgMar w:left="240" w:top="459" w:right="279" w:bottom="1440" w:gutter="0" w:footer="0" w:header="0"/>
        </w:sectPr>
      </w:pP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45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January 2012, the Company issued $150.0 million in principal amount of 3.5% exchangeable senior notes due 2032 (the “Notes”). The Notes were issued by Corsicanto Limited, an Irish limited company acquired by Amarin in January 2012. Corsicanto Limited is a wholly-owned subsidiary of Amarin. The general, unsecured, senior obligations are guaranteed by Amarin. Net proceeds to the Company, after payment of underwriting fees and expenses, were approximately $144.3 million.</w:t>
      </w:r>
    </w:p>
    <w:p>
      <w:pPr>
        <w:spacing w:after="0" w:line="143"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The Notes have a stated interest rate of 3.5% per year, payable semiannually in arrears on January 15 and July 15 of each year beginning on July 15, 2012, and ending upon the Notes’ maturity on January 15, 2032. The Notes are subject to repurchase by the Company at the option of the holders on each of January 19, 2017, January 19, 2022, and January 19, 2027, at a price equal to 100% of the principal amount of the Notes to be repurchased, plus accrued and unpaid interest to, but excluding, the repurchase date. The Notes are exchangeable under certain circumstances into cash, ADSs, or a combination of cash and ADSs, at the Company’s election, with an initial exchange rate of 113.4752 ADSs per $1,000 principal amount of Notes. It is the Company’s current intention to settle these obligations in cash. If the Company elected physical settlement, the Notes would initially be exchangeable into 17,021,280 ADSs. Based on the closing price of the Company’s stock at September 30, 2012, the value of the shares if converted on that date would exceed the principal amount of the Notes by $64.1 million.</w:t>
      </w:r>
    </w:p>
    <w:p>
      <w:pPr>
        <w:spacing w:after="0" w:line="10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2012. If the Notes are not freely tradable, as a result of restrictions pursuant to U.S. securities law or the terms of the Indenture or the Notes, the Company shall pay additional interest on the Notes at the rate of</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0.50% per annum of the principal amount of Notes outstanding for each day during such period for which the Company’s failure to file has occurred and is continuing or for which the Notes are not freely tradable. On April 24, 2012 the Notes were admitted to the Global Exchange Market of the Irish Stock Exchange.</w:t>
      </w:r>
    </w:p>
    <w:p>
      <w:pPr>
        <w:spacing w:after="0" w:line="9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Notes. On or after January 19, 2017 and prior to the maturity date, the Company may redeem for cash all or part of the Notes at a redemption price equal to 100% of the principal amount of the Notes to be redeemed, plus accrued and unpaid interest to, but excluding, the redemption date. No sinking fund is provided for the Notes. If the Company undergoes a fundamental change, holders may require the Company to repurchase for cash all or part of their Notes at a repurchase price equal to 100% of the principal amount of the Notes to be repurchased, plus accrued and unpaid interest to, but excluding, the fundamental change repurchase date. The Notes are the Company’s senior unsecured obligations and rank senior in right of payment to the Company’s future indebtedness that is expressly subordinated in right of payment to the Notes and equal in right of payment to the Company’s future unsecured indebtedness that is not so subordinated. The Notes are effectively junior in right of payment to future secured indebtedness to the extent of the value of the assets securing such indebtedness.</w:t>
      </w:r>
    </w:p>
    <w:p>
      <w:pPr>
        <w:spacing w:after="0" w:line="1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Notes are exchangeable under certain circumstances, and the proceeds allocated to this conversion option were determined to be $23.8 million and were deducted from the initial fair value of the $150.0 million debt obligation. The conversion option will not be subsequently remeasured as long as it continues to meet conditions for equity classification. The Notes fall under Level 3 of the fair value hierarchy. The Company determined the fair value of the liability component of the Notes to be $126.2 million, and the excess of the principal amount of the liability component over the liability is the amount allocated to the conversion option and also results in a discount on the debt. The discount created from allocating proceeds to the conversion option will be amortized to interest expense using the effective interest method over the Notes’ estimated remaining life, which was calculated to be a period of twenty-four months. The effective interest rate of the Notes is 13.5%. As of September 30, 2012, the unamortized discount created from the allocation of the proceeds to the conversion option was $16.0 million.</w:t>
      </w:r>
    </w:p>
    <w:p>
      <w:pPr>
        <w:spacing w:after="0" w:line="14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Notes of twenty-four months. As of September 30, 2012, the unamortized debt discount was $3.2 million and was recorded as a direct reduction of debt on the balance sheet. The carrying value of the Notes, net of the unamortized discount, was $130.8 million. During the three and nine months ended September 30, 2012, the Company recognized interest expense of $4.7 million and $13.2 million related to the Notes, respectively, of which $2.8 million and $7.8 million represent amortization of the debt discount created upon allocation of proceeds to the conversion option, respectively, $1.3 million and $3.8 million represent contractual coupon interest, respectively, and $0.6 million and $1.6 million represent the amortization of the discount from the underwriter’s discounts and offering costs, respectively. At September 30, 2012, the Company had accrued interest of $1.1 million, which has been included in other current liabilities.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July 2012, the first interest payment of $2.7 million was paid as scheduled.</w:t>
      </w:r>
    </w:p>
    <w:p>
      <w:pPr>
        <w:spacing w:after="0" w:line="28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2012, the Company is party to certain milestone and royalty obligations under several product development agreements, as follows:</w:t>
      </w:r>
    </w:p>
    <w:p>
      <w:pPr>
        <w:spacing w:after="0" w:line="113" w:lineRule="exact"/>
        <w:rPr>
          <w:sz w:val="20"/>
          <w:szCs w:val="20"/>
          <w:color w:val="auto"/>
        </w:rPr>
      </w:pPr>
    </w:p>
    <w:p>
      <w:pPr>
        <w:ind w:left="900" w:right="140" w:hanging="325"/>
        <w:spacing w:after="0" w:line="318"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2010 supply agreement with the Company’s Japan-based supplier Nisshin Pharma required a one-time non-refundable payment of $0.5 million to the supplier upon the first marketing approval of Vascepa in the United States, which was received from the FDA in July 2012. This milestone payment was made in cash in August 2012. Subsequent to FDA approval of Vascepa, the supply agreement provides for minimum supply purchase obligations on behalf of the Company, which remaining aggregate minimum purchase obligations are approximately $27.7 million through 2014 as of September 30, 2012. In preparation for the commercialization of Vascepa, the Company may purchase more than this minimum amount.</w:t>
      </w:r>
    </w:p>
    <w:p>
      <w:pPr>
        <w:spacing w:after="0" w:line="18" w:lineRule="exact"/>
        <w:rPr>
          <w:rFonts w:ascii="Arial" w:cs="Arial" w:eastAsia="Arial" w:hAnsi="Arial"/>
          <w:sz w:val="15"/>
          <w:szCs w:val="15"/>
          <w:color w:val="auto"/>
        </w:rPr>
      </w:pPr>
    </w:p>
    <w:p>
      <w:pPr>
        <w:ind w:left="900" w:right="40" w:hanging="325"/>
        <w:spacing w:after="0" w:line="285"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signed two additional agreements in 2011 for the supply of API materials for Vascepa. In July 2012, the Company agreed to terms with a fourth API supplier, which terms are subject to certain contingencies that the Company anticipate will be satisfied in 2012. These agreements provide access to additional API supply that is incremental to supply from Nisshin Pharma, the Company’s existing Japan-based API supplier. These agreements include requirements for the suppliers to qualify their materials and facilities with applicable regulatory authorities including the FDA. The Company anticipates incurring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exclusivity with each respective supplier, and to prevent potential termination of the agreements. Since these suppliers have not yet been qualified for the manufacture of API for commercial sale as of September 30, 2012, no liability has been recorded for these minimum purchase obligations. The 2011 supply agreements also include (i) development fees up to a maximum of $0.5 million (ii) material commitments of up to $5.0 million for initial raw materials, which will be credited against future API purchases and is refundable to Amarin if the supplier does not successfully develop and qualify the API by a certain date and (iii) a raw material purchase commitment of $1.1 million. Under these agreements, the Company made payments of $3.4 million during the third quarter of 2012. The agreement with the fourth API supplier provides for, upon satisfaction of all contingencies, development fees of up to $2.3 million and a commitment of up to $15.0 million, which will be credited against future API material purchases.</w:t>
      </w:r>
    </w:p>
    <w:p>
      <w:pPr>
        <w:spacing w:after="0" w:line="47" w:lineRule="exact"/>
        <w:rPr>
          <w:rFonts w:ascii="Arial" w:cs="Arial" w:eastAsia="Arial" w:hAnsi="Arial"/>
          <w:sz w:val="16"/>
          <w:szCs w:val="16"/>
          <w:color w:val="auto"/>
        </w:rPr>
      </w:pPr>
    </w:p>
    <w:p>
      <w:pPr>
        <w:ind w:left="900" w:right="12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Concurrent with its entry into one of the two agreements entered into in 2011 for the supply of API materials for Vascepa, Amarin agreed to make a noncontrolling minority share equity investment in the supplier of up to $3.3 million. The Company invested $1.7 million under this agreement in July 2011 and an additional $0.8 million in May 2012. The Company invested an additional $0.4 million under this agreement, as amended in July 2012, and anticipates making the remaining $0.4 million investment before the end of 2012. These amounts have been included in other long term assets and accounted for under the cost method at September 30, 2012.</w:t>
      </w:r>
    </w:p>
    <w:p>
      <w:pPr>
        <w:spacing w:after="0" w:line="34" w:lineRule="exact"/>
        <w:rPr>
          <w:rFonts w:ascii="Arial" w:cs="Arial" w:eastAsia="Arial" w:hAnsi="Arial"/>
          <w:sz w:val="16"/>
          <w:szCs w:val="16"/>
          <w:color w:val="auto"/>
        </w:rPr>
      </w:pPr>
    </w:p>
    <w:p>
      <w:pPr>
        <w:ind w:left="900" w:right="1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2009 Lorazepam sale agreement with Elan Pharma International Ltd, Elan did not assume any obligations under a related development agreement with Neurostat Pharmaceuticals Inc. and, as a result, Amarin retained a potential obligation to make a $0.2 million milestone payment to Neurostat, contingent upon the drug being tested by Elan in an efficacy study.</w:t>
      </w:r>
    </w:p>
    <w:p>
      <w:pPr>
        <w:spacing w:after="0" w:line="59"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in connection with commercialization of Vascepa for cardiovascular indications, prior to the end of 2012 the Company is required to pay potential royalties to a former employee of Laxdale of 1% on net sales up to £100 million (approximately $161.6 million at September 30, 2012); 0.5% for net sales between £100 million (approximately $161.6 million at September 30, 2012) and £500 million (approximately $808.2 million at September 30, 2012); and 0.25% for sales in excess of £500 million (approximately $808.2 million at September 30, 2012). These royalty obligations terminate on December 31, 2012.</w:t>
      </w:r>
    </w:p>
    <w:p>
      <w:pPr>
        <w:spacing w:after="0" w:line="34"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Also under the 2004 share repurchase agreement with Laxdale Limited, upon receipt of marketing approval in the U.S. and/or Europe for the first indication for Vascepa (or first indication of any product containing Amarin Neuroscience intellectual property acquired from Laxdale Limited in 2004), the Company must make an aggregate stock or cash payment to the former shareholders of Laxdale Limited (at the sole option of each of the sellers) of £7.5 million (approximately $12.1 million at September 30, 2012) for each of the two potential marketing approvals (i.e. £15 million maximum, or approximately $24.2 million at September 30, 2012). In addition,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$8.1 million at September 30, 2012) for each of the two potential market approvals (i.e. £10 million maximum, or approximately $16.2 million at September 30, 2012). Upon the approval of Vascepa by the FDA on July 26, 2012, the Company capitalized the Laxdale milestone ($11.6 million on July 26, 2012) as a component of other long term assets and recorded an accrued liability payable to the former shareholders of Laxdale. The Laxdale milestone will be amortized over its estimated useful life and the Company recognized amortization expense of $0.1 million during the three months ended September 30, 2012. The Company recognized $0.5 million in unrealized exchange rate losses on the liability as of September 30, 2012. The Company anticipates paying the liability in cash to the former shareholders of Laxdale before the end of 2012.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Other than the $12.1 million payable to the former Laxdale shareholders and approximately $0.7 million of liability for uncertain tax positions recorded in long-term liabilities at September 30, 2012, the Company had no provision for any of the other obligations noted above, since the amounts are either not probable or estimable at September 30, 2012.</w:t>
      </w:r>
    </w:p>
    <w:p>
      <w:pPr>
        <w:spacing w:after="0" w:line="256" w:lineRule="exact"/>
        <w:rPr>
          <w:sz w:val="20"/>
          <w:szCs w:val="20"/>
          <w:color w:val="auto"/>
        </w:rPr>
      </w:pPr>
    </w:p>
    <w:p>
      <w:pPr>
        <w:ind w:left="240" w:right="10120" w:hanging="232"/>
        <w:spacing w:after="0" w:line="417" w:lineRule="auto"/>
        <w:tabs>
          <w:tab w:leader="none" w:pos="458"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i w:val="1"/>
          <w:iCs w:val="1"/>
          <w:u w:val="single" w:color="auto"/>
          <w:color w:val="auto"/>
        </w:rPr>
        <w:t>Common stock</w:t>
      </w:r>
    </w:p>
    <w:p>
      <w:pPr>
        <w:spacing w:after="0" w:line="1"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During the three and nine months ended September 30, 2012, the Company issued 622,266 and 3,107,913 shares, respectively, as a result of the exercise of stock options, resulting in gross proceeds of $1.2 million and $7.9 million, respectively, and net proceeds of $1.2 million and $7.8 million. In addition, during the three and nine months ended September 30, 2012, the Company issued 1,068,654, and 10,881,276 shares, respectively, as a result of the exercise of warrants, resulting in gross proceeds of $1.6 million and $16.6 million respectively, and net proceeds of $1.6 million and $16.5 million.</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 2012, the Company granted 584,400 restricted stock units (“RSU’s”) to several employees under the Amarin Corporation plc 2011 Stock Incentive Plan. These RSUs vest upon the achievement of certain regulatory and time-based milestones and expire on February 1,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Remuneration Committee in shares or a combination of cash or shares. The fair value of the RSUs were determined on the date of grant, and compensation expense related to the RSUs is recognized once the related milestone is deemed probable. The Company recorded expense of $0.3 million and $1.2 million during the three and nine months ended September 30, 2012 related to the vesting of the RSUs, respectively. In connection with FDA approval of Vascepa in July 2012, an aggregate of 97,398 of our shares were issued under these RSUs.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2011 and below under Part II, Item IA, “Risk Factors”.</w:t>
      </w:r>
    </w:p>
    <w:p>
      <w:pPr>
        <w:spacing w:after="0" w:line="12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 biopharmaceutical company focused on the commercialization and development of therapeutics to improve cardiovascular health. On July 26, 2012, we received approval from the U.S. Food and Drug Administration, or FDA, to market and sell our lead product Vascepa™ (icosapent ethyl) capsules (formerly known as AMR101) as an adjunct to diet to reduce triglyceride, or TG, levels in adult patients with severe (TG ³500mg/dL) hypertriglyceridemia, which we sometimes refer to as the MARINE indication. Triglycerides are fats in the blood. 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Hypertriglyceridemia refers to a condition in which patients have high levels of triglycerides in the bloodstream. We estimate that over 40 million adults in the United States have elevated triglyceride levels (TG ³ 200mg/dL) and approximately 4.0 million people in the United States have severely high (TG ³500mg/dL) triglyceride levels. According to </w:t>
      </w:r>
      <w:r>
        <w:rPr>
          <w:rFonts w:ascii="Arial" w:cs="Arial" w:eastAsia="Arial" w:hAnsi="Arial"/>
          <w:sz w:val="18"/>
          <w:szCs w:val="18"/>
          <w:i w:val="1"/>
          <w:iCs w:val="1"/>
          <w:color w:val="auto"/>
        </w:rPr>
        <w:t>The American Heart Association Scientific Statement on Triglycerides and Cardiovascular Disease</w:t>
      </w:r>
      <w:r>
        <w:rPr>
          <w:rFonts w:ascii="Arial" w:cs="Arial" w:eastAsia="Arial" w:hAnsi="Arial"/>
          <w:sz w:val="18"/>
          <w:szCs w:val="18"/>
          <w:color w:val="auto"/>
        </w:rPr>
        <w:t xml:space="preserve"> (2011), triglycerides provide important information as a marker associated with the risk for heart disease and stroke, especially when an individual also has low high-density lipoprotein, or HDL-C (often referred to as “good” cholesterol),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and elevated levels of LDL-C (often referred to as “bad” cholesterol). The effect of Vascepa on cardiovascular mortality and morbidity in patients with hypertriglyceridemia has not been determined. The effect of Vascepa on the risk for pancreatitis in patients with severe hypertriglyceridemia has not been determined.</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potential efficacy and safety of Vascepa was studied in two Phase 3 clinical trials, the MARINE trial and the ANCHOR trial. These trials showed favorable clinical results in their respective patient populations in reducing triglyceride levels without a statistically significant increase in LDL-C levels, and in the 4 gram Vascepa ANCHOR results, with a statistically significant decrease in LDL-C levels. These trials also showed favorable results, particularly with the 4 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each of these trials, the most commonly reported adverse reaction (incidence &gt;2% and greater than placebo) in Vascepa treated patients was arthralgia (joint pain) (2.3% for Vascepa vs. 1.0% for placebo).</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July 2012, we received approval from the FDA to market Vascepa in the MARINE indication. We plan to separately seek approval to market Vascepa for use in the treatment of patients in the ANCHOR population. Like the MARINE indication, the ANCHOR indication is supported by a Special Protocol Assessment, or SPA, with the FDA. An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MARINE and ANCHOR trials adequately addressed the objectives necessary to support a regulatory submission. An SPA is generally binding upon the FDA unless a substantial scientific issue essential to determining safety or efficacy is identified after the testing begins. Moreover, any change to a study protocol can invalidate an SPA. There can be no assurance that the FDA will ultimately consider our SPA for the ANCHOR indication to be binding. If the FDA does not consider the SPA to be binding or makes a determination that we did not follow the SPA appropriately, the agency could assert that additional studies or data are required to support a regulatory submission.</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obtain FDA marketing approval for the use of Vascepa in the ANCHOR population, based on communications with the FDA, we believe that we must be substantially underway with a cardiovascular outcomes study at the time of the submission of a supplemental NDA, or sNDA, to the FDA seeking approval of the ANCHOR indication. Based on our current estimates, we anticipate that our cardiovascular outcomes study will be substantially underway in time to support an sNDA filing prior to the end of February 2013 which, assuming a ten-month FDA review period, we expect to result in the FDA assigning a Prescription Drug User Fee Act, or PDUFA, date of not later than the end of 2013. Based upon feedback from the FDA and consistent with the SPA for the ANCHOR trial, we do not believe the final results of an outcomes study are required for FDA approval of Vascepa for the ANCHOR indication.</w:t>
      </w:r>
    </w:p>
    <w:p>
      <w:pPr>
        <w:spacing w:after="0" w:line="12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December 2011, we announced commencement of patient dosing in our cardiovascular outcomes study of Vascepa, titled REDUCE-IT (Reduction of Cardiovascular Events with EPA – Intervention Trial), that is designed to evaluate the efficacy of Vascepa in reducing major cardiovascular events in a high risk patient population on statin therapy. The REDUCE-IT study is also the subject of an SPA with the FDA. If successful, we believe the results of this study could lead to a broadening of the market potential for Vascepa beyond the approved MARINE and proposed ANCHOR indications. We currently estimate that the duration of the REDUCE-IT trial, which duration is estimated based on prediction of the rate of occurrence of cardiac events, to be approximately six years.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Manufacturing and Supply</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approval of Vascepa in July 2012 included the approval of one API manufacturer, Nisshin Pharma, Inc., and one API encapsulator, Banner Pharmacaps Europe BV. Nisshin and Banner are the API manufacturer and API encapsulator, respectively, with which we have had the longest working relationships. Their facilities were inspected by regulatory authorities as part of the process that led to the FDA’s July 2012 approval of Vascepa, and we believe that the facilities are qualified to support our commercial launch of Vascepa. We have defined with the FDA our plan and specifications for qualifying additional API manufacturers. In October 2012, a second API encapsulator, Catalent Pharma Solutions LLC, was qualified to encapsulate API for Vascepa. We intend to submit an sNDA for the use of additional suppliers after these suppliers successfully complete the qualification process.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goal in expanding our supply chain is to provide greater capacity to meet anticipated demand, enable supply diversification and flexibility and introduce cost competition. After conducting an extensive global search for manufacturers capable of producing Vascepa API to our technical specifications, in 2011 we entered into limited exclusivity, long-term agreements with two additional API suppliers, Chemport and BASF (formerly Equateq Limited). In each case, following FDA qualification of the supplier for the manufacture of API for commercial sale and other milestones relating to manufacturing capacity, these agreements include annual purchase levels to enable Amarin to maintain exclusivity with each respective supplier, and to prevent potential termination of the agreements. We recently agreed to terms with a fourth API supplier, which terms are subject to contingencies that we anticipate will be satisfied in 2012. Certain of our API supply agreements contain provisions under which the cost of supply to us decreases as we purchase increased product volume.</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agreements with each of our API suppliers contemplate phased capacity expansion aimed at creating sufficient capacity to meet anticipated demand for API material for Vascepa. Accordingly, our current supplier, Nisshin Pharma, and our other potential suppliers are currently working to expand and qualify their production capabilities to meet regulatory requirements to manufacture the API for Vascepa. These API suppliers are self-funding these expansion and qualification plans with contributions from Amarin. There can be no assurance that additional suppliers will fully-fund the capital costs of our engagement or that they will successfully qualify with the FDA.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intend to purchase increasing amounts of API in preparation for the commercial launch of Vascepa. Our supply agreement with Nisshin contains minimum purchase commitments for metric tons of API, and we may purchase more than the minimum requirement. We anticipate receipt of the majority of this API during 2012, in advance of our planned commercial launch of Vascepa. We also plan to encapsulate and package such API as part of our commercial launch plans. During 2013, we intend to further increase our purchases of API and finished capsules of Vascepa. These purchases are generally made on the basis of rolling twelve-month forecasts which in part are binding on us and the balance of which are subject to adjustment by us subject to certain limitations. We may elect to make certain of these purchases prior to sNDA approval of our added suppliers after we are satisfied that the material they produce and their facilities are qualified. However, in the event that we make such purchases, we will not be able to use such material for commercial sale until the sNDA for the applicable supplier is approved by the FDA. Similarly, if we are not compliant with other regulations with regard to this intended purchase of supply, the supply of product for our launch may be delayed.</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strategy is to expand capacity and to mitigate risk by having multiple API suppliers. Our aggregate capacity to produce API is dependent upon the qualification of our API suppliers. Each of our API suppliers has outlined plans for potential further capacity expansion. While we anticipate purchasing qualified API from multiple suppliers for our first year of commercial sales of Vascepa, if no additional API supplier is approved by the FDA, our API supply will be limited to the API we purchase from Nisshin. We believe that our overall API manufacturing plan provides a pathway to the production of API in sufficient quantities to meet anticipated demand, subject to API supplier capacity expansion, qualification and regulatory approval. There can be no assurance that these expansion plans will be successful. If our third party manufacturing capacity is not expanded and compliant with application regulatory requirements, we may not be able to supply sufficient quantities of Vascepa to meet anticipated demand. During the period commencing October 1, 2012 through the expected launch of Vascepa in early 2013, we estimate cash outflow of $20 to $30 million to build inventory levels of API and Vascepa capsules in advance of the commercial launch of Vascepa. Our purchase of supply may be insufficient to meet, or exceed, actual demand for Vascepa.</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anticipate commercial launch of Vascepa in the first quarter of 2013, and we continue to consider three potential paths for the marketing and sale of the product: strategic collaboration, acquisition and self-commercialization, the latter of which could include a third-party collaboration. From time to time we have held discussions with larger pharmaceutical companies on potential collaborations and other strategic opportunities, and we may have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strategic transaction and no assurance can be given that we will enter into any such strategic transaction.</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Until such time when we enter into such a strategic transaction, if ever, we plan to continue to execute on our plans to launch, market and sell Vascepa on our own. These efforts include, but are not limited to, advancing the introduction of Vascepa to managed care plans to gain formulary access, building up inventory levels, hiring key personnel and coordinating other pre-launch marketing activities.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market is currently our primary focus for the initial commercial launch of Vascepa. Opportunities to market and sell Vascepa outside of the United States are also under evaluation.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January 2012 Financing and Financial Position</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The notes are the senior unsecured obligations of Corsicanto Limited and are guaranteed by Amarin. The notes bear interest at a rate of 3.5% per annum, payable semi-annually in arrears on January 15 and July 15 of each year, beginning on July 15, 2012. In July 2012 Amarin made its initial interest payments on the notes in the aggregate amount of $2.7 million.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 It is the Company’s current intention to settle these obligations in cash.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September 30, 2012, our cash balance was $215.1 million, including net proceeds of approximately $144.3 million, after deducting underwriting commissions and expenses, associated with the issuance of $150.0 million in principal amount of our 3.5% exchangeable senior notes in January 2012. We believe that we have sufficient financial resources to fund our operations at least for the next twelve months, including advancement of the REDUCE-IT cardiovascular outcomes study, and continuing the commercial preparations for and launch of Vascepa on each of the three potential paths we are considering for commercialization. Unless we enter into a strategic collaboration in support of a commercial launch, we will likely need to raise additional capital to support these efforts on our own.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71"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Research and development expense consists primarily of fees paid to professional service providers in conjunction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independent monitoring of our clinical trials and acquiring and evaluating data in conjunction with our clinical trials, fees paid to independent researchers, costs of contract manufacturing,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We expense research and development costs as incurred.</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consists primarily of salaries and other related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in our executive, business development, marketing, finance and information technology functions. Other costs primarily include facility costs and professional fees for accounting, consulting and legal services.</w:t>
      </w:r>
    </w:p>
    <w:p>
      <w:pPr>
        <w:spacing w:after="0" w:line="14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Interest expense consists of interest incurred under lease obligations, the amortization of the conversion option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Company’s exchangeable debt, the amortization of the debt discount and debt obligation coupon interest. Interest income consists of interest earned on our cash and cash equivalents. Other income, net, consists primarily of foreign exchange gains and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result of the issuance in January 2012 of our 3.5% exchangeable senior notes, we have included a Debt Issuance policy under our critical accounting policies at September 30, 2012. Other than this new Debt Issuance policy, at September 30, 2012, there have been no other changes in our critical accounting policies, judgments, and estimates as described in Note 2 to our consolidated financial statements included in our Annual Report on Form 10-K for the year ended December 31, 2011 filed with the SEC on February 29,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2012 versus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September 30, 2012 was $20.9 million, versus $6.0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period, an increase of $14.9 million. Research and development expenses for the three months ended September 30,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5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2"/>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5980" w:type="dxa"/>
            <w:vAlign w:val="bottom"/>
          </w:tcPr>
          <w:p>
            <w:pPr>
              <w:spacing w:after="0"/>
              <w:rPr>
                <w:sz w:val="14"/>
                <w:szCs w:val="14"/>
                <w:color w:val="auto"/>
              </w:rPr>
            </w:pPr>
          </w:p>
        </w:tc>
        <w:tc>
          <w:tcPr>
            <w:tcW w:w="166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$19,943</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6,013</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9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three months ended September 30, 2012 was $19.9 million, versus $5.6 million in the prior year period, an increase of $14.3 million or 255%. The increase in research and development expense was due to increased costs in 2012 for our Vascepa cardiovascular program, primarily costs associated with the purchase of raw materials and vendor qualification, and increased clinical costs for the REDUCE-IT cardiovascular outcomes study. Prior to FDA approval of Vascepa on July 26, 2012, all supply purchases of Vascepa were expensed to research and development. After FDA approval, supply purchases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84" w:lineRule="auto"/>
        <w:rPr>
          <w:sz w:val="20"/>
          <w:szCs w:val="20"/>
          <w:color w:val="auto"/>
        </w:rPr>
      </w:pPr>
      <w:r>
        <w:rPr>
          <w:rFonts w:ascii="Arial" w:cs="Arial" w:eastAsia="Arial" w:hAnsi="Arial"/>
          <w:sz w:val="16"/>
          <w:szCs w:val="16"/>
          <w:color w:val="auto"/>
        </w:rPr>
        <w:t>of Vascepa were capitalized as a component of inventory, with the exception of clinical trial material which continues to be expensed to research and development. During the three months ended September 30, 2012, pre-approval supply purchases and vendor qualification costs were approximately $5.7 million. During the three months ended September 30, 2012, expenses incurred for the REDUCE-IT study were approximately $8.3 million.</w:t>
      </w:r>
    </w:p>
    <w:p>
      <w:pPr>
        <w:spacing w:after="0" w:line="1" w:lineRule="exact"/>
        <w:rPr>
          <w:sz w:val="20"/>
          <w:szCs w:val="20"/>
          <w:color w:val="auto"/>
        </w:rPr>
      </w:pPr>
    </w:p>
    <w:p>
      <w:pPr>
        <w:ind w:left="460" w:right="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$1.0 million and $0.4 million for the three months ended September 30, 2012 and 2011, respectively.</w:t>
      </w:r>
    </w:p>
    <w:p>
      <w:pPr>
        <w:spacing w:after="0" w:line="13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Although clinical costs for the MARINE and ANCHOR trials have decreased as a result of their completion in 2011, we expect these cost reductions to be offset in 2012 by costs for the REDUCE-IT cardiovascular outcomes study for which dosing of initial patients commenced in December 2011 and for which the rate of patient enrollment has been increasing. Increases in research and development costs during the first half of 2012 also relate to the purchase of commercial supply of Vascepa, which supply we have included as a component of research and development expense for accounting purposes prior to FDA approval in July 2012. Purchases of commercial supply of Vascepa after FDA approval have been capitalized as a component of inventory.</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three months ended September 30, 2012 was $13.4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versus $3.4 million in the prior year period, an increase of $10.0 million. Marketing, general and administrative expenses for the three months ended September 30,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r>
      <w:tr>
        <w:trPr>
          <w:trHeight w:val="149"/>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2"/>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6840" w:type="dxa"/>
            <w:vAlign w:val="bottom"/>
          </w:tcPr>
          <w:p>
            <w:pPr>
              <w:spacing w:after="0"/>
              <w:rPr>
                <w:sz w:val="14"/>
                <w:szCs w:val="14"/>
                <w:color w:val="auto"/>
              </w:rPr>
            </w:pPr>
          </w:p>
        </w:tc>
        <w:tc>
          <w:tcPr>
            <w:tcW w:w="58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excluding non-cash expenses (1)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$10,926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$ 4,529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3,665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(income) (3)</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(3,352)</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0"/>
        </w:trPr>
        <w:tc>
          <w:tcPr>
            <w:tcW w:w="68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13,397</w:t>
            </w:r>
          </w:p>
        </w:tc>
        <w:tc>
          <w:tcPr>
            <w:tcW w:w="3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$ 3,433</w:t>
            </w:r>
          </w:p>
        </w:tc>
        <w:tc>
          <w:tcPr>
            <w:tcW w:w="120" w:type="dxa"/>
            <w:vAlign w:val="bottom"/>
          </w:tcPr>
          <w:p>
            <w:pPr>
              <w:spacing w:after="0"/>
              <w:rPr>
                <w:sz w:val="24"/>
                <w:szCs w:val="24"/>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general and administrative expense, excluding non-cash compensation charges for stock compensation and warrants, for the three months ended September 30, 2012 was $10.9 million, versus $4.5 million in the prior year period, an increase of $6.4 million, or 142%. The increase was primarily due to cost increases in 2012 for marketing research activities and medical education (approximately $5.3 million) as well as from higher staffing levels and related travel (approximately $1.6 million), higher facility costs and other general and administrative costs incurred in order to prepare for the commercialization of Vascepa.</w:t>
      </w:r>
    </w:p>
    <w:p>
      <w:pPr>
        <w:ind w:left="460" w:right="22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Stock based compensation expense for the three months ended September 30, 2012 was $3.7 million, versus $2.3 million in the prior year period. This increase of $1.4 million primarily reflects an increase in the number of awards outstanding during the period ending September 30, 2012 versus the prior period, and also in the fair value of new option awards granted to attract and retain qualified employees.</w:t>
      </w:r>
    </w:p>
    <w:p>
      <w:pPr>
        <w:spacing w:after="0" w:line="2" w:lineRule="exact"/>
        <w:rPr>
          <w:rFonts w:ascii="Arial" w:cs="Arial" w:eastAsia="Arial" w:hAnsi="Arial"/>
          <w:sz w:val="16"/>
          <w:szCs w:val="16"/>
          <w:color w:val="auto"/>
        </w:rPr>
      </w:pPr>
    </w:p>
    <w:p>
      <w:pPr>
        <w:ind w:left="460" w:right="120" w:hanging="452"/>
        <w:spacing w:after="0" w:line="287"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 related compensation income for the three months ended September 30, 2012 was $1.2 million, versus $3.4 million in the prior year period. Warrant related compensation income for the period ended September 30, 2012 reflects a non-cash change in fair value of the warrant derivative liability associated with warrants issued in October 2009 to three former employees of Amarin, net of warrants exercised. The decrease in the fair value of the warrants for the three months ended September 30, 2012 is due primarily to a decrease in our stock price between June 30, 2012 and September 30, 2012.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expect marketing, general and administrative costs in 2012 to increase as we prepare for the commercialization of Vascepa in early 2013, including costs for market research, hiring key personnel, sales force preparation and development of management information systems. Unless we enter into a strategic collaboration in support of a commercial launch, we currently anticipate that we would hire the majority of the anticipated number of sales representatives near the end of 2012.</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Gain (loss) on Change in Fair Value of Derivative Liability</w:t>
      </w:r>
      <w:r>
        <w:rPr>
          <w:rFonts w:ascii="Arial" w:cs="Arial" w:eastAsia="Arial" w:hAnsi="Arial"/>
          <w:sz w:val="16"/>
          <w:szCs w:val="16"/>
          <w:color w:val="auto"/>
        </w:rPr>
        <w:t>. Gain (loss) on change in fair value of derivative liability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2012 was a gain of $16.5 million versus a gain of $106.6 million in the prior year period. Gain (loss)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June 30, 2012 was $120.2 million and we recognized a $16.5 million gain on change in fair value of derivative liability for the three months ended September 30, 2012 for these warrants. The fair value of the warrant derivative liability at June 30, 2011 was $286.0 million and we recognized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 $106.6 million gain on change in fair value of derivative liability for the three months ended September 30, 2011. The warrant derivative liability is decreased when warrants are exercised and the derivative liability associated with such exercised warrants is reclassified to stockholders equity. The fair value of the warrant derivative liability also decreases or increases due to decreases or increases in the price of our common stock during the reporting period as well as to changes in other variables in the Black-Scholes option valuation model used to calculate such non-cash derivative liability.</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income includes interest earned on cash balances. Interest expense includes the amortization of the exchange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our exchangeable debt, the amortization of the debt discount and debt obligation coupon interest. During the three months ended September 30, 2012, we recognized interest expense of $4.7 million, of which $2.8 million represents amortization of the debt discount, $1.3 million represents contractual coupon interest, $0.6 million represents the amortization of the discount from underwriter discounts and offering costs.</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primarily includes unrealized loss due to the fluctuation in the exchange rate of the Laxdale accrual in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Also included are gains and losses on foreign exchange transactions.</w:t>
      </w:r>
    </w:p>
    <w:p>
      <w:pPr>
        <w:spacing w:after="0" w:line="213" w:lineRule="exact"/>
        <w:rPr>
          <w:sz w:val="20"/>
          <w:szCs w:val="20"/>
          <w:color w:val="auto"/>
        </w:rPr>
      </w:pPr>
    </w:p>
    <w:p>
      <w:pPr>
        <w:ind w:right="5360"/>
        <w:spacing w:after="0" w:line="362" w:lineRule="auto"/>
        <w:rPr>
          <w:sz w:val="20"/>
          <w:szCs w:val="20"/>
          <w:color w:val="auto"/>
        </w:rPr>
      </w:pPr>
      <w:r>
        <w:rPr>
          <w:rFonts w:ascii="Arial" w:cs="Arial" w:eastAsia="Arial" w:hAnsi="Arial"/>
          <w:sz w:val="18"/>
          <w:szCs w:val="18"/>
          <w:b w:val="1"/>
          <w:bCs w:val="1"/>
          <w:i w:val="1"/>
          <w:iCs w:val="1"/>
          <w:color w:val="auto"/>
        </w:rPr>
        <w:t xml:space="preserve">Comparison of Nine Months Ended September 30, 2012 versus September 30, 2011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nine months ended September 30, 2012 was $39.7 million, versus $15.7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period, an increase of $24.0 million. Research and development expenses for the nine months ended September 30,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49"/>
        </w:trPr>
        <w:tc>
          <w:tcPr>
            <w:tcW w:w="5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2"/>
        </w:trPr>
        <w:tc>
          <w:tcPr>
            <w:tcW w:w="5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r>
      <w:tr>
        <w:trPr>
          <w:trHeight w:val="161"/>
        </w:trPr>
        <w:tc>
          <w:tcPr>
            <w:tcW w:w="5940" w:type="dxa"/>
            <w:vAlign w:val="bottom"/>
          </w:tcPr>
          <w:p>
            <w:pPr>
              <w:spacing w:after="0"/>
              <w:rPr>
                <w:sz w:val="14"/>
                <w:szCs w:val="14"/>
                <w:color w:val="auto"/>
              </w:rPr>
            </w:pPr>
          </w:p>
        </w:tc>
        <w:tc>
          <w:tcPr>
            <w:tcW w:w="16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$36,830</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2,905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r>
      <w:tr>
        <w:trPr>
          <w:trHeight w:val="115"/>
        </w:trPr>
        <w:tc>
          <w:tcPr>
            <w:tcW w:w="5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9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15,651</w:t>
            </w:r>
          </w:p>
        </w:tc>
        <w:tc>
          <w:tcPr>
            <w:tcW w:w="10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8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nine months ended September 30, 2012 was $36.8 million, versus $14.8 million in the prior year period, an increase of $22.0 million, or 148%. The increase in research and development expense was due to increased costs in 2012 for our Vascepa cardiovascular program, primarily costs associated with the purchase of raw materials and vendor qualification, and increased clinical costs for the REDUCE-IT cardiovascular outcomes study. Prior to FDA approval of Vascepa on July 26, 2012, all supply purchases of Vascepa were expensed to research and development. After FDA approval, supply purchases of Vascepa were capitalized, with the exception of clinical trial material which continues to be expensed to research and development. During the nine months ended September 30, 2012, pre-approval supply purchases and vendor qualification costs were approximately $11.0 million. During the nine months ended September 30, 2012, expenses incurred for the REDUCE-IT study were approximately $13.4 million.</w:t>
      </w:r>
    </w:p>
    <w:p>
      <w:pPr>
        <w:spacing w:after="0" w:line="5"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$2.9 million and $0.9 million for the nine months ended September 30, 2012 and 2011, respectively.</w:t>
      </w:r>
    </w:p>
    <w:p>
      <w:pPr>
        <w:spacing w:after="0" w:line="13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Although clinical costs for the MARINE and ANCHOR trials have decreased as a result of their completion in 2011, we expect these cost reductions to be offset in 2012 by costs for the REDUCE-IT cardiovascular outcomes study for which dosing of initial patients commenced in December 2011 and for which the rate of patient enrollment has been increasing. Increases in research and development costs during the first half of 2012 also relate to the purchase of commercial supply of Vascepa, which supply we have included as a component of research and development expense for accounting purposes prior to NDA approval. Purchases of commercial supply of Vascepa after FDA approval have been capitalized as a component of inventory.</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nine months ended September 30, 2012 was $41.1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versus $16.2 million in the prior year period, an increase of $24.9 million, or 154%. Marketing, general and administrative expenses for the nine months ended September 30,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120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6"/>
              </w:rPr>
              <w:t>Marketing, general and administrative expenses, excluding non-cash expenses (1)</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$27,583</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10,439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(3)</w:t>
            </w:r>
          </w:p>
        </w:tc>
        <w:tc>
          <w:tcPr>
            <w:tcW w:w="6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3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41,059</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right"/>
              <w:ind w:right="1852"/>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general and administrative expense, excluding non-cash compensation charges for stock compensation and warrants, for the nine months ended September 30, 2012 was $27.6 million, versus $10.1 million in the prior year period, an increase of $17.5 million, or 173%. The increase was primarily due to cost increases in 2012 for marketing research activities and medical education program development (approximately $11.5 million) as well as from higher staffing and related travel (approximately $3.4 million), higher facility costs and other general and administrative costs incurred in order to prepare for the commercialization of Vascepa.</w:t>
      </w:r>
    </w:p>
    <w:p>
      <w:pPr>
        <w:ind w:left="460" w:right="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Stock based compensation expense for the nine months ended September 30, 2012 was $10.4 million, versus $5.1 million in the prior year period, an increase of $5.3 million primarily reflecting an increase in the number of awards outstanding during the period ending September 30, 2012 versus the prior period, and also in the fair value of new option awards granted to attract and retain qualified employees.</w:t>
      </w:r>
    </w:p>
    <w:p>
      <w:pPr>
        <w:spacing w:after="0" w:line="2" w:lineRule="exact"/>
        <w:rPr>
          <w:rFonts w:ascii="Arial" w:cs="Arial" w:eastAsia="Arial" w:hAnsi="Arial"/>
          <w:sz w:val="16"/>
          <w:szCs w:val="16"/>
          <w:color w:val="auto"/>
        </w:rPr>
      </w:pPr>
    </w:p>
    <w:p>
      <w:pPr>
        <w:ind w:left="460" w:right="20" w:hanging="452"/>
        <w:spacing w:after="0" w:line="287"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 related compensation expense for the nine months ended September 30, 2012 was expense of $3.0 million, versus expense of $1.0 million in the prior year period. Warrant related compensation expense for the period ended September 30, 2012 reflects a non-cash change in fair value of the warrant derivative liability associated with warrants issued in October 2009 to three former employees of Amarin, net of warrants exercised. The increase in the fair value of the warrants for the nine months ended September 30, 2012 is due primarily to an increase in our stock price between December 31, 2011 and September 30, 2012.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expect marketing, general and administrative costs in 2012 to increase as we prepare for the commercialization of Vascepa in early 2013, including costs for market research, hiring key personnel, sales force preparation and development of management information systems. Unless we enter into a strategic collaboration in support of a commercial launch, we currently anticipate that we would hire the majority of the anticipated number of sales representatives near the end of 2012.</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(Loss) Gain on Change in Fair Value of Derivative Liability</w:t>
      </w:r>
      <w:r>
        <w:rPr>
          <w:rFonts w:ascii="Arial" w:cs="Arial" w:eastAsia="Arial" w:hAnsi="Arial"/>
          <w:sz w:val="16"/>
          <w:szCs w:val="16"/>
          <w:color w:val="auto"/>
        </w:rPr>
        <w:t>. (Loss) gain on change in fair value of derivative liability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2012 was a loss of $68.7 million versus a loss of $53.4 million in the prior year period. (Loss) gain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2011 was $123.1 million and we recognized a $68.7 million loss on change in fair value of derivative liability for the period ended September 30, 2012 for these warrants. The fair value of the warrant derivative liability at December 31, 2010 was $230.1 million and we recognized a $53.4 million loss on change in fair value of derivative liability for the period ended September 30, 2011. The warrant derivative liability is decreased when warrants are exercised and the derivative liability associated with such exercised warrants is reclassified to stockholders equity. The fair value of the warrant derivative liability also decreases or increases due to decreases or increases in the price of our common stock during the reporting period as well as to changes in other variables in the Black-Scholes option valuation model used to calculate such non-cash derivative liability.</w:t>
      </w:r>
    </w:p>
    <w:p>
      <w:pPr>
        <w:spacing w:after="0" w:line="12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income includes interest earned on cash balances. Interest expense includes the amortization of the conversion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our exchangeable debt, the amortization of the debt discount and debt obligation coupon interest. During the nine months ended September 30, 2012, we recognized interest expense of $13.2 million, of which $7.8 million represents amortization of the debt discount, $3.8 million represents contractual coupon interest, $1.6 million represents the amortization of the discount from underwriters’ discounts and offering costs.</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primarily includes unrealized loss due to the fluctuation in the exchange rate of the Laxdale accrual in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Also included are gains and losses on foreign exchange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sources of liquidity as of September 30, 2012 include cash and cash equivalents of $215.1 million. In January 2012 we completed a convertible debt offering from which we received approximately $144.3 million in net proceeds. Our projected uses of cash include the continued funding of the REDUCE-IT study, continued commercial preparation for and launch of Vascepa, working capital and other general corporate activities. Our cash flows from operating, investing and financing activities, as reflected in the consolidated statements of cash flows, are summarized in the following table (in millions):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Cash (used in) provided by continuing operations:</w:t>
            </w:r>
          </w:p>
        </w:tc>
        <w:tc>
          <w:tcPr>
            <w:tcW w:w="2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(78.5)</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2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80" w:type="dxa"/>
            <w:vAlign w:val="bottom"/>
            <w:vMerge w:val="restart"/>
          </w:tcPr>
          <w:p>
            <w:pPr>
              <w:jc w:val="right"/>
              <w:ind w:right="1552"/>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debt obligations at December 31, 2011.</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January 9, 2012, Amarin, through our wholly-owned subsidiary Corsicanto Limited, a private limited company incorporated under the laws of Ireland, completed a private placement of $150.0 in aggregate principal amount of its 3.5% exchangeable senior notes due 2032. The proceeds received by Amarin from the January 2012 debt offering were approximately $144.3 million, net of fees and transaction costs. These notes were issued pursuant to an indenture dated as of January 9, 2012, by and among Corsicanto Limited, Amarin Corporation plc as guarantor, and Wells Fargo Bank, National Association, as trustee. The notes are the senior unsecured obligations of Corsicanto and are guaranteed by Amarin Corporation plc. The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 It is the Company’s current intention to settle these obligations in cash.</w:t>
      </w:r>
    </w:p>
    <w:p>
      <w:pPr>
        <w:spacing w:after="0" w:line="12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associated with this transaction.</w:t>
      </w:r>
    </w:p>
    <w:p>
      <w:pPr>
        <w:spacing w:after="0" w:line="8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believe that our cash and cash equivalents will be sufficient to fund our operations for at least the next twelve months, including advancement of the REDUCE-IT cardiovascular outcomes study, continuing commercial preparations for and launch of Vascepa, working capital and other general corporate activities.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and could be affected materially by, numerous forward-looking factors,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terms, timing and receipt of payments, if any, from any strategic collaboration we may enter into to support the marketing and sale of Vascepa;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and timing of establishing marketing and sales capabilities if we do not enter into a strategic collaboration to market and sell Vascepa;</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rate of progress and cost of our ongoing REDUCE-IT outcomes trial, the need, if any, to conduct additional clinical trials and other development activities for the regulatory approval of Vascepa in additional indications in the United States and internationally;</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decisions by regulatory authorities regarding regulatory exclusivity with respect to our approved applications, in particular as it relates to Vascepa;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the commercial launch of Vascepa.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seek to raise additional funds to:</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commercial supply of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facilitate our efforts to establish marketing and sales capabilities to market and sell Vascepa in the United States;</w:t>
      </w:r>
    </w:p>
    <w:p>
      <w:pPr>
        <w:spacing w:after="0" w:line="90" w:lineRule="exact"/>
        <w:rPr>
          <w:rFonts w:ascii="Arial" w:cs="Arial" w:eastAsia="Arial" w:hAnsi="Arial"/>
          <w:sz w:val="18"/>
          <w:szCs w:val="18"/>
          <w:color w:val="auto"/>
        </w:rPr>
      </w:pPr>
    </w:p>
    <w:p>
      <w:pPr>
        <w:ind w:left="900" w:right="10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develop Vascepa to meet the requirements for regulatory approval of Vascepa for additional indications in the United States and internationally;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internally, acquire or in-license new products, technologies or businesses or to otherwise fund our operations.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Until we can generate a sufficient amount of product revenue, if ever, we expect to finance future cash needs through public or private equity offerings, debt financings or corporate collaboration and licensing arrangements. There can be no assurance that funding, if needed, will be available on attractive terms, or at all. Furthermore, any additional equity financing may be dilutive to stockholders and debt financing, if available, may involve restrictive covenants. Similarly, financing obtained through future collaborations may require us to forego certain commercialization rights to our drug candidates in certain jurisdictions. Our failure to raise capital as and when needed could have a negative impact on our financial condition and our ability to successfully pursue our business strategy.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September 30, 2012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to 2014</w:t>
            </w:r>
          </w:p>
        </w:tc>
        <w:tc>
          <w:tcPr>
            <w:tcW w:w="40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2"/>
              </w:rPr>
              <w:t>to 2016</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After 2016</w:t>
            </w:r>
          </w:p>
        </w:tc>
      </w:tr>
      <w:tr>
        <w:trPr>
          <w:trHeight w:val="196"/>
        </w:trPr>
        <w:tc>
          <w:tcPr>
            <w:tcW w:w="74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$27.7</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Interest payment obligations (3)</w:t>
            </w: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115"/>
        </w:trPr>
        <w:tc>
          <w:tcPr>
            <w:tcW w:w="116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36.6</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4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minimum purchase obligations under our supply agreement with Nisshin as of September 30, 2012. We paid $10.8 million during the nine months ended September 30, 2012 and as of September 30, 2012 had additional purchase obligations of $27.7 million. In preparation for the commercialization of Vascepa we may purchase more than the minimum amount.</w:t>
      </w:r>
    </w:p>
    <w:p>
      <w:pPr>
        <w:spacing w:after="0" w:line="59"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We also anticipate incurring certain costs associated with the qualification of product produced by Nisshin.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15"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24 months and have not been exchanged for ADRs. The above table does not reflect the repayment of the $150.0 million notes as they may be exchanged for ADRs.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color w:val="auto"/>
        </w:rPr>
        <w:t>The above table also does not reflect potential material purchases under the API supply agreements signed during 2011 with two additional API suppliers, or an additional supplier signed in July 2012. These agreements provide access to additional API supply that is incremental to supply from Nisshin Pharma, our existing API supplier. Each of these API agreements contemplates a phased capacity expansion plan aimed at creating sufficient capacity to meet anticipated demand for API material for Vascepa following commercial launch. These API suppliers are self-funding these expansion plans with contributions from Amarin. These agreements include requirements for the suppliers to qualify their materials and facilities. We anticipate incurring certain costs associated with the qualification of product produced by these suppliers. These agreements include annual purchase levels enabling Amarin to maintain supply exclusivity with each respective supplier, and to prevent potential termination of the agreements. These minimum purchase levels do not contractually begin until the applicable supplemental NDA, or sNDA, for the supplier is approved by the FDA, if ever, and upon the achievement of manufacturing capacity expansion. Accordingly, these amounts are excluded from the above table. The two supply agreements entered into in 2011 also include (i) development fees up to a maximum of</w:t>
      </w:r>
    </w:p>
    <w:p>
      <w:pPr>
        <w:spacing w:after="0" w:line="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$0.5 million, (ii) material commitments of up to $5.0 million for initial raw materials, which will be credited against future API purchases, and is refundable to us if a supplier does not successfully develop and qualify the API by a certain date and (iii) a raw material purchase commitment of $1.1 million. The agreement with the fourth API supplier, when all contingencies are eliminated by the supplier, provides for development fees of up to $2.3 million and a commitment of up to $15.0 million, which will be credited against future API material purchases. During the period commencing October 1, 2012 through the expected launch of Vascepa in early 2013, we estimate that we may spend $20 to $30 million to build inventory levels of API and Vascepa capsules, including the contractual purchase obligations for this period described above plus potential additional purchases of API that we may elect to purchase.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Concurrent with our supply agreements with one of the two agreements entered into in 2011 for the supply of API materials for Vascepa, we agreed to make a minority share equity investment in the supplier of up to $3.3 million. In July 2011, we paid to the supplier $1.7 million, which has been included in other long term assets at December 31, 2011 and September 30, 2012. Under this agreement, we paid an additional $0.8 million in April 2012, which has also been included in other long term assets at September 30, 2012. We invested an additional $0.4 million under this agreement, as amended in July 2012, and anticipate making the remaining $0.4 million investment before the end of 2012.</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our 2004 share repurchase agreement with Laxdale Limited, in connection with any commercialization of Vascepa for cardiovascular indications prior to the end of 2012, we are required to pay potential royalties to a former employee of Laxdale of 1% on net sales up to £100 million (approximately $161.6 million at September 30, 2012); 0.5% for net sales between £100 million (approximately $161.6 million at September 30, 2012) and £500 million (approximately $808.2 million at September 30, 2012); and 0.25% for sales in excess of £500 million (approximately $808.2 million at September 30, 2012). These royalty obligations terminate on December 31,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this same agreement with Laxdale Limited, upon receipt of marketing approval in the United States and/or Europe for the first indication for Vascepa (or first indication of any product containing Amarin Neuroscience intellectual property acquired from Laxdale Limited in 2004), we must make an aggregate stock or cash payment (at the sole option of each of the sellers) of £7.5 million (approximately $12.1 million at September 30, 2012) for each of the two potential marketing approvals (i.e., £15 million maximum, or approximately $24.2 million at September 30, 2012). In addition, upon receipt of a marketing approval in the United States or Europe for a further indication of Vascepa (or further indication of any other product using Amarin Neuroscience intellectual property), we must make an aggregate stock or cash payment (at the sole option of each of the sellers) of £5 million (approximately $8.1 million at September 30, 2012) for each of the two potential market approvals (i.e. £10 million maximum, or approximately $16.2 million at September 30, 2012). Upon FDA approval of Vascepa for commercial marketing in the United States in July 2012, we accrued the liability associated with the former shareholders of Laxdale Limited, which is expected to be paid in the fourth quarter of 2012.</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obligations in the table above, we have approximately $0.7 million of liability for uncertain tax positions that have been recorded in long-term liabilities at December 31, 2011 and September 30, 2012. We are not able to reasonably estimate in which future periods these amounts will ultimately be settled.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September 30, 2012, we record as a liability the fair value of warrants to purchase 8.1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stock ($13.84 based on the $12.58 market price of our stock at September 28, 2012) on which the September 30, 2012 valuation was based, the value would have increased by $10.1 million. Such increase would have been reflected as additional loss on revaluation of the warrant liability in our statement of operations.</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As of September 30, 2012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third quarter of 2012 that have materially affected, or are reasonably likely to materially affect, our internal control over financial reporting, other than described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legal or arbitration proceedings and claims cannot be predicted with certainty, as of September 30, 2012,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legal or arbitration in which any director, member of senior management or affiliate of ours is either a party adverse to us or our subsidiaries or has a material interest adverse to us or our subsidiaries.</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and product candidates, regulatory filings, approvals and determinations related to marketing exclusivity, commercialization activities, the likelihood of a strategic collaboration, the potential clinical benefits and market potential of our product and product candidates, commercial market estimates, future development efforts, patent protection, effects of healthcare reform, reliance on third parties, and other risks set forth below.</w:t>
      </w:r>
    </w:p>
    <w:p>
      <w:pPr>
        <w:spacing w:after="0" w:line="12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February 29,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anticipate that we will incur continued losses at least until we successfully commercialize Vascepa.</w:t>
      </w:r>
    </w:p>
    <w:p>
      <w:pPr>
        <w:spacing w:after="0" w:line="17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2011, 2010, and 2009, we reported losses of approximately $69.1 million, $249.6 million, and $30.6 million, respectively. Our net loss for the three and nine months ended September 30, 2012 was $26.4 million and $168.6 million, respectively, and we had an accumulated deficit at September 30, 2012 of $737.1 million. Substantially all of our operating losses resulted from costs incurred in connection with our research and development programs, from general and administrative costs associated with our operations, and from non-cash losses on changes in the fair value of warrant derivative liabilities. We expect to incur additional and increasing operating losses at least until we successfully commercialize Vascepa. These losses, combined with expected future losses, have had and will continue to have an adverse effect on our cash resources, shareholders’ deficit and working capital. We expect our research and development expenses to be substantial for both 2012 and 2013 in connection with our proposed clinical outcomes study for Vascepa and other activities. In addition, we may incur significant sales, marketing, in-licensing and outsourced manufacturing expenses as we attempt to commercialize Vascepa. Our shift in focus from research and development to commercialization, and the changes in operating costs relating to that shift, will also require us to make changes to our accounting results and procedures, which may have an adverse effect on our reported revenue or profit, if any.</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result of our significant expenses relating to research and development and to commercialization, we expect to continue to incur significant and increasing operating losses at least until we successfully commercialize Vascepa. Because of the numerous risks and uncertainties associated with developing and commercializing pharmaceutical products, we are unable to predict the magnitude of these future losses.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Vascepa and may never be profitable.*</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ability to become profitable depends upon our ability to generate revenue. Despite gaining FDA marketing approval for Vascepa for use in the MARINE indication, we may not be able to generate sufficient revenue to attain profitability. Our ability to generate profits on sales of Vascepa is subject to our ability to manufacture commercial quantities of Vascepa through third parties at acceptable cost levels and establish sales and marketing capabilities or identify and enter into one or more strategic collaborations to effectively market and sell Vascepa.</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Even though Vascepa has been approved by the FDA for marketing and commercial sale for the MARINE indication, it may not gain market acceptance or achieve commercial success and it may never be approved for the ANCHOR indication. In addition, we anticipate incurring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generate increased revenue depends, in part, on obtaining additional regulatory approvals for Vascepa.*</w:t>
      </w:r>
    </w:p>
    <w:p>
      <w:pPr>
        <w:spacing w:after="0" w:line="171" w:lineRule="exact"/>
        <w:rPr>
          <w:sz w:val="20"/>
          <w:szCs w:val="20"/>
          <w:color w:val="auto"/>
        </w:rPr>
      </w:pPr>
    </w:p>
    <w:p>
      <w:pPr>
        <w:ind w:right="1080" w:firstLine="456"/>
        <w:spacing w:after="0" w:line="332" w:lineRule="auto"/>
        <w:rPr>
          <w:sz w:val="20"/>
          <w:szCs w:val="20"/>
          <w:color w:val="auto"/>
        </w:rPr>
      </w:pPr>
      <w:r>
        <w:rPr>
          <w:rFonts w:ascii="Arial" w:cs="Arial" w:eastAsia="Arial" w:hAnsi="Arial"/>
          <w:sz w:val="16"/>
          <w:szCs w:val="16"/>
          <w:color w:val="auto"/>
        </w:rPr>
        <w:t>The costs of developing and obtaining regulatory approvals for pharmaceutical products can be substantial. While we are permitted to begin commercializing Vascepa for use in the MARINE indication in the United States, our ability to commercialize Vascepa in the ANCHOR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indication and outside of the United States is dependent upon receiving additional regulatory approvals. Further, our ability to file a supplemental new drug application, or sNDA, with the FDA for the use of Vascepa in the ANCHOR indication is dependent on our ability to reach substantial enrollment in our REDUCE-IT cardiovascular outcomes study. Enrollment in the REDUCE-IT cardiovascular outcomes study may take longer than we expect, in which case we may be delayed in our ability to file an sNDA for the use of Vascepa in the ANCHOR indication. Even if we obtain additional regulatory approvals for Vascepa, the timing or scope of any approvals may prohibit or reduce our ability to commercialize products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by the FDA in July 2012 for the MARINE indication, may not have the scope or breadth needed for us to commercialize Vascepa successfully.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consequence of the approval of our NDA for Vascepa in the MARINE indication, our historical financial results do not form an accurate basis upon which investors should base their assessment of our business and prospects. In addition, we expect that our costs will increase substantially as we begin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If we cannot find additional capital resources, we will have difficulty in operating as a going concern and growing our business.*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operate with limited resources. At September 30, 2012, we had cash and cash equivalents of approximately $215.1 million. We believe that our current resources will be sufficient to fund our projected operations for at least the next twelve months, which projected operations contemplate not only working capital and general corporate needs but also continuing the commercial preparation of Vascepa and the REDUCE-IT cardiovascular outcomes study, working capital and other general corporate activities. However, in order to successfully commercialize Vascepa, we must either successfully develop a sales, marketing and distribution infrastructure or collaborate with third parties that have such experience. We plan to consider collaboration opportunities with larger pharmaceutical companies for the launch, marketing and sale of Vascepa. Although from time to time we are in discussions with pharmaceutical companies regarding such collaboration, there can be no assurance that these discussions will result in any such transaction. Accordingly, we are currently working to launch, market and sell Vascepa in the United States on our own.</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we do not enter into a strategic collaboration in connection with the launch, marketing and sale of Vascepa, we will likely need to raise additional capital to fully support these efforts. We will also need additional capital to fully complete our REDUCE-IT cardiovascular outcomes trial.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right="6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or not we enter into a strategic collaboration in connection with the launch, marketing and sale of Vascepa and the terms of any such collaboration;</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continued cost associated with the REDUCE-IT cardiovascular outcomes study to support the filing of an sNDA for the clinical indication evaluated in the ANCHOR trial;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 and</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and timing of developing sales and marketing capabilities, or the cost and timing of securing commercial supply of Vascepa and the timing of entering into strategic collaboration with others relating to the commercialization of Vascepa, if at all.</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If adequate funds are not available to us in amounts or on terms acceptable to us or on a timely basis, or at all, and we do not enter into a collaboration agreement to help support the commercialization of Vascepa, our commercialization efforts for Vascepa may suffer materially, or we may need to delay the advancement of the REDUCE-IT cardiovascular outcomes trial.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negative economic conditions would likely have a negative impact on our ability to obtain financing on acceptable terms.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September 30, 2012, there were warrants outstanding for the purchase of up to 10,224,339 American Depository Shares, or ADSs, each representing one of our ordinary shares, with a weighted average exercise price of $1.43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or grant licenses on terms that are not favorable to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Vascepa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success of Vascepa, which only recently obtained FDA approval in the MARINE indication.*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commercialization efforts for Vascepa in the MARINE indication or, if approved, the ANCHOR indication, are not successful, or if adequate demand for Vascepa is not generated,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Vascepa or the market for such product develops less rapidly than we anticipate, we may not have the ability to effectively shift our resources to the development of alternative products. As a result, the limited range of products we develop could constrain our ability to generate revenues and achieve profitability.</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Even though Vascepa has received marketing approval for the MARINE indication in July 2012, it may nonetheless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offer Vascepa for sale at competitive prices;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pharmaceutical industry is highly competitive. In attempting to achieve the widespread commercialization of Vascepa, we will face competition to the extent other pharmaceutical companies have on the market or are able to develop products for the treatment of similar indications. Potential competitors in this market include companies with greater experience in commercializing pharmaceutical products, resources and name recognition than we have. Furthermore, to the extent we are able to acquire or develop additional marketable products in the future, such products will compete with a variety of other products within the United States or elsewhere, possibly including established drugs and major brand names.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success of Vascepa and any of our future products will also depend in large part on the willingness of physicians to prescribe these products to their patients. Vascepa will, and our future products may, compete against products that have achieved broad recognition and acceptance among medical professionals. In order to achieve an acceptable level of prescriptions for Vascepa or any future product, we must be able to meet the needs of both the medical community and end users with respect to cost, efficacy and other factors.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Abbott Laboratories, which currently markets Tricor and Trilipix for the treatment of severe hypertriglyceridemia and mixed dyslipidemia. In March 2011, Pronova BioPharma Norge AS, which owns the patents for Lovaza, entered into an agreement with Apotex Corp. and Apotex Inc. to settle their patent litigation in the United States related to Lovaza. Pursuant to the terms of the settlement agreement, Pronova granted Apotex a license to enter the United States market with a generic version of Lovaza in the first quarter of 2015, or earlier depending on circumstances. We expect Apotex to compete against us as well. Other companies are also seeking to introduce generic versions of Lovaza. These competitors have greater resources than we do, including financial, product development, marketing, personnel and other resources.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would compete with Vascepa. These include a free fatty acid form of omega-3 (comprised of 55% EPA and 20% DHA) which is being developed by Omthera Pharmaceuticals, which announced initial top-line data from its first Phase 3 clinical trial in April 2012 and its second in November 2012, and Trygg Pharma, which has completed a Phase 3 study of an omega-3 based drug candidate for hypertriglyceridemia, but to our knowledge Trygg has not yet announced results from that study. In addition, Acasti Pharma, a subsidiary of Neptune Technologies &amp; Bioresources Inc., announced in late 2011 the enrollment of its Phase 2 clinical trial to assess the safety and efficacy of its omega-3 prescription drug candidate for the treatment of hypertriglceridemia. We believe Resolvyx Pharmaceuticals and Catabasis Pharmaceuticals are also developing potential treatments for hypertriglceridemia based on omega-3 fatty acids but, to our knowledge, neither has initiated a Phase 2 clinical trial of its product. In addition, we are aware that Essentials, Inc is developing a controlled release diazoxide product for the treatment of hypertriglyceridemia. Essentials, Inc. has reported that they have completed five Phase 1 clinical studies and two Phase 2 clinical studies with this product.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Vascepa will also face competition from dietary supplement companies marketing naturally occurring omega-3 fatty acids as nutritional supplements.</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Vascepa is a prescription-only omega-3 fatty acid. Omega-3 fatty acids are also marketed by other companies as non-prescription dietary supplements. As a result, Vascepa would be subject to non-prescription competition and consumer substitution.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To maximize the commercial potential of Vascepa we must either develop a sales, marketing and distribution infrastructure or find collaborative partners to help market and sell the product.*</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commercialize Vascepa, we must either develop a sales, marketing and distribution infrastructure or collaborate with third parties that have such experience. We are actively exploring such collaboration opportunities with these parties for the launch, marketing and sale of Vascepa. Until such time when we enter into such a strategic transaction, if ever, we plan to continue to execute on our plans to launch, market and sell Vascepa on our own. If we do complete such a collaboration agreement, we will be reliant on one or more of these strategic partners to generate revenue on our behalf.</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not be successful in finding a collaborative partner to help market and sell our products, or may be delayed in doing so, in which case we would not receive revenue or royalties on the timeframe and to the extent that we currently anticipate. We face significant competition in seeking appropriate collaborators and these collaborations are complex and time-consuming to negotiate and document. We may not be able to negotiate collaborations on acceptable terms, or at all. If that were to occur, we may have to curtail the continued development of Vascepa for approval for additional indications and reduce the scope of our sales or marketing activities, or increase our planned expenditures and undertake additional development or commercialization activities at our own expense. If we elect to increase our expenditures to fund development or commercialization activities on our own, we will need to obtain additional capital, which may not be available to us on acceptable terms, or at all. If we cannot raise sufficient funds, we may not be able to market and sell Vascepa effectively, and generate as much product revenue, as we could under collaboration.</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sell and market Vascepa, we may not be successful in commercializing Vascepa on our own.</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organization or outsource these functions to third parties. Until such time as we complete a strategic transaction with a third party to market and sell Vascepa, if ever, we are continuing to execute on our plans to launch, market and sell Vascepa on our own. This includes making preparations for securing sufficient commercial supply of Vascepa, expanding sales and marketing capabilities building a substantial commercialization infrastructure to compete with larger companies that have larger and more established marketing and sales capabilities. We have only limited sales and marketing capabilities and infrastructure and as a company we have no experience in the sale, marketing or distribution of pharmaceutical products. There are risks involved with both establishing our own sales and marketing capabilities and entering into arrangements with third parties to perform these services. Our effort to develop a sales and marketing organization may not be successful, and thus we may not be able to effectively market or sell Vascepa. For example, recruiting and training a sales force is expensive and time consuming and could delay our ability to become profitable. If the widespread commercialization of Vascepa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any future products;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product revenues or the profitability of these product revenues to us are likely to be lower than if we were to market and sell any products that we develop ourselves. In addition, we may not be successful in entering into arrangements with third parties to sell and market Vascepa or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Vascepa.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Vascepa will be approved for indications other than the MARINE indication.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FDA granted marketing approval for the use of Vascepa in the MARINE indication on July 26, 2012. Despite this approval, the FDA may deny approval of subsequent applications with respect to other indications and require additional testing or data. If the FDA takes any such action, such actions would have a material adverse effect on our operations and financial condition, including our ability to reach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SPAs with the FDA are not guarantees of FDA approval of Vascepa for the subject indications.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Special Protocol Assessment, or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with the FDA. The FDA agreed that, based on the information we submitted to the agency, the design and planned analysis of the ANCHOR trial is adequate to support use of the conducted study as the primary basis for approval with respect to effectiveness. An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Even though we have received regulatory approval of Vascepa for the MARINE indication, there is no assurance that the FDA will not identify a scientific issue and deem either or both of the ANCHOR or REDUCE-IT SPAs no longer binding. Moreover, any change to a study protocol after agreement with the FDA is reached can invalidate an SPA. While we amended the protocol for the ANCHOR trial after the initial SPA evaluation was completed, we obtained the FDA’s evaluation of, and agreement to, the amendment. If, for example, the FDA does not consider the applicable SPA to be binding during its review of our regulatory approval applications, or if the FDA determines that we did not follow the SPAs appropriately, the agency could assert that additional studies or data are required to support approval of the application.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candidate would suffer.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With respect to sales and marketing activities, advertising and promotional materials must comply with FDA rules in addition to other applicable federal and local laws in the United States and in other countries.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12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 marketing approval for Vascepa for the MARINE indication only, physicians may nevertheless prescribe Vascepa to their patients in a manner that is inconsistent with the approved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incentives exist under applicable law that encourage employees and physicians to report violations of rules governing promotional activities for pharmaceutical products. These incentives could lead to so called whistleblower lawsuits as part of which such persons seek to collect a portion of moneys allegedly overbilled to government agencies due to, for example, promotion of pharmaceutical products beyond labeled claims. Such lawsuits, whether with or without merit, are typically time consuming and costly to defend. Such suits may also result in related shareholder lawsuits, which are also costly to defend.</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cardiovascular outcomes study, REDUCE-IT, may take longer than we anticipate to be determined by the FDA to be substantially underway, which could delay FDA review and approval of the ANCHOR indication and cost more than we expect.</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Based on our communications with the FDA, in order to obtain FDA marketing approval of a separate indication for the use of Vascepa in the treatment of patients with high triglyceride levels who are also on statin therapy for elevated LDL-cholesterol levels (which we refer to as mixed dyslipidemia), or the ANCHOR indication, we believe that, in additional to achieving marketing approval for the MARINE indication as occurred in July 2012, we must have a cardiovascular outcomes study substantially underway at the time of the supplemental NDA, or sNDA, submission. In August 2011, we reached an agreement with the FDA on an SPA for the design of the REDUCE-IT cardiovascular outcomes study of Vascepa, and we began dosing patients in December 2011. In the event we experience delays in initiating or achieving substantial enrollment for REDUCE-IT or the FDA requires that we enroll more patients, our filing of an sNDA seeking approval of the ANCHOR indication will be delayed. In addition, to the extent that we experience delays or need to take actions to prevent delays in the REDUCE-IT cardiovascular outcomes study, the cost of this study will increase. The cost of this study is based on estimates and is not capped. We currently intend to file an sNDA seeking approval of the indication studied in the ANCHOR trial after we believe the REDUCE-IT study will be determined to be substantially underway by the FDA.</w:t>
      </w:r>
    </w:p>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REDUCE-IT cardiovascular outcomes trial may fail to achieve its clinical endpoints, and the long-term clinical results of Vascepa may not be consistent with the clinical results we observed in our Phase 3 pivotal trials.</w:t>
      </w:r>
    </w:p>
    <w:p>
      <w:pPr>
        <w:spacing w:after="0" w:line="132"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Outcomes studies of certain other lipid modifying therapies have failed to achieve the endpoints of such studies.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For example,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which meta-analysis suggested that the use of such supplements was not associated with a lower risk of all-cause death, cardiac death, sudden death, heart attack, or stroke. We believe the results of the JAMA meta-analysis may not be directly applicable to the use of Vascepa over time. For instance, nineteen of the twenty studies included in the JAMA meta-analysis involved the use of omega-3 supplements containing a mixture of EPA and DHA, and most were evaluated at relatively lower doses. Vascepa is comprised of not less than 96% pure ethyl-EPA and contains no DHA, and has been approved by the FDA for use in patients with severe hypertriglyceridemia at the 4 grams per day dose. The only other outcomes study involving the use of a highly-pure formulation of EPA containing no DHA, called the Japan EPA Lipid Intervention Study, suggested that use of this formulation, called Epadel in Japan, when used in conjunction with statins, reduced cardiovascular events by 19% compared to the use of statins alone.</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 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to manufacture sufficient quantities of qualified materials under current good manufacturing practices for use in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2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we evolve from a company primarily involved in research and development to a company also focused on commercialization, we may encounter difficulties in managing our growth and expanding our operations successfully.</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Although certain of our employees have commercialization experience, as a company we currently have no sales, marketing or distribution capabilities. Accordingly, as we prepare for the commercial launch of Vascepa, we are expanding our organization, including marketing and sales capabilities and exploring contracting with third parties to provide these capabilities for us, all of which are expensive and time consuming. Any failure or delay in the development of our internal sales, marketing and distribution capabilities would adversely impact the commercialization of Vascepa. If we are not successful in commercializing Vascepa, our future product revenue will suffer and we may incur significant additional losses.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our operations expand, we expect that we will need to manage additional relationships with various collaborative partners, suppliers and other third parties. Future growth will impose significant added responsibilities on members of management. Our future financial performance and our ability to commercialize Vascepa and to compete effectively will depend, in part, on our ability to manage any future growth effectively. To that end, we must be able to manage our development efforts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supply of product for commercial supply and clinical trials is dependent upon relationships with third party manufacturers and key suppliers.*</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supply of ethyl-EPA it would have a material adverse effect on our ability to continue to commercialize Vascepa.</w:t>
      </w:r>
    </w:p>
    <w:p>
      <w:pPr>
        <w:spacing w:after="0" w:line="144"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currently purchase all of our supply of the bulk compound (ethyl-EPA), which constitutes the only active pharmaceutical ingredient, or API, of Vascepa, from a single supplier, Nisshin Pharma, or Nisshin, located in Japan. Nisshin currently obtains its supply of the key raw material to manufacture API from another third party single source of supply. While we have contractual freedom to source the API for Vascepa elsewhere and have entered into supply agreements with additional suppliers who rely on other third party suppliers of the key raw material to manufacture the API for Vascepa, Nisshin is the only supplier approved with our NDA to the FDA.</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intend to purchase increasing amounts of API in preparation for the commercial launch of Vascepa. Our strategy is to expand manufacturing capacity and to partially mitigate the risk of reliance on too few suppliers by having multiple API suppliers beyond Nisshin. Expanding manufacturing capacity and qualifying such capacity is difficult and subject to numerous regulations and other operational challenges. The resources of our suppliers are limited and costs associated with projected expansion and qualification can be significant. The resources of our suppliers vary. For example, Chemport, which is one of the API suppliers that we see to qualify, is a privately-held company and their commitment to Vascepa supply has required them to seek additional resources, including the $3.3 million that we invested in Chemport as part of our agreement with them.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Nisshin.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cannot assure you that we can contract with any future manufacturer on acceptable terms or that any such alternative supplier will not require capital investment from us in order for them to meet our requirements.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currently rely on two suppliers, Banner and Catalent, for the encapsulation of API for all capsules of Vascepa. While we have contractual freedom to source the API encapsulation for Vascepa elsewhere, Banner and Catalent are the only encapsulators approved by the FDA for encapsulation of API for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We have no experience with the commercial sale of Vascepa and thus our purchase of API and encapsulation of API in anticipation of expected demand may not be correct. We may purchase too much or not enough supply to satisfy actual demand, which could have a material adverse effect on our financial results and financial condition.*</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agreements with our suppliers typically include minimum purchase obligations and limited exclusivity provisions. These purchases are generally made on the basis of rolling twelve-month forecasts which in part are binding on us and the balance of which are subject to adjustment by us subject to certain limitations. We have no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and comparable requirements of foreign regulatory bodies. There are a limited number of manufacturers that operate under these current good manufacturing practices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our NDA approved by the FDA had only one supplier of API for Vascepa, Nisshin, and Nisshin has plans to expand it capacity to supply API to us by further expanding their current facility. If we are not able to manufacture Vascepa to required specifications through Nisshin, we may be delayed in successfully launching the product and our anticipated future revenues and financial results may be materially adversely affected.</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current good manufacturing practices, or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we plan to file a supplemental NDA to add new manufacturing facilities from other third party suppliers to manufacture API for Vascepa. If these third parties cannot establish, to the satisfaction of the FDA, that they are in substantial compliance with cGMPs, and that the products manufactured at the new site meet FDA requirements, we may not be able to manufacture API from that site, our supply of API for Vascepa may be delayed, and our anticipated future revenues and financial results may be materially adversely affected.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active pharmaceutical ingredient and the finished product in commercial quantities and of specified quality on a repeated basis, including proven product stability, and document our ability to do so. This requirement is referred to as process validation. We have not yet completed all of the steps and documentation necessary to validate processes and product stability for the API for Vascepa at any API contract supplier other than Nisshin. Each of our potential API suppliers uses a different method to manufacture API than that used by Nisshin, which has the potential to increase the risk to us that our manufacturers will not meet applicable regulatory requirements. This includes stability testing, measurement of impurities and testing of other product specifications by validated test methods. If the FDA does not consider the result of the process validation or required testing to be satisfactory, the launch of Vascepa or commercial supply after launch may be delayed, or we may not be able to supply sufficient quantities of Vascepa to meet anticipated demand.</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During 2012, we are increasing our purchases of API and finished capsules of Vascepa to further expand purchase levels of supply. We may elect to make API purchases from certain of our suppliers after we are satisfied that the material they produce and their facilities are qualified. However, in the event that we make such purchases from other suppliers, we will not be able to use such material for commercial sale until the sNDA for the applicable supplier is approved by the FDA. Similarly, if we are not compliant with other regulations with regard to this intended purchase of supply, our reaching profitability may be delayed.</w:t>
      </w:r>
    </w:p>
    <w:p>
      <w:pPr>
        <w:spacing w:after="0" w:line="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Regulatory Exclusivity</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are dependent on patents, proprietary rights and confidentiality. Our patent portfolio directed to the formulation and uses of Vascepa is still evolving and some patent applications may not issue prior to commercial launch, if ever.*</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patent portfolio directed to the formulation and uses of Vascepa is still evolving and some patent applications may not issue prior to commercial launch, if ever. We currently have two issued U.S. patents directed to a pharmaceutical composition of Vascepa in a capsule that have terms that expire in 2020 and 2030, respectively, one issued U.S. patent covering highly pure EPA which expires in 2021, two additional U.S. patents covering the use of Vascepa that have terms that expire in 2030, and have received Notices of Allowance from the United States Patent and Trademark Office, or USPTO, for three additional patent applications that have terms that expire in 2030 and are related to the use of Vascepa and potentially competitive products. A Notice of Allowance is issued after the USPTO makes a determination that a patent can be granted from an application. A Notice of Allowance does not afford patent protection until the underlying patent is issued by the USPTO. No assurance can be given that our issued patents and our pending patents, if and when issued, will prevent competitors from competing with Vascepa.</w:t>
      </w:r>
    </w:p>
    <w:p>
      <w:pPr>
        <w:spacing w:after="0" w:line="11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go into effect on March 16, 2013, it is possible that those parties will obtain patents that will be sufficiently broad so as to prevent us from utilizing such technology or commercializing our current and future products.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We may in the future discover the existence of products that infringe upon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even if the opposition or challenge has little or no merit. Patent opposition proceedings and challenges are generally highly technical, time consuming and expensive to pursue. Were we to be subject to one or more patent oppositions or challenges, that effort could consume substantial time and resources, with no assurances of success, even when holding an issued patent.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issued patents and our pending patents, if and when issued, may not prevent competitors from competing with Vascepa.*</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plan to vigorously defend our rights under issued patents. Other drug companies may challenge the validity, enforceability or both of the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We may not have sufficient resources to bring these actions to a successful conclusion.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supplemental NDA submissions. We cannot predict the timing or results of any patent application. In addition, we may elect to submit, or the patent office may require, additional evidence to support certain of the claims we are pursuing. Providing such additional evidence could prolong the patent office’s review of our applications and result in us incurring additional costs. We cannot be certain what commercial value any granted patent in our patent estate will provide to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Vascepa is not granted new chemical entity exclusivity protection from the FDA our business may be materially harmed.*</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Under Sections 505(c)(3)(E)(ii) and 505(j)(5)(F)(ii) of the Food Drug and Cosmetic Act, or FDCA, as amended by the Drug Price Competition and Patent Term Restoration Act of 1984, as amended, or the Hatch-Waxman Amendments, a drug that is granted regulatory approval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FDA typically publishes a determination on the marketing exclusivity of recently approved products in a cumulative supplement to its </w:t>
      </w:r>
      <w:r>
        <w:rPr>
          <w:rFonts w:ascii="Arial" w:cs="Arial" w:eastAsia="Arial" w:hAnsi="Arial"/>
          <w:sz w:val="16"/>
          <w:szCs w:val="16"/>
          <w:u w:val="single" w:color="auto"/>
          <w:color w:val="auto"/>
        </w:rPr>
        <w:t>Approved Drug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Products with Therapeutic Equivalence Evaluations</w:t>
      </w:r>
      <w:r>
        <w:rPr>
          <w:rFonts w:ascii="Arial" w:cs="Arial" w:eastAsia="Arial" w:hAnsi="Arial"/>
          <w:sz w:val="16"/>
          <w:szCs w:val="16"/>
          <w:color w:val="auto"/>
        </w:rPr>
        <w:t>, also known as the Orange Book, mid-month in the month following the drug’s approval. Vascepa was approved by the FDA in July 2012, but we have not yet been informed of a determination by the FDA on our pending exclusivity request for Vascepa. Since prior to FDA approval of the Vascepa new drug application, we have had an active dialogue with the FDA related to our marketing exclusivity request for Vascepa, which requested NCE status for Vascepa. In recent months, we have repeatedly followed up with the FDA seeking a determination. While we continue to believe our arguments in support of an NCE determination for Vascepa are strong, the FDA may not agree with our arguments. Based on our discussions with the FDA, we do not know what determination the FDA will reach regarding the pending exclusivity request for Vascepa or when the FDA will make such determination. We have been informed by FDA that the FDA has drafted a proposed response letter to our exclusivity request, that such draft response letter has been circulated internally at the FDA for comment and the FDA has been considering the issue actively. However, we have not been informed of the content of the FDA’s draft response and cannot, based on our communications with the FDA, make a reliable prediction as to when the FDA will communicate a determination on the matter. Accordingly, we have not been informed as to what determination the FDA will make with respect to pending Vascepa marketing exclusivity request. There can be no assurance that Vascepa will be granted NCE exclusivity, or that the FDA will make a determination on the pending exclusivity request in a timely manner.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NCE marketing exclusivity, if granted, would preclude approval during the five-year exclusivity period of certain 505(b)(2) applications or certain abbreviated new drug applications submitted by another company for another version of the drug. However, an application may be submitted after four years if it contains a certification of patent invalidity or non-infringement. In this case, Amarin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If we are not able to gain or exploit the period of marketing exclusivity, we may face significant competitive threats to our commercialization of these compounds from other manufacturers, including the manufacturers of generic alternatives. Further, even if Vascepa is considered to be a NCE and we are able to gain five-year marketing exclusivity, another company could challenge that decision to seek to overturn FDA’s determination. Another company could also gain such marketing exclusivity under the provisions of the FDCA, as amended by the Hatch-Waxman Amendments, if such company can, under certain circumstances, complete a human clinical trial process and obtain regulatory approval of its product.</w:t>
      </w:r>
    </w:p>
    <w:p>
      <w:pPr>
        <w:spacing w:after="0" w:line="123"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If Vascepa is not granted NCE marketing exclusivity, we expect it will be granted three years of new product exclusivity under the Hatch-Waxman Amendments. Such exclusivity protection would preclude the FDA from approving a marketing application for a duplicate of Vascepa,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although the FDA may accept and commence review of such applications during the exclusivity period. Such three-year exclusivity grant would not prevent a company from challenging the validity of our patents at any time. In this case, Amarin may be afforded the benefit of a 30-month stay against the launch of such a competitive product that would extend from the period that Amarin responds to a pending patent challenge, and may also be afforded other extensions under applicable regulations, including a six-month pediatric exclusivity extension or a judicial extension if applicable requirements are met. This three-year form of exclusivity may also not prevent the FDA from approving an NDA that relies only on its own data to support the change or innovation.</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the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14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provisions of the Sarbanes-Oxley Act of 2002, and our management will be required to devote substantial time to new compliance initiatives.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controls for financial reporting and disclosure. In particular, we perform system and process evaluation and testing of our internal controls over financial reporting and our independent registered public accounting firm reports on the effectiveness of our internal controls over financial reporting, as required by Section 404 of The Sarbanes-Oxley Act of 2002. Based on this evaluation and testing, our management identified a material weakness in internal control over financial reporting as of December 31, 2009 which persisted on December 31, 2010 and which was remediated as of December 31, 2011. Our testing, or the subsequent testing by our independent registered public accounting firm, may reveal deficiencies in our internal controls over financial reporting that are deemed to be new material weaknesses. We expect to incur significant expense and devote substantial management effort toward ensuring compliance with Section 404. We currently do not have an internal audit function, and we will need to hire additional accounting and financial staff with appropriate public company experience and technical accounting knowledge. Moreover, the identification by us or our independent registered public accounting firm of deficiencies in our internal controls that are deemed to be additional material weaknesses could cause the market price of the ADSs to decline, and we could be subject to sanctions or investigations by The NASDAQ Stock Market, the SEC or other regulatory authorities, which would entail expenditure of additional financial and management resources.</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have previously identified a material weakness in our internal control over financial reporting in the past and cannot assure you that material weaknesses will not occur in the future.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part of the annual financial statement review under International Financial Reporting Standards for the period ended December 31, 2009, management concluded that as of December 31, 2009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Accordingly, management determined that this control deficiency constituted a material weakness. During 2010, we did not engage in any new non-routine transactions. Nevertheless, based on management’s evaluation of our internal control over financial reporting as of December 31, 2010, management determined that this material weakness in our internal control over financial reporting remained. Specifically, our management concluded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response to this material weakness, our management, with the input, oversight, and support of the Audit Committee, identified and took the following steps to remediate the control deficiency: non-ordinary course transactions are now considered and evaluated by senior finance management; we continue to prepare accounting position papers for all complex transactions; and, where appropriate, management seeks the advice of outside consultants on accounting matters related to the application of U.S. GAAP to complex, non-ordinary course transactions and in other instances as warranted. Any future deficiencies could materially and adversely affect our ability to provide timely and accurate financial information, and the current and future deficiencies may impact investors’ confidence in our internal controls and our company, which could cause our stock price to decline.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71"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of November 1, 2012 we had 150,134,630 common shares outstanding. As of November 1, 2012 there were 149,769,550 shares held as ADSs and 365,080 held as common shares (which are not held in the form of ADSs). In our October 2009 private placement we issued 66.4 million ADSs and warrants to purchase an additional 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status of our pending exclusivity request with the FDA for Vascepa and ongoing;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w:t>
      </w:r>
    </w:p>
    <w:p>
      <w:pPr>
        <w:sectPr>
          <w:pgSz w:w="11900" w:h="16838" w:orient="portrait"/>
          <w:cols w:equalWidth="0" w:num="1">
            <w:col w:w="11400"/>
          </w:cols>
          <w:pgMar w:left="240" w:top="459" w:right="259" w:bottom="144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our notes, could have a material effect on our reported financial results.</w:t>
      </w:r>
    </w:p>
    <w:p>
      <w:pPr>
        <w:spacing w:after="0" w:line="1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may be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may be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 passive foreign investment company, or PFIC, which would result in adverse U.S. tax consequences to U.S. investors.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we cannot provide any assurance that we are, are not, or will or will not be, a PFIC now or in the future, we believe it prudent to assume that the we were classified as a PFIC in 2011 and that we could be classified as such in 2012 or in future years.</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18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31" w:lineRule="exact"/>
        <w:rPr>
          <w:rFonts w:ascii="Arial" w:cs="Arial" w:eastAsia="Arial" w:hAnsi="Arial"/>
          <w:sz w:val="16"/>
          <w:szCs w:val="16"/>
          <w:color w:val="auto"/>
        </w:rPr>
      </w:pPr>
    </w:p>
    <w:p>
      <w:pPr>
        <w:ind w:left="900" w:right="32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25"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2" w:lineRule="exact"/>
        <w:rPr>
          <w:rFonts w:ascii="Arial" w:cs="Arial" w:eastAsia="Arial" w:hAnsi="Arial"/>
          <w:sz w:val="18"/>
          <w:szCs w:val="18"/>
          <w:color w:val="auto"/>
        </w:rPr>
      </w:pPr>
    </w:p>
    <w:p>
      <w:pPr>
        <w:jc w:val="both"/>
        <w:ind w:left="900" w:hanging="325"/>
        <w:spacing w:after="0" w:line="303"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95" w:lineRule="auto"/>
        <w:rPr>
          <w:rFonts w:ascii="Arial" w:cs="Arial" w:eastAsia="Arial" w:hAnsi="Arial"/>
          <w:sz w:val="15"/>
          <w:szCs w:val="15"/>
          <w:color w:val="auto"/>
        </w:rPr>
      </w:pPr>
      <w:r>
        <w:rPr>
          <w:rFonts w:ascii="Arial" w:cs="Arial" w:eastAsia="Arial" w:hAnsi="Arial"/>
          <w:sz w:val="16"/>
          <w:szCs w:val="16"/>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representing 75% of the ordinary shares and a majority of the shareholders voting at the meeting for approval.</w:t>
      </w:r>
    </w:p>
    <w:p>
      <w:pPr>
        <w:spacing w:after="0" w:line="34"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4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in the future be subject to the UK Takeover Code which we do not believe is binding on our company at the present time. Nevertheless, the UK Takeover Code could apply to our company under certain circumstances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may in the future be subject to the UK City Code on Takeovers and Mergers which we do not believe is binding on our company at the present time.</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United Kingdom, takeover offers and certain other transactions in respect of certain public companies are regulated by the UK City Code on Takeovers and Mergers, or the Takeover Code, which is administered by the Takeover Panel. Currently, the Takeover Code applies to public companies which have their registered offices in the United Kingdom, the Channel Islands or the Isle of Man if their securities are admitted to trading on a regulated market in the United Kingdom or on a stock exchange in the Channel Islands or the Isle of Man. The Takeover Code also applies to public companies which have their registered office in the United Kingdom, the Channel Islands or the Isle of Man notwithstanding that their securities are not admitted to trading on one of the markets mentioned above, if the Takeover Panel considers that the company has its place of central management and control in the UK, the Channel Islands or the Isle of Man, or the so-called residency test. We do not believe that our company has its place of central management and control in the UK, the Channel Islands or the Isle of Man and we therefore do not believe that the Takeover Code currently applies to us.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2012, the Takeover Panel published three public consultation papers setting out proposed amendments to the Takeover Code, which include a proposal to eliminate the residency test described above. If this proposal is adopted, we could become subject to the Takeover Code since our registered office is in the United Kingdom.</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summary, the Takeover Code sets out binding rules that provide a framework within which takeovers are required to be conducted and this approach differs from the typical U.S. approach which permits the incumbent board greater flexibility to act in a manner it believes is in the best interests of shareholders. The Takeover Code is designed principally to ensure that shareholders in an offeree company are treated fairly, that they are not denied an opportunity to decide on the merits of a takeover and that they are each afforded equivalent treatment by an offeror.</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One of the rules of the Takeover Code requires that if an offeror (and persons acting in concert with it) were to acquire interests in our ordinary shares representing 30% or more of the voting rights of all our ordinary shares, the offeror (and, depending upon the circumstances, persons acting in concert with it) would be required (except with the consent of the Takeover Panel) to make a cash offer for the outstanding ordinary shares at a price not less than the highest price paid for any interest in the ordinary shares by the offeror (or persons acting in concert with it) during the 12 months prior to the announcement of that offer. A similar obligation to make such a mandatory offer would also arise on the acquisition of an interest in our ordinary shares by a person holding (together with persons acting in concert with it) an interest representing between 30% and 50% of the voting rights of all our ordinary shares.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we become subject to the Takeover Code, we will be subject to greater controls in relation to the conduct of any takeover offer for our ordinary shares and this may affect the willingness of potential acquirers to proceed with a takeover offer that would otherwise be beneficial to investors. In addition, if we become subject to the Takeover Code, our board of directors would be less able to exercise its judgment over the conduct of any proposed takeover than it would if the Takeover Code did not apply.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effect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directors, management and affiliated investment funds exercise significant control over our company, which will limit your ability to influence corporate matters.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October 31, 2012 our executive officers, directors and affiliated investment funds collectively controlled approximately 10.23% of our outstanding ordinary shares, excluding any shares subject to ADSs that such persons may have the right to acquire upon exercise of outstanding options or warrants. As a result, these shareholders, if they act together, will be able to influence our management and affairs and all matters requiring shareholder approval, including the election of directors and approval of significant corporate transactions.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In addition, we entered into an agreement with various participants in the October 2009 private placement under which investment funds affiliated with Orbimed Advisors LLC, Sofinnova Ventures and Abingworth LLP have the ability to designate persons for Amarin to nominate to its Board of Directors and the other participants have given these investments funds a proxy to vote their securities in favor of these nominees. We have a continuing obligation to nominate one</w:t>
      </w:r>
    </w:p>
    <w:p>
      <w:pPr>
        <w:spacing w:after="0" w:line="1" w:lineRule="exact"/>
        <w:rPr>
          <w:sz w:val="20"/>
          <w:szCs w:val="20"/>
          <w:color w:val="auto"/>
        </w:rPr>
      </w:pPr>
    </w:p>
    <w:p>
      <w:pPr>
        <w:ind w:right="20" w:firstLine="8"/>
        <w:spacing w:after="0" w:line="290"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designee of investment funds affiliated with Sofinnova Ventures to its Board of Directors for so long as such funds beneficially own at least fifty percent (50%) of the ADSs they purchased in the October 2009 private placement. Dr. James I. Healy was designated by investment funds affiliated with Sofinnova Ventures pursuant to this arrangement. In addition, we have agreed to nominate one (1) designee of investment funds affiliated with Abingworth LLP to its Board of Directors for so long as such funds beneficially own at least five percent (5%) of our outstanding voting securities. Dr. Joseph Anderson was designated by investment funds affiliated with Abingworth LLP under this arrangement. This concentration of ownership and the above-described arrangement may have the effect of delaying or preventing a change in control of our company that other shareholders may desire and might negatively affect the market price of the ADSs.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holders of the ADSs or ordinary shares may be subject to U.S. income taxation at ordinary income tax rates on undistributed earnings and profits.</w:t>
      </w:r>
    </w:p>
    <w:p>
      <w:pPr>
        <w:spacing w:after="0" w:line="20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Exhibit</w:t>
            </w: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161"/>
        </w:trPr>
        <w:tc>
          <w:tcPr>
            <w:tcW w:w="1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60" w:type="dxa"/>
            <w:vAlign w:val="bottom"/>
          </w:tcPr>
          <w:p>
            <w:pPr>
              <w:spacing w:after="0"/>
              <w:rPr>
                <w:sz w:val="14"/>
                <w:szCs w:val="14"/>
                <w:color w:val="auto"/>
              </w:rPr>
            </w:pPr>
          </w:p>
        </w:tc>
      </w:tr>
      <w:tr>
        <w:trPr>
          <w:trHeight w:val="309"/>
        </w:trPr>
        <w:tc>
          <w:tcPr>
            <w:tcW w:w="1120" w:type="dxa"/>
            <w:vAlign w:val="bottom"/>
            <w:gridSpan w:val="3"/>
          </w:tcPr>
          <w:p>
            <w:pPr>
              <w:ind w:left="100"/>
              <w:spacing w:after="0"/>
              <w:rPr>
                <w:sz w:val="20"/>
                <w:szCs w:val="20"/>
                <w:color w:val="auto"/>
              </w:rPr>
            </w:pPr>
            <w:r>
              <w:rPr>
                <w:rFonts w:ascii="Arial" w:cs="Arial" w:eastAsia="Arial" w:hAnsi="Arial"/>
                <w:sz w:val="18"/>
                <w:szCs w:val="18"/>
                <w:color w:val="auto"/>
              </w:rPr>
              <w:t>10.1†</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w w:val="88"/>
              </w:rPr>
              <w:t>Second Amendment to API Commercial Supply Agreement by and between Amarin Pharmaceuticals Ireland Ltd. and Chemport Inc., dated</w:t>
            </w:r>
          </w:p>
        </w:tc>
      </w:tr>
      <w:tr>
        <w:trPr>
          <w:trHeight w:val="222"/>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July 19, 2012</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r>
      <w:tr>
        <w:trPr>
          <w:trHeight w:val="324"/>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r>
      <w:tr>
        <w:trPr>
          <w:trHeight w:val="318"/>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w w:val="90"/>
              </w:rPr>
              <w:t>Certification of Chief Executive Officer (Principal Executive Officer) and President (Principal Financial Officer) pursuant to Section 906 of</w:t>
            </w:r>
          </w:p>
        </w:tc>
      </w:tr>
      <w:tr>
        <w:trPr>
          <w:trHeight w:val="222"/>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Sarbanes-Oxley Act of 2002</w:t>
            </w: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101.SCH**</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XBRL Schema Document</w:t>
            </w:r>
          </w:p>
        </w:tc>
      </w:tr>
      <w:tr>
        <w:trPr>
          <w:trHeight w:val="324"/>
        </w:trPr>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101.CAL**</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XBRL Calculation Linkbase Document</w:t>
            </w:r>
          </w:p>
        </w:tc>
      </w:tr>
      <w:tr>
        <w:trPr>
          <w:trHeight w:val="324"/>
        </w:trPr>
        <w:tc>
          <w:tcPr>
            <w:tcW w:w="1120" w:type="dxa"/>
            <w:vAlign w:val="bottom"/>
            <w:gridSpan w:val="3"/>
          </w:tcPr>
          <w:p>
            <w:pPr>
              <w:jc w:val="center"/>
              <w:ind w:right="280"/>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XBRL Labels Linkbase Document</w:t>
            </w:r>
          </w:p>
        </w:tc>
      </w:tr>
      <w:tr>
        <w:trPr>
          <w:trHeight w:val="324"/>
        </w:trPr>
        <w:tc>
          <w:tcPr>
            <w:tcW w:w="1120" w:type="dxa"/>
            <w:vAlign w:val="bottom"/>
            <w:gridSpan w:val="3"/>
          </w:tcPr>
          <w:p>
            <w:pPr>
              <w:jc w:val="center"/>
              <w:ind w:right="300"/>
              <w:spacing w:after="0"/>
              <w:rPr>
                <w:sz w:val="20"/>
                <w:szCs w:val="20"/>
                <w:color w:val="auto"/>
              </w:rPr>
            </w:pPr>
            <w:r>
              <w:rPr>
                <w:rFonts w:ascii="Arial" w:cs="Arial" w:eastAsia="Arial" w:hAnsi="Arial"/>
                <w:sz w:val="18"/>
                <w:szCs w:val="18"/>
                <w:color w:val="auto"/>
                <w:w w:val="95"/>
              </w:rPr>
              <w:t>101.PRE**</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120" w:type="dxa"/>
            <w:vAlign w:val="bottom"/>
            <w:gridSpan w:val="3"/>
          </w:tcPr>
          <w:p>
            <w:pPr>
              <w:jc w:val="center"/>
              <w:ind w:right="300"/>
              <w:spacing w:after="0"/>
              <w:rPr>
                <w:sz w:val="20"/>
                <w:szCs w:val="20"/>
                <w:color w:val="auto"/>
              </w:rPr>
            </w:pPr>
            <w:r>
              <w:rPr>
                <w:rFonts w:ascii="Arial" w:cs="Arial" w:eastAsia="Arial" w:hAnsi="Arial"/>
                <w:sz w:val="18"/>
                <w:szCs w:val="18"/>
                <w:color w:val="auto"/>
                <w:w w:val="96"/>
              </w:rPr>
              <w:t>101.DEF**</w:t>
            </w:r>
          </w:p>
        </w:tc>
        <w:tc>
          <w:tcPr>
            <w:tcW w:w="10100" w:type="dxa"/>
            <w:vAlign w:val="bottom"/>
            <w:gridSpan w:val="3"/>
          </w:tcPr>
          <w:p>
            <w:pPr>
              <w:ind w:left="260"/>
              <w:spacing w:after="0"/>
              <w:rPr>
                <w:sz w:val="20"/>
                <w:szCs w:val="20"/>
                <w:color w:val="auto"/>
              </w:rPr>
            </w:pPr>
            <w:r>
              <w:rPr>
                <w:rFonts w:ascii="Arial" w:cs="Arial" w:eastAsia="Arial" w:hAnsi="Arial"/>
                <w:sz w:val="18"/>
                <w:szCs w:val="18"/>
                <w:color w:val="auto"/>
              </w:rPr>
              <w:t>XBRL Definition Linkbase Document</w:t>
            </w:r>
          </w:p>
        </w:tc>
      </w:tr>
    </w:tbl>
    <w:p>
      <w:pPr>
        <w:spacing w:after="0" w:line="19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Pursuant to Rule 406T of Regulation S-T, these interactive data files are deemed not filed or part of a registration statement or prospectus for purposes of</w:t>
      </w:r>
    </w:p>
    <w:p>
      <w:pPr>
        <w:spacing w:after="0" w:line="44" w:lineRule="exact"/>
        <w:rPr>
          <w:sz w:val="20"/>
          <w:szCs w:val="20"/>
          <w:color w:val="auto"/>
        </w:rPr>
      </w:pPr>
    </w:p>
    <w:p>
      <w:pPr>
        <w:ind w:left="460" w:right="120"/>
        <w:spacing w:after="0" w:line="250" w:lineRule="auto"/>
        <w:rPr>
          <w:sz w:val="20"/>
          <w:szCs w:val="20"/>
          <w:color w:val="auto"/>
        </w:rPr>
      </w:pPr>
      <w:r>
        <w:rPr>
          <w:rFonts w:ascii="Arial" w:cs="Arial" w:eastAsia="Arial" w:hAnsi="Arial"/>
          <w:sz w:val="18"/>
          <w:szCs w:val="18"/>
          <w:color w:val="auto"/>
        </w:rPr>
        <w:t>Sections 11 or 12 of the Securities Act of 1933, as amended, are deemed not filed for purposes of Section 18 of the Exchange Act and otherwise are not subject to liability under those sections.</w:t>
      </w:r>
    </w:p>
    <w:p>
      <w:pPr>
        <w:spacing w:after="0" w:line="1" w:lineRule="exact"/>
        <w:rPr>
          <w:sz w:val="20"/>
          <w:szCs w:val="20"/>
          <w:color w:val="auto"/>
        </w:rPr>
      </w:pPr>
    </w:p>
    <w:p>
      <w:pPr>
        <w:jc w:val="both"/>
        <w:ind w:left="46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 xml:space="preserve">President </w:t>
      </w:r>
      <w:r>
        <w:rPr>
          <w:rFonts w:ascii="Arial" w:cs="Arial" w:eastAsia="Arial" w:hAnsi="Arial"/>
          <w:sz w:val="16"/>
          <w:szCs w:val="16"/>
          <w:color w:val="auto"/>
        </w:rPr>
        <w:t>(Principal Financial and Accounting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44" w:name="page45"/>
    <w:bookmarkEnd w:id="44"/>
    <w:p>
      <w:pPr>
        <w:ind w:left="105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API COMMERCIAL SUPPLY AGREEMENT</w:t>
      </w:r>
    </w:p>
    <w:p>
      <w:pPr>
        <w:spacing w:after="0" w:line="171"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This S</w:t>
      </w:r>
      <w:r>
        <w:rPr>
          <w:rFonts w:ascii="Arial" w:cs="Arial" w:eastAsia="Arial" w:hAnsi="Arial"/>
          <w:sz w:val="13"/>
          <w:szCs w:val="13"/>
          <w:color w:val="auto"/>
        </w:rPr>
        <w:t>ECOND</w:t>
      </w:r>
      <w:r>
        <w:rPr>
          <w:rFonts w:ascii="Arial" w:cs="Arial" w:eastAsia="Arial" w:hAnsi="Arial"/>
          <w:sz w:val="16"/>
          <w:szCs w:val="16"/>
          <w:color w:val="auto"/>
        </w:rPr>
        <w:t xml:space="preserve"> A</w:t>
      </w:r>
      <w:r>
        <w:rPr>
          <w:rFonts w:ascii="Arial" w:cs="Arial" w:eastAsia="Arial" w:hAnsi="Arial"/>
          <w:sz w:val="13"/>
          <w:szCs w:val="13"/>
          <w:color w:val="auto"/>
        </w:rPr>
        <w:t>MENDMENT TO</w:t>
      </w:r>
      <w:r>
        <w:rPr>
          <w:rFonts w:ascii="Arial" w:cs="Arial" w:eastAsia="Arial" w:hAnsi="Arial"/>
          <w:sz w:val="16"/>
          <w:szCs w:val="16"/>
          <w:color w:val="auto"/>
        </w:rPr>
        <w:t xml:space="preserve"> API C</w:t>
      </w:r>
      <w:r>
        <w:rPr>
          <w:rFonts w:ascii="Arial" w:cs="Arial" w:eastAsia="Arial" w:hAnsi="Arial"/>
          <w:sz w:val="13"/>
          <w:szCs w:val="13"/>
          <w:color w:val="auto"/>
        </w:rPr>
        <w:t>OMMERCIAL</w:t>
      </w:r>
      <w:r>
        <w:rPr>
          <w:rFonts w:ascii="Arial" w:cs="Arial" w:eastAsia="Arial" w:hAnsi="Arial"/>
          <w:sz w:val="16"/>
          <w:szCs w:val="16"/>
          <w:color w:val="auto"/>
        </w:rPr>
        <w:t xml:space="preserve"> S</w:t>
      </w:r>
      <w:r>
        <w:rPr>
          <w:rFonts w:ascii="Arial" w:cs="Arial" w:eastAsia="Arial" w:hAnsi="Arial"/>
          <w:sz w:val="13"/>
          <w:szCs w:val="13"/>
          <w:color w:val="auto"/>
        </w:rPr>
        <w:t>UPPLY</w:t>
      </w:r>
      <w:r>
        <w:rPr>
          <w:rFonts w:ascii="Arial" w:cs="Arial" w:eastAsia="Arial" w:hAnsi="Arial"/>
          <w:sz w:val="16"/>
          <w:szCs w:val="16"/>
          <w:color w:val="auto"/>
        </w:rPr>
        <w:t xml:space="preserve"> A</w:t>
      </w:r>
      <w:r>
        <w:rPr>
          <w:rFonts w:ascii="Arial" w:cs="Arial" w:eastAsia="Arial" w:hAnsi="Arial"/>
          <w:sz w:val="13"/>
          <w:szCs w:val="13"/>
          <w:color w:val="auto"/>
        </w:rPr>
        <w:t>GREEMENT</w:t>
      </w:r>
      <w:r>
        <w:rPr>
          <w:rFonts w:ascii="Arial" w:cs="Arial" w:eastAsia="Arial" w:hAnsi="Arial"/>
          <w:sz w:val="16"/>
          <w:szCs w:val="16"/>
          <w:color w:val="auto"/>
        </w:rPr>
        <w:t xml:space="preserve"> (the “Amendment”) is made as of this 19th day of July, 2012 (the “Amendment Effective Date”), by and between Amarin Pharmaceuticals Ireland Ltd., a corporation organized under the laws of Ireland and having its principal office at 2 Pembroke House, Upper Pembroke Street, #28-32, Dublin 2, Ireland (“Amarin”), and Chemport Inc., a corporation organized under the laws of South Korea and having its principal offices at 15-1, Dongsu-dong, Naju-si, Jeollanam-do 520-330 Korea (“Chemport”).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Parties entered into that certain API Commercial Supply Agreement as of May 25, 2011 (the “Original Agreement”);</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WHEREAS, the Parties amended the Original Agreement pursuant to that certain Amendment to API Commercial Supply Agreement dated April 4, 2012 (together with the Original Agreement, the “Agreement”);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Parties wish to further amend the Agreement as set forth herein.</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32" w:lineRule="exact"/>
        <w:rPr>
          <w:sz w:val="20"/>
          <w:szCs w:val="20"/>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Agreement.</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4.1 is hereby deleted in its entirety and replaced with the following:</w:t>
      </w:r>
    </w:p>
    <w:p>
      <w:pPr>
        <w:spacing w:after="0" w:line="90" w:lineRule="exact"/>
        <w:rPr>
          <w:sz w:val="20"/>
          <w:szCs w:val="20"/>
          <w:color w:val="auto"/>
        </w:rPr>
      </w:pPr>
    </w:p>
    <w:p>
      <w:pPr>
        <w:ind w:left="1500" w:right="240" w:firstLine="397"/>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Capacity</w:t>
      </w:r>
      <w:r>
        <w:rPr>
          <w:rFonts w:ascii="Arial" w:cs="Arial" w:eastAsia="Arial" w:hAnsi="Arial"/>
          <w:sz w:val="16"/>
          <w:szCs w:val="16"/>
          <w:color w:val="auto"/>
        </w:rPr>
        <w:t xml:space="preserve">. Within [***] months after the Effective Date, Chemport shall expand the Facility’s capacity to supply annually [***] metric tons of API (with [***]) as further detailed in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(the “Expansion”). Following completion of the Expansion, Chemport shall maintain at all times during the Term the capacity to supply Amarin [***] of API each Calendar Year (“Chemport’s Initial Minimum Capacity”). Chemport’s capacity as further expanded in accordance with this Agreement, together with Chemport’s Initial Minimum Capacity, shall be referred to herein as “Chemport’s Minimum Capacity.”</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Section 4.2 is hereby deleted in its entirety and replaced with the following:</w:t>
      </w:r>
    </w:p>
    <w:p>
      <w:pPr>
        <w:spacing w:after="0" w:line="90" w:lineRule="exact"/>
        <w:rPr>
          <w:sz w:val="20"/>
          <w:szCs w:val="20"/>
          <w:color w:val="auto"/>
        </w:rPr>
      </w:pPr>
    </w:p>
    <w:p>
      <w:pPr>
        <w:ind w:left="1500" w:right="160" w:firstLine="3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Completion</w:t>
      </w:r>
      <w:r>
        <w:rPr>
          <w:rFonts w:ascii="Arial" w:cs="Arial" w:eastAsia="Arial" w:hAnsi="Arial"/>
          <w:sz w:val="18"/>
          <w:szCs w:val="18"/>
          <w:color w:val="auto"/>
        </w:rPr>
        <w:t xml:space="preserve">. The Expansion will be deemed to be completed for purposes of this Agreement if (i) all of the requirements set forth in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have been satisfied, (ii) Chemport has manufactured three (3) successful, consecutive process validation (consistent with ICH guidelines) batches (each</w:t>
      </w:r>
    </w:p>
    <w:p>
      <w:pPr>
        <w:sectPr>
          <w:pgSz w:w="11900" w:h="16838" w:orient="portrait"/>
          <w:cols w:equalWidth="0" w:num="1">
            <w:col w:w="11420"/>
          </w:cols>
          <w:pgMar w:left="240" w:top="125" w:right="239" w:bottom="1440" w:gutter="0" w:footer="0" w:header="0"/>
        </w:sectPr>
      </w:pPr>
    </w:p>
    <w:bookmarkStart w:id="45" w:name="page46"/>
    <w:bookmarkEnd w:id="45"/>
    <w:p>
      <w:pPr>
        <w:ind w:right="3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1500" w:right="120"/>
        <w:spacing w:after="0" w:line="254" w:lineRule="auto"/>
        <w:rPr>
          <w:sz w:val="20"/>
          <w:szCs w:val="20"/>
          <w:color w:val="auto"/>
        </w:rPr>
      </w:pPr>
      <w:r>
        <w:rPr>
          <w:rFonts w:ascii="Arial" w:cs="Arial" w:eastAsia="Arial" w:hAnsi="Arial"/>
          <w:sz w:val="18"/>
          <w:szCs w:val="18"/>
          <w:color w:val="auto"/>
        </w:rPr>
        <w:t>batch shall be in a quantity of [***]) of API (each a “Validation Batch”) in the expanded Facility that satisfy the requirements of this Agreement, and (iii) Amarin or mutually agreed upon Third Party has reviewed the completed process validation report and agrees that it is suitabale to support the approval of the Drug Application. The entire unredacted Process Validation report can be reviewed by aforementioned Third Party, and Amarin can only review redacted report (redactions will only apply to Chemport confidential process information). Any delays related to review and acceptance of the Process Validation report by Amarin or Third Party shall not constitute a delay in Chemport’s obligations under this Agreement.</w:t>
      </w:r>
    </w:p>
    <w:p>
      <w:pPr>
        <w:spacing w:after="0" w:line="144" w:lineRule="exact"/>
        <w:rPr>
          <w:sz w:val="20"/>
          <w:szCs w:val="20"/>
          <w:color w:val="auto"/>
        </w:rPr>
      </w:pPr>
    </w:p>
    <w:p>
      <w:pPr>
        <w:ind w:left="1100" w:hanging="179"/>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of the Agreement is deleted in its entirety and shall be replaced with the Schedule 5.1 attached hereto.</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Section 11.4 of the Agreement is deleted in its entirety and replaced with the following:</w:t>
      </w:r>
    </w:p>
    <w:p>
      <w:pPr>
        <w:spacing w:after="0" w:line="90" w:lineRule="exact"/>
        <w:rPr>
          <w:sz w:val="20"/>
          <w:szCs w:val="20"/>
          <w:color w:val="auto"/>
        </w:rPr>
      </w:pPr>
    </w:p>
    <w:p>
      <w:pPr>
        <w:ind w:left="1500" w:firstLine="397"/>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Special Indemnity</w:t>
      </w:r>
      <w:r>
        <w:rPr>
          <w:rFonts w:ascii="Arial" w:cs="Arial" w:eastAsia="Arial" w:hAnsi="Arial"/>
          <w:sz w:val="18"/>
          <w:szCs w:val="18"/>
          <w:color w:val="auto"/>
        </w:rPr>
        <w:t>. In the event this Agreement is terminated by Amarin pursuant to Sections 15.5(a) or (h), Chemport shall pay to Amarin the amount of [***], which shall be Amarin’s [***], and in the event this Agreement is terminated by Amarin pursuant to Section 15.5(g), Chemport shall pay to Amarin the amount of [***], which shall [***].</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 The address for Amarin set forth in Section 16.1 of the Agreement is hereby changed to the following:</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If to Amarin</w:t>
      </w:r>
      <w:r>
        <w:rPr>
          <w:rFonts w:ascii="Arial" w:cs="Arial" w:eastAsia="Arial" w:hAnsi="Arial"/>
          <w:sz w:val="18"/>
          <w:szCs w:val="18"/>
          <w:color w:val="auto"/>
        </w:rPr>
        <w: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Byrne Wallace; Attention: Thomas Maher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Upper Pembroke Street, #28-32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+353 1 691 5507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+ 353 1 691 5010 DX 18 Dublin</w:t>
      </w:r>
    </w:p>
    <w:p>
      <w:pPr>
        <w:spacing w:after="0" w:line="8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6" w:name="page47"/>
    <w:bookmarkEnd w:id="4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Amarin Pharma,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1430 Route 206, 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Bedminster, NJ 07921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Senior Vice President, Corporate Development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908 719 1315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908 719 3012</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Dan L. O’Korn</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Hutchison PLLC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5410 Trinity Road, Suite 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Raleigh, North Carolina 27607</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(919) 859-1841</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280" w:right="639" w:bottom="1440" w:gutter="0" w:footer="0" w:header="0"/>
        </w:sectPr>
      </w:pPr>
    </w:p>
    <w:bookmarkStart w:id="47" w:name="page48"/>
    <w:bookmarkEnd w:id="47"/>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 The address for Amarin set forth in Section 16.5 of the Agreement is hereby changed to the following:</w:t>
      </w:r>
    </w:p>
    <w:p>
      <w:pPr>
        <w:spacing w:after="0" w:line="9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Amarin Pharmaceuticals Ireland Ltd.</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c/o Amarin Pharma, Inc.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1430 Route 206, Suite 200</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Bedminster, NJ 07921</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 Senior Vice President, Corporate Development</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Telephone: 908 719 1315</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Fax: 908 719 3012</w:t>
      </w:r>
    </w:p>
    <w:p>
      <w:pPr>
        <w:spacing w:after="0" w:line="165" w:lineRule="exact"/>
        <w:rPr>
          <w:sz w:val="20"/>
          <w:szCs w:val="20"/>
          <w:color w:val="auto"/>
        </w:rPr>
      </w:pPr>
    </w:p>
    <w:p>
      <w:pPr>
        <w:ind w:firstLine="921"/>
        <w:spacing w:after="0" w:line="294" w:lineRule="auto"/>
        <w:tabs>
          <w:tab w:leader="none" w:pos="10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Amendment and any other future amendment of the Agreement may be executed in two (2) or more counterparts, each of which shall be an original, but all of which together shall constitute one and the same instrument. To evidence the fact that it has executed this Amendment and any other future amendment of the Agreement, a Party may send a copy of its executed counterpart to the other Parties by facsimile transmission or by email transmission in portable document format, or similar format. Signatures of the Parties transmitted by facsimile or by email transmission in portable document format, or similar format, shall be deemed to be their original signatures for all purposes.</w:t>
      </w:r>
    </w:p>
    <w:p>
      <w:pPr>
        <w:spacing w:after="0" w:line="115" w:lineRule="exact"/>
        <w:rPr>
          <w:rFonts w:ascii="Arial" w:cs="Arial" w:eastAsia="Arial" w:hAnsi="Arial"/>
          <w:sz w:val="16"/>
          <w:szCs w:val="16"/>
          <w:color w:val="auto"/>
        </w:rPr>
      </w:pPr>
    </w:p>
    <w:p>
      <w:pPr>
        <w:ind w:left="4860" w:right="300" w:hanging="3939"/>
        <w:spacing w:after="0" w:line="430" w:lineRule="auto"/>
        <w:tabs>
          <w:tab w:leader="none" w:pos="10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expressly provided in this Amendment, all other provisions of the Agreement shall remain unmodified and in full force and effect. [signature page follows]</w:t>
      </w:r>
    </w:p>
    <w:p>
      <w:pPr>
        <w:spacing w:after="0" w:line="1"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60"/>
          </w:cols>
          <w:pgMar w:left="240" w:top="280" w:right="399" w:bottom="1440" w:gutter="0" w:footer="0" w:header="0"/>
        </w:sectPr>
      </w:pPr>
    </w:p>
    <w:bookmarkStart w:id="48" w:name="page49"/>
    <w:bookmarkEnd w:id="4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to Second Amendment to API Commercial Supply Agreement]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WITNESS WHEREOF, the Parties have caused their duly authorized representative to execute this Amendment effective as of the Amendment Effective Date.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PHARMACEUTICALS IRELAND LTD.</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Conor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Conor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CHEMPORT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 Joo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Young Joo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CEO/President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020"/>
          </w:cols>
          <w:pgMar w:left="240" w:top="280" w:right="639" w:bottom="1440" w:gutter="0" w:footer="0" w:header="0"/>
        </w:sectPr>
      </w:pPr>
    </w:p>
    <w:bookmarkStart w:id="49" w:name="page50"/>
    <w:bookmarkEnd w:id="4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SCHEDULE 5.1</w:t>
      </w:r>
    </w:p>
    <w:p>
      <w:pPr>
        <w:spacing w:after="0" w:line="16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020"/>
          </w:cols>
          <w:pgMar w:left="240" w:top="280" w:right="6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60" w:val="left"/>
          <w:tab w:leader="none" w:pos="8100" w:val="left"/>
        </w:tabs>
        <w:rPr>
          <w:sz w:val="20"/>
          <w:szCs w:val="20"/>
          <w:color w:val="auto"/>
        </w:rPr>
      </w:pPr>
      <w:r>
        <w:rPr>
          <w:rFonts w:ascii="Arial" w:cs="Arial" w:eastAsia="Arial" w:hAnsi="Arial"/>
          <w:sz w:val="18"/>
          <w:szCs w:val="18"/>
          <w:color w:val="auto"/>
        </w:rPr>
        <w:t>Date: November 8,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960" w:val="left"/>
          <w:tab w:leader="none" w:pos="8300" w:val="left"/>
        </w:tabs>
        <w:rPr>
          <w:sz w:val="20"/>
          <w:szCs w:val="20"/>
          <w:color w:val="auto"/>
        </w:rPr>
      </w:pPr>
      <w:r>
        <w:rPr>
          <w:rFonts w:ascii="Arial" w:cs="Arial" w:eastAsia="Arial" w:hAnsi="Arial"/>
          <w:sz w:val="18"/>
          <w:szCs w:val="18"/>
          <w:color w:val="auto"/>
        </w:rPr>
        <w:t>Date: November 8,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Zakrzewski,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52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September 30, 2012, to which this Certification is attached as Exhibit 32.1 (the “Quarterly Report”) fully complies with the requirements of Section 13(a) or 15(d) of the Securities Exchange Act of 1934; and</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8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November 8, 2012</w:t>
            </w:r>
          </w:p>
        </w:tc>
        <w:tc>
          <w:tcPr>
            <w:tcW w:w="5240" w:type="dxa"/>
            <w:vAlign w:val="bottom"/>
          </w:tcPr>
          <w:p>
            <w:pPr>
              <w:spacing w:after="0"/>
              <w:rPr>
                <w:sz w:val="20"/>
                <w:szCs w:val="20"/>
                <w:color w:val="auto"/>
              </w:rPr>
            </w:pPr>
            <w:r>
              <w:rPr>
                <w:rFonts w:ascii="Arial" w:cs="Arial" w:eastAsia="Arial" w:hAnsi="Arial"/>
                <w:sz w:val="18"/>
                <w:szCs w:val="18"/>
                <w:color w:val="auto"/>
              </w:rPr>
              <w:t>Joseph Zakrzewski</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61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Date: November 8, 2012</w:t>
            </w:r>
          </w:p>
        </w:tc>
        <w:tc>
          <w:tcPr>
            <w:tcW w:w="524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3"/>
    </w:lvl>
  </w:abstractNum>
  <w:abstractNum w:abstractNumId="6">
    <w:nsid w:val="8EDBDAB"/>
    <w:multiLevelType w:val="hybridMultilevel"/>
    <w:lvl w:ilvl="0">
      <w:lvlJc w:val="left"/>
      <w:lvlText w:val="\endash "/>
      <w:numFmt w:val="bullet"/>
      <w:start w:val="1"/>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1)"/>
      <w:numFmt w:val="decimal"/>
      <w:start w:val="5"/>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6"/>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4"/>
    </w:lvl>
  </w:abstractNum>
  <w:abstractNum w:abstractNumId="38">
    <w:nsid w:val="580BD78F"/>
    <w:multiLevelType w:val="hybridMultilevel"/>
    <w:lvl w:ilvl="0">
      <w:lvlJc w:val="left"/>
      <w:lvlText w:val="%1."/>
      <w:numFmt w:val="decimal"/>
      <w:start w:val="8"/>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2019-12-11T02:09:02Z</dcterms:created>
  <dcterms:modified xsi:type="dcterms:W3CDTF">2019-12-11T02:09:02Z</dcterms:modified>
</cp:coreProperties>
</file>