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54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England and Wales</w:t>
            </w:r>
          </w:p>
        </w:tc>
        <w:tc>
          <w:tcPr>
            <w:tcW w:w="2920" w:type="dxa"/>
            <w:vAlign w:val="bottom"/>
          </w:tcPr>
          <w:p>
            <w:pPr>
              <w:jc w:val="center"/>
              <w:ind w:left="1501"/>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5420" w:type="dxa"/>
            <w:vAlign w:val="bottom"/>
          </w:tcPr>
          <w:p>
            <w:pPr>
              <w:jc w:val="center"/>
              <w:ind w:right="152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20" w:type="dxa"/>
            <w:vAlign w:val="bottom"/>
          </w:tcPr>
          <w:p>
            <w:pPr>
              <w:jc w:val="center"/>
              <w:ind w:left="15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4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5"/>
              </w:rPr>
              <w:t>Incorporation or Organization)</w:t>
            </w:r>
          </w:p>
        </w:tc>
        <w:tc>
          <w:tcPr>
            <w:tcW w:w="2920" w:type="dxa"/>
            <w:vAlign w:val="bottom"/>
          </w:tcPr>
          <w:p>
            <w:pPr>
              <w:jc w:val="center"/>
              <w:ind w:left="1501"/>
              <w:spacing w:after="0"/>
              <w:rPr>
                <w:sz w:val="20"/>
                <w:szCs w:val="20"/>
                <w:color w:val="auto"/>
              </w:rPr>
            </w:pPr>
            <w:r>
              <w:rPr>
                <w:rFonts w:ascii="Arial" w:cs="Arial" w:eastAsia="Arial" w:hAnsi="Arial"/>
                <w:sz w:val="14"/>
                <w:szCs w:val="14"/>
                <w:b w:val="1"/>
                <w:bCs w:val="1"/>
                <w:color w:val="auto"/>
                <w:w w:val="96"/>
              </w:rPr>
              <w:t>Identification No.)</w:t>
            </w:r>
          </w:p>
        </w:tc>
      </w:tr>
      <w:tr>
        <w:trPr>
          <w:trHeight w:val="435"/>
        </w:trPr>
        <w:tc>
          <w:tcPr>
            <w:tcW w:w="54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2 Pembroke House, Upper Pembroke Street 28-32</w:t>
            </w:r>
          </w:p>
        </w:tc>
        <w:tc>
          <w:tcPr>
            <w:tcW w:w="2920" w:type="dxa"/>
            <w:vAlign w:val="bottom"/>
          </w:tcPr>
          <w:p>
            <w:pPr>
              <w:jc w:val="center"/>
              <w:ind w:left="1521"/>
              <w:spacing w:after="0"/>
              <w:rPr>
                <w:sz w:val="20"/>
                <w:szCs w:val="20"/>
                <w:color w:val="auto"/>
              </w:rPr>
            </w:pPr>
            <w:r>
              <w:rPr>
                <w:rFonts w:ascii="Arial" w:cs="Arial" w:eastAsia="Arial" w:hAnsi="Arial"/>
                <w:sz w:val="18"/>
                <w:szCs w:val="18"/>
                <w:b w:val="1"/>
                <w:bCs w:val="1"/>
                <w:color w:val="auto"/>
                <w:w w:val="94"/>
              </w:rPr>
              <w:t>Dublin 2, Ireland</w:t>
            </w:r>
          </w:p>
        </w:tc>
      </w:tr>
      <w:tr>
        <w:trPr>
          <w:trHeight w:val="186"/>
        </w:trPr>
        <w:tc>
          <w:tcPr>
            <w:tcW w:w="54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20" w:type="dxa"/>
            <w:vAlign w:val="bottom"/>
          </w:tcPr>
          <w:p>
            <w:pPr>
              <w:jc w:val="center"/>
              <w:ind w:left="15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7420" w:space="180"/>
            <w:col w:w="340" w:space="80"/>
            <w:col w:w="160" w:space="180"/>
            <w:col w:w="260" w:space="100"/>
            <w:col w:w="2700"/>
          </w:cols>
          <w:pgMar w:left="240" w:top="230" w:right="239" w:bottom="1440" w:gutter="0" w:footer="0" w:header="0"/>
          <w:type w:val="continuous"/>
        </w:sectPr>
      </w:pPr>
    </w:p>
    <w:p>
      <w:pPr>
        <w:spacing w:after="0" w:line="3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182,529,985 shares held as American Depository Shares (ADSs), each representing one Ordinary Share, 50 pence par value per share, and 865,904 ordinary shares, were outstanding as of August 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580" w:type="dxa"/>
            <w:vAlign w:val="bottom"/>
            <w:gridSpan w:val="11"/>
          </w:tcPr>
          <w:p>
            <w:pPr>
              <w:jc w:val="center"/>
              <w:ind w:right="412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300" w:type="dxa"/>
            <w:vAlign w:val="bottom"/>
          </w:tcPr>
          <w:p>
            <w:pPr>
              <w:spacing w:after="0"/>
              <w:rPr>
                <w:sz w:val="22"/>
                <w:szCs w:val="22"/>
                <w:color w:val="auto"/>
              </w:rPr>
            </w:pPr>
          </w:p>
        </w:tc>
      </w:tr>
      <w:tr>
        <w:trPr>
          <w:trHeight w:val="330"/>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560" w:type="dxa"/>
            <w:vAlign w:val="bottom"/>
            <w:gridSpan w:val="6"/>
          </w:tcPr>
          <w:p>
            <w:pPr>
              <w:spacing w:after="0"/>
              <w:rPr>
                <w:sz w:val="20"/>
                <w:szCs w:val="20"/>
                <w:color w:val="auto"/>
              </w:rPr>
            </w:pPr>
            <w:r>
              <w:rPr>
                <w:rFonts w:ascii="Arial" w:cs="Arial" w:eastAsia="Arial" w:hAnsi="Arial"/>
                <w:sz w:val="18"/>
                <w:szCs w:val="18"/>
                <w:color w:val="auto"/>
              </w:rPr>
              <w:t>Financial Statements (unaudited):</w:t>
            </w:r>
          </w:p>
        </w:tc>
        <w:tc>
          <w:tcPr>
            <w:tcW w:w="2460" w:type="dxa"/>
            <w:vAlign w:val="bottom"/>
            <w:tcBorders>
              <w:top w:val="single" w:sz="8" w:color="0000EE"/>
            </w:tcBorders>
            <w:gridSpan w:val="5"/>
          </w:tcPr>
          <w:p>
            <w:pPr>
              <w:spacing w:after="0"/>
              <w:rPr>
                <w:sz w:val="24"/>
                <w:szCs w:val="24"/>
                <w:color w:val="auto"/>
              </w:rPr>
            </w:pPr>
          </w:p>
        </w:tc>
        <w:tc>
          <w:tcPr>
            <w:tcW w:w="412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r>
      <w:tr>
        <w:trPr>
          <w:trHeight w:val="190"/>
        </w:trPr>
        <w:tc>
          <w:tcPr>
            <w:tcW w:w="880" w:type="dxa"/>
            <w:vAlign w:val="bottom"/>
          </w:tcPr>
          <w:p>
            <w:pPr>
              <w:spacing w:after="0"/>
              <w:rPr>
                <w:sz w:val="16"/>
                <w:szCs w:val="16"/>
                <w:color w:val="auto"/>
              </w:rPr>
            </w:pPr>
          </w:p>
        </w:tc>
        <w:tc>
          <w:tcPr>
            <w:tcW w:w="10140" w:type="dxa"/>
            <w:vAlign w:val="bottom"/>
            <w:gridSpan w:val="17"/>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2015 and December 31, 2014</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9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six months ended June 30, 2015 and 2014</w:t>
              </w:r>
            </w:hyperlink>
          </w:p>
        </w:tc>
        <w:tc>
          <w:tcPr>
            <w:tcW w:w="21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80" w:type="dxa"/>
            <w:vAlign w:val="bottom"/>
          </w:tcPr>
          <w:p>
            <w:pPr>
              <w:spacing w:after="0"/>
              <w:rPr>
                <w:sz w:val="17"/>
                <w:szCs w:val="17"/>
                <w:color w:val="auto"/>
              </w:rPr>
            </w:pPr>
          </w:p>
        </w:tc>
        <w:tc>
          <w:tcPr>
            <w:tcW w:w="81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Changes in Stockholders’ Deficit for the six months ended June 30, 2015</w:t>
              </w:r>
            </w:hyperlink>
          </w:p>
        </w:tc>
        <w:tc>
          <w:tcPr>
            <w:tcW w:w="20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8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2015 and 2014</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80" w:type="dxa"/>
            <w:vAlign w:val="bottom"/>
          </w:tcPr>
          <w:p>
            <w:pPr>
              <w:spacing w:after="0"/>
              <w:rPr>
                <w:sz w:val="17"/>
                <w:szCs w:val="17"/>
                <w:color w:val="auto"/>
              </w:rPr>
            </w:pPr>
          </w:p>
        </w:tc>
        <w:tc>
          <w:tcPr>
            <w:tcW w:w="7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84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40" w:type="dxa"/>
            <w:vAlign w:val="bottom"/>
            <w:gridSpan w:val="1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17"/>
                <w:szCs w:val="17"/>
                <w:color w:val="auto"/>
              </w:rPr>
            </w:pPr>
          </w:p>
        </w:tc>
        <w:tc>
          <w:tcPr>
            <w:tcW w:w="368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1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304"/>
        </w:trPr>
        <w:tc>
          <w:tcPr>
            <w:tcW w:w="8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gridSpan w:val="10"/>
          </w:tcPr>
          <w:p>
            <w:pPr>
              <w:jc w:val="center"/>
              <w:ind w:right="4220"/>
              <w:spacing w:after="0"/>
              <w:rPr>
                <w:rFonts w:ascii="Arial" w:cs="Arial" w:eastAsia="Arial" w:hAnsi="Arial"/>
                <w:sz w:val="18"/>
                <w:szCs w:val="18"/>
                <w:b w:val="1"/>
                <w:bCs w:val="1"/>
                <w:color w:val="0000EE"/>
                <w:w w:val="96"/>
              </w:rPr>
            </w:pPr>
            <w:hyperlink w:anchor="page50">
              <w:r>
                <w:rPr>
                  <w:rFonts w:ascii="Arial" w:cs="Arial" w:eastAsia="Arial" w:hAnsi="Arial"/>
                  <w:sz w:val="18"/>
                  <w:szCs w:val="18"/>
                  <w:b w:val="1"/>
                  <w:bCs w:val="1"/>
                  <w:color w:val="0000EE"/>
                  <w:w w:val="96"/>
                </w:rPr>
                <w:t>PART II – Other Information</w:t>
              </w:r>
            </w:hyperlink>
          </w:p>
        </w:tc>
        <w:tc>
          <w:tcPr>
            <w:tcW w:w="30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64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2280" w:type="dxa"/>
            <w:vAlign w:val="bottom"/>
            <w:tcBorders>
              <w:top w:val="single" w:sz="8" w:color="0000EE"/>
            </w:tcBorders>
            <w:gridSpan w:val="3"/>
          </w:tcPr>
          <w:p>
            <w:pPr>
              <w:spacing w:after="0"/>
              <w:rPr>
                <w:sz w:val="24"/>
                <w:szCs w:val="24"/>
                <w:color w:val="auto"/>
              </w:rPr>
            </w:pPr>
          </w:p>
        </w:tc>
        <w:tc>
          <w:tcPr>
            <w:tcW w:w="422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17"/>
                <w:szCs w:val="17"/>
                <w:color w:val="auto"/>
              </w:rPr>
            </w:pPr>
          </w:p>
        </w:tc>
        <w:tc>
          <w:tcPr>
            <w:tcW w:w="88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0140" w:type="dxa"/>
            <w:vAlign w:val="bottom"/>
            <w:gridSpan w:val="17"/>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540" w:type="dxa"/>
            <w:vAlign w:val="bottom"/>
            <w:gridSpan w:val="1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1020" w:type="dxa"/>
            <w:vAlign w:val="bottom"/>
            <w:gridSpan w:val="1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85"/>
        </w:trPr>
        <w:tc>
          <w:tcPr>
            <w:tcW w:w="8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700" w:type="dxa"/>
            <w:vAlign w:val="bottom"/>
            <w:gridSpan w:val="9"/>
          </w:tcPr>
          <w:p>
            <w:pPr>
              <w:jc w:val="right"/>
              <w:ind w:right="10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136,050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9,943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20,499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1,308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169,334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13,287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2,508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Intangible asset,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9,740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vMerge w:val="restart"/>
          </w:tcPr>
          <w:p>
            <w:pPr>
              <w:ind w:left="106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820" w:type="dxa"/>
            <w:vAlign w:val="bottom"/>
            <w:vMerge w:val="continue"/>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195,165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8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13,006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15,405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 current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21,004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16,387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50,271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40,306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Exchangeable senior notes, net of discount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124,629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90,522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Long-term debt derivative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Deferred revenue, long-term</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13,769</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820" w:type="dxa"/>
            <w:vAlign w:val="bottom"/>
          </w:tcPr>
          <w:p>
            <w:pPr>
              <w:ind w:left="14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286,517</w:t>
            </w: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259,555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and contingencies (Note 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3"/>
              </w:rPr>
              <w:t>Common stock, £0.50 par, unlimited authorized; 183,395,889 issued, 183,261,552 outstanding as of June 30,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2015; 174,610,451 issued, 174,590,372 outstanding as of December 31, 2014</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149,842</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700"/>
              <w:spacing w:after="0" w:line="201" w:lineRule="exact"/>
              <w:rPr>
                <w:sz w:val="20"/>
                <w:szCs w:val="20"/>
                <w:color w:val="auto"/>
              </w:rPr>
            </w:pPr>
            <w:r>
              <w:rPr>
                <w:rFonts w:ascii="Arial" w:cs="Arial" w:eastAsia="Arial" w:hAnsi="Arial"/>
                <w:sz w:val="18"/>
                <w:szCs w:val="18"/>
                <w:color w:val="auto"/>
                <w:w w:val="92"/>
              </w:rPr>
              <w:t>Series A Convertible Preferred Stock, £0.05 par, unlimited authorized; 289,317,460 issued and outstanding as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80"/>
              <w:spacing w:after="0"/>
              <w:rPr>
                <w:sz w:val="20"/>
                <w:szCs w:val="20"/>
                <w:color w:val="auto"/>
              </w:rPr>
            </w:pPr>
            <w:r>
              <w:rPr>
                <w:rFonts w:ascii="Arial" w:cs="Arial" w:eastAsia="Arial" w:hAnsi="Arial"/>
                <w:sz w:val="18"/>
                <w:szCs w:val="18"/>
                <w:color w:val="auto"/>
                <w:w w:val="93"/>
              </w:rPr>
              <w:t>of June 30, 2015 (equivalent to 28,931,746 ordinary shares upon future consolidation and redesignation at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tcPr>
          <w:p>
            <w:pPr>
              <w:ind w:left="880"/>
              <w:spacing w:after="0"/>
              <w:rPr>
                <w:sz w:val="20"/>
                <w:szCs w:val="20"/>
                <w:color w:val="auto"/>
              </w:rPr>
            </w:pPr>
            <w:r>
              <w:rPr>
                <w:rFonts w:ascii="Arial" w:cs="Arial" w:eastAsia="Arial" w:hAnsi="Arial"/>
                <w:sz w:val="18"/>
                <w:szCs w:val="18"/>
                <w:color w:val="auto"/>
              </w:rPr>
              <w:t>a 10:1 ratio); zero shares issued and outstanding as of December 31, 2014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21,375</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802,846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Treasury stock; 134,337 shares as of June 30, 2015; 20,079 shares as of December 31, 2014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(1,065,081)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(970,234)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820" w:type="dxa"/>
            <w:vAlign w:val="bottom"/>
          </w:tcPr>
          <w:p>
            <w:pPr>
              <w:ind w:left="1420"/>
              <w:spacing w:after="0"/>
              <w:rPr>
                <w:sz w:val="20"/>
                <w:szCs w:val="20"/>
                <w:color w:val="auto"/>
              </w:rPr>
            </w:pPr>
            <w:r>
              <w:rPr>
                <w:rFonts w:ascii="Arial" w:cs="Arial" w:eastAsia="Arial" w:hAnsi="Arial"/>
                <w:sz w:val="18"/>
                <w:szCs w:val="18"/>
                <w:color w:val="auto"/>
              </w:rPr>
              <w:t>Total stockholders’ deficit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(91,352)</w:t>
            </w:r>
          </w:p>
        </w:tc>
        <w:tc>
          <w:tcPr>
            <w:tcW w:w="1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(88,448)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LIABILITIES AND STOCKHOLDERS’ DEFICIT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195,165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5"/>
              </w:rPr>
              <w:t>Three months ended June 30,</w:t>
            </w:r>
          </w:p>
        </w:tc>
        <w:tc>
          <w:tcPr>
            <w:tcW w:w="190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 net</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Licensing revenue</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 net</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17,707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12,606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23,573</w:t>
            </w:r>
          </w:p>
        </w:tc>
        <w:tc>
          <w:tcPr>
            <w:tcW w:w="0" w:type="dxa"/>
            <w:vAlign w:val="bottom"/>
          </w:tcPr>
          <w:p>
            <w:pPr>
              <w:spacing w:after="0"/>
              <w:rPr>
                <w:sz w:val="1"/>
                <w:szCs w:val="1"/>
                <w:color w:val="auto"/>
              </w:rPr>
            </w:pPr>
          </w:p>
        </w:tc>
      </w:tr>
      <w:tr>
        <w:trPr>
          <w:trHeight w:val="324"/>
        </w:trPr>
        <w:tc>
          <w:tcPr>
            <w:tcW w:w="5720" w:type="dxa"/>
            <w:vAlign w:val="bottom"/>
            <w:gridSpan w:val="2"/>
          </w:tcPr>
          <w:p>
            <w:pPr>
              <w:spacing w:after="0"/>
              <w:rPr>
                <w:sz w:val="20"/>
                <w:szCs w:val="20"/>
                <w:color w:val="auto"/>
              </w:rPr>
            </w:pPr>
            <w:r>
              <w:rPr>
                <w:rFonts w:ascii="Arial" w:cs="Arial" w:eastAsia="Arial" w:hAnsi="Arial"/>
                <w:sz w:val="18"/>
                <w:szCs w:val="18"/>
                <w:color w:val="auto"/>
              </w:rPr>
              <w:t>Less: Cost of goods sold</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6,381</w:t>
            </w:r>
          </w:p>
        </w:tc>
        <w:tc>
          <w:tcPr>
            <w:tcW w:w="18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5,025</w:t>
            </w: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12,008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9,271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7,581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14,302</w:t>
            </w:r>
          </w:p>
        </w:tc>
        <w:tc>
          <w:tcPr>
            <w:tcW w:w="0" w:type="dxa"/>
            <w:vAlign w:val="bottom"/>
          </w:tcPr>
          <w:p>
            <w:pPr>
              <w:spacing w:after="0"/>
              <w:rPr>
                <w:sz w:val="1"/>
                <w:szCs w:val="1"/>
                <w:color w:val="auto"/>
              </w:rPr>
            </w:pPr>
          </w:p>
        </w:tc>
      </w:tr>
      <w:tr>
        <w:trPr>
          <w:trHeight w:val="318"/>
        </w:trPr>
        <w:tc>
          <w:tcPr>
            <w:tcW w:w="5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26,054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21,094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12,009</w:t>
            </w: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11,727</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24,623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23,434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38,063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32,821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65,113</w:t>
            </w:r>
          </w:p>
        </w:tc>
        <w:tc>
          <w:tcPr>
            <w:tcW w:w="0" w:type="dxa"/>
            <w:vAlign w:val="bottom"/>
          </w:tcPr>
          <w:p>
            <w:pPr>
              <w:spacing w:after="0"/>
              <w:rPr>
                <w:sz w:val="1"/>
                <w:szCs w:val="1"/>
                <w:color w:val="auto"/>
              </w:rPr>
            </w:pPr>
          </w:p>
        </w:tc>
      </w:tr>
      <w:tr>
        <w:trPr>
          <w:trHeight w:val="20"/>
        </w:trPr>
        <w:tc>
          <w:tcPr>
            <w:tcW w:w="57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7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(26,737)</w:t>
            </w:r>
          </w:p>
        </w:tc>
        <w:tc>
          <w:tcPr>
            <w:tcW w:w="18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(25,240)</w:t>
            </w:r>
          </w:p>
        </w:tc>
        <w:tc>
          <w:tcPr>
            <w:tcW w:w="12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(53,786)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(50,811)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7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(Loss) gain on change in fair value of derivative liabilities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38,034</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38,034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4,225</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 before taxes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(32,049)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15,734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(63,647)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537</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(62,638)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Preferred stock purchase option</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beneficial conversion feature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(31,341)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(31,341)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(loss) income applicable to common shareholders</w:t>
            </w:r>
          </w:p>
        </w:tc>
        <w:tc>
          <w:tcPr>
            <w:tcW w:w="15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(62,853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15,323</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(94,847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57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(Loss) earnings per share: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Basic</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0.09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324"/>
        </w:trPr>
        <w:tc>
          <w:tcPr>
            <w:tcW w:w="5720" w:type="dxa"/>
            <w:vAlign w:val="bottom"/>
            <w:gridSpan w:val="2"/>
          </w:tcPr>
          <w:p>
            <w:pPr>
              <w:spacing w:after="0"/>
              <w:rPr>
                <w:sz w:val="20"/>
                <w:szCs w:val="20"/>
                <w:color w:val="auto"/>
              </w:rPr>
            </w:pPr>
            <w:r>
              <w:rPr>
                <w:rFonts w:ascii="Arial" w:cs="Arial" w:eastAsia="Arial" w:hAnsi="Arial"/>
                <w:sz w:val="18"/>
                <w:szCs w:val="18"/>
                <w:color w:val="auto"/>
              </w:rPr>
              <w:t>Weighted average shares:</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180,464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172,886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178,036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172,879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180,464</w:t>
            </w:r>
          </w:p>
        </w:tc>
        <w:tc>
          <w:tcPr>
            <w:tcW w:w="18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207,674</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178,036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173,876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120" w:type="dxa"/>
            <w:vAlign w:val="bottom"/>
            <w:gridSpan w:val="3"/>
          </w:tcPr>
          <w:p>
            <w:pPr>
              <w:ind w:left="200"/>
              <w:spacing w:after="0"/>
              <w:rPr>
                <w:sz w:val="20"/>
                <w:szCs w:val="20"/>
                <w:color w:val="auto"/>
              </w:rPr>
            </w:pPr>
            <w:r>
              <w:rPr>
                <w:rFonts w:ascii="Arial" w:cs="Arial" w:eastAsia="Arial" w:hAnsi="Arial"/>
                <w:sz w:val="14"/>
                <w:szCs w:val="14"/>
                <w:b w:val="1"/>
                <w:bCs w:val="1"/>
                <w:color w:val="auto"/>
              </w:rPr>
              <w:t>Common</w:t>
            </w: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Preferred</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Accumulated</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1120" w:type="dxa"/>
            <w:vAlign w:val="bottom"/>
            <w:gridSpan w:val="3"/>
          </w:tcPr>
          <w:p>
            <w:pPr>
              <w:ind w:left="280"/>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6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2014</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174,610,451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$ 143,113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738,890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6"/>
              </w:rPr>
              <w:t>(217)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(970,234)</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$(88,448)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Issuance of Series A Convertible</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Preferred Stock, net</w:t>
            </w:r>
          </w:p>
        </w:tc>
        <w:tc>
          <w:tcPr>
            <w:tcW w:w="112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352,150,790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26,179</w:t>
            </w: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25,970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52,149</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Series A Convertible</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net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6,283,333</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(62,833,330)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4,804</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(4,804)</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Preferred stock purchase option</w:t>
            </w:r>
          </w:p>
        </w:tc>
        <w:tc>
          <w:tcPr>
            <w:tcW w:w="112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1,814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(868)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Preferred stock beneficial conversion</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feature</w:t>
            </w:r>
          </w:p>
        </w:tc>
        <w:tc>
          <w:tcPr>
            <w:tcW w:w="11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31,341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(31,341)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18,020</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1,844,585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639,500</w:t>
            </w:r>
          </w:p>
        </w:tc>
        <w:tc>
          <w:tcPr>
            <w:tcW w:w="140" w:type="dxa"/>
            <w:vAlign w:val="bottom"/>
          </w:tcPr>
          <w:p>
            <w:pPr>
              <w:spacing w:after="0"/>
              <w:rPr>
                <w:sz w:val="18"/>
                <w:szCs w:val="18"/>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(114,258)</w:t>
            </w:r>
          </w:p>
        </w:tc>
        <w:tc>
          <w:tcPr>
            <w:tcW w:w="900" w:type="dxa"/>
            <w:vAlign w:val="bottom"/>
            <w:gridSpan w:val="3"/>
          </w:tcPr>
          <w:p>
            <w:pPr>
              <w:ind w:left="48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provision on stock-based</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1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4,840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(62,638)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(62,638)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960" w:type="dxa"/>
            <w:vAlign w:val="bottom"/>
          </w:tcPr>
          <w:p>
            <w:pPr>
              <w:spacing w:after="0"/>
              <w:rPr>
                <w:sz w:val="20"/>
                <w:szCs w:val="20"/>
                <w:color w:val="auto"/>
              </w:rPr>
            </w:pPr>
            <w:r>
              <w:rPr>
                <w:rFonts w:ascii="Arial" w:cs="Arial" w:eastAsia="Arial" w:hAnsi="Arial"/>
                <w:sz w:val="18"/>
                <w:szCs w:val="18"/>
                <w:b w:val="1"/>
                <w:bCs w:val="1"/>
                <w:color w:val="auto"/>
              </w:rPr>
              <w:t>June 30, 2015</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183,395,889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289,317,460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5"/>
              </w:rPr>
              <w:t>(134,337)</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149,842</w:t>
            </w: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21,375</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802,846</w:t>
            </w:r>
          </w:p>
        </w:tc>
        <w:tc>
          <w:tcPr>
            <w:tcW w:w="22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(334)</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(1,065,081)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(91,352)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(62,638)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Stock-based compensation—warrants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provision on (benefit from) stock-based awards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Amortization of debt discount and debt issuance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3,688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Loss (gain) on changes in fair value of derivative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extinguishment of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(6,766)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and 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14,625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(37,619)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stock, net of transaction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Debt issuance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Excess tax (provision on) benefit from stock-based awards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tcPr>
          <w:p>
            <w:pPr>
              <w:ind w:left="106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119,539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191,514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136,050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150,528</w:t>
            </w:r>
          </w:p>
        </w:tc>
        <w:tc>
          <w:tcPr>
            <w:tcW w:w="0" w:type="dxa"/>
            <w:vAlign w:val="bottom"/>
          </w:tcPr>
          <w:p>
            <w:pPr>
              <w:spacing w:after="0"/>
              <w:rPr>
                <w:sz w:val="1"/>
                <w:szCs w:val="1"/>
                <w:color w:val="auto"/>
              </w:rPr>
            </w:pPr>
          </w:p>
        </w:tc>
      </w:tr>
      <w:tr>
        <w:trPr>
          <w:trHeight w:val="20"/>
        </w:trPr>
        <w:tc>
          <w:tcPr>
            <w:tcW w:w="94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during the year for: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700"/>
              <w:spacing w:after="0"/>
              <w:rPr>
                <w:sz w:val="20"/>
                <w:szCs w:val="20"/>
                <w:color w:val="auto"/>
              </w:rPr>
            </w:pPr>
            <w:r>
              <w:rPr>
                <w:rFonts w:ascii="Arial" w:cs="Arial" w:eastAsia="Arial" w:hAnsi="Arial"/>
                <w:sz w:val="18"/>
                <w:szCs w:val="18"/>
                <w:color w:val="auto"/>
              </w:rPr>
              <w:t>Interest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5,829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440" w:type="dxa"/>
            <w:vAlign w:val="bottom"/>
            <w:shd w:val="clear" w:color="auto" w:fill="CCEEFF"/>
          </w:tcPr>
          <w:p>
            <w:pPr>
              <w:ind w:left="700"/>
              <w:spacing w:after="0" w:line="196" w:lineRule="exact"/>
              <w:rPr>
                <w:sz w:val="20"/>
                <w:szCs w:val="20"/>
                <w:color w:val="auto"/>
              </w:rPr>
            </w:pPr>
            <w:r>
              <w:rPr>
                <w:rFonts w:ascii="Arial" w:cs="Arial" w:eastAsia="Arial" w:hAnsi="Arial"/>
                <w:sz w:val="18"/>
                <w:szCs w:val="18"/>
                <w:color w:val="auto"/>
              </w:rPr>
              <w:t>Income taxes</w:t>
            </w:r>
          </w:p>
        </w:tc>
        <w:tc>
          <w:tcPr>
            <w:tcW w:w="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171</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340"/>
              <w:spacing w:after="0"/>
              <w:rPr>
                <w:sz w:val="20"/>
                <w:szCs w:val="20"/>
                <w:color w:val="auto"/>
              </w:rPr>
            </w:pPr>
            <w:r>
              <w:rPr>
                <w:rFonts w:ascii="Arial" w:cs="Arial" w:eastAsia="Arial" w:hAnsi="Arial"/>
                <w:sz w:val="18"/>
                <w:szCs w:val="18"/>
                <w:color w:val="auto"/>
              </w:rPr>
              <w:t>Non-cash transactions: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4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Transfer of preferred stock purchase option derivative liability to equity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700"/>
              <w:spacing w:after="0"/>
              <w:rPr>
                <w:sz w:val="20"/>
                <w:szCs w:val="20"/>
                <w:color w:val="auto"/>
              </w:rPr>
            </w:pPr>
            <w:r>
              <w:rPr>
                <w:rFonts w:ascii="Arial" w:cs="Arial" w:eastAsia="Arial" w:hAnsi="Arial"/>
                <w:sz w:val="18"/>
                <w:szCs w:val="18"/>
                <w:color w:val="auto"/>
              </w:rPr>
              <w:t>Conversion of Series A Convertible Preferred Stock into common stock</w:t>
            </w:r>
          </w:p>
        </w:tc>
        <w:tc>
          <w:tcPr>
            <w:tcW w:w="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4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4,804</w:t>
            </w:r>
          </w:p>
        </w:tc>
        <w:tc>
          <w:tcPr>
            <w:tcW w:w="2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440" w:type="dxa"/>
            <w:vAlign w:val="bottom"/>
            <w:shd w:val="clear" w:color="auto" w:fill="CCEEFF"/>
          </w:tcPr>
          <w:p>
            <w:pPr>
              <w:ind w:left="700"/>
              <w:spacing w:after="0" w:line="196" w:lineRule="exact"/>
              <w:rPr>
                <w:sz w:val="20"/>
                <w:szCs w:val="20"/>
                <w:color w:val="auto"/>
              </w:rPr>
            </w:pPr>
            <w:r>
              <w:rPr>
                <w:rFonts w:ascii="Arial" w:cs="Arial" w:eastAsia="Arial" w:hAnsi="Arial"/>
                <w:sz w:val="18"/>
                <w:szCs w:val="18"/>
                <w:color w:val="auto"/>
              </w:rPr>
              <w:t>Accretion of preferred stock beneficial conversion feature</w:t>
            </w:r>
          </w:p>
        </w:tc>
        <w:tc>
          <w:tcPr>
            <w:tcW w:w="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31,341</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700"/>
              <w:spacing w:after="0"/>
              <w:rPr>
                <w:sz w:val="20"/>
                <w:szCs w:val="20"/>
                <w:color w:val="auto"/>
              </w:rPr>
            </w:pPr>
            <w:r>
              <w:rPr>
                <w:rFonts w:ascii="Arial" w:cs="Arial" w:eastAsia="Arial" w:hAnsi="Arial"/>
                <w:sz w:val="18"/>
                <w:szCs w:val="18"/>
                <w:color w:val="auto"/>
              </w:rPr>
              <w:t>Reacquisition of conversion option in convertible notes</w:t>
            </w:r>
          </w:p>
        </w:tc>
        <w:tc>
          <w:tcPr>
            <w:tcW w:w="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4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10,100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37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lead product, Vascepa</w:t>
      </w:r>
      <w:r>
        <w:rPr>
          <w:rFonts w:ascii="Arial" w:cs="Arial" w:eastAsia="Arial" w:hAnsi="Arial"/>
          <w:sz w:val="14"/>
          <w:szCs w:val="14"/>
          <w:color w:val="auto"/>
        </w:rPr>
        <w:t>®</w:t>
      </w:r>
      <w:r>
        <w:rPr>
          <w:rFonts w:ascii="Arial" w:cs="Arial" w:eastAsia="Arial" w:hAnsi="Arial"/>
          <w:sz w:val="17"/>
          <w:szCs w:val="17"/>
          <w:color w:val="auto"/>
        </w:rPr>
        <w:t xml:space="preserve"> (icosapent ethyl) capsules, is approved by the U.S. Food and Drug Administration, or FDA, for use as an adjunct to diet to reduce triglyceride levels in adult patients with severe (TG ³500 mg/dL) hypertriglyceridemia. Vascepa is available in the United States by prescription only. The Company began selling and marketing Vascepa in the United States in January 2013. 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The Company markets Vascepa through its sales force of approximately 150 sales professionals, including sales representatives and their managers. In May 2014, Kowa Pharmaceuticals America, Inc. commenced co-promotion of Vascepa in accordance with a co-promotion agreement the Company entered into with Kowa Pharmaceuticals America, Inc. Kowa Pharmaceuticals America, Inc. co-promotes Vascepa through its approximately 250 sales representatives who now devote a substantial portion of their time to promoting Vascepa in conjunction with the promotion of Kowa Pharmaceutical America, Inc.’s primary product, a branded statin for patients with high cholesterol. The Company operates in one business segment.</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also developing Vascepa for potential additional indications for use. In particular, the Company is conducting a cardiovascular outcomes study of Vascepa, titled REDUCE-IT (Reduction of Cardiovascular Events with EPA—Intervention Trial). The REDUCE-IT study, the data of which remain blinded to the Company, is designed to evaluate the efficacy of Vascepa in reducing major cardiovascular events in a high-risk patient population on statin therapy.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2014, or the 2014 Form 10-K, filed with the SEC. The balance sheet amounts as of December 31, 2014 in this report were derived from the Company’s audited 2014 consolidated financial statements included in the 2014 Form 10-K.</w:t>
      </w:r>
    </w:p>
    <w:p>
      <w:pPr>
        <w:spacing w:after="0" w:line="19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(“GAAP”) requires management to make estimates and assumptions that affect the reported amounts of assets and liabilities, disclosure of contingent assets and liabilities as of the date of the financial statements, and the reported amounts of revenues and expenses during the reporting period. The results of operations for the three and six months ended June 30, 2015 and June 30, 2014, respectively, are not necessarily indicative of the results for the entire fiscal year or any future period.</w:t>
      </w:r>
    </w:p>
    <w:p>
      <w:pPr>
        <w:spacing w:after="0" w:line="16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The condensed consolidated financial statements include the accounts of the Company and its wholly-owned subsidiaries. All intercompany accounts and transactions have been eliminated in consolidation.</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June 30, 2015, the Company had cash and cash equivalents of $136.0 million. The Company’s condensed consolidated balance sheets also include derivative liabilities as well as long-term debt and exchangeable senior notes. The outstanding January 2012 exchangeable senior notes, or the 2012 Notes, and May 2014 exchangeable senior notes, or the 2014 Notes, may be redeemed on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after January 19, 2017 and January 19, 2019, respectively, at the option of the holders and it is not puttable by the holders prior to these dates except upon the occurrence of certain contingent events. The 2012 Notes are exchangeable under certain circumstances into cash, American Depository Shares, or ADSs, or a combination of cash and ADSs, at the Company’s election. The 2014 Notes are exchangeable under certain circumstances into ADSs. Accordingly, the long-term debt and exchangeable senior notes do not represent a short-term claim on the liquid assets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its cash and cash equivalents will be sufficient to fund its projected operations for at least the next twelve months.</w:t>
      </w:r>
    </w:p>
    <w:p>
      <w:pPr>
        <w:spacing w:after="0" w:line="37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Principles of Consolidation</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accounts and transactions have been eliminated in consolidation.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amounts recorded for licensing revenue, contingencies and accruals and valuations of derivative and long-term debt instruments. Because of the uncertainties inherent in such estimates, actual results may differ from these estimates. Management periodically evaluates estimates used in the preparation of the condensed consolidated financial statements for continued reasonableness.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Use of Forecasted Financial Information in Accounting Estimates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use of forecasted financial information is inherent in many of the Company’s accounting estimates, including but not limited to, determining the estimated fair values of derivatives, debt instruments and intangible assets, and evaluating the need for valuation allowances for deferred tax assets.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Patients are required to have a prescription in order to purchase Vascepa. In accordance with GAAP, the Company’s revenue recognition policy requires that: (i) there is persuasive evidence that an arrangement exists between the Company and the Distributor, (ii) delivery has occurred, (iii) collectability is reasonably assured and (iv) the price is fixed or determinable.</w:t>
      </w:r>
    </w:p>
    <w:p>
      <w:pPr>
        <w:spacing w:after="0" w:line="18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commenced its commercial launch in the United States in January 2013. Prior to 2013, the Company recognized no revenue from Vascepa sales. In accordance with GAAP, until the Company had the ability to reliably estimate returns of Vascepa from its Distributors, revenue was recognized based on the resale of Vascepa for the purposes of filling patient prescriptions, and not based on sales from the Company to such Distributors. Beginning in January 2014, the Company concluded that it had developed sufficient history such that it can reliably estimate returns and as a result, began to recognize revenue based on sales to its Distributors. The change in revenue recognition methodology resulted in the recognition of previously deferred revenue. As of December 31, 2013, the Company had deferred approximately $1.7 million in amounts billed to Distributors that was not recognized as revenue. This change in revenue recognition methodology resulted in the recognition of such deferred revenues in the three months ended March 31, 2014.</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has contracts with its primary Distributors and delivery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or when the product is utilized. In order to conclude that the price is fixed or determinable, the Company must be able to (i) calculate its gross product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revenues from the sales to Distributors and (ii) reasonably estimate its net product revenues. The Company calculates gross product revenues based on the wholesale acquisition cost that the Company charges its Distributors for Vascepa. The Company estimates its net product revenues by deducting from its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80" w:lineRule="exact"/>
        <w:rPr>
          <w:sz w:val="20"/>
          <w:szCs w:val="20"/>
          <w:color w:val="auto"/>
        </w:rPr>
      </w:pPr>
    </w:p>
    <w:p>
      <w:pPr>
        <w:ind w:left="920" w:firstLine="420"/>
        <w:spacing w:after="0" w:line="255" w:lineRule="auto"/>
        <w:rPr>
          <w:sz w:val="20"/>
          <w:szCs w:val="20"/>
          <w:color w:val="auto"/>
        </w:rPr>
      </w:pPr>
      <w:r>
        <w:rPr>
          <w:rFonts w:ascii="Arial" w:cs="Arial" w:eastAsia="Arial" w:hAnsi="Arial"/>
          <w:sz w:val="18"/>
          <w:szCs w:val="18"/>
          <w:i w:val="1"/>
          <w:iCs w:val="1"/>
          <w:color w:val="auto"/>
        </w:rPr>
        <w:t xml:space="preserve">Trade Allowances: </w:t>
      </w:r>
      <w:r>
        <w:rPr>
          <w:rFonts w:ascii="Arial" w:cs="Arial" w:eastAsia="Arial" w:hAnsi="Arial"/>
          <w:sz w:val="18"/>
          <w:szCs w:val="18"/>
          <w:color w:val="auto"/>
        </w:rPr>
        <w:t>The Company generally provides invoice discounts on Vascepa sales to its Distributors for prompt payment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fees for distribution services, such as fees for certain data that Distributors provide to the Company. The payment terms for sales to Distributors generally include a 2% discount for payment within 30 days while the fees for distribution services are based on contractual rates agreed with the respective Distributors. Based on the Company’s judgment and experience, the Company expects its Distributors to earn these discounts and fees, and deducts the full amount of these discounts and fees from its gross product revenues and accounts receivable at the time such revenues are recognized.</w:t>
      </w:r>
    </w:p>
    <w:p>
      <w:pPr>
        <w:spacing w:after="0" w:line="85" w:lineRule="exact"/>
        <w:rPr>
          <w:sz w:val="20"/>
          <w:szCs w:val="20"/>
          <w:color w:val="auto"/>
        </w:rPr>
      </w:pPr>
    </w:p>
    <w:p>
      <w:pPr>
        <w:ind w:left="920" w:right="60" w:firstLine="420"/>
        <w:spacing w:after="0" w:line="272" w:lineRule="auto"/>
        <w:rPr>
          <w:sz w:val="20"/>
          <w:szCs w:val="20"/>
          <w:color w:val="auto"/>
        </w:rPr>
      </w:pPr>
      <w:r>
        <w:rPr>
          <w:rFonts w:ascii="Arial" w:cs="Arial" w:eastAsia="Arial" w:hAnsi="Arial"/>
          <w:sz w:val="17"/>
          <w:szCs w:val="17"/>
          <w:i w:val="1"/>
          <w:iCs w:val="1"/>
          <w:color w:val="auto"/>
        </w:rPr>
        <w:t xml:space="preserve">Rebates, Chargebacks and Discounts: </w:t>
      </w:r>
      <w:r>
        <w:rPr>
          <w:rFonts w:ascii="Arial" w:cs="Arial" w:eastAsia="Arial" w:hAnsi="Arial"/>
          <w:sz w:val="17"/>
          <w:szCs w:val="17"/>
          <w:color w:val="auto"/>
        </w:rPr>
        <w:t>The Company contracts with Medicaid, other government agencies and various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70" w:lineRule="exact"/>
        <w:rPr>
          <w:sz w:val="20"/>
          <w:szCs w:val="20"/>
          <w:color w:val="auto"/>
        </w:rPr>
      </w:pPr>
    </w:p>
    <w:p>
      <w:pPr>
        <w:ind w:left="920" w:right="40" w:firstLine="420"/>
        <w:spacing w:after="0" w:line="269"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The Company’s Distributors have the right to return unopened unprescribed Vascepa during the 18-month period</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six 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As of June 30, 2015, the Company had experienced a de minimis quantity of product returns.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 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w:t>
      </w:r>
    </w:p>
    <w:p>
      <w:pPr>
        <w:spacing w:after="0" w:line="75" w:lineRule="exact"/>
        <w:rPr>
          <w:sz w:val="20"/>
          <w:szCs w:val="20"/>
          <w:color w:val="auto"/>
        </w:rPr>
      </w:pPr>
    </w:p>
    <w:p>
      <w:pPr>
        <w:ind w:left="920" w:right="20" w:firstLine="420"/>
        <w:spacing w:after="0" w:line="290"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 adjusts its accruals for co-pay mitigation rebates based on actual redemption activity and estimates regarding the portion of issued co-pay mitigation rebates that it estimates will be redeemed.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activity in each of the net product revenue allowance and reserve categories described above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2014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Trade</w:t>
            </w:r>
          </w:p>
        </w:tc>
        <w:tc>
          <w:tcPr>
            <w:tcW w:w="1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Rebates,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Allowances</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Discounts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Incentives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2,207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481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792</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6,044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11,957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(3,810)</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(6,243)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(2,149)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(2,039)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Balance as of June 30, 2015</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79"/>
              </w:rPr>
              <w:t>743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Trade</w:t>
            </w:r>
          </w:p>
        </w:tc>
        <w:tc>
          <w:tcPr>
            <w:tcW w:w="140" w:type="dxa"/>
            <w:vAlign w:val="bottom"/>
          </w:tcPr>
          <w:p>
            <w:pPr>
              <w:spacing w:after="0"/>
              <w:rPr>
                <w:sz w:val="24"/>
                <w:szCs w:val="2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Rebates,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Allowances</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Discounts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Incentives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1,071</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4,978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2,254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(2,082)</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(3,301)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Balance as of June 30, 2014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1,388</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79"/>
              </w:rPr>
              <w:t>247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Multiple-Element Arrangements and Licensing Revenue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When evaluating multiple-element arrangements, the Company identifies the deliverables included within the agreement and evaluates which deliverables represent separate units of accounting based on whether the delivered element has stand-alone value to the customer or if the arrangement includes a general right of return for delivered items.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consideration received is allocated between each of the separable elements in the arrangement using the relative selling price method. The selling price used for each separable element will be based on vendor specific objective evidence (“VSOE”) if available, third party evidence if VSOE is not available, or estimated selling price if neither VSOE nor third party evidence is available. Revenue is then recognized as each of the separable elements to which the revenue has been allocated is delivered.</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may receive up-front, non-refundable payments when licensing its intellectual property in conjunction with research, development and commercialization agreements. In determining the units of accounting, management evaluates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 of the Company.</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When management believes the license to its intellectual property does not have stand-alone value from the other deliverables to be provided in the arrangement, the Company generally recognizes revenue attributable to the license over the Company’s contractual or estimated performance period. Any unrecognized portion of license revenue is classified within deferred revenue in the accompanying condensed consolidated balance sheets. When management believes the license to its intellectual property has stand-alone value, the Company recognizes revenue attributed to the license upon delivery. The periods over which revenue is recognized is subject to estimates by management and may change over the course of the agreement. Such a change could have a material impact on the amount of revenue the Company records in future periods.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Milestones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Contingent consideration from activities that is earned upon the achievement of a substantive milestone is recognized in its entirety in the period in which the milestone is achieved. At the inception of each arrangement that includes milestone payments, the Company evaluates whether each milestone is substantive. This evaluation includes an assessment of whether: (a) the consideration 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commensurate with either (1) 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within the arrangement. The Company evaluates factors such as the scientific, clinical, regulatory, commercial and other risks that must be overcome to achieve the respective milestone, the level of effort and investment required and whether the milestone consideration is reasonable relative to all deliverables and payment terms in the arrangement in making this assessment.</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Distribution Costs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records distribution costs related to shipping product to its customers, primarily through the use of common carriers or external distribution services, in cost of goods sold.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Accounts receivable, net, comprised of trade receivables, are generally due within 30 days and are stated at amounts due from customers. The Company does not currently maintain an allowance for doubtful accounts and has not historically experienced any credit losses.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accounts receivable reserves on the gross trade accounts receivable balances as of June 30,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(in thousands):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June 30, 2015</w:t>
            </w:r>
          </w:p>
        </w:tc>
        <w:tc>
          <w:tcPr>
            <w:tcW w:w="1660" w:type="dxa"/>
            <w:vAlign w:val="bottom"/>
            <w:gridSpan w:val="4"/>
          </w:tcPr>
          <w:p>
            <w:pPr>
              <w:ind w:left="380"/>
              <w:spacing w:after="0"/>
              <w:rPr>
                <w:sz w:val="20"/>
                <w:szCs w:val="20"/>
                <w:color w:val="auto"/>
              </w:rPr>
            </w:pPr>
            <w:r>
              <w:rPr>
                <w:rFonts w:ascii="Arial" w:cs="Arial" w:eastAsia="Arial" w:hAnsi="Arial"/>
                <w:sz w:val="14"/>
                <w:szCs w:val="14"/>
                <w:b w:val="1"/>
                <w:bCs w:val="1"/>
                <w:color w:val="auto"/>
                <w:w w:val="99"/>
              </w:rPr>
              <w:t>December 31, 2014</w:t>
            </w: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trade accounts receivable</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12,329</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Trade allowances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(2,289)</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(2,207)</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Chargebacks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9,943</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12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 states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the Company will reduce the carrying value of such inventory to market value. The Company received FDA approval for Vascepa on July 26, 2012 and after that date began capitalizing inventory purchases of saleable product from approved suppliers. Until an active pharmaceutical ingredient, or API, supplier is approved, all Vascepa API purchased from such supplier is included as a component of research and development expense. Upon sNDA approval of each additional supplier, the Company capitalizes subsequent Vascepa API purchases from such supplier as inventory. Purchases of Vascepa API received and expensed before such regulatory approvals is not subsequently capitalized, and all such purchases are quarantined and not used for commercial supply until such time as the sNDA for the supplier that produced the API is approved. The Company expenses inventory identified for use as marketing samples when they are packaged. The average cost reflects the actual purchase price of Vascepa API.</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Asset Classification</w:t>
            </w:r>
          </w:p>
        </w:tc>
        <w:tc>
          <w:tcPr>
            <w:tcW w:w="1940" w:type="dxa"/>
            <w:vAlign w:val="bottom"/>
            <w:tcBorders>
              <w:bottom w:val="single" w:sz="8" w:color="CCEEFF"/>
            </w:tcBorders>
          </w:tcPr>
          <w:p>
            <w:pPr>
              <w:spacing w:after="0"/>
              <w:rPr>
                <w:sz w:val="16"/>
                <w:szCs w:val="16"/>
                <w:color w:val="auto"/>
              </w:rPr>
            </w:pPr>
          </w:p>
        </w:tc>
        <w:tc>
          <w:tcPr>
            <w:tcW w:w="188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Lives</w:t>
            </w:r>
          </w:p>
        </w:tc>
      </w:tr>
      <w:tr>
        <w:trPr>
          <w:trHeight w:val="210"/>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88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3 - 5 years</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88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8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Lesser of useful life or lease term</w:t>
            </w:r>
          </w:p>
        </w:tc>
      </w:tr>
      <w:tr>
        <w:trPr>
          <w:trHeight w:val="365"/>
        </w:trPr>
        <w:tc>
          <w:tcPr>
            <w:tcW w:w="1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80" w:type="dxa"/>
            <w:vAlign w:val="bottom"/>
          </w:tcPr>
          <w:p>
            <w:pPr>
              <w:jc w:val="right"/>
              <w:ind w:right="970"/>
              <w:spacing w:after="0"/>
              <w:rPr>
                <w:sz w:val="20"/>
                <w:szCs w:val="20"/>
                <w:color w:val="auto"/>
              </w:rPr>
            </w:pPr>
            <w:r>
              <w:rPr>
                <w:rFonts w:ascii="Arial" w:cs="Arial" w:eastAsia="Arial" w:hAnsi="Arial"/>
                <w:sz w:val="18"/>
                <w:szCs w:val="18"/>
                <w:color w:val="auto"/>
              </w:rPr>
              <w:t>11</w:t>
            </w:r>
          </w:p>
        </w:tc>
        <w:tc>
          <w:tcPr>
            <w:tcW w:w="27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Upon retirement or sale of assets, the cost of the assets disposed and the related accumulated depreciation are removed from the balance sheet and any resulting gain or loss is credited or expensed to operations. Repairs and maintenance costs are expensed as incurred.</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11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Intangible assets consist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See Note 7—Commitments and Contingencies for further information regarding other obligations related to the acquisition of Laxdale Limited.</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Beneficial Conversion Feature</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issued Series A preference shares that contain a conversion feature whereby such shares are convertible into ordinary shares at a fixed rate. The conversion price on the date of issuance was less than the market price of the Company’s ordinary shares. It was determined that this discount represents a contingent beneficial conversion feature, which was valued based on the difference between the conversion price and the market price of the ordinary shares on the date of issuance, which is the commitment date. This feature is analogous to a preference dividend and was recorded as a non-cash return to preferred shareholders through accumulated deficit upon the earliest possible date of conversion, which occurred in the three months ended June 30, 2015 upon effectiveness of the related resale Registration Statement on Form S-3. See Note 8—Equity for further discussion.</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Costs for Patent Litigation and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for patent litigation or other legal proceedings are expensed as incurred and included in selling, general and administrative expenses.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11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Company charges selling, general and administrative costs to operations as incurred. Selling, general and administrative costs include costs of salaries, programs and infrastructure necessary for the general conduct of the Company’s business, including those incurred as a result of the commercialization of Vascepa in the United States for the MARINE indication as well as co-promotion fees payable to Kowa Pharmaceuticals America, Inc.</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regularly assesses the realizability of deferred tax assets. Changes in historical earnings performance and future earnings projections, among other factors, may cause the Company to adjust its valuation allowance on deferred tax assets, which would impact the Company’s income tax expense in the period in which it is determined that these factors have changed.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due to the nature of instrument. The long-term debt redemption features are valued using probability-weighted models incorporating management estimates for potential change in control, and by determining the fair value of the debt with and without the change in control provision included.</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liability lapse, the derivative financial liability is reclassified out of financial liabilities into equity at its fair value on that date. The cash proceeds received from exercises of warrants are recorded in common stock and additional paid-in capital.</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Loss or Earnings per Share</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Basic net loss or earnings per share is determined by dividing net loss or income by the weighted average shares of common stock outstanding during the period. Diluted net loss or earnings per share is determined by dividing net loss or income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 However, in certain periods in which there is a gain recorded pursuant to the change in fair value of the warrant derivative liability, for diluted net loss per share purposes, the impact of such gains is reversed and the treasury stock method is used to determine diluted net loss per share.</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calculation of net loss or income and the number of shares used to compute basic and diluted net loss or earnings per share for the three and six months ended June 30, 2015 and 2014 are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(31,512)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(62,638)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Preferred stock purchase option (see Note 8)</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beneficial conversion feature (see Note 8)</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(31,341)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(31,341)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Net (loss) income applicable to common shareholders—basic</w:t>
            </w:r>
          </w:p>
        </w:tc>
        <w:tc>
          <w:tcPr>
            <w:tcW w:w="1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(62,853)</w:t>
            </w: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(94,847)</w:t>
            </w: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Gain on warrant derivative liability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Gain on exchangeable senior notes derivative liability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 interest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Net (loss) income—diluted</w:t>
            </w:r>
          </w:p>
        </w:tc>
        <w:tc>
          <w:tcPr>
            <w:tcW w:w="1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(62,853)</w:t>
            </w: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(94,966)</w:t>
            </w: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 per share—basic</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Weighted average shares outstanding—basic</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180,464</w:t>
            </w: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172,886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178,036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172,879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warrants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restricted stock</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Effect of dilutive exchangeable senior notes (if converted)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31,526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180,464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207,674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178,036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173,876</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Net (loss) earnings per share—diluted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1">
            <w:col w:w="11340"/>
          </w:cols>
          <w:pgMar w:left="240" w:top="459" w:right="319" w:bottom="1440" w:gutter="0" w:footer="0" w:header="0"/>
        </w:sectPr>
      </w:pPr>
    </w:p>
    <w:p>
      <w:pPr>
        <w:jc w:val="center"/>
        <w:ind w:right="-7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40"/>
          </w:cols>
          <w:pgMar w:left="240" w:top="459" w:right="3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and six months ended June 30, 2015 and 2014, the following potentially dilutive securities were not included in the computation of net loss or earnings per share because the effect would be anti-dilutive: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7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June 30,</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June 30,</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June 30,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730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11,750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10,644</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11,750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4,046</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4,046</w:t>
            </w:r>
          </w:p>
        </w:tc>
        <w:tc>
          <w:tcPr>
            <w:tcW w:w="3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Exchangeable senior notes (if converted)</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49,215</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49,215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49,215</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(if converted)</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28,932</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28,932</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Debt instruments are initially recorded at fair value, with coupon interest and amortization of debt issuance discounts recognized in the statement of operations as interest expense each period in which such instruments are outstanding. If the Company issues shares to discharge the liability, the debt obligation is derecognized and common stock and additional paid-in capital are recognized on the issuance of those shares. The conversion features in both the 2012 Notes and 2014 Notes qualify for the exception from derivative accounting in accordance with ASC 815-40. The 2012 Notes may be settled, at the Company’s discretion, in any combination of ADSs or cash upon conversion and have been accounted for in accordance with ASC 470-20. Under ASC 470-20, the fair value of the liability component of the 2012 Notes was determined and deducted from the initial proceeds to determine the proceeds allocated to the conversion option, which has been recorded in equity. The difference between the initial fair value of the liability component and the amount repayable is amortized over the expected term of the instrument. The conversion feature in the 2014 Notes may only be settled in ADSs upon conversion and has been accounted for as part of the debt host.</w:t>
      </w:r>
    </w:p>
    <w:p>
      <w:pPr>
        <w:spacing w:after="0" w:line="18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conversion options in both the 2012 Notes and 2014 Notes continue to be evaluated on a quarterly basis to determine if they still receive an exception from derivative accounting in accordance with ASC 815-40. The 2014 Notes were recognized initially at fair value as part of an extinguishment of a portion of the 2012 Notes (see further discussion in Note 6). As a result, the debt was initially recognized at a discount of $27.9 million. This discount will be amortized through interest expense over the expected term of the note.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12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The Company’s top three customers accounted for 95% of gross product sales for each of the six months ended June 30, 2015 and 2014, and represented 96% of the gross accounts receivable balance as of June 30, 2015 and 2014. The Company has not experienced any write-offs of its accounts receivable.</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has contractual freedom to source the API for Vascepa and has entered into supply agreements with multiple suppliers. The Company’s supply of product for commercial sale and clinical trials is dependent upon relationships with third party manufacturers and key suppliers, in particular suppliers of API for Vascepa.</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has had a Vascepa API supply agreement with Nisshin Pharma, Inc., or Nisshin, since 2010. In 2011, the Company entered into API supply agreements with two additional suppliers, Chemport, Inc., or Chemport, and BASF (formerly Equateq Limited). In 2012, the Company entered into, and in 2014 terminated, an API supply agreement with a fourth supplier, a consortium of companies led by Slanmhor Pharmaceutical, Inc. (Slanmhor). The Company terminated its API supply agreement with BASF in February 2014. In June 2015, the Company entered into an API supply agreement with Finorga SAS (Novasep), which was formerly part of the Slanmhor consortium. For the six months ended June 30, 2015 and 2014, all of the Company’s net product sales were generated from API purchased from Nisshin and Chemport.</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cannot provide assurance that its efforts to procure uninterrupted supply of Vascepa API to meet market demand will continue to be successful or that it will be able to renew current API supply agreements on favorable terms or at all. Significant alteration to or termination of the Company’s current API supply chain or its failure to enter into new and similar agreements, if needed, could have a material adverse effect on its business, condition (financial and other), prospects or results of operations.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currently has manufacturing agreements with several FDA-approved commercial API encapsulators for Vascepa manufacturing: Patheon, Inc. (formerly Banner Pharmacaps), Catalent Pharma Solutions, and Capsugel Plöermel SAS, LLC. Each of these companies have qualified their manufacturing processes and are capable of manufacturing Vascepa. There can be no guarantee that these or other suppliers with which the Company may contract in the future to encapsulate API will continue to be qualified to manufacture the product to its specifications or that these and any future suppliers will have the manufacturing capacity to meeting anticipated demand for Vascepa.</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subsidiaries use the U.S. dollar as the functional currency. Monetary assets and liabilities denominated in a foreign currency are remeasured into U.S. dollars at period-end exchange rates. Gains and losses from the remeasurement are included in other income (expense), net in the condensed consolidated statements of operations. For transactions settled during the applicable period, gains and losses are included in other income (expense), net in the condensed consolidated statements of operations.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are initially recorded as a deferred cost and amortized to interest expense using the effective interest method over the expected term of the related debt. Unamortized debt issuance costs related to extinguishment of debt are expensed at the time the debt is extinguished and recorded in other income (expense), net in the condensed consolidated statements of operations.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tables present information about the Company’s assets and liabilities as of June 30, 2015 and December 31, 2014 that are measured at fair value on a recurring basis and indicate the fair value hierarchy of the valuation techniques the Company utilized to determine such fair value:</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2015</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3020" w:type="dxa"/>
            <w:vAlign w:val="bottom"/>
          </w:tcPr>
          <w:p>
            <w:pPr>
              <w:spacing w:after="0"/>
              <w:rPr>
                <w:sz w:val="12"/>
                <w:szCs w:val="12"/>
                <w:color w:val="auto"/>
              </w:rPr>
            </w:pPr>
          </w:p>
        </w:tc>
        <w:tc>
          <w:tcPr>
            <w:tcW w:w="108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9"/>
              </w:rPr>
              <w:t>Total</w:t>
            </w:r>
          </w:p>
        </w:tc>
        <w:tc>
          <w:tcPr>
            <w:tcW w:w="10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0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30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4100" w:type="dxa"/>
            <w:vAlign w:val="bottom"/>
            <w:gridSpan w:val="3"/>
          </w:tcPr>
          <w:p>
            <w:pPr>
              <w:jc w:val="center"/>
              <w:ind w:left="243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40,170</w:t>
            </w:r>
          </w:p>
        </w:tc>
        <w:tc>
          <w:tcPr>
            <w:tcW w:w="108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40,170</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38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Long-term debt derivative liabilities</w:t>
            </w:r>
          </w:p>
        </w:tc>
        <w:tc>
          <w:tcPr>
            <w:tcW w:w="4100" w:type="dxa"/>
            <w:vAlign w:val="bottom"/>
            <w:gridSpan w:val="3"/>
          </w:tcPr>
          <w:p>
            <w:pPr>
              <w:jc w:val="center"/>
              <w:ind w:left="2430"/>
              <w:spacing w:after="0"/>
              <w:rPr>
                <w:sz w:val="20"/>
                <w:szCs w:val="20"/>
                <w:color w:val="auto"/>
              </w:rPr>
            </w:pPr>
            <w:r>
              <w:rPr>
                <w:rFonts w:ascii="Arial" w:cs="Arial" w:eastAsia="Arial" w:hAnsi="Arial"/>
                <w:sz w:val="18"/>
                <w:szCs w:val="18"/>
                <w:color w:val="auto"/>
                <w:w w:val="96"/>
              </w:rPr>
              <w:t>$ 6,700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800" w:type="dxa"/>
            <w:vAlign w:val="bottom"/>
            <w:gridSpan w:val="3"/>
          </w:tcPr>
          <w:p>
            <w:pPr>
              <w:ind w:lef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right="195"/>
              <w:spacing w:after="0"/>
              <w:rPr>
                <w:sz w:val="20"/>
                <w:szCs w:val="20"/>
                <w:color w:val="auto"/>
              </w:rPr>
            </w:pPr>
            <w:r>
              <w:rPr>
                <w:rFonts w:ascii="Arial" w:cs="Arial" w:eastAsia="Arial" w:hAnsi="Arial"/>
                <w:sz w:val="14"/>
                <w:szCs w:val="14"/>
                <w:b w:val="1"/>
                <w:bCs w:val="1"/>
                <w:color w:val="auto"/>
                <w:w w:val="91"/>
              </w:rPr>
              <w:t>December 31, 2014</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3020" w:type="dxa"/>
            <w:vAlign w:val="bottom"/>
          </w:tcPr>
          <w:p>
            <w:pPr>
              <w:spacing w:after="0"/>
              <w:rPr>
                <w:sz w:val="12"/>
                <w:szCs w:val="12"/>
                <w:color w:val="auto"/>
              </w:rPr>
            </w:pPr>
          </w:p>
        </w:tc>
        <w:tc>
          <w:tcPr>
            <w:tcW w:w="108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9"/>
              </w:rPr>
              <w:t>Total</w:t>
            </w:r>
          </w:p>
        </w:tc>
        <w:tc>
          <w:tcPr>
            <w:tcW w:w="10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0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30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4100" w:type="dxa"/>
            <w:vAlign w:val="bottom"/>
            <w:gridSpan w:val="3"/>
          </w:tcPr>
          <w:p>
            <w:pPr>
              <w:jc w:val="center"/>
              <w:ind w:left="243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65,156</w:t>
            </w:r>
          </w:p>
        </w:tc>
        <w:tc>
          <w:tcPr>
            <w:tcW w:w="108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65,156</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38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4100" w:type="dxa"/>
            <w:vAlign w:val="bottom"/>
            <w:gridSpan w:val="3"/>
          </w:tcPr>
          <w:p>
            <w:pPr>
              <w:jc w:val="center"/>
              <w:ind w:left="2430"/>
              <w:spacing w:after="0"/>
              <w:rPr>
                <w:sz w:val="20"/>
                <w:szCs w:val="20"/>
                <w:color w:val="auto"/>
              </w:rPr>
            </w:pPr>
            <w:r>
              <w:rPr>
                <w:rFonts w:ascii="Arial" w:cs="Arial" w:eastAsia="Arial" w:hAnsi="Arial"/>
                <w:sz w:val="18"/>
                <w:szCs w:val="18"/>
                <w:color w:val="auto"/>
              </w:rPr>
              <w:t>$   119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derivative liability</w:t>
            </w:r>
          </w:p>
        </w:tc>
        <w:tc>
          <w:tcPr>
            <w:tcW w:w="4100" w:type="dxa"/>
            <w:vAlign w:val="bottom"/>
            <w:gridSpan w:val="3"/>
            <w:shd w:val="clear" w:color="auto" w:fill="CCEEFF"/>
          </w:tcPr>
          <w:p>
            <w:pPr>
              <w:jc w:val="center"/>
              <w:ind w:left="2430"/>
              <w:spacing w:after="0"/>
              <w:rPr>
                <w:sz w:val="20"/>
                <w:szCs w:val="20"/>
                <w:color w:val="auto"/>
              </w:rPr>
            </w:pPr>
            <w:r>
              <w:rPr>
                <w:rFonts w:ascii="Arial" w:cs="Arial" w:eastAsia="Arial" w:hAnsi="Arial"/>
                <w:sz w:val="18"/>
                <w:szCs w:val="18"/>
                <w:color w:val="auto"/>
                <w:w w:val="96"/>
              </w:rPr>
              <w:t>$ 7,400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800" w:type="dxa"/>
            <w:vAlign w:val="bottom"/>
            <w:gridSpan w:val="3"/>
            <w:shd w:val="clear" w:color="auto" w:fill="CCEEFF"/>
          </w:tcPr>
          <w:p>
            <w:pPr>
              <w:ind w:lef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20" w:type="dxa"/>
            <w:vAlign w:val="bottom"/>
            <w:vMerge w:val="restart"/>
          </w:tcPr>
          <w:p>
            <w:pPr>
              <w:jc w:val="right"/>
              <w:ind w:right="1470"/>
              <w:spacing w:after="0"/>
              <w:rPr>
                <w:sz w:val="20"/>
                <w:szCs w:val="20"/>
                <w:color w:val="auto"/>
              </w:rPr>
            </w:pPr>
            <w:r>
              <w:rPr>
                <w:rFonts w:ascii="Arial" w:cs="Arial" w:eastAsia="Arial" w:hAnsi="Arial"/>
                <w:sz w:val="18"/>
                <w:szCs w:val="18"/>
                <w:color w:val="auto"/>
              </w:rPr>
              <w:t>16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carrying amounts of cash, cash equivalents, accounts payable and accrued liabilities approximate fair value because of their short-term nature. The carrying amounts and the estimated fair values of debt instruments as of June 30, 2015 and December 31, 2014 are as follows: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20" w:type="dxa"/>
            <w:vAlign w:val="bottom"/>
            <w:gridSpan w:val="5"/>
          </w:tcPr>
          <w:p>
            <w:pPr>
              <w:ind w:left="480"/>
              <w:spacing w:after="0"/>
              <w:rPr>
                <w:sz w:val="20"/>
                <w:szCs w:val="20"/>
                <w:color w:val="auto"/>
              </w:rPr>
            </w:pPr>
            <w:r>
              <w:rPr>
                <w:rFonts w:ascii="Arial" w:cs="Arial" w:eastAsia="Arial" w:hAnsi="Arial"/>
                <w:sz w:val="14"/>
                <w:szCs w:val="14"/>
                <w:b w:val="1"/>
                <w:bCs w:val="1"/>
                <w:color w:val="auto"/>
              </w:rPr>
              <w:t>June 30, 2015</w:t>
            </w:r>
          </w:p>
        </w:tc>
        <w:tc>
          <w:tcPr>
            <w:tcW w:w="240" w:type="dxa"/>
            <w:vAlign w:val="bottom"/>
          </w:tcPr>
          <w:p>
            <w:pPr>
              <w:spacing w:after="0"/>
              <w:rPr>
                <w:sz w:val="14"/>
                <w:szCs w:val="14"/>
                <w:color w:val="auto"/>
              </w:rPr>
            </w:pPr>
          </w:p>
        </w:tc>
        <w:tc>
          <w:tcPr>
            <w:tcW w:w="17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19"/>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Estimated</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Carrying</w:t>
            </w:r>
          </w:p>
        </w:tc>
        <w:tc>
          <w:tcPr>
            <w:tcW w:w="6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w w:val="99"/>
              </w:rPr>
              <w:t>Estimated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4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debt—December 2012 financing</w:t>
            </w:r>
          </w:p>
        </w:tc>
        <w:tc>
          <w:tcPr>
            <w:tcW w:w="1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$90,522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$ 85,700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$89,617</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$ 81,000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2012 Notes</w:t>
            </w:r>
          </w:p>
        </w:tc>
        <w:tc>
          <w:tcPr>
            <w:tcW w:w="2500" w:type="dxa"/>
            <w:vAlign w:val="bottom"/>
            <w:gridSpan w:val="3"/>
          </w:tcPr>
          <w:p>
            <w:pPr>
              <w:jc w:val="right"/>
              <w:ind w:right="240"/>
              <w:spacing w:after="0"/>
              <w:rPr>
                <w:sz w:val="20"/>
                <w:szCs w:val="20"/>
                <w:color w:val="auto"/>
              </w:rPr>
            </w:pPr>
            <w:r>
              <w:rPr>
                <w:rFonts w:ascii="Arial" w:cs="Arial" w:eastAsia="Arial" w:hAnsi="Arial"/>
                <w:sz w:val="18"/>
                <w:szCs w:val="18"/>
                <w:color w:val="auto"/>
              </w:rPr>
              <w:t>31,266</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27,066</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31,266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25,689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2014 Notes</w:t>
            </w:r>
          </w:p>
        </w:tc>
        <w:tc>
          <w:tcPr>
            <w:tcW w:w="2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93,363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131,406</w:t>
            </w: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90,580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75,533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estimated fair value of the long-term debt pursuant to the December 2012 financing is calculated utilizing the same Level 3 inputs utilized in valuing the related derivative liability (see Long-Term Debt Derivative Liabilities below). The estimated fair value of the 2012 Notes and 2014 Notes is calculated based on Level 1 quoted bond prices. The carrying value of the 2012 Notes as of June 30, 2015 and December 31, 2014 does not include a debt discount, as it had been fully amortized as non-cash interest expense over the expected term of the 2012 Notes. The carrying value of the 2014 Notes as of June 30, 2015 and December 31, 2014 includes a debt discount of $25.4 million and $28.2 million, respectively, which is being amortized as non-cash interest expense over the expected term of the 2014 Notes. The change in the estimated fair values of these liabilities from December 31, 2014 to June 30, 2015 is largely related to the quoted bond prices.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Derivative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Warrant Derivative Liability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warrant derivative liability is carried at fair value and is classified as Level 3 in the fair value hierarchy due to the use of significant unobservable inputs. Effective October 16, 2014, the Company entered into a series of warrant amendment agreements (collectively, the “Warrant Amendments”) in order to extend the expiration date of certain outstanding warrants (collectively, the “Warrants”) from its previously scheduled expiration date of October 16, 2014 to the close of business on February 27, 2015. Of the 8,087,388 warrants outstanding as of December 31, 2014, 1,844,585 warrants were exercised and the remaining 6,242,803 warrants expired on February 27, 2015. As such, no warrants were outstanding as of June 30, 2015 and the related derivative liability was extinguished.</w:t>
      </w:r>
    </w:p>
    <w:p>
      <w:pPr>
        <w:spacing w:after="0" w:line="19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As of December 31, 2014, the fair value of the warrant derivative liability was determined to be $0.1 million using the Black-Scholes option valuation applying the following assumptions: (i) risk-free rate of 0.04%, (ii) remaining term of 0.16 years, (iii) no dividend yield, (iv) volatility of 79%, and (v) the stock price on the date of measurement. As there were no warrants outstanding as of June 30, 2015, the warrant derivative liability was extinguished. The $0.1 million decrease in the fair value of the warrants during the six months ended June 30, 2015 was recognized as a $0.1 million gain on change in fair value of derivative liability.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Debt Redemption Features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Company’s December 2012 financing agreement with BioPharma Secured Debt Fund II Holdings Cayman LP (discussed in Note 6 below) contains a redemption feature whereby, upon a change of control, the Company would have been required to pay $140 million, less any previously repaid amount, if the change of control occurred on or before December 31, 2013, or required to repay $150 million, less any previously repaid amount, if the change of control event occurs after December 31, 2013.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As of June 30, 2015, the fair value of the derivative was determined to be $5.6 million, and the debt was valued by comparing debt issues of similar companies with (i) remaining terms of between 2.6 and 5.6 years, (ii) coupon rates of between 8.9% and 12.5% and (iii) market yields of between 10.0% and 16.4%. The Company recognized a $0.8 million loss on change in fair value of derivative liability for the six months ended June 30, 2015. As of December 31, 2014, the fair value of the derivative was determined to be $4.8 million, and the debt was valued by comparing debt issues of similar companies with (i) remaining terms of between 2.3 and 3.6 years, (ii) coupon rates of between 9.8% and 10.8% and (iii) market yields of between 10.0% and 16.8%.</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Company’s 2014 Notes contain a redemption feature whereby, upon occurrence of a change in control, the Company would be required to repurchase the notes. The Company determined this redemption feature to be an embedded derivative, requiring bifurcation in accordance with ASC 815. The derivative is carried at fair value and is classified as Level 3 in the fair value hierarchy due to the use of significant unobservable inputs.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As of June 30, 2015, the fair value of the derivative was determined to be $1.1 million, and the debt was valued by using</w:t>
      </w:r>
    </w:p>
    <w:p>
      <w:pPr>
        <w:spacing w:after="0" w:line="5" w:lineRule="exact"/>
        <w:rPr>
          <w:sz w:val="20"/>
          <w:szCs w:val="20"/>
          <w:color w:val="auto"/>
        </w:rPr>
      </w:pPr>
    </w:p>
    <w:p>
      <w:pPr>
        <w:ind w:firstLine="8"/>
        <w:spacing w:after="0" w:line="281" w:lineRule="auto"/>
        <w:tabs>
          <w:tab w:leader="none" w:pos="21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estimated remaining term of the notes, (ii) a bond yield of 19.0%, (iii) a risk-free interest rate of 3.0% and (iv) volatility of 79.0%. The Company recognized a $1.5 million gain on change in fair value of derivative liability for the six months ended June 30, 2015. As of December 31, 2014, the fair value of the derivative was determined to be $2.6 million, and the debt was valued by using (i) the estimated remaining term of the notes, (ii) a bond yield of 24.8%,</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risk-free interest rate of 2.7% and (iv) volatility of 82.0%.</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Preferred Stock Purchase Option Derivative Liability</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Pursuant to a pre-existing contractual right to participate in certain private placement transactions effected by the Company in connection with the subscription agreement executed on March 5, 2015, the Company determined that such right represented a derivative liability (see Note 8). This preferred stock purchase option derivative liability was carried at fair value and classified as Level 3 in the fair value hierarchy due to the use of significant unobservable inputs. The fair value of this liability was calculated using a Black-Scholes model and was determined to be $0.9 million at inception. On March 30, 2015, this right was exercised and the liability was marked to fair value through such date. The liability was then reclassified to permanent equity on such date.</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fair value of derivative liabilities for the six months ended June 30, 2015 and 2014 is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w:t>
            </w: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Long-Term Debt</w:t>
            </w: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 Stock</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w w:val="96"/>
              </w:rPr>
              <w:t>2009</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Derivative</w:t>
            </w:r>
          </w:p>
        </w:tc>
        <w:tc>
          <w:tcPr>
            <w:tcW w:w="1700" w:type="dxa"/>
            <w:vAlign w:val="bottom"/>
            <w:gridSpan w:val="3"/>
            <w:vMerge w:val="continue"/>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4"/>
                <w:szCs w:val="14"/>
                <w:color w:val="auto"/>
              </w:rPr>
            </w:pPr>
          </w:p>
        </w:tc>
        <w:tc>
          <w:tcPr>
            <w:tcW w:w="15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Liabilities</w:t>
            </w: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Purchase Option</w:t>
            </w: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2014</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7,400</w:t>
            </w:r>
          </w:p>
        </w:tc>
        <w:tc>
          <w:tcPr>
            <w:tcW w:w="6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$ 7,519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Record derivative liability</w:t>
            </w:r>
          </w:p>
        </w:tc>
        <w:tc>
          <w:tcPr>
            <w:tcW w:w="120" w:type="dxa"/>
            <w:vAlign w:val="bottom"/>
          </w:tcPr>
          <w:p>
            <w:pPr>
              <w:spacing w:after="0"/>
              <w:rPr>
                <w:sz w:val="18"/>
                <w:szCs w:val="18"/>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868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(Gain) loss on change in fair value of derivative liabilities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(700)</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946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2"/>
        </w:trPr>
        <w:tc>
          <w:tcPr>
            <w:tcW w:w="5180" w:type="dxa"/>
            <w:vAlign w:val="bottom"/>
          </w:tcPr>
          <w:p>
            <w:pPr>
              <w:spacing w:after="0" w:line="201" w:lineRule="exact"/>
              <w:rPr>
                <w:sz w:val="20"/>
                <w:szCs w:val="20"/>
                <w:color w:val="auto"/>
              </w:rPr>
            </w:pPr>
            <w:r>
              <w:rPr>
                <w:rFonts w:ascii="Arial" w:cs="Arial" w:eastAsia="Arial" w:hAnsi="Arial"/>
                <w:sz w:val="18"/>
                <w:szCs w:val="18"/>
                <w:color w:val="auto"/>
              </w:rPr>
              <w:t>Compensation income for change in fair value of warrants</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issued to former employees</w:t>
            </w:r>
          </w:p>
        </w:tc>
        <w:tc>
          <w:tcPr>
            <w:tcW w:w="12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Transfer derivative liability to equity</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(1,814)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8"/>
                <w:szCs w:val="18"/>
                <w:b w:val="1"/>
                <w:bCs w:val="1"/>
                <w:color w:val="auto"/>
              </w:rPr>
              <w:t>Balance as of June 30, 2015</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6,700</w:t>
            </w:r>
          </w:p>
        </w:tc>
        <w:tc>
          <w:tcPr>
            <w:tcW w:w="6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$ 6,700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October</w:t>
            </w:r>
          </w:p>
        </w:tc>
        <w:tc>
          <w:tcPr>
            <w:tcW w:w="2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Long-Term Debt</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Derivative</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Warrants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Liability</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5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6,894</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11,100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$17,994</w:t>
            </w: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Arial" w:cs="Arial" w:eastAsia="Arial" w:hAnsi="Arial"/>
                <w:sz w:val="18"/>
                <w:szCs w:val="18"/>
                <w:color w:val="auto"/>
              </w:rPr>
              <w:t>Record initial fair value of derivative liability on senior notes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3,500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Gain on change in fair value of derivative liability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(2,204)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02"/>
        </w:trPr>
        <w:tc>
          <w:tcPr>
            <w:tcW w:w="5800" w:type="dxa"/>
            <w:vAlign w:val="bottom"/>
          </w:tcPr>
          <w:p>
            <w:pPr>
              <w:spacing w:after="0" w:line="201" w:lineRule="exact"/>
              <w:rPr>
                <w:sz w:val="20"/>
                <w:szCs w:val="20"/>
                <w:color w:val="auto"/>
              </w:rPr>
            </w:pPr>
            <w:r>
              <w:rPr>
                <w:rFonts w:ascii="Arial" w:cs="Arial" w:eastAsia="Arial" w:hAnsi="Arial"/>
                <w:sz w:val="18"/>
                <w:szCs w:val="18"/>
                <w:color w:val="auto"/>
                <w:w w:val="97"/>
              </w:rPr>
              <w:t>Compensation income for change in fair value of warrants issued to former</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180"/>
              <w:spacing w:after="0"/>
              <w:rPr>
                <w:sz w:val="20"/>
                <w:szCs w:val="20"/>
                <w:color w:val="auto"/>
              </w:rPr>
            </w:pPr>
            <w:r>
              <w:rPr>
                <w:rFonts w:ascii="Arial" w:cs="Arial" w:eastAsia="Arial" w:hAnsi="Arial"/>
                <w:sz w:val="18"/>
                <w:szCs w:val="18"/>
                <w:color w:val="auto"/>
              </w:rPr>
              <w:t>employees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02"/>
        </w:trPr>
        <w:tc>
          <w:tcPr>
            <w:tcW w:w="5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2014</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4,513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9,400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13,913</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470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adopted by the Company as of the specified effective date. The Company considered the following recent accounting pronouncements which were not yet adopted as of June 30, 2015:</w:t>
      </w:r>
    </w:p>
    <w:p>
      <w:pPr>
        <w:spacing w:after="0" w:line="12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This amendment provides principles for recognizing revenue for the transfer of promised goods or services to customers with the consideration to which the entity expects to be entitled in exchange for those goods or services, and is effective for annual periods beginning after December 15, 2016 (the original effective date). In April 2015, the FASB issued a proposal, which was subsequently adopted in July 2015, to defer the original effective date of this standard by one year, such that the amendment is effective for the Company’s fiscal year beginning January 1, 2018. Early adoption is permitted, but not before the original effective date. The Company is currently evaluating the accounting, transition and disclosure requirements of the standard and cannot currently estimate the financial statement impact of adoption.</w:t>
      </w:r>
    </w:p>
    <w:p>
      <w:pPr>
        <w:spacing w:after="0" w:line="165"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 condition. As such, the performance target should not be reflected in estimating the grant-date fair value of the award. The Company is required to adopt this standard in the first quarter of fiscal 2016 and early adoption is permitted. This standard is not expected to have an impact on the Company’s condensed consolidated financial statements.</w:t>
      </w:r>
    </w:p>
    <w:p>
      <w:pPr>
        <w:spacing w:after="0" w:line="15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Disclosure of Uncertainties about an Entity’s</w:t>
      </w:r>
      <w:r>
        <w:rPr>
          <w:rFonts w:ascii="Arial" w:cs="Arial" w:eastAsia="Arial" w:hAnsi="Arial"/>
          <w:sz w:val="16"/>
          <w:szCs w:val="16"/>
          <w:color w:val="auto"/>
        </w:rPr>
        <w:t xml:space="preserve"> </w:t>
      </w:r>
      <w:r>
        <w:rPr>
          <w:rFonts w:ascii="Arial" w:cs="Arial" w:eastAsia="Arial" w:hAnsi="Arial"/>
          <w:sz w:val="16"/>
          <w:szCs w:val="16"/>
          <w:i w:val="1"/>
          <w:iCs w:val="1"/>
          <w:color w:val="auto"/>
        </w:rPr>
        <w:t>Ability to Continue as a Going Concern (Subtopic 205-40)</w:t>
      </w:r>
      <w:r>
        <w:rPr>
          <w:rFonts w:ascii="Arial" w:cs="Arial" w:eastAsia="Arial" w:hAnsi="Arial"/>
          <w:sz w:val="16"/>
          <w:szCs w:val="16"/>
          <w:color w:val="auto"/>
        </w:rPr>
        <w:t>. ASU 2014-15 requires management to assess an entity’s ability to continue as a going concern by</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 requires certain disclosures when substantial doubt is alleviated as a result of consideration of management’s plans, (v) requires an express statement and other disclosures when substantial doubt is not alleviated and (vi) requires an assessment for a period of one year after the date that the financial statements are issued (or available to be issued). This standard is effective for fiscal years ending after December 15, 2016, and for annual and interim periods thereafter. Early application is permitted. The Company is currently evaluating the accounting, transition and disclosure requirements of the standard and cannot currently estimate the financial statement impact of adoption.</w:t>
      </w:r>
    </w:p>
    <w:p>
      <w:pPr>
        <w:spacing w:after="0" w:line="16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Interest - Imputation of Interest (Subtopic 835-30): Simplifying the Presentation of Debt Issuance Costs</w:t>
      </w:r>
      <w:r>
        <w:rPr>
          <w:rFonts w:ascii="Arial" w:cs="Arial" w:eastAsia="Arial" w:hAnsi="Arial"/>
          <w:sz w:val="17"/>
          <w:szCs w:val="17"/>
          <w:color w:val="auto"/>
        </w:rPr>
        <w:t>. The amendments in this ASU require that debt issuance costs related to a recognized debt liability be presented in the balance sheet as a direct deduction from the carrying amount of that debt liability, consistent with debt discounts. The Company is required to adopt this standard in the first quarter of fiscal 2016 on a retrospective basis. The implementation of this standard will result in the reclassification of certain debt issuance costs from other assets to a reduction in the carrying amount of the related debt liability within the condensed consolidated balance sheets.</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July 2015, the FASB issued Accounting Standards Update (ASU)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The amendments in this ASU require that in-scope inventory should be measured at the lower of cost and net realizable value. Net realizable value is the estimated selling prices in the ordinary course of business, less reasonably predictable costs of completion, disposal, and transportation. The amendments do not apply to inventory that is measured using last-in, first-out (LIFO) or the retail inventory method but applies to all other inventory, which include inventory that is measured using first-in, first-out (FIFO) or average cost. This standard is effective for fiscal years beginning after December 15, 2016, including interim periods within those fiscal years. Early application is permitted. We are currently evaluating the accounting, transition and disclosure requirements of the standard and cannot currently estimate the financial statement impact of adoption.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believes that the impact of other recently issued but not yet adopted accounting pronouncements will not have a material impact on condensed consolidated financial position, results of operations, and cash flows, or do not apply to the Company’s operations.</w:t>
      </w:r>
    </w:p>
    <w:p>
      <w:pPr>
        <w:spacing w:after="0" w:line="31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 of the historical acquisition cost of certain technology rights for Vascepa and have an estimated remaining useful life of 15.1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as of June 30, 2015 and December 31, 2014 is as follows (in thousands):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32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June 30, 2015</w:t>
            </w:r>
          </w:p>
        </w:tc>
        <w:tc>
          <w:tcPr>
            <w:tcW w:w="1660" w:type="dxa"/>
            <w:vAlign w:val="bottom"/>
            <w:gridSpan w:val="4"/>
          </w:tcPr>
          <w:p>
            <w:pPr>
              <w:ind w:left="380"/>
              <w:spacing w:after="0"/>
              <w:rPr>
                <w:sz w:val="20"/>
                <w:szCs w:val="20"/>
                <w:color w:val="auto"/>
              </w:rPr>
            </w:pPr>
            <w:r>
              <w:rPr>
                <w:rFonts w:ascii="Arial" w:cs="Arial" w:eastAsia="Arial" w:hAnsi="Arial"/>
                <w:sz w:val="14"/>
                <w:szCs w:val="14"/>
                <w:b w:val="1"/>
                <w:bCs w:val="1"/>
                <w:color w:val="auto"/>
                <w:w w:val="99"/>
              </w:rPr>
              <w:t>December 31, 2014</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rights</w:t>
            </w:r>
          </w:p>
        </w:tc>
        <w:tc>
          <w:tcPr>
            <w:tcW w:w="1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(1,884)</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(1,561)</w:t>
            </w:r>
          </w:p>
        </w:tc>
      </w:tr>
      <w:tr>
        <w:trPr>
          <w:trHeight w:val="20"/>
        </w:trPr>
        <w:tc>
          <w:tcPr>
            <w:tcW w:w="3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120" w:type="dxa"/>
            <w:vAlign w:val="bottom"/>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After approval of Vascepa on July 26, 2012 by the FDA, the Company began capitalizing its purchases of saleable inventory of Vascepa from suppliers that have been qualified by the FDA. Inventories as of June 30, 2015 and December 31, 2014 consist of the following (in thousands):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June 30, 2015</w:t>
            </w:r>
          </w:p>
        </w:tc>
        <w:tc>
          <w:tcPr>
            <w:tcW w:w="2100" w:type="dxa"/>
            <w:vAlign w:val="bottom"/>
            <w:gridSpan w:val="4"/>
          </w:tcPr>
          <w:p>
            <w:pPr>
              <w:ind w:left="840"/>
              <w:spacing w:after="0"/>
              <w:rPr>
                <w:sz w:val="20"/>
                <w:szCs w:val="20"/>
                <w:color w:val="auto"/>
              </w:rPr>
            </w:pPr>
            <w:r>
              <w:rPr>
                <w:rFonts w:ascii="Arial" w:cs="Arial" w:eastAsia="Arial" w:hAnsi="Arial"/>
                <w:sz w:val="14"/>
                <w:szCs w:val="14"/>
                <w:b w:val="1"/>
                <w:bCs w:val="1"/>
                <w:color w:val="auto"/>
                <w:w w:val="98"/>
              </w:rPr>
              <w:t>December 31, 2014</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8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8,754</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4,757</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8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18"/>
                <w:szCs w:val="18"/>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 inventory</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20,499</w:t>
            </w:r>
          </w:p>
        </w:tc>
        <w:tc>
          <w:tcPr>
            <w:tcW w:w="84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13,733</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460" w:right="7560" w:hanging="452"/>
        <w:spacing w:after="0" w:line="400" w:lineRule="auto"/>
        <w:tabs>
          <w:tab w:leader="none" w:pos="449"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Warrants and Warrant Derivative Liability </w:t>
      </w:r>
      <w:r>
        <w:rPr>
          <w:rFonts w:ascii="Arial" w:cs="Arial" w:eastAsia="Arial" w:hAnsi="Arial"/>
          <w:sz w:val="17"/>
          <w:szCs w:val="17"/>
          <w:i w:val="1"/>
          <w:iCs w:val="1"/>
          <w:u w:val="single" w:color="auto"/>
          <w:color w:val="auto"/>
        </w:rPr>
        <w:t>October 2009 Warrants Derivative Liability</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of an ADS at an exercise price of $1.50 per ADS. The total number of warrants issued in conjunction with the financing was 35.2 million.</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conjunction with the October 2009 financing, the Company issued an additional 0.9 million warrants to three former officers. The warrants issued in connection with the October 2009 financing contained a pricing variability feature which provided for an increase to the exercise price if the exchange rate between the U.S. dollar and British pound adjusts such that the warrants could be exercised at a price less than the £0.5 par value of the common stock—that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this warrant derivative liability is remeasured at each reporting period, with changes in fair value recognized in the statement of operations. Upon exercise, the fair value of the warrants exercised is remeasured and reclassified from warrant derivative liability to additional paid-in-capital. Although the warrants contain a pricing variability feature, the number of warrants issuable remains fixed. Therefore, the maximum number of common shares issuable as a result of the October 2009 private placement is 36.1 million. The change in fair value of the warrant derivative liability is discussed in Note 2.</w:t>
      </w:r>
    </w:p>
    <w:p>
      <w:pPr>
        <w:spacing w:after="0" w:line="15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October 2014, the Company and the holders of the remaining October 2009 warrants mutually agreed to extend the expiration date of such warrants from October 16, 2014 to February 27, 2015. Of the 8,087,388 warrants outstanding as of December 31, 2014, 1,844,585 warrants were exercised, resulting in net proceeds to the Company of $2.7 million, and the remaining 6,242,803 warrants expired on February 27, 2015. As such, no warrants were outstanding as of June 30, 2015.</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July 2009 Warrants</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issued several warrants in July 2009. As of June 30, 2015 and December 31, 2014, there were no July 2009 warrants outstanding. During the year ended December 31, 2014, 1,684,888 of the July 2009 warrants were exercised, resulting in proceeds to the Company of $1.7 million.</w:t>
      </w:r>
    </w:p>
    <w:p>
      <w:pPr>
        <w:spacing w:after="0" w:line="26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Long-Term Debt—December 2012 Financing</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December 6, 2012, the Company entered into an agreement with BioPharma Secured Debt Fund II Holdings Cayman LP, or BioPharma. Under this agreement, the Company granted to BioPharma a security interest in future receivables associated with the Vascepa patent rights, in exchange for $100 million received at the closing of the agreement which occurred in December 2012. Under these terms, the Company continues to own all Vascepa intellectual property rights, however, such rights, as described below, could be used by BioPharma as collateral for repayment of the remaining unpaid balance under this agreement if the Company defaults on making required payments under the agreement. In the agreement, the Company agreed to repay BioPharma up to $150 million with such repayment based on a portion of revenues and receivables generated from Vascepa after the date of the agreement. As of June 30, 2015, the remaining amount to be repaid to BioPharma is $141.2 million. During the three and six months ended June 30, 2015, the Company made repayments under the agreement of $1.6 million and $3.2 million, respectively, to BioPharma and an additional $1.8 million is scheduled to be paid in August 2015. These payments were calculated based on the threshold limitation, as described below, as opposed to the scheduled quarterly repayments. Additional quarterly repayments, subject to the threshold limitation, are scheduled to be paid. The maximum quarterly amounts which could be due for payment, except upon a change of control and subject each quarter to the threshold limitation, is in accordance with the following schedule: $10.0 million in the fourth quarter of 2015 and first quarter of 2016, $15.0 million per quarter in each of the next four quarters, and a final payment of $13.0 million scheduled for payment in May 2017. All such payments reduce the remainder of the $150 million in aggregate payments to BioPharma. These quarterly payments are subject to a quarterly threshold amount whereby, if a calculated threshold, based on quarterly Vascepa revenues, is not achieved, the quarterly payment payable in that quarter can at the Company’s election be reduced and with the reduction carried forward without interest for payment in a future period. The payment of any carried forward amount is subject to similarly calculated threshold repayment amounts based on Vascepa revenue levels. Except upon a change of control in Amarin, the agreement does not expire until $150 million in aggregate has been repaid. Except in the event of the Company’s default, there is no compounding of interest and no scheduled cliff payment due under this agreement. Rather, payment is intended, subject to the threshold limitation, until $150 million in aggregate has been repaid, including payments made previously. The Company can prepay an amount equal to $150 million less any previously repaid amount.</w:t>
      </w:r>
    </w:p>
    <w:p>
      <w:pPr>
        <w:spacing w:after="0" w:line="18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currently estimates that its Vascepa revenue levels will not be high enough in each quarter to support repayment to BioPharma in accordance with the maximum quarterly amounts in the repayment schedule. For each quarterly period since the inception of the debt, revenues were below the contractual threshold amount such that cash payments were calculated for each period reflecting the optional reduction amount as opposed to the contractual threshold payment due for each quarterly period. In accordance with the agreement with BioPharma, quarterly differences between the calculated optional reduction amounts and the repayment schedule amounts are rescheduled for payment beginning in the second quarter of 2017. Any such deferred repayments will remain subject to continued application of the quarterly ceiling in amounts due established by the calculated threshold limitation based on quarterly Vascepa revenues. No additional interest expense or liability is incurred as a result of such deferred repayments. These estimates will be reevaluated each reporting period by the Company and adjusted if necessary, prospectively.</w:t>
      </w:r>
    </w:p>
    <w:p>
      <w:pPr>
        <w:spacing w:after="0" w:line="1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statement of operations and any changes in the assumptions used in measuring the fair value of the derivative liability could result in a material increase or decrease in its carrying value. The Company recognized a loss on change in fair value of derivative liability of $0.8 million and a gain on change in fair value of derivative liability of $5.0 million during the six months ended June 30, 2015 and 2014, respectively.</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six months ended June 30, 2015, the Company recorded $3.2 million and $0.9 million of cash and non-cash interest expense, respectively, in connection with the BioPharma debt. During the six months ended June 30, 2014, the Company recorded $3.8 million and $1.0 million of cash and non-cash interest expense, respectively. The Company will periodically evaluate the remaining term of the agreement and the effective interest will be recalculated each period based on the Company’s most current estimate of repayment.</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To secure the obligations under the agreement with BioPharma, the Company granted BioPharma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BioPharma may attempt to collect the maximum amount payable by the Company under this agreement (after deducting any payments the Company has already made).</w:t>
      </w:r>
    </w:p>
    <w:p>
      <w:pPr>
        <w:sectPr>
          <w:pgSz w:w="11900" w:h="16838" w:orient="portrait"/>
          <w:cols w:equalWidth="0" w:num="1">
            <w:col w:w="11420"/>
          </w:cols>
          <w:pgMar w:left="240" w:top="459" w:right="2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January 2012 Exchangeable Senior Notes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January 2012, the Company issued $150.0 million in principal amount of 3.5% exchangeable senior notes due 2032, a portion of which were subsequently exchanged (see discussion of May 2014 Exchangeable Senior Notes below). The 2012 Notes were issued by Corsicanto Limited, an Irish limited company acquired by Amarin in January 2012. Corsicanto Limited is a wholly-owned subsidiary of Amarin. The general, unsecured, senior obligations are fully and unconditionally guaranteed by Amarin but not by any of the Company’s other subsidiaries. Corsicanto Limited has no assets, operations, revenues or cash flows other than those related to the issuance, administration and repayment of the 2012 Notes and 2014 Notes. There are no significant restrictions on the ability of Amarin to obtain funds from Corsicanto Limited in the form of cash dividends, loans, or advances. Net proceeds to the Company, after payment of underwriting fees and expenses, were approximately $144.3 million.</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2012 Notes have a stated interest rate of 3.5% per year, payable semiannually in arrears on January 15 and July 15 of each year beginning on July 15, 2012, and ending upon the 2012 Notes’ maturity on January 15, 2032. The 2012 Notes are subject to repurchase by the Company at the option of the holders on each of January 19, 2017, January 19, 2022, and January 19, 2027, at a price equal to 100% of the principal amount of the 2012 Notes to be repurchased, plus accrued and unpaid interest to, but excluding, the repurchase date. The 2012 Notes are exchangeable under certain circumstances into cash, ADSs, or a combination of cash and ADSs, at the Company’s election, with an initial exchange rate of 113.4752 ADSs per $1,000 principal amount of 2012 Notes (equivalent to an initial exchange price of approximately $8.8125 per ADS), subject to adjustment in certain circumstances, including adjustment if the Company pays cash dividends. If the Company elected physical settlement, the net remaining outstanding portion of the 2012 Notes would be exchangeable into 3,547,916 ADSs after the May 2014 exchange of a portion of the 2012 Notes (see below for further discussion of the May 2014 exchange). Based on the closing price of the Company’s stock as of June 30, 2015, the principal amount of the 2012 Notes would exceed the value of the shares if converted on that date by $22.5 million.</w:t>
      </w:r>
    </w:p>
    <w:p>
      <w:pPr>
        <w:spacing w:after="0" w:line="17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Additional covenants include: (i) limitations on future indebtedness under certain circumstances, (ii) the timely filing of documents and reports pursuant to Section 13 or 15(d) of the Securities Exchange Act of 1934 with both the SEC and the Trustee and (iii) maintaining the tradability of the 2012 Notes. The Company is required to use commercially reasonable efforts to procure and maintain the listing of the 2012 Notes on the Global Exchange Market operated under the supervision of the Irish Stock Exchange (or other recognized stock exchange as defined in the Note Indenture) prior to July 15, 2012. If the 2012 Notes are not freely tradable, as a result of restrictions pursuant to U.S. securities law or the terms of the Indenture or the 2012 Notes, the Company shall pay additional interest on the 2012 Notes at the rate of 0.50% per annum of the principal amount of 2012 Notes outstanding for each day during such period for which the Company’s failure to file has occurred and is continuing or for which the 2012 Notes are not freely tradable.</w:t>
      </w:r>
    </w:p>
    <w:p>
      <w:pPr>
        <w:spacing w:after="0" w:line="16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may not redeem the 2012 Notes prior to January 19, 2017, other than in connection with certain changes in the tax law of a relevant taxing jurisdiction that results in additional amounts becoming due with respect to payments and/or deliveries on the 2012 Notes. On or after January 19, 2017 and prior to the maturity date, the Company may redeem for cash all or part of the 2012 Notes at a redemption price equal to 100% of the principal amount of the 2012 Notes to be redeemed, plus accrued and unpaid interest to, but excluding, the redemption date. There is no prepayment penalty or sinking fund provided for the 2012 Notes. If the Company undergoes a change in control, holders may require the Company to repurchase for cash all or part of their 2012 Notes at a repurchase price equal to 100% of the principal amount of the 2012 Notes to be repurchased, plus accrued and unpaid interest to, but excluding, the change in control repurchase date. The 2012 Notes are the Company’s senior unsecured obligations and rank senior in right of payment to the Company’s future indebtedness that is expressly subordinated in right of payment to the 2012 Notes and equal in right of payment to the Company’s future unsecured indebtedness that is not so subordinated. The 2012 Notes are effectively junior in right of payment to future secured indebtedness to the extent of the value of the assets securing such indebtedness.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2012 Notes are exchangeable under certain circumstances. At the time of issuance, the Company calculated the fair value of the liability component of the outstanding 2012 Notes to be $126.2 million, and the excess of the principal amount of the debt over the liability component of $23.8 million was allocated to the conversion option resulting in a discount on the debt and corresponding increase in equity as a result of the cash settlement feature. The discount created from allocating proceeds to the conversion option was amortized to interest expense using the effective interest method over the 2012 Notes’ estimated remaining life, which was calculated to be a period of twenty-four months. As of June 30, 2015 and December 31, 2014, the discount created from the allocation of the proceeds to the conversion option was fully amortized. The conversion option will not be subsequently remeasured as long as it continues to meet the criteria for equity classification.</w:t>
      </w:r>
    </w:p>
    <w:p>
      <w:pPr>
        <w:spacing w:after="0" w:line="18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also recorded a debt discount to reflect the value of the underwriter’s discounts and offering costs. A portion of the debt discount from underwriter’s discounts and offering costs was allocated to the equity and liability components of the 2012 Notes in proportion to the proceeds allocated to each component. The portion of the debt discount from underwriter’s discounts and offering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costs allocated to the liability component was amortized as interest expense over the estimated life of the 2012 Notes of twenty-four months. As of June 30, 2015 and December 31, 2014, the debt discount was fully amortized and the carrying value of the 2012 Notes was $31.3 million after an exchange of a portion of the 2012 Notes (see below for further discussion of the May 2014 exchange).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May 2014 Exchangeable Senior Notes</w:t>
      </w:r>
    </w:p>
    <w:p>
      <w:pPr>
        <w:spacing w:after="0" w:line="117"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In May 2014, the Company entered into separate, privately negotiated exchange agreements with certain holders of the 2012 Notes pursuant to which Corsicanto exchanged $118.7 million in aggregate principal amount of the existing 2012 Notes for $118.7 million in aggregate principal amount of new</w:t>
      </w:r>
    </w:p>
    <w:p>
      <w:pPr>
        <w:spacing w:after="0" w:line="261" w:lineRule="auto"/>
        <w:rPr>
          <w:sz w:val="20"/>
          <w:szCs w:val="20"/>
          <w:color w:val="auto"/>
        </w:rPr>
      </w:pPr>
      <w:r>
        <w:rPr>
          <w:rFonts w:ascii="Arial" w:cs="Arial" w:eastAsia="Arial" w:hAnsi="Arial"/>
          <w:sz w:val="18"/>
          <w:szCs w:val="18"/>
          <w:color w:val="auto"/>
        </w:rPr>
        <w:t>3.50% May 2014 Exchangeable Senior Notes due 2032, following which $31.3 million in aggregate principal amount of the 2012 Notes remained outstanding with terms unchanged (the 2012 Notes and 2014 Notes are referred to collectively as the “Notes”).</w:t>
      </w:r>
    </w:p>
    <w:p>
      <w:pPr>
        <w:spacing w:after="0" w:line="18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2014 Notes have a stated interest rate of 3.5% per year, payable semiannually in arrears on January 15 and July 15 of each year beginning on July 15, 2014, and ending upon the 2014 Notes’ maturity on January 15, 2032, unless earlier repurchased or redeemed by Corsicanto or exchanged by the holders. At any time after the issuance of the 2014 Notes and prior to the close of business on the second business day immediately preceding January 15, 2032, holders may exchange the 2014 Notes at their option. If prior to January 15, 2018, a make-whole fundamental change (as defined in the Indenture) occurs or the Company elects to redeem the 2014 Notes in connection with certain changes in tax law, in each case as described in the Indenture, and a holder elects to exchange its 2014 Notes in connection with such make-whole fundamental change or election, as the case may be, such holder may be entitled to an increase in the exchange rate as described in the Indenture. In the event of physical settlement, the 2014 Notes would be exchangeable into 45,666,925 ADSs. The initial exchange rate is 384.6154 ADSs per $1,000 principal amount of the 2014 Notes (equivalent to an initial exchange price of approximately $2.60 per ADS, or the Exchange Price), subject to adjustment in certain circumstances. The exchange rate is subject to adjustment from time to time upon the occurrence of certain events, including, but not limited to, the payment of cash dividends. Based on the closing price of the Company’s stock as of June 30, 2015, the principal amount of the 2014 Notes would exceed the value of the shares if converted on that date by $6.4 million.</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Prior to January 19, 2018, the Company may not redeem the 2014 Notes at its option other than in connection with certain changes in the tax law of a relevant taxing jurisdiction that results in additional amounts (as defined in the Indenture) becoming due with respect to payments and/or deliveries on the 2014 Notes. On or after January 19, 2018, the Company may redeem for cash all or a portion of the 2014 Notes at a redemption price of 100% of the aggregate principal amount of the 2014 Notes to be redeemed, plus accrued and unpaid interest to, but not including, the redemption date. If a fundamental change (as defined in the Indenture) occurs, holders may require the Company to repurchase all or part of their 2014 Notes for cash at a fundamental change repurchase price equal to 100% of the aggregate principal amount of the 2014 Notes to be repurchased, plus accrued and unpaid interest to, but not including, the fundamental change repurchase date. In addition, holders of the 2014 Notes may require the Company to repurchase all or any portion of the 2014 Notes on each of January 19, 2019, January 19, 2024 and January 19, 2029 for cash at a price equal to 100% of the aggregate principal amount of the 2014 Notes to be repurchased, plus accrued and unpaid interest to, but not including, the repurchase date.</w:t>
      </w:r>
    </w:p>
    <w:p>
      <w:pPr>
        <w:spacing w:after="0" w:line="18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may elect at its option to cause all or any portion of the 2014 Notes to be mandatorily exchanged in whole or in part at any time prior to the close of business on the business day preceding January 15, 2032 if the Daily VWAP (as defined in the Indenture) equals or exceeds 110% of the Exchange Price then in effect for at least 20 VWAP Trading Days (as defined in the Indenture) in any 30 VWAP Trading Day period. The Company may only exercise its optional exchange rights upon satisfaction of specified equity conditions, including that the ADSs issuable upon exchange of the 2014 Notes be eligible for resale without registration by non-affiliates and listed on The NASDAQ Global Market, its related exchanges or the New York Stock Exchange. If Corsicanto elects to exercise its optional exchange rights on or prior to January 15, 2018, each holder whose 2014 Notes are exchanged will upon exchange receive a specified number of additional ADSs as set forth in the Indenture. Upon such a declaration of acceleration, such principal and accrued and unpaid interest, if any, will be due and payable immediately. Upon the occurrence of certain events of bankruptcy, insolvency or reorganization involving Corsicanto, 100% of the principal of and accrued and unpaid interest, if any, on all of the 2014 Notes will become due and payable automatically. Notwithstanding the foregoing, the Indenture will provide that, to the extent Corsicanto elects and for up to 360 days, the sole remedy for an event of default relating to certain failures by Corsicanto or the Company, as the case may be, to comply with certain reporting covenants in the Indenture consists exclusively of the right to receive additional interest on the 2014 Notes. Additional covenants pertaining to the 2012 Notes (as described above for the January 2012 Exchangeable Senior Notes) are also applicable to the May 2014 Notes.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 result of the note exchange (as described above), the Company assessed both quantitative and qualitative aspects of the features of the 2014 Notes as compared to the 2012 Notes. Such assessment resulted in the conclusion that the features of the 2014 Notes represent a substantive modification from the 2012 Notes as the terms of the exchange resulted in a substantive modification to the embedded conversion feature within the 2012 Notes, and as such should be accounted for as an extinguishment of debt. In accordance with ASC 470-20, the Company extinguished the 2012 Notes by recording a gain on extinguishment of the liability component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$38.0 million and repurchase of the conversion option in equity through a reduction to additional paid-in capital of $10.1 million. The 2014 Notes were recorded at fair value of $90.8 million representing a $27.9 million discount to par. In addition the Company recognized $2.5 million in underwriter’s fees and offering costs and recognized those costs as deferred assets. The Company further allocated $3.5 million of the $90.8 million fair value of the 2014 Notes to the derivative liability related to the fundamental change redemption feature (as described above), which will be measured at fair value on an ongoing basis. During the six months ended June 30, 2015, the Company recognized a $1.5 million gain on the change in fair value of the redemption feature. The fair value of this derivative liability is remeasured at each reporting period, with changes in fair value recognized in the statement of operations and any changes in the assumptions used in measuring the fair value of the derivative liability could result in a material increase or decrease in its carrying value.</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Because the conversion option in the 2014 Notes receives an exception from derivative accounting and only requires gross physical settlement in shares, the embedded option does not require separate accounting and is therefore accounted for as part of the debt host at amortized cost. The debt discount is being amortized as interest expense over the estimated life of the 2014 Notes and recognized in the statement of operations as interest expense. As of June 30, 2015 and December 31, 2014, the carrying value of the 2014 Notes, net of the unamortized debt discount, was $93.4 million and $90.6 million, respectively. During the six months ended June 30, 2015, the Company recognized aggregate interest expense of $5.6 million related to the Notes, of which $3.0 million represents amortization of the debt discount and $2.6 million represents contractual coupon interest. During the six months ended June 30, 2014, the Company recognized aggregate interest expense of $3.9 million related to the Notes, of which $1.3 million represents non-cash interest and $2.6 million represents contractual coupon interest.</w:t>
      </w:r>
    </w:p>
    <w:p>
      <w:pPr>
        <w:spacing w:after="0" w:line="17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At June 30, 2015 and December 31, 2014, the Company had accrued interest on the Notes of $2.4 million, which is included in other current liabilities. The Company made the contractual interest payments due on the Notes during the six months ended June 30, 2015 and 2014 of $2.6 million.</w:t>
      </w:r>
    </w:p>
    <w:p>
      <w:pPr>
        <w:spacing w:after="0" w:line="268" w:lineRule="exact"/>
        <w:rPr>
          <w:sz w:val="20"/>
          <w:szCs w:val="20"/>
          <w:color w:val="auto"/>
        </w:rPr>
      </w:pPr>
    </w:p>
    <w:p>
      <w:pPr>
        <w:ind w:left="460" w:right="8420" w:hanging="452"/>
        <w:spacing w:after="0" w:line="378" w:lineRule="auto"/>
        <w:tabs>
          <w:tab w:leader="none" w:pos="449"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ind w:right="120"/>
        <w:spacing w:after="0" w:line="259" w:lineRule="auto"/>
        <w:rPr>
          <w:sz w:val="20"/>
          <w:szCs w:val="20"/>
          <w:color w:val="auto"/>
        </w:rPr>
      </w:pPr>
      <w:r>
        <w:rPr>
          <w:rFonts w:ascii="Arial" w:cs="Arial" w:eastAsia="Arial" w:hAnsi="Arial"/>
          <w:sz w:val="18"/>
          <w:szCs w:val="18"/>
          <w:color w:val="auto"/>
        </w:rPr>
        <w:t>In the ordinary course of business, the Company is from time to time involved in lawsuits, claims, investigations, proceedings, and threats of litigation relating to its business. “Item 3. Legal Proceedings” of the Company’s Annual Report on Form 10-K for the fiscal year ended December 31, 2014 includes a discussion of the Company’s current legal proceedings. There have been no material changes to those disclosures as of the date of this filing other than as set forth below.</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On May 7, 2015, the Company and a group of independent physicians filed a federal lawsuit to permit the Company to share truthful and non-misleading information, including, but not limited to, the ANCHOR trial clinical data, with healthcare professionals in the United States about certain uses of Vascepa not included with approved FDA labeling of Vascepa and thus not permitted under the FDA’s interpretation of applicable law. The lawsuit, captioned </w:t>
      </w:r>
      <w:r>
        <w:rPr>
          <w:rFonts w:ascii="Arial" w:cs="Arial" w:eastAsia="Arial" w:hAnsi="Arial"/>
          <w:sz w:val="18"/>
          <w:szCs w:val="18"/>
          <w:i w:val="1"/>
          <w:iCs w:val="1"/>
          <w:color w:val="auto"/>
        </w:rPr>
        <w:t>Amarin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Pharma, Inc., et al. v. Food &amp; Drug Administration, et al. </w:t>
      </w:r>
      <w:r>
        <w:rPr>
          <w:rFonts w:ascii="Arial" w:cs="Arial" w:eastAsia="Arial" w:hAnsi="Arial"/>
          <w:sz w:val="18"/>
          <w:szCs w:val="18"/>
          <w:color w:val="auto"/>
        </w:rPr>
        <w:t>(1:15-cv-03588-PAE), was filed in the United States District Court for the Southern District of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and seeks a judicial declaration based on several legal theories. The Company intends to litigate the case vigorously, but cannot predict the outcome of this litigation.</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On May 28, 2015, the U.S. District Court for the District of Columbia granted the Company’s motion for summary judgment in the Company’s lawsuit against the FDA, captioned </w:t>
      </w:r>
      <w:r>
        <w:rPr>
          <w:rFonts w:ascii="Arial" w:cs="Arial" w:eastAsia="Arial" w:hAnsi="Arial"/>
          <w:sz w:val="16"/>
          <w:szCs w:val="16"/>
          <w:i w:val="1"/>
          <w:iCs w:val="1"/>
          <w:color w:val="auto"/>
        </w:rPr>
        <w:t>Amarin Pharmaceuticals Ireland Ltd. v. Food &amp; Drug Administration, et al.</w:t>
      </w:r>
      <w:r>
        <w:rPr>
          <w:rFonts w:ascii="Arial" w:cs="Arial" w:eastAsia="Arial" w:hAnsi="Arial"/>
          <w:sz w:val="16"/>
          <w:szCs w:val="16"/>
          <w:color w:val="auto"/>
        </w:rPr>
        <w:t>, Civ. A. No. 14-0324 (D.D.C.). This lawsuit sought an order requiring FDA to recognize five-year, New Chemical Entity (“NCE”) marketing exclusivity for Vascepa. The decision vacated the FDA’s denial of the Company’s claim for such exclusivity and remanded to the FDA for proceedings consistent with the decision. On July 22, 2015, Watson Laboratories Inc., the purported first Vascepa ANDA filer, filed a motion to intervene and a notice of appeal of the Court’s decision. The Company intends to litigate the case vigorously, but cannot predict the outcome of this litigation. FDA did not seek to appeal the Court’s decision prior to the July 28, 2015 deadline for appeal.</w:t>
      </w:r>
    </w:p>
    <w:p>
      <w:pPr>
        <w:spacing w:after="0" w:line="16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Based on the May 28, 2015 U.S. District Court for the District of Columbia order granting the Company’s motion for summary judgment in the NCE litigation, on June 26, 2015, the parties to the related Vascepa patent litigation that followed acceptance by FDA of abbreviated new drug applications, or ANDAs, to Vascepa agreed to a full stay of proceeding in that patent litigation. Based on subsequent FDA notification to the ANDA filers that FDA had changed the status of their ANDAs to submitted, but no longer accepted, the Company believes the statutory basis for the patent litigation (accepted ANDAs) no longer exists. Thus, on July 24, 2015, the Company moved to dismiss the pending patent infringement lawsuits against each of the Vascepa ANDA applicants. The Company cannot predict the outcome of this motion to dismiss or litigation. If the motion to dismiss is granted, the Company plans to defend the exclusivity of Vascepa through patent litigation after notification that FDA has accepted an ANDA application related to Vascepa which, assuming NCE exclusivity, the Company would expect no sooner than July 2016.</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On June 29, 2015, the U.S. District Court for the District of New Jersey granted the Company’s motion to dismiss the putative consolidated class action lawsuit captioned </w:t>
      </w:r>
      <w:r>
        <w:rPr>
          <w:rFonts w:ascii="Arial" w:cs="Arial" w:eastAsia="Arial" w:hAnsi="Arial"/>
          <w:sz w:val="17"/>
          <w:szCs w:val="17"/>
          <w:i w:val="1"/>
          <w:iCs w:val="1"/>
          <w:color w:val="auto"/>
        </w:rPr>
        <w:t>In re Amarin Corporation plc, Securities Litigation,</w:t>
      </w:r>
      <w:r>
        <w:rPr>
          <w:rFonts w:ascii="Arial" w:cs="Arial" w:eastAsia="Arial" w:hAnsi="Arial"/>
          <w:sz w:val="17"/>
          <w:szCs w:val="17"/>
          <w:color w:val="auto"/>
        </w:rPr>
        <w:t xml:space="preserve"> No. 3:13-cv-06663 (D.N.J. Nov. 1, 2013). The class action was dismissed without prejudice with leave for plaintiffs to file an amended complaint. The lawsuit sought unspecified monetary damages and attorneys’ fees and costs alleging that Amarin and certain of its current and former officers and directors made misstatements and omissions regarding the FDA’s willingness to approve Vascepa’s ANCHOR indication and related contributing factors and the potential relevance of data from the ongoing REDUCE-IT trial to that potential approval. On July 29, 2015, plaintiffs filed an amended complaint alleging facts similar to those in the original complaint. Like the first complaint, the amended complaint seeks unspecified monetary damages and attorneys’ fees and costs. The Company believes it has valid defenses and will vigorously defend against this lawsuit, but cannot predict the outcome. The Company is not able to reasonably estimate the loss exposure, if any, associated with the claims. The Company has insurance coverage that is anticipated to cover any significant loss exposure that may arise from this action after payment of the associated deductible obligation under such insurance coverage.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entered into several product development agreements with, subject to performance obligations, certain milestone and supply purchase obligations.</w:t>
      </w:r>
    </w:p>
    <w:p>
      <w:pPr>
        <w:spacing w:after="0" w:line="1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Company has Vascepa API supply agreements with three independent companies for the purchase of qualified API supply: Nisshin Pharma, Inc., or Nisshin, Chemport, Inc., or Chemport, and Finorga SAS, or Novasep. The Company’s agreements with Chemport and Novasep contain minimum purchase obligations and a provision requiring the Company to pay in cash for any shortfall in the minimum purchase obligations. To date, the Company has met or exceeded its minimum purchase obligations. The Company has no royalty, milestone or minimum purchase commitments with Nisshin.</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agreements with the Company’s API suppliers, there is a total of $53.3 million that is potentially payable over the term of such agreements based on minimum purchase obligations.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2004 share repurchase agreement with Laxdale Limited, or Laxdale, upon receipt of marketing approval in Europe for the first indication for Vascepa (or first indication of any product containing Amarin Neuroscience intellectual property acquired from Laxdale in 2004), the Company must make an aggregate stock or cash payment to the former shareholders of Laxdale (at the sole option of each of the sellers) of £7.5 million (approximately $11.8 million as of June 30, 2015). Also under the Laxdale agreement, upon receipt of a marketing approval in the United States or Europe for a further indication of Vascepa (or further indication of any other product using Amarin Neuroscience intellectual property), the Company must make an aggregate stock or cash payment (at the sole option of each of the sellers) of £5 million (approximately $7.9 million as of June 30, 2015) for each of the two potential market approvals (i.e. £10 million maximum, or approximately $15.7 million as of June 30, 2015).</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 provision for any of the obligations above since the amounts are either not probable or able to be estimated as of June 30, 2015.</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right="10280" w:hanging="452"/>
        <w:spacing w:after="0" w:line="425" w:lineRule="auto"/>
        <w:tabs>
          <w:tab w:leader="none" w:pos="449"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i w:val="1"/>
          <w:iCs w:val="1"/>
          <w:u w:val="single" w:color="auto"/>
          <w:color w:val="auto"/>
        </w:rPr>
        <w:t>Warrants</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six months ended June 30, 2015, the Company issued 1,844,585 shares upon the exercise of warrants, resulting in gross and net proceeds of $2.8 million and $2.7 million, respectively.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During the six months ended June 30, 2015 and 2014, the Company issued 18,020 and 215,000 shares, respectively, as a result of the exercise of stock options, resulting in gross and net proceeds of $31 thousand and $0.3 million, respectively, for each period.</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January 29, 2015, the Company granted a total of 2,564,251 restricted stock units (“RSUs”) and 1,622,500 stock options to employees under the Amarin Corporation plc 2011 Stock Incentive Plan (the “2011 Plan”). The RSUs vest annually over a three year period and the stock options vest monthly over a four year period. Also on January 29, 2015, the Company granted 5,455,500 RSUs to employees under the 2011 Plan that vest upon the achievement of certain performance conditions.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March 11, 2014, the Company granted a total of 173,348 RSUs and 205,890 stock options to members of the Company’s Board of Directors under the 2011 Plan. The RSUs vest in equal installments over a three year period commencing with each installment vesting each year upon the earlier of the anniversary of the grant date or the Company’s annual general meeting of shareholders in such anniversary year. Upon termination of service to the Company, each Director shall be entitled to a payment equal to the fair market value of one share of Amarin common stock, which is required to be made in shares. The stock options vest in full upon the earlier of the anniversary of the grant date or the Company’s annual general meeting of shareholders in such anniversary year. The stock options will become fully vested upon a change of control of the Company.</w:t>
      </w:r>
    </w:p>
    <w:p>
      <w:pPr>
        <w:spacing w:after="0" w:line="178"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On January 8, 2014, the Company granted a total of 2,082,000 RSUs and 2,605,500 stock options to employees under the 2011 Plan. The RSUs vest annually over a three year period and the stock options vest monthly over a four year period. During the six months ended June 30, 2015, the Company issued 639,500 common shares related to the vesting of these RSUs, of which 114,258 shares were retained as treasury shares as settlement of employee tax obligations.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5, 2015, the Company entered into a subscription agreement with four institutional investors (the “Purchasers”), including both existing and new investors, for the private placement of $52.8 million of restricted American Depositary Shares, each representing one (1) share of Amarin’s Series A Convertible Preference Shares, par value £0.05 per share, in the capital of the Company (“Series A Preference Shares”). The closing of the private placement occurred on March 30, 2015.</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each restricted American Depositary Share, the Purchasers paid a negotiated price of $0.15 (equating to $1.50 on an as-converted to ordinary share basis), resulting in $52.8 million in aggregate gross proceeds to the Company, before deducting estimated offering expenses of approximately $0.7 million. The net proceeds are reflected as preferred stock in the accompanying condensed consolidated balance sheets.</w:t>
      </w:r>
    </w:p>
    <w:p>
      <w:pPr>
        <w:spacing w:after="0" w:line="18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Each ten (10) Series A Preference Shares may be consolidated and redesignated as one (1) ordinary share, par value £0.50 per share, in the capital of the Company, each ordinary share to be represented by American Depositary Shares (“ADSs”), provided that consolidation will be prohibited if, as a result, the holder of such Series A Preference Shares and its affiliates would beneficially own more than 4.99% of the total number of Amarin ordinary shares or ADSs outstanding following such redesignation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 During the six months ended June 30, 2015, at the request of the holders, a portion of the Series A Preference Shares were consolidated and redesignated, resulting in the issuance of 6,283,333 ADSs such that a maximum of 28,931,746 ordinary shares remain issuable upon future consolidation and redesignation of the remaining Series A Preference Shares, subject to certain adjustments for dilutive events.</w:t>
      </w:r>
    </w:p>
    <w:p>
      <w:pPr>
        <w:spacing w:after="0" w:line="16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w:t>
      </w:r>
    </w:p>
    <w:p>
      <w:pPr>
        <w:ind w:right="320"/>
        <w:spacing w:after="0" w:line="261" w:lineRule="auto"/>
        <w:rPr>
          <w:sz w:val="20"/>
          <w:szCs w:val="20"/>
          <w:color w:val="auto"/>
        </w:rPr>
      </w:pPr>
      <w:r>
        <w:rPr>
          <w:rFonts w:ascii="Arial" w:cs="Arial" w:eastAsia="Arial" w:hAnsi="Arial"/>
          <w:sz w:val="18"/>
          <w:szCs w:val="18"/>
          <w:color w:val="auto"/>
        </w:rPr>
        <w:t>(75%) of the then outstanding Series A Preference Shares, alter or change adversely the powers, preferences or rights attaching to the Series A Preference Shares or enter into any agreement with respect to the foregoing.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87"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The restricted American Depositary Shares and Series A Preference Shares have not been registered under the Securities Act of 1933, as amended (the “Securities Act”), or state securities laws and may not be offered or sold in the United States absent registration with the Securities and Exchange Commission (SEC) or an applicable exemption from registration requirements.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In addition, the Company agreed to use its commercially reasonable best efforts to effect and to keep the registration, and any qualification, exemption or compliance under state securities laws which the Company determines to obtain, continuously effective, and to keep the Registration Statement free of any material misstatements or omissions, until the earlier of (a) March 11, 2017 or</w:t>
      </w:r>
    </w:p>
    <w:p>
      <w:pPr>
        <w:spacing w:after="0" w:line="3" w:lineRule="exact"/>
        <w:rPr>
          <w:sz w:val="20"/>
          <w:szCs w:val="20"/>
          <w:color w:val="auto"/>
        </w:rPr>
      </w:pPr>
    </w:p>
    <w:p>
      <w:pPr>
        <w:ind w:right="160" w:firstLine="8"/>
        <w:spacing w:after="0" w:line="261"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on which all Registrable Securities held by Purchasers may be sold or transferred in compliance with Rule 144 under the Securities Act, without any volume or manner of sale restrictions.</w:t>
      </w:r>
    </w:p>
    <w:p>
      <w:pPr>
        <w:spacing w:after="0" w:line="1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Series A Preference Shares contain a contingent beneficial conversion feature (BCF) because they contain a conversion feature at a fixed rate that was in-the-money when issued. The BCF was recorded in the three months ended June 30, 2015 as a result of the related Form S-3 Registration Statement being declared effective, which represents the resolution of the contingency to convert the Series A Preference Shares. The BCF was recognized in stockholders’ deficit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 shares into which the preferred shares are convertible. The BCF resulting from the issuance of the Series A Preference Shares was determined to be $31.3 million. The BCF was recorded as a non-cash dividend to preferred shareholders through accumulated deficit, and is therefore reflected as an adjustment to net loss applicable to common shareholders for earnings per common share purposes in accordance with GAAP.</w:t>
      </w:r>
    </w:p>
    <w:p>
      <w:pPr>
        <w:spacing w:after="0" w:line="16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March 30, 2015, in connection with the closing of the private placement, and pursuant to a pre-existing contractual right to participate in certain private placement transactions effected by the Company, the Company entered into a separate subscription agreement with an existing investor, Sofinnova Venture Partners VII L.P. (Sofinnova), for the purchase of an additional $5.8 million of restricted American Depositary Shares, each representing one (1) share of the Company’s Series A Preference Shares, at the same price per share and otherwise on substantially the same terms as the initial private placement (the “Second Private Placement”). In accordance with applicable marketplace rules of the NASDAQ Stock Market, the consummation of the Second Private Placement was conditioned upon approval by the Company’s shareholders at a future meeting of the Company’s shareholders. Such approval was received at the Company’s Annual General Meeting of Shareholders on July 6, 2015 and as a result, the closing of the Second Private Placement occurred on July 10, 2015 (See Note 11</w:t>
      </w:r>
    </w:p>
    <w:p>
      <w:pPr>
        <w:spacing w:after="0" w:line="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 Subsequent Events). Dr. James Healy, a member of the Company’s Board, is a managing member of Sofinnova Management VII, L.L.C., the general partner of Sofinnova.</w:t>
      </w:r>
    </w:p>
    <w:p>
      <w:pPr>
        <w:spacing w:after="0" w:line="18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existence of this preferred stock purchase option was determined to be a derivative liability effective March 5, 2015, the date in which the private placement was initially subscribed. The fair value of this liability was calculated using a Black-Scholes model and was determined to be $0.9 million at inception and was charged to accumulated deficit as a deemed non-cash dividend to Sofinnova. The liability was then marked to fair value as of March 30, 2015, the date on which the Company executed a subscription agreement with Sofinnova, resulting in a charge of $0.9 million through (loss) gain on change in fair value of derivatives. The liability of $1.8 million was reclassified to permanent equity (additional paid-in capital) on such date.</w:t>
      </w:r>
    </w:p>
    <w:p>
      <w:pPr>
        <w:spacing w:after="0" w:line="30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31, 2014, the Company entered into a Co-Promotion Agreement (the Agreement) with Kowa Pharmaceuticals America, Inc. related to the commercialization of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in the United States. Under the terms of the Agreement, Amarin granted to Kowa Pharmaceuticals America, Inc. the right to be the sole co-promoter, together with the Company, of Vascepa in the United States during the term. The initial term of the Agreement extends through 2018.</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During the term, Kowa Pharmaceuticals America, Inc. and Amarin have agreed to use commercially reasonable efforts to promote, detail and optimize sales of Vascepa in the United States. The performance requirements include a negotiated minimum number of details to be delivered by each party in the first and second position, and the use of a negotiated number of minimum sales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representatives from each party, including no less than 250 Kowa Pharmaceuticals America, Inc. sales representatives. Kowa Pharmaceuticals America, Inc. has agreed to continue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exchange for Kowa Pharmaceuticals America, Inc.’s co-promotional services, Kowa Pharmaceuticals America, Inc. is entitled to a quarterly co-promotion fee based on a percentage of Vascepa gross margin that increases during the Agreement’s term, from the high single digits in 2014 to the low twenty percent levels in 2018. The co-promotion fee also varies based on sales levels and whether the FDA has approved an ANCHOR indication labeling expansion for Vascepa or has permitted the use of data generated to support obtaining FDA approval of the ANCHOR indication in the promotion of Vascepa, in which case the co-promotion fee would be decreased if specified requirements are met. In certain circumstances, upon the earlier of the expiration or termination of the Agreement in accordance with its terms, Kowa Pharmaceuticals America, Inc. may be eligible for a co-promotion tail fee equal to declining fractions of the co-promote fee in effect prior to such expiration or termination for periods ranging from one to three years following such expiration or termination.</w:t>
      </w:r>
    </w:p>
    <w:p>
      <w:pPr>
        <w:spacing w:after="0" w:line="16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June 30, 2015 and December 31, 2014, the Company had a net payable of $1.5 million and a net receivable of $0.6 million, respectively, from Kowa Pharmaceuticals America, Inc. representing co-promotion fees payable to Kowa Pharmaceuticals America, Inc. net of reimbursable amounts incurred for samples and other marketing expenses.</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Development, Commercialization and Supply Agreement</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February 26, 2015, the Company entered into a Development, Commercialization and Supply Agreement (the “DCS Agreement”) with Eddingpharm (Asia) Macao Commercial Offshore Limited (“Eddingpharm”) related to the development and commercialization of Vascepa in Mainland China, Hong Kong, Macau and Taiwan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ongoing REDUCE-IT clinical trials of Vascepa.</w:t>
      </w:r>
    </w:p>
    <w:p>
      <w:pPr>
        <w:spacing w:after="0" w:line="15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Under the DCS Agreement, Eddingpharm will be solely responsible for development and commercialization activities in the China Territory and associated expenses. The Company will provide development assistance and be responsible for supplying finished and later bulk drug product at defined prices under negotiated supply terms. The Company will retain all Vascepa manufacturing rights. Eddingpharm has agreed to certain restrictions regarding the commercialization of competitive products globally and the Company has agreed to certain restrictions regarding the commercialization of competitive products in the China Territory.</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will be paid by Eddingpharm to the extent such costs are incurred in connection with the negotiated development plan or otherwise incurred by Eddingpharm. Eddingpharm will be responsible for preparing and filing regulatory applications in all countries of the China Territory at Eddingpharm’s cost with the Company’s assistance. The DCS Agreement also contains customary provisions regarding indemnification, packaging, record keeping, audit rights, reporting obligations, and representations and warranties that are customary for an arrangement of this type.</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Upon closing of the DCS Agreement, the Company received a non-refundable $15.0 million up-front payment, which it will recognize as revenue over the estimated period in which the Company is required to provide initial and on-going regulatory and development support and clinical supply for obtaining regulatory approvals in the China Territory and through the estimated period in which the Company is required to provide commercial supply, which is currently estimated to be a period of approximately 16 years. Consequently, the Company recognized $0.4 million of the up-front payment as licensing revenue during the six months ended June 30, 2015 and recorded $14.6 million as deferred revenue as of June 30, 2015. In addition to the non-refundable, up-front payment, the Company is entitled to receive development, regulatory and sales-based milestone payments of up to an additional $154.0 million as well as tiered double-digit percentage royalties on net sales of Vascepa in the China Territory escalating to the high teens. Revenues relating to these milestone payments and royalties will be recognized upon satisfaction of the applicable performance obligations or over the period in which such performance obligations are completed, as applicable.</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subsequent events from June 30, 2015 through the date of the issuance of these condensed consolidated financial statements.</w:t>
      </w:r>
    </w:p>
    <w:p>
      <w:pPr>
        <w:spacing w:after="0" w:line="2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July 10, 2015, the Company closed the Second Private Placement and issued 38,867,180 Restricted ADSs, each representing one Series A Preference Share, which may be consolidated and redesignated from time to time as up to a maximum of 3,886,718 ordinary shares, each ordinary share to be represented by one ADS (see Note 8 – Equity). For each Restricted ADS, Sofinnova paid a negotiated price of $0.15 (equating to $1.50 on an as converted to ordinary share basis) resulting in gross proceeds to the Company of $5.8 million.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2014 and below under Part II, Item IA, “Risk Factors”.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Our lead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is approved by the U.S. Food and Drug Administration, or FDA, for use as an adjunct to diet to reduce triglyceride levels in adult patients with severe (TG ³500 mg/dL) hypertriglyceridemia. Vascepa is available in the United States by prescription only. We began selling and marketing Vascepa in the United States in January 2013. We sell Vascepa principally to a limited number of major wholesalers, as well as selected regional wholesalers and specialty pharmacy providers, or collectively, its Distributors, that in turn resell Vascepa to retail pharmacies for subsequent resale to patients and health care providers. We market Vascepa through our sales force of approximately 150 sales professionals, including sales representatives and their managers. In March 2014, we entered into a co-promotion agreement with Kowa Pharmaceuticals America, Inc. under which approximately 250 Kowa Pharmaceuticals America, Inc. sales representatives began to devote a substantial portion of their time to promoting Vascepa starting in May 2014.</w:t>
      </w:r>
    </w:p>
    <w:p>
      <w:pPr>
        <w:spacing w:after="0" w:line="192"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In February 2015, we announced an exclusive agreement with Eddingpharm (Asia) Macao Commercial Offshore Limited, or Eddingpharm, to develop and commercialize Vascepa capsules in Mainland China, Hong Kong, Macau and Taiwan (the “China Territory”). We are also assessing other partnership opportunities for licensing Vascepa in other territories outside of the United States.</w:t>
      </w:r>
    </w:p>
    <w:p>
      <w:pPr>
        <w:spacing w:after="0" w:line="18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Triglycerides are fats in the blood. Hypertriglyceridemia refers to a condition in which patients have high levels of triglycerides in the bloodstream. It is estimated that over 70 million adults in the United States have elevated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150 mg/dL), approximately 40 million adults in the United States have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 mg/dL), and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commonly known as very high triglyceride levels. Many patients with high triglycerides also have other lipid level abnormalities such as high cholesterol. The patient condition of having more than one lipid level abnormality is referred to as mixed dyslipidemia. According to </w:t>
      </w:r>
      <w:r>
        <w:rPr>
          <w:rFonts w:ascii="Arial" w:cs="Arial" w:eastAsia="Arial" w:hAnsi="Arial"/>
          <w:sz w:val="16"/>
          <w:szCs w:val="16"/>
          <w:i w:val="1"/>
          <w:iCs w:val="1"/>
          <w:color w:val="auto"/>
        </w:rPr>
        <w:t>The American Heart Association Scientific Statement on Triglycerides and Cardiovascular Disease</w:t>
      </w:r>
      <w:r>
        <w:rPr>
          <w:rFonts w:ascii="Arial" w:cs="Arial" w:eastAsia="Arial" w:hAnsi="Arial"/>
          <w:sz w:val="16"/>
          <w:szCs w:val="16"/>
          <w:color w:val="auto"/>
        </w:rPr>
        <w:t xml:space="preserve"> (2011), triglycerides provide important information as a marker associated with the risk for 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69"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We are currently focused on completing the ongoing REDUCE-IT (Reduction of Cardiovascular Events with EPA—Intervention Trial) cardiovascular outcomes study of Vascepa, which we started in December 2011.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 indicated uses for Vascepa. In REDUCE-IT, cardiovascular event rates for patients on stable statin therapy plus four grams per day of Vascepa will be compared to cardiovascular event rates for patients on stable statin therapy plus placebo. The REDUCE-IT study is designed to be completed after reaching an aggregate number of cardiovascular events. Based on projected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event rates, we estimate the REDUCE-IT study can be completed in or about 2017 with results then expected to be available and published in 2018. An interim review of the efficacy and safety results of the trial is scheduled to occur upon reaching 60% of the target aggregate number of cardiovascular events. We currently expect this interim review by the independent data monitoring committee (DMC) to occur during 2016. The DMC has been more frequently examining interim reviews of the safety data from the study. Following each of these reviews, the DMC has communicated to us that we should continue the study as planned. We remain blinded to all data from the study. Over 95% of the 8,000 patients targeted for enrollment in the REDUCE-IT study have been enrolled.</w:t>
      </w:r>
    </w:p>
    <w:p>
      <w:pPr>
        <w:spacing w:after="0" w:line="193" w:lineRule="exact"/>
        <w:rPr>
          <w:sz w:val="20"/>
          <w:szCs w:val="20"/>
          <w:color w:val="auto"/>
        </w:rPr>
      </w:pPr>
    </w:p>
    <w:p>
      <w:pPr>
        <w:ind w:right="200" w:firstLine="913"/>
        <w:spacing w:after="0" w:line="271" w:lineRule="auto"/>
        <w:rPr>
          <w:sz w:val="20"/>
          <w:szCs w:val="20"/>
          <w:color w:val="auto"/>
        </w:rPr>
      </w:pPr>
      <w:r>
        <w:rPr>
          <w:rFonts w:ascii="Arial" w:cs="Arial" w:eastAsia="Arial" w:hAnsi="Arial"/>
          <w:sz w:val="17"/>
          <w:szCs w:val="17"/>
          <w:color w:val="auto"/>
        </w:rPr>
        <w:t>The potential efficacy and safety of Vascepa (known in its development stage as AMR 101) has been studied in two Phase 3 clinical trials, the MARINE trial and the ANCHOR trial. At a daily dose of 4 grams of Vascepa, the dose at which Vascepa is FDA approved, these trials showed favorable clinical results in their respective patient populations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79"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We also developed Vascepa for the treatment of patients with high (TG ³200 mg/dL and &lt;500 mg/dL) triglyceride levels who are also on statin therapy for elevated low-density lipoprotein cholesterol, or LDL-C, levels which we refer to as mixed dyslipidemia. We refer to this second proposed indication for Vascepa as the ANCHOR indication. The FDA views the ANCHOR indication as ostensibly and impliedly an indication to reduce cardiovascular risk.</w:t>
      </w:r>
    </w:p>
    <w:p>
      <w:pPr>
        <w:spacing w:after="0" w:line="187"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On October 16, 2013, the FDA convened an advisory committee to review our supplemental new drug application, or sNDA, seeking marketing approval of Vascepa for use in the ANCHOR indication. This advisory committee was not asked by the FDA to evaluate whether Vascepa is effective in lowering triglycerides in the studied population, the ANCHOR indication as specified in the sNDA. Rather, the advisory panel was asked whether Vascepa would improve cardiovascular outcomes or whether approval of the ANCHOR indication should wait for successful completion of the REDUCE-IT study. The advisory committee voted 9 to 2 against recommending approval of the ANCHOR indication based on information presented at the meeting.</w:t>
      </w:r>
    </w:p>
    <w:p>
      <w:pPr>
        <w:spacing w:after="0" w:line="158"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The ANCHOR clinical study was conducted under a special protocol assessment, or SPA, agreement with the FDA. On October 29, 2013, the FDA rescinded the ANCHOR study SPA agreement because the FDA determined that a substantial scientific issue essential to determining the effectiveness of Vascepa in the studied population was identified after testing began. On April 27, 2015, following three attempts by us to appeal the SPA agreement rescission decision by the FDA, we received a Complete Response Letter, or CRL, from the FDA regarding our ANCHOR sNDA. In the CRL, the FDA acknowledged that Vascepa yielded a treatment difference showing reduced triglyceride levels compared to placebo in patients treated in the ANCHOR study. The FDA concluded that, for regulatory approval purposes, there are insufficient data at this time to support a drug-induced change in serum triglycerides as a surrogate for reducing cardiovascular risk in the ANCHOR population. The FDA did not determine that the drug-induced effects of Vascepa, which go beyond triglyceride-lowering, would not actually reduce cardiovascular risk in this population. We had proposed to the FDA multiple alternative indications, data presentations, disclaimers and other regulatory pathways to approval under the ANCHOR sNDA, but the FDA determined not to approve label expansion reflecting the ANCHOR clinical trial efficacy data at this time. Safety data from the ANCHOR study remain in the currently approved label for Vascepa. Vascepa remains FDA approved for use as an adjunct to diet to reduce triglyceride levels in adult patients with severe hypertriglyceridemia, and current Vascepa labeling remains unchanged. The CRL has no effect on the SPA agreement for the REDUCE-IT study or the anticipated timing for results from the REDUCE-IT study. Based on our communications with the FDA, we expect that final positive results from the REDUCE-IT outcomes study will be required for label expansion for Vascepa.</w:t>
      </w:r>
    </w:p>
    <w:p>
      <w:pPr>
        <w:spacing w:after="0" w:line="185" w:lineRule="exact"/>
        <w:rPr>
          <w:sz w:val="20"/>
          <w:szCs w:val="20"/>
          <w:color w:val="auto"/>
        </w:rPr>
      </w:pPr>
    </w:p>
    <w:p>
      <w:pPr>
        <w:ind w:right="100" w:firstLine="913"/>
        <w:spacing w:after="0" w:line="287" w:lineRule="auto"/>
        <w:rPr>
          <w:sz w:val="20"/>
          <w:szCs w:val="20"/>
          <w:color w:val="auto"/>
        </w:rPr>
      </w:pPr>
      <w:r>
        <w:rPr>
          <w:rFonts w:ascii="Arial" w:cs="Arial" w:eastAsia="Arial" w:hAnsi="Arial"/>
          <w:sz w:val="16"/>
          <w:szCs w:val="16"/>
          <w:color w:val="auto"/>
        </w:rPr>
        <w:t>On May 7, 2015, we and a group of independent physicians filed a lawsuit in federal court to permit us to promote to healthcare professionals certain uses of Vascepa that reflect recognized medical practice but are not covered by current FDA-approved labeling for the drug, so long as the promotion is truthful and non-misleading. The lawsuit seeks a declaration to permit promotion of the FDA-reviewed and agreed effects of Vascepa demonstrated in the ANCHOR clinical trial and use of peer-reviewed scientific publications that present the current state of scientific research related to the potential of Vascepa to reduce the risk of cardiovascular disease. In connection with this litigation, the FDA sent a detailed letter to us on June 5, 2015 that confirmed the validity of the ANCHOR trial results. The letter also sought to clarify how, in the FDA’s view, applicable law and FDA policies apply to the communications proposed in Amarin’s complaint. FDA stated in this letter that it did not have concerns with much of the information Amarin proposed to communicate and provided Amarin with guidance on the FDA’s view of lawful paths for the dissemination and communication to healthcare professionals of the effects of Vascepa demonstrated in the ANCHOR clinical trial and use of peer-reviewed scientific publications in the context of appropriate disclaimers. This litigation continues because significant issues remain despite the significant steps forward provided by the June 5 letter. Such remaining issues include, but are not limited to, the ability of Amarin to engage in a full and truthful dialogue with healthcare professionals about the success of the ANCHOR trial and the potential effectiveness of Vascepa as a treatment to reduce cardiovascular risk.</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 United States</w:t>
      </w:r>
    </w:p>
    <w:p>
      <w:pPr>
        <w:spacing w:after="0" w:line="117"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Vascepa became commercially available in the United States by prescription in January 2013 when we commenced sales and shipments to our network of U.S.-based wholesalers. We commenced the commercial launch of Vascepa in the United States in January 2013. We now market Vascepa in the United States through our sales force of approximately 150 sales professionals and their managers. Commencing in the middle of the second quarter of 2014, in addition to promotion by our sales representatives, approximately 250 Kowa Pharmaceuticals America, Inc. sales representatives began promoting Vascepa. We also employ various marketing personnel to support our commercialization of Vascepa.</w:t>
      </w:r>
    </w:p>
    <w:p>
      <w:pPr>
        <w:spacing w:after="0" w:line="173"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Under the co-promotion agreement with Kowa Pharmaceuticals America, Inc., under which promotion commenced in May 2014,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including no less than 250 Kowa Pharmaceuticals America, Inc. sales representatives and the achievement of minimal levels of Vascepa revenue in 2015 and beyond. Kowa Pharmaceuticals America, Inc. has also agreed to continue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 co-promotional services, Kowa Pharmaceuticals America, Inc. is entitled to a quarterly co-promotion fee based on a percentage of aggregate Vascepa gross margins that increases during the term. The percentage of aggregate Vascepa gross margins earned by Kowa Pharmaceuticals America, Inc. is scheduled to increase from the high single digits in 2014, to fifteen percent (15%) in 2015, and to the low twenty percent levels in 2018, subject to certain adjustments. The term of this co-promotion agreement expires on December 31, 2018.</w:t>
      </w:r>
    </w:p>
    <w:p>
      <w:pPr>
        <w:spacing w:after="0" w:line="18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Based on monthly compilations of data provided by a third party, Symphony Health Solutions, the estimated number of normalized total Vascepa prescriptions for the three months ended June 30, 2015 was approximately 176,000 compared to 154,000 and 110,000 in the three months ended March 31, 2015 and June 30, 2014, respectively. According to data from another third party, IMS Health, the estimated number of normalized total Vascepa prescriptions for the three months ended June 30, 2015 was approximately 157,000 compared to 137,000 and 93,000 in the three months ended March 31, 2015 and</w:t>
      </w:r>
    </w:p>
    <w:p>
      <w:pPr>
        <w:spacing w:after="0" w:line="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June 30, 2014, respectively. Normalized total prescriptions represent the estimated total number of Vascepa prescriptions shipped to patients, calculated on a normalized basis (i.e., total capsules shipped divided by 120 capsules, or one month’s supply). The data reported above is based on information made available to us from third 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are generally indicative of current prescription trends, these data are based on estimates and should not be relied upon as definitive. Prior to commencing our U.S. commercial launch of Vascepa in January 2013, we had no revenue from Vascepa. Because of our limited selling history, changes in the size of our sales force, our co-promotion agreement, and the uncertainty surrounding the extent to which we are able to communicate the ANCHOR clinical trial data, we do not currently provide quantified revenue guidance. While we expect to be able to grow Vascepa revenues over time, we provide no quantified guidance regarding anticipated levels of Vascepa prescriptions or revenues and no such guidance should be inferred from the operating metrics described above. We also anticipate that such sales growth may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and other factors. We believe investors should consider our results over several quarters, or longer, before making an assessment about potential future performance.</w:t>
      </w:r>
    </w:p>
    <w:p>
      <w:pPr>
        <w:spacing w:after="0" w:line="168" w:lineRule="exact"/>
        <w:rPr>
          <w:sz w:val="20"/>
          <w:szCs w:val="20"/>
          <w:color w:val="auto"/>
        </w:rPr>
      </w:pPr>
    </w:p>
    <w:p>
      <w:pPr>
        <w:jc w:val="both"/>
        <w:ind w:right="280" w:firstLine="913"/>
        <w:spacing w:after="0" w:line="279" w:lineRule="auto"/>
        <w:rPr>
          <w:sz w:val="20"/>
          <w:szCs w:val="20"/>
          <w:color w:val="auto"/>
        </w:rPr>
      </w:pPr>
      <w:r>
        <w:rPr>
          <w:rFonts w:ascii="Arial" w:cs="Arial" w:eastAsia="Arial" w:hAnsi="Arial"/>
          <w:sz w:val="17"/>
          <w:szCs w:val="17"/>
          <w:color w:val="auto"/>
        </w:rPr>
        <w:t>The commercialization of a new pharmaceutical product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7"/>
          <w:szCs w:val="17"/>
          <w:i w:val="1"/>
          <w:iCs w:val="1"/>
          <w:color w:val="auto"/>
        </w:rPr>
        <w:t>Risk Factors—Risks Related to the Commercialization and Development of Vascepa</w:t>
      </w:r>
      <w:r>
        <w:rPr>
          <w:rFonts w:ascii="Arial" w:cs="Arial" w:eastAsia="Arial" w:hAnsi="Arial"/>
          <w:sz w:val="17"/>
          <w:szCs w:val="17"/>
          <w:color w:val="auto"/>
        </w:rPr>
        <w: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 Outside the United States</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In February 2015, we announced an exclusive agreement with Eddingpharm to develop and commercialize Vascepa capsules in the territories of Mainland China, Hong Kong, Macau and Taiwan (the “China Territory”) for uses that are currently commercialized and under development by us in the United States based on the MARINE, ANCHOR and ongoing REDUCE-IT clinical trials of Vascepa.</w:t>
      </w:r>
    </w:p>
    <w:p>
      <w:pPr>
        <w:spacing w:after="0" w:line="181" w:lineRule="exact"/>
        <w:rPr>
          <w:sz w:val="20"/>
          <w:szCs w:val="20"/>
          <w:color w:val="auto"/>
        </w:rPr>
      </w:pPr>
    </w:p>
    <w:p>
      <w:pPr>
        <w:ind w:right="180" w:firstLine="913"/>
        <w:spacing w:after="0" w:line="297" w:lineRule="auto"/>
        <w:rPr>
          <w:sz w:val="20"/>
          <w:szCs w:val="20"/>
          <w:color w:val="auto"/>
        </w:rPr>
      </w:pPr>
      <w:r>
        <w:rPr>
          <w:rFonts w:ascii="Arial" w:cs="Arial" w:eastAsia="Arial" w:hAnsi="Arial"/>
          <w:sz w:val="16"/>
          <w:szCs w:val="16"/>
          <w:color w:val="auto"/>
        </w:rPr>
        <w:t>Under the agreement, Eddingpharm will be responsible for development and commercialization activities in the China Territory and associated expenses. We will provide development assistance and be responsible for supplying the product. Terms of the agreement include up-front and milestone payments to us of up to $169.0 million, including a non-refundable $15.0 million up-front payment received at closing, and development, regulatory and sales-based milestone payments of up to an additional $154.0 million. Eddingpharm will also pay us tiered double-digit percentage royalties on net sales of Vascepa in the China Territory escalating to the high teens. We will supply finished product to Eddingpharm under negotiated supply terms.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continue to assess other partnership opportunities for licensing Vascepa in other territories outside of the United States.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REDUCE-IT is the first prospective cardiovascular outcomes study of any drug in a population of patients who, despite stable statin therapy, have elevated triglyceride levels. REDUCE-IT is a multinational, prospective, randomized, double-blind, placebo-controlled study designed to assess the cumulative effect on the rate of cardiovascular events for patients treated with Vascepa as an add-on to statin therapy compared to the corresponding rate of cardiovascular events for patients treated with placebo on top of statin therapy. Based on the results of REDUCE-IT, we may seek additional indications for Vascepa beyond the indications studied in the ANCHOR or MARINE trials.</w:t>
      </w:r>
    </w:p>
    <w:p>
      <w:pPr>
        <w:spacing w:after="0" w:line="188"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REDUCE-IT is designed to enroll 8,000 patients, of which over 7,600 patients have been enrolled. We currently estimate that we will complete patient enrollment in this study near the end of 2015.</w:t>
      </w:r>
    </w:p>
    <w:p>
      <w:pPr>
        <w:spacing w:after="0" w:line="17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Completion of the REDUCE-IT study is designed to occur after reaching an aggregate number of cardiovascular events. Based on projected event rates, we estimate the REDUCE-IT study can be completed in or about 2017 with results then expected to be available in 2018. An interim review of the efficacy and safety results of the trial is scheduled to occur upon reaching 60% of the target aggregate number of cardiovascular events. We currently expect this interim review by the independent data monitoring committee, or DMC, to occur during 2016. As is typical, the statistical threshold for defining overwhelming efficacy on the primary endpoint at the interim analysis is considerably higher than the threshold for defining statistical significance at the end of the study. Amarin remains blinded to all data from the study.</w:t>
      </w:r>
    </w:p>
    <w:p>
      <w:pPr>
        <w:spacing w:after="0" w:line="19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differentiated effects of the active ingredient in Vascepa, including the antioxidant properties and effects on inflammation markers associated with atherosclerosis.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 Supply</w:t>
      </w:r>
    </w:p>
    <w:p>
      <w:pPr>
        <w:spacing w:after="0" w:line="117"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To date, all of our active pharmaceutical ingredient, or API, has been acquired through two suppliers: Nisshin Pharma, Inc., or Nisshin, and Chemport, Inc., or Chemport. A significant portion of such API was purchased from Nisshin at a price that is higher than expected future average API costs. The amount of supply we seek to purchase in 2015 and beyond will depend on the level of growth of Vascepa revenues.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117"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We believe that our cash and cash equivalents balance of $136.0 million as of June 30, 2015 is sufficient to fund our projected operations for at least the next twelve months. Included in our cash balance as of June 30, 2015 was a $15.0 million non-refundable, up-front payment we received upon the execution of our first ex-U.S. licensing agreement in China and surrounding territories and net proceeds of $52.1 million we received from the issuance and sale of our Series A Preference Shares to four institutional investors.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i w:val="1"/>
          <w:iCs w:val="1"/>
          <w:color w:val="auto"/>
        </w:rPr>
        <w:t xml:space="preserve">Product Revenue, net. </w:t>
      </w:r>
      <w:r>
        <w:rPr>
          <w:rFonts w:ascii="Arial" w:cs="Arial" w:eastAsia="Arial" w:hAnsi="Arial"/>
          <w:sz w:val="17"/>
          <w:szCs w:val="17"/>
          <w:color w:val="auto"/>
        </w:rPr>
        <w:t>All of our product revenue is derived from product sales of Vascepa, net of allowances, discounts, incentives, rebates,</w:t>
      </w:r>
      <w:r>
        <w:rPr>
          <w:rFonts w:ascii="Arial" w:cs="Arial" w:eastAsia="Arial" w:hAnsi="Arial"/>
          <w:sz w:val="17"/>
          <w:szCs w:val="17"/>
          <w:i w:val="1"/>
          <w:iCs w:val="1"/>
          <w:color w:val="auto"/>
        </w:rPr>
        <w:t xml:space="preserve"> </w:t>
      </w:r>
      <w:r>
        <w:rPr>
          <w:rFonts w:ascii="Arial" w:cs="Arial" w:eastAsia="Arial" w:hAnsi="Arial"/>
          <w:sz w:val="17"/>
          <w:szCs w:val="17"/>
          <w:color w:val="auto"/>
        </w:rPr>
        <w:t>chargebacks and returns. We sell product to a limited number of major wholesalers, as well as selected regional wholesalers and specialty pharmacy providers, or collectively, our Distributors, who resell the product to retail pharmacies for purposes of their reselling the product to fill patient prescriptions. We commenced our commercial launch in the United States in January 2013. In accordance with U.S. Generally Accepted Accounting Principles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Through June 30, 2015, product returns were de minimis.</w:t>
      </w:r>
    </w:p>
    <w:p>
      <w:pPr>
        <w:spacing w:after="0" w:line="179"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i w:val="1"/>
          <w:iCs w:val="1"/>
          <w:color w:val="auto"/>
        </w:rPr>
        <w:t xml:space="preserve">Licensing revenue. </w:t>
      </w:r>
      <w:r>
        <w:rPr>
          <w:rFonts w:ascii="Arial" w:cs="Arial" w:eastAsia="Arial" w:hAnsi="Arial"/>
          <w:sz w:val="16"/>
          <w:szCs w:val="16"/>
          <w:color w:val="auto"/>
        </w:rPr>
        <w:t>Licensing revenue currently consists of revenue attributable to the receipt of an up-front, non-refundable payment related to a</w:t>
      </w:r>
      <w:r>
        <w:rPr>
          <w:rFonts w:ascii="Arial" w:cs="Arial" w:eastAsia="Arial" w:hAnsi="Arial"/>
          <w:sz w:val="16"/>
          <w:szCs w:val="16"/>
          <w:i w:val="1"/>
          <w:iCs w:val="1"/>
          <w:color w:val="auto"/>
        </w:rPr>
        <w:t xml:space="preserve"> </w:t>
      </w:r>
      <w:r>
        <w:rPr>
          <w:rFonts w:ascii="Arial" w:cs="Arial" w:eastAsia="Arial" w:hAnsi="Arial"/>
          <w:sz w:val="16"/>
          <w:szCs w:val="16"/>
          <w:color w:val="auto"/>
        </w:rPr>
        <w:t>Vascepa license agreement in China, which is being recognized over the estimated period in which we are required to provide regulatory and development support and clinical and commercial supply pursuant to the agreement, which is currently anticipated to be a period of approximately 16 years.</w:t>
      </w:r>
    </w:p>
    <w:p>
      <w:pPr>
        <w:spacing w:after="0" w:line="14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includes the cost of API for Vascepa on which revenue was recognized during the period,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costs for encapsulation, packaging, shipment, supply management, insurance and quality assurance. The cost of the API included in cost of goods sold reflects the average cost method of inventory valuation and relief. This average cost reflects the actual purchase price of Vascepa API, which through June 30, 2015 was sourced from Nisshin and Chemport.</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consists primarily of salaries and other related costs for</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including stock-based compensation expense, in our sales, marketing, executive, business development, finance and information technology functions and co-promotion fees payable to Kowa Pharmaceuticals America, Inc. Other costs primarily include facility costs and professional fees for accounting, consulting and legal services.</w:t>
      </w:r>
    </w:p>
    <w:p>
      <w:pPr>
        <w:spacing w:after="0" w:line="187"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 consists primarily of fees paid to professional service providers in</w:t>
      </w:r>
      <w:r>
        <w:rPr>
          <w:rFonts w:ascii="Arial" w:cs="Arial" w:eastAsia="Arial" w:hAnsi="Arial"/>
          <w:sz w:val="17"/>
          <w:szCs w:val="17"/>
          <w:i w:val="1"/>
          <w:iCs w:val="1"/>
          <w:color w:val="auto"/>
        </w:rPr>
        <w:t xml:space="preserve"> </w:t>
      </w:r>
      <w:r>
        <w:rPr>
          <w:rFonts w:ascii="Arial" w:cs="Arial" w:eastAsia="Arial" w:hAnsi="Arial"/>
          <w:sz w:val="17"/>
          <w:szCs w:val="17"/>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as well as the cost to support regulatory and development activities related to our development and commercialization agreement with our international partner, Eddingpharm. We expense research and development costs as incurred. In addition, research and development costs include the costs of product supply we received from suppliers when such receipt is prior to regulatory approval of the supplier.</w:t>
      </w:r>
    </w:p>
    <w:p>
      <w:pPr>
        <w:spacing w:after="0" w:line="179"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i w:val="1"/>
          <w:iCs w:val="1"/>
          <w:color w:val="auto"/>
        </w:rPr>
        <w:t xml:space="preserve">(Loss) Gain on Change in Fair Value of Derivative Liabilities. </w:t>
      </w:r>
      <w:r>
        <w:rPr>
          <w:rFonts w:ascii="Arial" w:cs="Arial" w:eastAsia="Arial" w:hAnsi="Arial"/>
          <w:sz w:val="18"/>
          <w:szCs w:val="18"/>
          <w:color w:val="auto"/>
        </w:rPr>
        <w:t>(Loss) gain on change in fair value of derivative liabilities is comprised of: (i)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fair value of the warrant derivative liability, (ii) the change in fair value of the derivative liability related to the change in control provision associated with the December 2012 financing with BioPharma Secured Debt Fund II Holdings Cayman LP, or BioPharma, (iii) the change in fair value of the derivative liability related to the change in control provision associated with the May 2014 exchangeable senior notes; and (iv) the change in fair value of the derivative liability related to the preferred stock purchase option.</w:t>
      </w:r>
    </w:p>
    <w:p>
      <w:pPr>
        <w:spacing w:after="0" w:line="188"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i w:val="1"/>
          <w:iCs w:val="1"/>
          <w:color w:val="auto"/>
        </w:rPr>
        <w:t xml:space="preserve">Interest and Other Income (Expense), Net. </w:t>
      </w:r>
      <w:r>
        <w:rPr>
          <w:rFonts w:ascii="Arial" w:cs="Arial" w:eastAsia="Arial" w:hAnsi="Arial"/>
          <w:sz w:val="16"/>
          <w:szCs w:val="16"/>
          <w:color w:val="auto"/>
        </w:rPr>
        <w:t>Interest expense consists of interest incurred under lease obligations, interest incurred under our 3.5%</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exchangeable notes and interest incurred under our December 2012 financing arrangement with BioPharma. Interest expense under our exchangeable notes includes the amortization of the conversion option related to our exchangeable debt, the amortization of the related debt discounts and debt obligation coupon interest. Interest expense under our BioPharma financing arrangement is calculated based on an estimated repayment schedule. Interest income consists of interest earned on our cash and cash equivalents. Other income (expense), net, consists primarily of foreign exchange losses and gains.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condensed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or conditions. A summary of our significant accounting policies is contained in Note 2 to our condensed consolidated financial statements included elsewhere in this Quarterly Report on Form 10-Q. We believe the following critical accounting policies affect our more significant judgments and estimates used in the preparation of our condensed consolidated financial statements.</w:t>
      </w:r>
    </w:p>
    <w:p>
      <w:pPr>
        <w:spacing w:after="0" w:line="181"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—We sell Vascepa principally to a limited number of Distributors, that in turn resell Vascepa to retail pharmacies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resell it to patients and health care providers. In accordance with GAAP, our revenue recognition policy requires that: (i) there is persuasive evidence that an arrangement exists between us and the Distributor, (ii) delivery has occurred, (iii) collectability is reasonably assured and (iv) the price is fixed or determinable.</w:t>
      </w:r>
    </w:p>
    <w:p>
      <w:pPr>
        <w:spacing w:after="0" w:line="187"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We began recognizing revenue from the sale of Vascepa following our commercial launch in the United States in January 2013. Prior to 2013, we recognized no revenue from Vascepa sales. We sell Vascepa to Distributors. In accordance with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Consequently, we recognized revenues of $33.3 million and $23.6 million based on sales to Distributors during the six months ended June 30, 2015 and 2014, respectively. Through June 30, 2015, product returns were de minimis.</w:t>
      </w:r>
    </w:p>
    <w:p>
      <w:pPr>
        <w:spacing w:after="0" w:line="165" w:lineRule="exact"/>
        <w:rPr>
          <w:sz w:val="20"/>
          <w:szCs w:val="20"/>
          <w:color w:val="auto"/>
        </w:rPr>
      </w:pPr>
    </w:p>
    <w:p>
      <w:pPr>
        <w:ind w:right="80" w:firstLine="913"/>
        <w:spacing w:after="0" w:line="285" w:lineRule="auto"/>
        <w:rPr>
          <w:sz w:val="20"/>
          <w:szCs w:val="20"/>
          <w:color w:val="auto"/>
        </w:rPr>
      </w:pPr>
      <w:r>
        <w:rPr>
          <w:rFonts w:ascii="Arial" w:cs="Arial" w:eastAsia="Arial" w:hAnsi="Arial"/>
          <w:sz w:val="16"/>
          <w:szCs w:val="16"/>
          <w:color w:val="auto"/>
        </w:rPr>
        <w:t>We have written contracts with our Distributors, and delivery occurs when a Distributor receives Vascepa. We evaluate the creditworthiness of each of our Distributors to determine whether revenues can be recognized upon 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w:t>
      </w:r>
    </w:p>
    <w:p>
      <w:pPr>
        <w:spacing w:after="0" w:line="2" w:lineRule="exact"/>
        <w:rPr>
          <w:sz w:val="20"/>
          <w:szCs w:val="20"/>
          <w:color w:val="auto"/>
        </w:rPr>
      </w:pPr>
    </w:p>
    <w:p>
      <w:pPr>
        <w:ind w:right="40" w:firstLine="8"/>
        <w:spacing w:after="0" w:line="255"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190" w:lineRule="exact"/>
        <w:rPr>
          <w:sz w:val="20"/>
          <w:szCs w:val="20"/>
          <w:color w:val="auto"/>
        </w:rPr>
      </w:pPr>
    </w:p>
    <w:p>
      <w:pPr>
        <w:ind w:right="260" w:firstLine="913"/>
        <w:spacing w:after="0" w:line="272" w:lineRule="auto"/>
        <w:rPr>
          <w:sz w:val="20"/>
          <w:szCs w:val="20"/>
          <w:color w:val="auto"/>
        </w:rPr>
      </w:pPr>
      <w:r>
        <w:rPr>
          <w:rFonts w:ascii="Arial" w:cs="Arial" w:eastAsia="Arial" w:hAnsi="Arial"/>
          <w:sz w:val="17"/>
          <w:szCs w:val="17"/>
          <w:color w:val="auto"/>
        </w:rPr>
        <w:t>When evaluating multiple-element arrangements, we identify the deliverables included within the agreement and evaluate which deliverables represent separate units of accounting based on whether the delivered element has stand-alone value to the collaborator or if the arrangement includes a general right of return for delivered items. We may receive up-front, non-refundable payments when licensing our intellectual property in conjunction with research and development agreements. In determining the units of accounting, we evaluate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independently.</w:t>
      </w:r>
    </w:p>
    <w:p>
      <w:pPr>
        <w:spacing w:after="0" w:line="178"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color w:val="auto"/>
        </w:rPr>
        <w:t>When we believe a license to our intellectual property does not have stand-alone value from the other deliverables to be provided in the arrangement, we generally recognize revenue attributable to the license over the contractual or estimated performance period. Any unrecognized portion of license revenue is classified within deferred revenue in the accompanying condensed consolidated balance sheets. When we believe a license to our intellectual property has stand-alone value, we recognize revenue attributed to the license upon delivery. The periods over which revenue is recognized is subject to estimates and may change over the course of the agreement. Such a change could have a material impact on the amount of revenue we record in future periods.</w:t>
      </w:r>
    </w:p>
    <w:p>
      <w:pPr>
        <w:spacing w:after="0" w:line="19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i w:val="1"/>
          <w:iCs w:val="1"/>
          <w:color w:val="auto"/>
        </w:rPr>
        <w:t>Derivative Financial Liabilities</w:t>
      </w:r>
      <w:r>
        <w:rPr>
          <w:rFonts w:ascii="Arial" w:cs="Arial" w:eastAsia="Arial" w:hAnsi="Arial"/>
          <w:sz w:val="17"/>
          <w:szCs w:val="17"/>
          <w:color w:val="auto"/>
        </w:rPr>
        <w:t>—Derivative financial liabilities are initially recorded at fair value. They are subsequently held at fair value, with</w:t>
      </w:r>
      <w:r>
        <w:rPr>
          <w:rFonts w:ascii="Arial" w:cs="Arial" w:eastAsia="Arial" w:hAnsi="Arial"/>
          <w:sz w:val="17"/>
          <w:szCs w:val="17"/>
          <w:i w:val="1"/>
          <w:iCs w:val="1"/>
          <w:color w:val="auto"/>
        </w:rPr>
        <w:t xml:space="preserve"> </w:t>
      </w:r>
      <w:r>
        <w:rPr>
          <w:rFonts w:ascii="Arial" w:cs="Arial" w:eastAsia="Arial" w:hAnsi="Arial"/>
          <w:sz w:val="17"/>
          <w:szCs w:val="17"/>
          <w:color w:val="auto"/>
        </w:rPr>
        <w:t>gains and losses arising for changes in fair value recognized in the statement of operations. The fair value of derivative financial liabilities is determined using various valuation techniques. We use our judgment to select a variety of methods and make assumptions that are mainly based on market conditions existing at each balance sheet date. Fluctuations in the assumptions used in the valuation model would result in adjustments to the fair value of the derivative liabilities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have recorded financial derivatives related to certain outstanding warrants (extinguished as of June 30, 2015), the change in control provision associated with our December 2012 debt financing and the change in control provision associated with our May 2014 exchangeable senior notes.</w:t>
      </w:r>
    </w:p>
    <w:p>
      <w:pPr>
        <w:spacing w:after="0" w:line="178"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i w:val="1"/>
          <w:iCs w:val="1"/>
          <w:color w:val="auto"/>
        </w:rPr>
        <w:t>Inventory</w:t>
      </w:r>
      <w:r>
        <w:rPr>
          <w:rFonts w:ascii="Arial" w:cs="Arial" w:eastAsia="Arial" w:hAnsi="Arial"/>
          <w:sz w:val="18"/>
          <w:szCs w:val="18"/>
          <w:color w:val="auto"/>
        </w:rPr>
        <w:t>—Prior to July 26, 2012, when we received approval from the FDA to market and sell Vascepa in the United States for the MARINE</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indication, Vascepa was considered a product candidate under development. All supply of Vascepa purchased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prior to July 26, 2012 was not capitalized and instead charged as a component of research and development expense in the period received. After Vascepa was approved, we began to capitalize inventory purchased from Nisshin, the API supplier approved in the NDA. Prior to April 2013, Nisshin was the only FDA-approved supplier of API for Vascepa. In April 2013, the FDA approved our sNDAs covering Chemport and BASF and in July 2014 the FDA approved our sNDA covering Slanmhor such that there are now four suppliers FDA-qualified to produce Vascepa API. All supply from Chemport and BASF prior to FDA approval of these API suppliers was not capitalized and instead charged as a component of research and development expense in the period received. Subsequent to the approval of these suppliers, we capitalize API purchases from them. Until an API supplier is approved, all Vascepa API purchased from such supplier is included as a component of research and development expense. Upon sNDA approval of each additional supplier, we capitalize subsequent Vascepa API purchases from such supplier as inventory. We state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we will reduce the carrying value of such inventory to market value. We expense inventory identified for use as marketing samples when they are packaged. The average cost reflects the actual purchase price of Vascepa API. Additionally, the determination of the classification of our inventory requires the use of estimates in order to determine the portion of inventories anticipated to be utilized within twelve months of the balance sheet date.</w:t>
      </w:r>
    </w:p>
    <w:p>
      <w:pPr>
        <w:spacing w:after="0" w:line="175"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—Deferred tax assets and liabilities are recognized for the future tax consequences of differences between the carrying amounts and</w:t>
      </w:r>
      <w:r>
        <w:rPr>
          <w:rFonts w:ascii="Arial" w:cs="Arial" w:eastAsia="Arial" w:hAnsi="Arial"/>
          <w:sz w:val="17"/>
          <w:szCs w:val="17"/>
          <w:i w:val="1"/>
          <w:iCs w:val="1"/>
          <w:color w:val="auto"/>
        </w:rPr>
        <w:t xml:space="preserve"> </w:t>
      </w:r>
      <w:r>
        <w:rPr>
          <w:rFonts w:ascii="Arial" w:cs="Arial" w:eastAsia="Arial" w:hAnsi="Arial"/>
          <w:sz w:val="17"/>
          <w:szCs w:val="17"/>
          <w:color w:val="auto"/>
        </w:rPr>
        <w:t>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66"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87"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We assess our ability to realize deferred tax assets at each reporting period. The realization of deferred tax assets depends on generating future taxable income during the periods in which the tax benefits are deductible or creditable. We have been historically profitable in the United States. When making our assessment about the realization of its U.S. deferred tax assets as of June 30, 2015, we considered all available evidence, placing particular weight on evidence that could be objectively verified. The evidence considered included the (i) historical profitability of our U.S. operations, (ii) sources of future taxable income, giving weight to sources according to the extent to which they can be objectively verified and (iii) the risks to our business related to the commercialization and development of Vascepa. Based on our assessment, we concluded that the U.S. deferred tax assets are more likely than not to be realizable as of June 30, 2015. The majority of our deferred tax assets are held outside of the United States, for which we have established a full valuation allowance. Changes in historical earnings performance and future earnings projections, among other factors, may cause us to adjust our valuation allowance on deferred tax assets, which would impact our income tax expense in the period in which we determine that these factors have changed. In the event sufficient taxable income is not generated in future periods, additional valuation allowances could be required relating to these U.S. deferred tax assets.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adopted by us as of the specified effective date. We considered the following recent accounting pronouncements which were not yet adopted as of June 30, 2015:</w:t>
      </w:r>
    </w:p>
    <w:p>
      <w:pPr>
        <w:spacing w:after="0" w:line="124"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In May 2014, the FASB issued ASU No. 2014-09, “Revenue from Contracts with Customers (Topic 606).” This amendment provides principles for recognizing revenue for the transfer of promised goods or services to customers with the consideration to which the entity expects to be entitled in exchange for those goods or services, and is effective for annual periods beginning after December 15, 2016 (the original effective date). In April 2015, the FASB issued a proposal, which was subsequently adopted in July 2015, to defer the original effective date of this standard by one year, such that the amendment is effective for our fiscal year beginning January 1, 2018. Early adoption is permitted, but not before the original effective date. We are currently evaluating the accounting, transition and disclosure requirements of the standard and cannot currently estimate the financial statement impact of adoption.</w:t>
      </w:r>
    </w:p>
    <w:p>
      <w:pPr>
        <w:spacing w:after="0" w:line="165"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 condition. As such, the performance target should not be reflected in estimating the grant-date fair value of the award. We are required to adopt this standard in the first quarter of fiscal 2016 and early adoption is permitted. This standard is not expected to have an impact on our condensed consolidated financial statements.</w:t>
      </w:r>
    </w:p>
    <w:p>
      <w:pPr>
        <w:spacing w:after="0" w:line="17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In August 2014, the FASB issued ASU No. 2014-15, Presentation of Financial Statements—Going Concern, Disclosure of Uncertainties about an Entity’s Ability to Continue as a Going Concern (Subtopic 205-40). ASU 2014-15 requires management to assess an entity’s ability to continue as a going concern by 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 requires certain disclosures when substantial doubt is alleviated as a result of consideration of management’s plans,</w:t>
      </w:r>
    </w:p>
    <w:p>
      <w:pPr>
        <w:spacing w:after="0" w:line="2" w:lineRule="exact"/>
        <w:rPr>
          <w:sz w:val="20"/>
          <w:szCs w:val="20"/>
          <w:color w:val="auto"/>
        </w:rPr>
      </w:pPr>
    </w:p>
    <w:p>
      <w:pPr>
        <w:jc w:val="both"/>
        <w:ind w:right="60" w:firstLine="8"/>
        <w:spacing w:after="0" w:line="254"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requires an express statement and other disclosures when substantial doubt is not alleviated and (vi) requires an assessment for a period of one year after the date that the financial statements are issued (or available to be issued). This standard is effective for fiscal years ending after December 15, 2016, and for annual and interim periods thereafter. Early application is permitted. We are currently evaluating the accounting, transition and disclosure requirements of the standard and cannot currently estimate the financial statement impact of adoption.</w:t>
      </w:r>
    </w:p>
    <w:p>
      <w:pPr>
        <w:spacing w:after="0" w:line="190"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Interest - Imputation of Interest (Subtopic 835-30): Simplifying the Presentation of Debt</w:t>
      </w:r>
      <w:r>
        <w:rPr>
          <w:rFonts w:ascii="Arial" w:cs="Arial" w:eastAsia="Arial" w:hAnsi="Arial"/>
          <w:sz w:val="17"/>
          <w:szCs w:val="17"/>
          <w:color w:val="auto"/>
        </w:rPr>
        <w:t xml:space="preserve"> </w:t>
      </w:r>
      <w:r>
        <w:rPr>
          <w:rFonts w:ascii="Arial" w:cs="Arial" w:eastAsia="Arial" w:hAnsi="Arial"/>
          <w:sz w:val="17"/>
          <w:szCs w:val="17"/>
          <w:i w:val="1"/>
          <w:iCs w:val="1"/>
          <w:color w:val="auto"/>
        </w:rPr>
        <w:t>Issuance Costs</w:t>
      </w:r>
      <w:r>
        <w:rPr>
          <w:rFonts w:ascii="Arial" w:cs="Arial" w:eastAsia="Arial" w:hAnsi="Arial"/>
          <w:sz w:val="17"/>
          <w:szCs w:val="17"/>
          <w:color w:val="auto"/>
        </w:rPr>
        <w:t>. The amendments in this ASU require that debt issuance costs related to a recognized debt liability be presented in the balance sheet as a direct</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 from the carrying amount of that debt liability, consistent with debt discounts. We are required to adopt this standard in the first quarter of fiscal 2016 on a retrospective basis. The implementation of this standard will result in the reclassification of certain debt issuance costs from other assets to a reduction in the carrying amount of the related debt liability within the condensed consolidated balance sheets.</w:t>
      </w:r>
    </w:p>
    <w:p>
      <w:pPr>
        <w:spacing w:after="0" w:line="173"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 xml:space="preserve">In July 2015, the FASB issued Accounting Standards Update (ASU) No, 2015-11, </w:t>
      </w:r>
      <w:r>
        <w:rPr>
          <w:rFonts w:ascii="Arial" w:cs="Arial" w:eastAsia="Arial" w:hAnsi="Arial"/>
          <w:sz w:val="17"/>
          <w:szCs w:val="17"/>
          <w:i w:val="1"/>
          <w:iCs w:val="1"/>
          <w:color w:val="auto"/>
        </w:rPr>
        <w:t>Inventory (Topic 330): Simplifying the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Inventory</w:t>
      </w:r>
      <w:r>
        <w:rPr>
          <w:rFonts w:ascii="Arial" w:cs="Arial" w:eastAsia="Arial" w:hAnsi="Arial"/>
          <w:sz w:val="17"/>
          <w:szCs w:val="17"/>
          <w:color w:val="auto"/>
        </w:rPr>
        <w:t>. The amendments in this ASU require that in-scope inventory should be measured at the lower of cost and net realizable value. Net realizable value</w:t>
      </w:r>
      <w:r>
        <w:rPr>
          <w:rFonts w:ascii="Arial" w:cs="Arial" w:eastAsia="Arial" w:hAnsi="Arial"/>
          <w:sz w:val="17"/>
          <w:szCs w:val="17"/>
          <w:i w:val="1"/>
          <w:iCs w:val="1"/>
          <w:color w:val="auto"/>
        </w:rPr>
        <w:t xml:space="preserve"> </w:t>
      </w:r>
      <w:r>
        <w:rPr>
          <w:rFonts w:ascii="Arial" w:cs="Arial" w:eastAsia="Arial" w:hAnsi="Arial"/>
          <w:sz w:val="17"/>
          <w:szCs w:val="17"/>
          <w:color w:val="auto"/>
        </w:rPr>
        <w:t>is the estimated selling prices in the ordinary course of business, less reasonably predictable costs of completion, disposal, and transportation. The amendments do not apply to inventory that is measured using last-in, first-out (LIFO) or the retail inventory method but applies to all other inventory, which include inventory that is measured using first-in, first-out (FIFO) or average cost. This standard is effective for fiscal years beginning after December 15, 2016, including interim periods within those fiscal years. Early application is permitted. We are currently evaluating the accounting, transition and disclosure requirements of the standard and cannot currently estimate the financial statement impact of adoption.</w:t>
      </w:r>
    </w:p>
    <w:p>
      <w:pPr>
        <w:spacing w:after="0" w:line="178"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We believe that the impact of other recently issued but not yet adopted accounting pronouncements will not have a material impact on condensed consolidated financial position, results of operations, and cash flows, or do not apply to our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2015 and June 30, 2014</w:t>
      </w:r>
    </w:p>
    <w:p>
      <w:pPr>
        <w:spacing w:after="0" w:line="117"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i w:val="1"/>
          <w:iCs w:val="1"/>
          <w:color w:val="auto"/>
        </w:rPr>
        <w:t xml:space="preserve">Product Revenue, net. </w:t>
      </w:r>
      <w:r>
        <w:rPr>
          <w:rFonts w:ascii="Arial" w:cs="Arial" w:eastAsia="Arial" w:hAnsi="Arial"/>
          <w:sz w:val="18"/>
          <w:szCs w:val="18"/>
          <w:color w:val="auto"/>
        </w:rPr>
        <w:t>We recorded product revenue of $17.7 million and $12.6 million during the three months ended June 30, 2015 and 2014,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an increase of $5.1 million, or 40%. This increase in revenue was driven by an increase in estimated normalized total Vascepa prescriptions of approximately 66,000 and 64,000 based on data provided by Symphony Health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Solutions and IMS Health, respectively, representing growth of 60% and 69%, respectively, over the three months ended June 30, 2014. The difference in the percentage of revenue growth as compared to the percentage of prescription growth is primarily due to the timing of wholesaler inventory purchases. All of our product revenue in the three months ended June 30, 2015 and 2014 was derived from product sales of Vascepa, net of allowances, discounts, incentives, rebates, chargebacks and returns. Through June 30, 2015, product returns of Vascepa were de minimis. Timing of shipments to wholesalers, as used for revenue recognition, and timing of prescriptions as estimated by third party sources such as Symphony Health Solutions and IMS Health may differ from period to period.</w:t>
      </w:r>
    </w:p>
    <w:p>
      <w:pPr>
        <w:spacing w:after="0" w:line="193"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During the quarters ended June 30, 2015 and 2014,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was up to $75 per prescription filled prior to February 20, 2014 and up to $70 per prescription filled after February 20, 2014.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 As a result of expanded commercial coverage and improved formulary positioning, rebates provided for in 2015 will be higher than in prior periods resulting in a slight decrease in the net selling price of Vascepa.</w:t>
      </w:r>
    </w:p>
    <w:p>
      <w:pPr>
        <w:spacing w:after="0" w:line="179"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i w:val="1"/>
          <w:iCs w:val="1"/>
          <w:color w:val="auto"/>
        </w:rPr>
        <w:t xml:space="preserve">Licensing Revenue. </w:t>
      </w:r>
      <w:r>
        <w:rPr>
          <w:rFonts w:ascii="Arial" w:cs="Arial" w:eastAsia="Arial" w:hAnsi="Arial"/>
          <w:sz w:val="17"/>
          <w:szCs w:val="17"/>
          <w:color w:val="auto"/>
        </w:rPr>
        <w:t>Licensing revenue during the three months ended June 30, 2015 was zero. We did not record licensing revenue prior to 2015.</w:t>
      </w:r>
      <w:r>
        <w:rPr>
          <w:rFonts w:ascii="Arial" w:cs="Arial" w:eastAsia="Arial" w:hAnsi="Arial"/>
          <w:sz w:val="17"/>
          <w:szCs w:val="17"/>
          <w:i w:val="1"/>
          <w:iCs w:val="1"/>
          <w:color w:val="auto"/>
        </w:rPr>
        <w:t xml:space="preserve"> </w:t>
      </w:r>
      <w:r>
        <w:rPr>
          <w:rFonts w:ascii="Arial" w:cs="Arial" w:eastAsia="Arial" w:hAnsi="Arial"/>
          <w:sz w:val="17"/>
          <w:szCs w:val="17"/>
          <w:color w:val="auto"/>
        </w:rPr>
        <w:t>Licensing revenue relates to the amortization of a $15.0 million up-front payment received in February 2015 associated with a Vascepa licensing agreement for the China Territory. The up-front payment is being recognized over the estimated period in which we are required to provide regulatory and development support and clinical and commercial supply, which is currently anticipated to be a period of approximately 16 years. The amount of licensing revenue recorded may be variable from period to period based on changes in estimates of the timing and level of support required.</w:t>
      </w:r>
    </w:p>
    <w:p>
      <w:pPr>
        <w:spacing w:after="0" w:line="173"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June 30, 2015 and 2014 was $6.4 million and $5.0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$1.4 million, or 28%.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API included in the calculation of the average cost of goods sold during the six months ended June 30, 2015 and 2014 was sourced from two API suppliers. The contracted cost of supply from our initial API supplier is higher than the contracted cost from our other API suppliers. In the future, we anticipate making continued purchases from this initial supplier and to make additional lower unit cost purchases of Vascepa API from other API suppliers. As of June 30, 2015, we classified all of our inventory as current. As a result of lower inventory balances on hand at the end of 2014 compared to the end of 2013 as well as anticipated increases in revenue during 2015 compared to 2014, we anticipate purchasing more API during 2015 than in 2014 with the amount of such purchases dependent on the rate of our revenue growth.</w:t>
      </w:r>
    </w:p>
    <w:p>
      <w:pPr>
        <w:spacing w:after="0" w:line="193"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Our gross margin on product sales for the three months ended June 30, 2015 and 2014 was 64% and 60%, respectively. This improvement was primarily driven by lower unit cost API purchases. In addition, over time we expect continued lower average unit cost purchases of API. We also expect that API costs will be lower in the future due to advantages derived from the mix of our suppliers. The average cost may be variable from period to period depending upon the timing and quantity of API purchased from each supplier.</w:t>
      </w:r>
    </w:p>
    <w:p>
      <w:pPr>
        <w:spacing w:after="0" w:line="18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three months ended June 30, 2015 and 2014</w:t>
      </w:r>
      <w:r>
        <w:rPr>
          <w:rFonts w:ascii="Arial" w:cs="Arial" w:eastAsia="Arial" w:hAnsi="Arial"/>
          <w:sz w:val="18"/>
          <w:szCs w:val="18"/>
          <w:i w:val="1"/>
          <w:iCs w:val="1"/>
          <w:color w:val="auto"/>
        </w:rPr>
        <w:t xml:space="preserve"> </w:t>
      </w:r>
      <w:r>
        <w:rPr>
          <w:rFonts w:ascii="Arial" w:cs="Arial" w:eastAsia="Arial" w:hAnsi="Arial"/>
          <w:sz w:val="18"/>
          <w:szCs w:val="18"/>
          <w:color w:val="auto"/>
        </w:rPr>
        <w:t>was $26.1 million and $21.1 million, respectively, an increase of $5.0 million, or 24%. Selling, general and administrative expenses for the three months ended June 30, 2015 and 2014 are summarized in the table below (in thousands):</w:t>
      </w:r>
    </w:p>
    <w:p>
      <w:pPr>
        <w:spacing w:after="0" w:line="200"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Three Months Ended</w:t>
      </w:r>
    </w:p>
    <w:p>
      <w:pPr>
        <w:jc w:val="center"/>
        <w:ind w:left="68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3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 (1)</w:t>
            </w:r>
          </w:p>
        </w:tc>
        <w:tc>
          <w:tcPr>
            <w:tcW w:w="30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$23,680</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$19,486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w w:val="97"/>
              </w:rPr>
              <w:t>Non-cash stock based compensation expense (2)</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2,374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Non-cash warrant related compensation income</w:t>
            </w:r>
          </w:p>
        </w:tc>
        <w:tc>
          <w:tcPr>
            <w:tcW w:w="30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Arial" w:cs="Arial" w:eastAsia="Arial" w:hAnsi="Arial"/>
                <w:sz w:val="18"/>
                <w:szCs w:val="18"/>
                <w:color w:val="auto"/>
                <w:w w:val="98"/>
              </w:rPr>
              <w:t>Total selling, general and administrative expense</w:t>
            </w:r>
          </w:p>
        </w:tc>
        <w:tc>
          <w:tcPr>
            <w:tcW w:w="30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26,054</w:t>
            </w:r>
          </w:p>
        </w:tc>
        <w:tc>
          <w:tcPr>
            <w:tcW w:w="4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060" w:type="dxa"/>
            <w:vAlign w:val="bottom"/>
            <w:vMerge w:val="restart"/>
          </w:tcPr>
          <w:p>
            <w:pPr>
              <w:jc w:val="right"/>
              <w:ind w:right="2430"/>
              <w:spacing w:after="0"/>
              <w:rPr>
                <w:sz w:val="20"/>
                <w:szCs w:val="20"/>
                <w:color w:val="auto"/>
              </w:rPr>
            </w:pPr>
            <w:r>
              <w:rPr>
                <w:rFonts w:ascii="Arial" w:cs="Arial" w:eastAsia="Arial" w:hAnsi="Arial"/>
                <w:sz w:val="18"/>
                <w:szCs w:val="18"/>
                <w:color w:val="auto"/>
              </w:rPr>
              <w:t>38</w:t>
            </w: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8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120" w:hanging="452"/>
        <w:spacing w:after="0" w:line="253"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non-cash compensation charges for stock compensation and warrants, for the three months ended June 30, 2015 and 2014 was $23.7 million and $19.5 million, respectively, an increase of $4.2 million, or 22%. The increase is due primarily to higher legal costs associated with various on-going legal matters, which costs vary from period to period, and to co-promotion fees payable to Kowa Pharmaceuticals America, Inc. The co-promotion fees were $1.7 million and $0.3 million in the three months ended June 30, 2015 and 2014, respectively.</w:t>
      </w:r>
    </w:p>
    <w:p>
      <w:pPr>
        <w:spacing w:after="0" w:line="3" w:lineRule="exact"/>
        <w:rPr>
          <w:rFonts w:ascii="Arial" w:cs="Arial" w:eastAsia="Arial" w:hAnsi="Arial"/>
          <w:sz w:val="18"/>
          <w:szCs w:val="18"/>
          <w:color w:val="auto"/>
        </w:rPr>
      </w:pPr>
    </w:p>
    <w:p>
      <w:pPr>
        <w:ind w:left="460" w:right="120" w:hanging="452"/>
        <w:spacing w:after="0" w:line="323"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Stock-based compensation expense for the three months ended June 30, 2015 and 2014 was $2.4 million and $1.7 million, respectively, an increase of $0.7 million, or 41%, primarily due to an increase in new stock option and restricted stock awards granted to attract and retain qualified employees.</w:t>
      </w:r>
    </w:p>
    <w:p>
      <w:pPr>
        <w:spacing w:after="0" w:line="139"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We currently anticipate that with our existing indication for Vascepa, our selling, general and administrative costs will be higher during 2015 as compared to 2014 as a result of (i) higher legal costs, (ii) anticipated increases in the co-promotion fees earned by Kowa Pharmaceuticals America, Inc. based on anticipated increases in net product revenues and the terms of our co-promotion agreement with Kowa Pharmaceuticals America, Inc., and (iii) anticipated expanded programs later in 2015 to more broadly educate healthcare professionals about Vascepa, including certain data regarding the ANCHOR trial, based at least on guidance received from the FDA in conjunction with our First Amendment lawsuit.</w:t>
      </w:r>
    </w:p>
    <w:p>
      <w:pPr>
        <w:spacing w:after="0" w:line="173"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three months ended June 30, 2015 and 2014 was $12.0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$11.7 million, respectively, an increase of $0.3 million, or 3%. Research and development expenses for the three months ended June 30, 2015 and 2014 are summarized in the table below (in thousands):</w:t>
      </w:r>
    </w:p>
    <w:p>
      <w:pPr>
        <w:spacing w:after="0" w:line="200"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Three Months Ended</w:t>
      </w:r>
    </w:p>
    <w:p>
      <w:pPr>
        <w:jc w:val="center"/>
        <w:ind w:left="68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REDUCE-IT study (1)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Internal staffing, overhead and other (3)</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CEEFF"/>
          </w:tcPr>
          <w:p>
            <w:pPr>
              <w:spacing w:after="0"/>
              <w:rPr>
                <w:sz w:val="18"/>
                <w:szCs w:val="18"/>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11,167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11,046</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 (4)</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8"/>
                <w:szCs w:val="18"/>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12,009</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11,727</w:t>
            </w:r>
          </w:p>
        </w:tc>
        <w:tc>
          <w:tcPr>
            <w:tcW w:w="10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increase in research and development expenses for the quarter ended June 30, 2015, as compared to the prior year period, is primarily due to an increase in internal staffing and other overhead costs primarily associated with progression of the REDUCE-IT study.</w:t>
      </w:r>
    </w:p>
    <w:p>
      <w:pPr>
        <w:spacing w:after="0" w:line="76" w:lineRule="exact"/>
        <w:rPr>
          <w:sz w:val="20"/>
          <w:szCs w:val="20"/>
          <w:color w:val="auto"/>
        </w:rPr>
      </w:pPr>
    </w:p>
    <w:p>
      <w:pPr>
        <w:ind w:left="460" w:right="20" w:hanging="452"/>
        <w:spacing w:after="0" w:line="26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December 2011, we announced commencement of patient dosing in our cardiovascular outcomes study of Vascepa, titled REDUCE-IT, which is designed to evaluate the efficacy of Vascepa in reducing major cardiovascular events in a high-risk patient population on statin therapy. The study duration is dependent on the rate of clinical events in the study, which rate may be affected by the number of patients enrolled in the study,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We currently have over 7,600 patients enrolled in REDUCE-IT. We estimate that we will complete patient enrollment in this study near the end of 2015. For the three months ended June 30, 2015 and 2014, we incurred expenses through our CRO in connection with this trial of approximately $7.2 million and $7.8 million, respectively. Inclusive of CTM costs, the combined CRO and CTM costs during the three months ended June 30, 2015 and 2014 for REDUCE-IT were approximately $8.1 million and $9.2 million, respectively. The decrease in expenses in 2015 as compared to 2014 is primarily the result of timing variability for REDUCE-IT costs. We expense costs for CTM upon receipt. The aggregate cost of this outcomes study will depend on the rate of clinical events in the study. We currently estimate that costs incurred for this study in 2015 will be slightly higher than levels we incurred in 2014 and may vary from quarter to quarter. Based on our current assumptions of CRO and CTM costs, we estimate that aggregate remaining costs to complete the REDUCE-IT study and evaluate its results to likely exceed $100 million through study completion in 2017 and publication of results in 2018. Our aggregate remaining costs to complete the REDUCE-IT are estimated to be lower than $100 million if the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69" w:lineRule="auto"/>
        <w:rPr>
          <w:sz w:val="20"/>
          <w:szCs w:val="20"/>
          <w:color w:val="auto"/>
        </w:rPr>
      </w:pPr>
      <w:r>
        <w:rPr>
          <w:rFonts w:ascii="Arial" w:cs="Arial" w:eastAsia="Arial" w:hAnsi="Arial"/>
          <w:sz w:val="17"/>
          <w:szCs w:val="17"/>
          <w:color w:val="auto"/>
        </w:rPr>
        <w:t>independent DMC recommends that REDUCE-IT be completed early based on its scheduled interim review of the efficacy and safety results of the study which review we estimate will occur in 2016 upon reaching 60% of the target aggregate number of cardiovascular events for the study. Amarin remains blinded to all data from the study and currently expects the study to be completed in 2017. We anticipate that our costs for this outcomes study will continue to represent the most significant component of our research and development expenditures.</w:t>
      </w:r>
    </w:p>
    <w:p>
      <w:pPr>
        <w:spacing w:after="0" w:line="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regulatory filing fees in each of the quarters ended June 30, 2015 and 2014 included annual FDA fees for maintaining manufacturing sites.</w:t>
      </w:r>
    </w:p>
    <w:p>
      <w:pPr>
        <w:spacing w:after="0" w:line="20" w:lineRule="exact"/>
        <w:rPr>
          <w:rFonts w:ascii="Arial" w:cs="Arial" w:eastAsia="Arial" w:hAnsi="Arial"/>
          <w:sz w:val="17"/>
          <w:szCs w:val="17"/>
          <w:color w:val="auto"/>
        </w:rPr>
      </w:pPr>
    </w:p>
    <w:p>
      <w:pPr>
        <w:ind w:left="460" w:right="2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legal costs.</w:t>
      </w:r>
    </w:p>
    <w:p>
      <w:pPr>
        <w:spacing w:after="0" w:line="1" w:lineRule="exact"/>
        <w:rPr>
          <w:rFonts w:ascii="Arial" w:cs="Arial" w:eastAsia="Arial" w:hAnsi="Arial"/>
          <w:sz w:val="18"/>
          <w:szCs w:val="18"/>
          <w:color w:val="auto"/>
        </w:rPr>
      </w:pPr>
    </w:p>
    <w:p>
      <w:pPr>
        <w:ind w:left="460" w:right="36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84" w:lineRule="exact"/>
        <w:rPr>
          <w:sz w:val="20"/>
          <w:szCs w:val="20"/>
          <w:color w:val="auto"/>
        </w:rPr>
      </w:pPr>
    </w:p>
    <w:p>
      <w:pPr>
        <w:jc w:val="both"/>
        <w:ind w:right="20" w:firstLine="913"/>
        <w:spacing w:after="0" w:line="342" w:lineRule="auto"/>
        <w:rPr>
          <w:sz w:val="20"/>
          <w:szCs w:val="20"/>
          <w:color w:val="auto"/>
        </w:rPr>
      </w:pPr>
      <w:r>
        <w:rPr>
          <w:rFonts w:ascii="Arial" w:cs="Arial" w:eastAsia="Arial" w:hAnsi="Arial"/>
          <w:sz w:val="16"/>
          <w:szCs w:val="16"/>
          <w:color w:val="auto"/>
        </w:rPr>
        <w:t>We anticipate that our research and development costs will be slightly higher during 2015 as compared to 2014 and may be variable from quarter to quarter as a result of the timing of REDUCE-IT costs, and that such costs will decline modestly thereafter upon completion of enrollment for REDUCE-IT.</w:t>
      </w:r>
    </w:p>
    <w:p>
      <w:pPr>
        <w:spacing w:after="0" w:line="124"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i w:val="1"/>
          <w:iCs w:val="1"/>
          <w:color w:val="auto"/>
        </w:rPr>
        <w:t>(Loss) Gain on Change in Fair Value of Derivative Liabilities</w:t>
      </w:r>
      <w:r>
        <w:rPr>
          <w:rFonts w:ascii="Arial" w:cs="Arial" w:eastAsia="Arial" w:hAnsi="Arial"/>
          <w:sz w:val="18"/>
          <w:szCs w:val="18"/>
          <w:color w:val="auto"/>
        </w:rPr>
        <w:t>. (Loss) gain on change in fair value of derivative liabilities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2015 was a loss of $0.6 million versus a gain of $3.0 million in the prior year period. (Loss) gain on change in fair value of derivative liabilities is comprised of (i) the change in fair value of the warrant derivative liability, (ii) the change in fair value of the derivative liability related to the change in control provision associated with the December 2012 BioPharma financing, (iii) the change in fair value of the derivative liability related to the change in control provision associated with the May 2014 exchangeable senior notes; and (iv) the change in fair value of the derivative liability related to the preferred stock purchase option.</w:t>
      </w:r>
    </w:p>
    <w:p>
      <w:pPr>
        <w:spacing w:after="0" w:line="193" w:lineRule="exact"/>
        <w:rPr>
          <w:sz w:val="20"/>
          <w:szCs w:val="20"/>
          <w:color w:val="auto"/>
        </w:rPr>
      </w:pPr>
    </w:p>
    <w:p>
      <w:pPr>
        <w:ind w:right="80" w:firstLine="913"/>
        <w:spacing w:after="0" w:line="284" w:lineRule="auto"/>
        <w:rPr>
          <w:sz w:val="20"/>
          <w:szCs w:val="20"/>
          <w:color w:val="auto"/>
        </w:rPr>
      </w:pPr>
      <w:r>
        <w:rPr>
          <w:rFonts w:ascii="Arial" w:cs="Arial" w:eastAsia="Arial" w:hAnsi="Arial"/>
          <w:sz w:val="16"/>
          <w:szCs w:val="16"/>
          <w:color w:val="auto"/>
        </w:rPr>
        <w:t>The warrant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In October 2014, we and the holders of the remaining October 2009 warrants mutually agreed to extend the expiration date of such warrants from October 16, 2014 to February 27, 2015. Of the 8,087,388 warrants outstanding as of December 31, 2014, 1,844,585 warrants were exercised and the remaining 6,242,803 warrants expired on February 27, 2015. As such, no warrants were outstanding as of June 30, 2015 and no gain or loss was recognized for the three months ended June 30, 2015. The fair value of the warrant derivative liability as of March 31, 2014 was</w:t>
      </w:r>
    </w:p>
    <w:p>
      <w:pPr>
        <w:spacing w:after="0" w:line="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$5.9 million and we recognized a $1.3 million gain on change in fair value of derivative liability for the three months ended June 30, 2014. The change in fair value of the warrant derivative liability for the quarter ended June 30, 2014 is due primarily to the change in the price of our common stock on the date of valuation.</w:t>
      </w:r>
    </w:p>
    <w:p>
      <w:pPr>
        <w:spacing w:after="0" w:line="19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Our December 2012 financing agreement with BioPharma contains a redemption feature whereby,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As of March 31, 2015, the fair value of the derivative was determined to be $4.8 million, and as of June 30, 2015, the fair value of the derivative was determined to be $5.6 million. As such, we recognized a $0.8 million loss on change in fair value of derivative liability for the three months ended June 30, 2015. As of March 31, 2014, the fair value of the derivative was determined to be $7.6 million, and as of June 30, 2014, the fair value of the derivative was determined to be $6.1 million. As such, we recognized a $1.5 million gain on change in fair value of derivative liability for the three months ended June 30, 2014.</w:t>
      </w:r>
    </w:p>
    <w:p>
      <w:pPr>
        <w:spacing w:after="0" w:line="178"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Our 2014 Notes, issued in May 2014, contain a redemption feature whereby, upon occurrence of a change in control, we would be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As of March 31, 2015, the fair value of the derivative was determined to be $1.3 million, and as of June 30, 2015, the fair value of the derivative was determined to be $1.1 million. As such, we recognized a $0.2 million gain on change in fair value of derivative liability for the three months ended June 30, 2015. As of June 30, 2014, the fair value of the derivative was determined to be $3.3 million and we recognized a $0.2 million gain on change in fair value of derivative liability for the three months ended June 30, 2014.</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changes in the assumptions used to value the derivative liabilities could result in a material change to the carrying value of such liabilities.</w:t>
      </w:r>
    </w:p>
    <w:p>
      <w:pPr>
        <w:spacing w:after="0" w:line="24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i w:val="1"/>
          <w:iCs w:val="1"/>
          <w:color w:val="auto"/>
        </w:rPr>
        <w:t xml:space="preserve">Gain on Extinguishment of Debt. </w:t>
      </w:r>
      <w:r>
        <w:rPr>
          <w:rFonts w:ascii="Arial" w:cs="Arial" w:eastAsia="Arial" w:hAnsi="Arial"/>
          <w:sz w:val="16"/>
          <w:szCs w:val="16"/>
          <w:color w:val="auto"/>
        </w:rPr>
        <w:t>On May 15, 2014, we entered into separate, privately negotiated exchange agreements with certain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exchangeable senior notes pursuant to which we exchanged $118.7 million in aggregate principal amount of existing exchangeable senior notes for $118.7 million in aggregate principal amount of new 3.50% exchangeable senior notes due 2032. The key changes in the terms of the new notes included moving the first put date from January 2017 to January 2019, adding an issuer conversion option whereby we can opt to convert the notes into equity should the Daily VWAP (as defined in the Indenture) exceed $2.86 for a certain number of days and reducing the conversion price (see Note 6). As a result of the exchange, we assessed the value of the notes immediately prior to the exchange and immediately after the exchange and determined that the exchange resulted in a substantial modification of the terms of the notes resulting in an extinguishment of the original notes. We recorded a gain on extinguishment of the original notes of $38.0 million in the three months ended June 30, 2014. There was no such gain in the three months ended June 30, 2015.</w:t>
      </w:r>
    </w:p>
    <w:p>
      <w:pPr>
        <w:spacing w:after="0" w:line="166"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Net interest expense for the three months ended June 30, 2015 and 2014 was $4.8 million and $4.3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$0.5 million, or 12%. Net interest expense for the three months ended June 30, 2015 and 2014 is summarized in the table below (in thousands):</w:t>
      </w:r>
    </w:p>
    <w:p>
      <w:pPr>
        <w:spacing w:after="0" w:line="143"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Three Months Ended</w:t>
      </w:r>
    </w:p>
    <w:p>
      <w:pPr>
        <w:jc w:val="center"/>
        <w:ind w:left="69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526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2"/>
                <w:szCs w:val="12"/>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 (1):</w:t>
            </w: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Amortization of debt discounts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$ 1,550</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8"/>
                <w:szCs w:val="18"/>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Contractual coupon interest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1,313</w:t>
            </w:r>
          </w:p>
        </w:tc>
        <w:tc>
          <w:tcPr>
            <w:tcW w:w="120" w:type="dxa"/>
            <w:vAlign w:val="bottom"/>
            <w:shd w:val="clear" w:color="auto" w:fill="CCEEFF"/>
          </w:tcPr>
          <w:p>
            <w:pPr>
              <w:spacing w:after="0"/>
              <w:rPr>
                <w:sz w:val="18"/>
                <w:szCs w:val="18"/>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Total exchangeable senior notes interest expense</w:t>
            </w:r>
          </w:p>
        </w:tc>
        <w:tc>
          <w:tcPr>
            <w:tcW w:w="17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1,960</w:t>
            </w:r>
          </w:p>
        </w:tc>
        <w:tc>
          <w:tcPr>
            <w:tcW w:w="12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debt—BioPharma financing (2):</w:t>
            </w:r>
          </w:p>
        </w:tc>
        <w:tc>
          <w:tcPr>
            <w:tcW w:w="1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Cash interest—current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1,547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1,260</w:t>
            </w:r>
          </w:p>
        </w:tc>
        <w:tc>
          <w:tcPr>
            <w:tcW w:w="120" w:type="dxa"/>
            <w:vAlign w:val="bottom"/>
          </w:tcPr>
          <w:p>
            <w:pPr>
              <w:spacing w:after="0"/>
              <w:rPr>
                <w:sz w:val="18"/>
                <w:szCs w:val="18"/>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interest—deferred</w:t>
            </w:r>
          </w:p>
        </w:tc>
        <w:tc>
          <w:tcPr>
            <w:tcW w:w="1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18"/>
                <w:szCs w:val="18"/>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Non-cash interest</w:t>
            </w:r>
          </w:p>
        </w:tc>
        <w:tc>
          <w:tcPr>
            <w:tcW w:w="17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8"/>
                <w:szCs w:val="18"/>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interest expense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2,378</w:t>
            </w:r>
          </w:p>
        </w:tc>
        <w:tc>
          <w:tcPr>
            <w:tcW w:w="12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 interest expense</w:t>
            </w:r>
          </w:p>
        </w:tc>
        <w:tc>
          <w:tcPr>
            <w:tcW w:w="17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4,338</w:t>
            </w:r>
          </w:p>
        </w:tc>
        <w:tc>
          <w:tcPr>
            <w:tcW w:w="12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Interest income (3)</w:t>
            </w:r>
          </w:p>
        </w:tc>
        <w:tc>
          <w:tcPr>
            <w:tcW w:w="17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176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$ 4,807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4,296</w:t>
            </w:r>
          </w:p>
        </w:tc>
        <w:tc>
          <w:tcPr>
            <w:tcW w:w="120" w:type="dxa"/>
            <w:vAlign w:val="bottom"/>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0" w:hanging="452"/>
        <w:spacing w:after="0" w:line="25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three months ended June 30, 2015 and 2014 was $2.9 million and $2.0 million, respectively.</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Cash and non-cash interest expenses related to the BioPharma financing for the three months ended June 30, 2015 and 2014 were $2.0 million and $2.4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1" w:lineRule="exact"/>
        <w:rPr>
          <w:rFonts w:ascii="Arial" w:cs="Arial" w:eastAsia="Arial" w:hAnsi="Arial"/>
          <w:sz w:val="17"/>
          <w:szCs w:val="17"/>
          <w:color w:val="auto"/>
        </w:rPr>
      </w:pPr>
    </w:p>
    <w:p>
      <w:pPr>
        <w:ind w:left="460" w:right="54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income for the three months ended June 30, 2015 and 2014 was $0.05 million and $0.04 million, respectively. Interest income represents income earned on cash balances.</w:t>
      </w:r>
    </w:p>
    <w:p>
      <w:pPr>
        <w:spacing w:after="0" w:line="184"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for the three months ended June 30, 2015 was income of $0.1 million versus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of $4.2 million in the prior year period. Other income (expense), net, in the three months ended June 30, 2015 primarily consists of losses and gains on foreign exchange transactions. Other income (expense), net in the three months ended June 30, 2014 primarily consists of $4.1 million received in the second quarter of 2014 with respect to settlement agreements with one of our suppliers and one of our encapsulators that provided for the reimbursement of certain amounts previously paid by us.</w:t>
      </w:r>
    </w:p>
    <w:p>
      <w:pPr>
        <w:spacing w:after="0" w:line="188" w:lineRule="exact"/>
        <w:rPr>
          <w:sz w:val="20"/>
          <w:szCs w:val="20"/>
          <w:color w:val="auto"/>
        </w:rPr>
      </w:pPr>
    </w:p>
    <w:p>
      <w:pPr>
        <w:ind w:right="220" w:firstLine="913"/>
        <w:spacing w:after="0" w:line="286" w:lineRule="auto"/>
        <w:rPr>
          <w:sz w:val="20"/>
          <w:szCs w:val="20"/>
          <w:color w:val="auto"/>
        </w:rPr>
      </w:pPr>
      <w:r>
        <w:rPr>
          <w:rFonts w:ascii="Arial" w:cs="Arial" w:eastAsia="Arial" w:hAnsi="Arial"/>
          <w:sz w:val="17"/>
          <w:szCs w:val="17"/>
          <w:i w:val="1"/>
          <w:iCs w:val="1"/>
          <w:color w:val="auto"/>
        </w:rPr>
        <w:t xml:space="preserve">Benefit from (Provision for) Income Taxes. </w:t>
      </w:r>
      <w:r>
        <w:rPr>
          <w:rFonts w:ascii="Arial" w:cs="Arial" w:eastAsia="Arial" w:hAnsi="Arial"/>
          <w:sz w:val="17"/>
          <w:szCs w:val="17"/>
          <w:color w:val="auto"/>
        </w:rPr>
        <w:t>Benefit from (provision for) income taxes for the three months ended June 30, 2015 was a $0.5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benefit versus a $0.4 million provision in the prior year period. The current benefit (provision) relates entirely to the U.S. subsidiary operations. We are profitable in the United States as a result of intercompany transactions between our U.S. subsidiary and our other companies.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2015 and June 30, 2014</w:t>
      </w:r>
    </w:p>
    <w:p>
      <w:pPr>
        <w:spacing w:after="0" w:line="11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We recorded product revenue of $33.3 million and $23.6 million during the six months ended June 30, 2015 and 2014,</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an increase of $9.7 million, or 41%. This increase in revenue was driven by an increase in estimated normalized total Vascepa prescriptions of approximately 127,000 and 123,000 based on data provided by Symphony Health Solutions and IMS Health, respectively, representing growth of 63% and 72%, respectively, over the six months ended June 30, 2014. The difference in the percentage of revenue growth as compared to the percentage of prescription growth is primarily due to the timing of wholesaler inventory purchases and a change in revenue recognition methodology in 2014 as described below. All of our product revenue in the six months ended June 30, 2015 and 2014 was derived from product sales of Vascepa, net of allowances, discounts, incentives, rebates, chargebacks and returns. In accordance with GAAP, prior to 2014, product revenue was recognized based on the resale of Vascepa for the purposes of filling patient prescriptions and not based on sales to our Distributors. During the three months ended March 31, 2014, we concluded that we had developed sufficient history such that we can reliably estimate returns and, as a result, began to recognize product revenue based on sales to our Distributors. Through June 30, 2015, product returns of Vascepa were de minimis. Timing of shipments to wholesalers, as used for revenue recognition, and timing of prescriptions as estimated by third party sources such as Symphony Health Solutions and IMS Health may differ from period to period.</w:t>
      </w:r>
    </w:p>
    <w:p>
      <w:pPr>
        <w:spacing w:after="0" w:line="173"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During the six months ended June 30, 2015 and 2014,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was up to $75 per prescription filled prior to February 20, 2014 and up to $70 per prescription filled after February 20, 2014.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 As a result of expanded commercial coverage and improved formulary positioning, rebates provided for in 2015 will be higher than in prior periods resulting in a slight decrease in the net selling price of Vascepa.</w:t>
      </w:r>
    </w:p>
    <w:p>
      <w:pPr>
        <w:spacing w:after="0" w:line="179"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i w:val="1"/>
          <w:iCs w:val="1"/>
          <w:color w:val="auto"/>
        </w:rPr>
        <w:t xml:space="preserve">Licensing Revenue. </w:t>
      </w:r>
      <w:r>
        <w:rPr>
          <w:rFonts w:ascii="Arial" w:cs="Arial" w:eastAsia="Arial" w:hAnsi="Arial"/>
          <w:sz w:val="16"/>
          <w:szCs w:val="16"/>
          <w:color w:val="auto"/>
        </w:rPr>
        <w:t>Licensing revenue during the six months ended June 30, 2015 was $0.4 million. We did not record licensing revenue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2015. The licensing revenue relates to the amortization of a $15.0 million up-front payment received in February 2015 associated with a Vascepa licensing agreement for the China Territory. The up-front payment is being recognized over the estimated period in which we are required to provide regulatory and development support and clinical and commercial supply, which is currently anticipated to be a period of approximately 16 years. The amount of licensing revenue recorded may be variable from period to period based on changes in estimates of the timing and level of support required.</w:t>
      </w:r>
    </w:p>
    <w:p>
      <w:pPr>
        <w:spacing w:after="0" w:line="158"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six months ended June 30, 2015 and 2014 was $12.0 million and $9.3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$2.7 million, or 29%.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The API included in the calculation of the average cost of goods sold for the six months ended June 30, 2015 and 2014 was sourced from two API suppliers. The contracted cost of supply from our initial API supplier was higher than the contracted cost from our other API suppliers. In the future, we anticipate making continued purchases from this initial supplier and to make additional lower unit cost purchases of Vascepa API from other API suppliers. As of June 30, 2015, we classified all of our inventory as current. As a result of lower inventory balances on hand at the end of 2014 compared to the end of 2013 as well as anticipated increases in revenue during 2015 compared to 2014, we anticipate purchasing more API during 2015 than in 2014 with the amount of such purchases dependent on the rate of our revenue growth.</w:t>
      </w:r>
    </w:p>
    <w:p>
      <w:pPr>
        <w:spacing w:after="0" w:line="178"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Our gross margin on product sales for the six months ended June 30, 2015 and 2014 was 64% and 61%, respectively. This improvement was primarily driven by lower unit cost API purchases. In addition, over time we expect continued lower average unit cost purchases of API. We also expect that API costs will be lower in the future due to advantages derived from the mix of our suppliers. The average cost may be variable from period to period depending upon the timing and quantity of API purchased from each supplier.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six months ended June 30, 2015 and 2014 was</w:t>
      </w:r>
      <w:r>
        <w:rPr>
          <w:rFonts w:ascii="Arial" w:cs="Arial" w:eastAsia="Arial" w:hAnsi="Arial"/>
          <w:sz w:val="18"/>
          <w:szCs w:val="18"/>
          <w:i w:val="1"/>
          <w:iCs w:val="1"/>
          <w:color w:val="auto"/>
        </w:rPr>
        <w:t xml:space="preserve"> </w:t>
      </w:r>
      <w:r>
        <w:rPr>
          <w:rFonts w:ascii="Arial" w:cs="Arial" w:eastAsia="Arial" w:hAnsi="Arial"/>
          <w:sz w:val="18"/>
          <w:szCs w:val="18"/>
          <w:color w:val="auto"/>
        </w:rPr>
        <w:t>$50.8 million and $41.7 million, respectively, an increase of $9.1 million, or 22%. Selling, general and administrative expenses for the six months ended June 30, 2015 and 2014 are summarized in the table below (in thousands):</w:t>
      </w:r>
    </w:p>
    <w:p>
      <w:pPr>
        <w:spacing w:after="0" w:line="200"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Six Months Ended</w:t>
      </w:r>
    </w:p>
    <w:p>
      <w:pPr>
        <w:jc w:val="center"/>
        <w:ind w:left="68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 (1)</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$46,199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$38,824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4,605</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3,032</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Non-cash warrant related compensation income</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r>
      <w:tr>
        <w:trPr>
          <w:trHeight w:val="210"/>
        </w:trPr>
        <w:tc>
          <w:tcPr>
            <w:tcW w:w="692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50,795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41,679</w:t>
            </w:r>
          </w:p>
        </w:tc>
        <w:tc>
          <w:tcPr>
            <w:tcW w:w="12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86"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Selling, general and administrative expense, excluding non-cash compensation charges for stock compensation and warrants, for the six months ended June 30, 2015 and 2014 was $46.2 million and $38.8 million, respectively, an increase of $7.4 million, or 19%. The increase is due primarily to higher legal costs associated with various on-going legal matters, which costs vary from period to period, and to co-promotion fees payable to Kowa Pharmaceuticals America, Inc. The co-promotion fees were $3.2 million and $0.3 million in the six months ended June 30, 2015 and 2014, respectively.</w:t>
      </w:r>
    </w:p>
    <w:p>
      <w:pPr>
        <w:spacing w:after="0" w:line="1" w:lineRule="exact"/>
        <w:rPr>
          <w:rFonts w:ascii="Arial" w:cs="Arial" w:eastAsia="Arial" w:hAnsi="Arial"/>
          <w:sz w:val="16"/>
          <w:szCs w:val="16"/>
          <w:color w:val="auto"/>
        </w:rPr>
      </w:pPr>
    </w:p>
    <w:p>
      <w:pPr>
        <w:jc w:val="both"/>
        <w:ind w:left="460" w:right="320" w:hanging="452"/>
        <w:spacing w:after="0" w:line="323"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Stock-based compensation expense for the six months ended June 30, 2015 and 2014 was $4.6 million and $3.0 million, respectively, an increase of $1.6 million, or 53%, primarily due to an increase in new stock option and restricted stock awards granted to attract and retain qualified employees.</w:t>
      </w:r>
    </w:p>
    <w:p>
      <w:pPr>
        <w:spacing w:after="0" w:line="139"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We currently anticipate that with our existing indication for Vascepa, our selling, general and administrative costs will be higher during 2015 as compared to 2014 as a result of (i) higher legal costs, (ii) anticipated increases in the co-promotion fees earned by Kowa Pharmaceuticals America, Inc. based on anticipated increases in net product revenues and the terms of our co-promotion agreement with Kowa Pharmaceuticals America, Inc., and (iii) anticipated expanded programs later in 2015 to more broadly educate healthcare professionals about Vascepa, including certain data regarding the ANCHOR trial, based at least on guidance received from the FDA in conjunction with our First Amendment lawsuit.</w:t>
      </w:r>
    </w:p>
    <w:p>
      <w:pPr>
        <w:spacing w:after="0" w:line="173"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six months ended June 30, 2015 and 2014 was $24.6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$23.4 million, respectively, an increase of $1.2 million, or 5%. Research and development expenses for the six months ended June 30, 2015 and 2014 are summarized in the table below (in thousands):</w:t>
      </w:r>
    </w:p>
    <w:p>
      <w:pPr>
        <w:spacing w:after="0" w:line="200"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Six Months Ended</w:t>
      </w:r>
    </w:p>
    <w:p>
      <w:pPr>
        <w:jc w:val="center"/>
        <w:ind w:left="68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REDUCE-IT study (1)</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$16,560</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$16,656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Internal staffing, overhead and other (3)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100" w:type="dxa"/>
            <w:vAlign w:val="bottom"/>
            <w:shd w:val="clear" w:color="auto" w:fill="CCEEFF"/>
          </w:tcPr>
          <w:p>
            <w:pPr>
              <w:spacing w:after="0"/>
              <w:rPr>
                <w:sz w:val="18"/>
                <w:szCs w:val="18"/>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22,970</w:t>
            </w:r>
          </w:p>
        </w:tc>
        <w:tc>
          <w:tcPr>
            <w:tcW w:w="4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22,115</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 (4)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8"/>
                <w:szCs w:val="18"/>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24,623</w:t>
            </w:r>
          </w:p>
        </w:tc>
        <w:tc>
          <w:tcPr>
            <w:tcW w:w="4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23,434</w:t>
            </w:r>
          </w:p>
        </w:tc>
        <w:tc>
          <w:tcPr>
            <w:tcW w:w="10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913"/>
        <w:spacing w:after="0" w:line="308" w:lineRule="auto"/>
        <w:rPr>
          <w:sz w:val="20"/>
          <w:szCs w:val="20"/>
          <w:color w:val="auto"/>
        </w:rPr>
      </w:pPr>
      <w:r>
        <w:rPr>
          <w:rFonts w:ascii="Arial" w:cs="Arial" w:eastAsia="Arial" w:hAnsi="Arial"/>
          <w:sz w:val="17"/>
          <w:szCs w:val="17"/>
          <w:color w:val="auto"/>
        </w:rPr>
        <w:t>The increase in research and development expenses for the six months ended June 30, 2015, as compared to the prior year period, is primarily due to an increase in internal staffing and other overhead costs primarily associated with progression of the REDUCE-IT study.</w:t>
      </w:r>
    </w:p>
    <w:p>
      <w:pPr>
        <w:spacing w:after="0" w:line="52" w:lineRule="exact"/>
        <w:rPr>
          <w:sz w:val="20"/>
          <w:szCs w:val="20"/>
          <w:color w:val="auto"/>
        </w:rPr>
      </w:pPr>
    </w:p>
    <w:p>
      <w:pPr>
        <w:ind w:left="460" w:hanging="452"/>
        <w:spacing w:after="0" w:line="270"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December 2011, we announced commencement of patient dosing in our cardiovascular outcomes study of Vascepa, titled REDUCE-IT, which is designed to evaluate the efficacy of Vascepa in reducing major cardiovascular events in a high-risk patient population on statin therapy. The study duration is dependent on the rate of clinical events in the study, which rate may be affected by the number of patients enrolled in the study, the epidemiology of the patients enrolled in the study, and the length of time that the enrolled patients are followed. We manage the study through a CRO through which all costs for this outcomes study are incurred with the exception of costs for CTM and costs for internal management. Our internal personnel are responsible for managing multiple projects and their costs are not specifically allocated to REDUCE-IT or any other individual project. We currently have over 7,600 patients enrolled in REDUCE-IT. We estimate that we will complete patient enrollment in this study near the end of 2015. For the six months ended June 30, 2015 and 2014, we incurred expenses through our CRO in connection with this trial of approximately $13.8 million and $12.9 million, respectively. Inclusive of CTM costs, the combined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66" w:lineRule="auto"/>
        <w:rPr>
          <w:sz w:val="20"/>
          <w:szCs w:val="20"/>
          <w:color w:val="auto"/>
        </w:rPr>
      </w:pPr>
      <w:r>
        <w:rPr>
          <w:rFonts w:ascii="Arial" w:cs="Arial" w:eastAsia="Arial" w:hAnsi="Arial"/>
          <w:sz w:val="17"/>
          <w:szCs w:val="17"/>
          <w:color w:val="auto"/>
        </w:rPr>
        <w:t>CRO and CTM costs during the six months ended June 30, 2015 and 2014 for REDUCE-IT were approximately $16.6 million and $16.7 million, respectively. The decrease in expenses in 2015 as compared to 2014 is primarily the result of timing variability for REDUCE-IT costs. We expense costs for CTM upon receipt. The aggregate cost of this outcomes study will depend on the rate of clinical events in the study. We currently estimate that costs incurred for this study in 2015 will be slightly higher than levels we incurred in 2014 and may vary from quarter to quarter. Based on our current assumptions of CRO and CTM costs, we estimate that aggregate remaining costs to complete the REDUCE-IT study and evaluate its results to likely exceed $100 million through study completion in 2017 and publication of results in 2018. Our aggregate remaining costs to complete the REDUCE-IT are estimated to be lower than $100 million if the independent DMC recommends that REDUCE-IT be completed early based on its scheduled interim review of the efficacy and safety results of the study which review we estimate will occur in 2016 upon reaching 60% of the target aggregate number of cardiovascular events for the study. Amarin remains blinded to all data from the study and currently expects the study to be completed in 2017. We anticipate that our costs for this outcomes study will continue to represent the most significant component of our research and development expenditures.</w:t>
      </w:r>
    </w:p>
    <w:p>
      <w:pPr>
        <w:spacing w:after="0" w:line="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regulatory filing fees in each of the six months ended June 30, 2015 and 2014 included annual FDA fees for maintaining manufacturing sites.</w:t>
      </w:r>
    </w:p>
    <w:p>
      <w:pPr>
        <w:spacing w:after="0" w:line="20" w:lineRule="exact"/>
        <w:rPr>
          <w:rFonts w:ascii="Arial" w:cs="Arial" w:eastAsia="Arial" w:hAnsi="Arial"/>
          <w:sz w:val="17"/>
          <w:szCs w:val="17"/>
          <w:color w:val="auto"/>
        </w:rPr>
      </w:pPr>
    </w:p>
    <w:p>
      <w:pPr>
        <w:ind w:left="460" w:right="26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legal costs.</w:t>
      </w:r>
    </w:p>
    <w:p>
      <w:pPr>
        <w:spacing w:after="0" w:line="1"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84" w:lineRule="exact"/>
        <w:rPr>
          <w:sz w:val="20"/>
          <w:szCs w:val="20"/>
          <w:color w:val="auto"/>
        </w:rPr>
      </w:pPr>
    </w:p>
    <w:p>
      <w:pPr>
        <w:jc w:val="both"/>
        <w:ind w:right="40" w:firstLine="913"/>
        <w:spacing w:after="0" w:line="342" w:lineRule="auto"/>
        <w:rPr>
          <w:sz w:val="20"/>
          <w:szCs w:val="20"/>
          <w:color w:val="auto"/>
        </w:rPr>
      </w:pPr>
      <w:r>
        <w:rPr>
          <w:rFonts w:ascii="Arial" w:cs="Arial" w:eastAsia="Arial" w:hAnsi="Arial"/>
          <w:sz w:val="16"/>
          <w:szCs w:val="16"/>
          <w:color w:val="auto"/>
        </w:rPr>
        <w:t>We anticipate that our research and development costs will be slightly higher during 2015 as compared to 2014 and may be variable from quarter to quarter as a result of the timing of REDUCE-IT costs, and that such costs will decline modestly thereafter upon completion of enrollment for REDUCE-IT.</w:t>
      </w:r>
    </w:p>
    <w:p>
      <w:pPr>
        <w:spacing w:after="0" w:line="124"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i w:val="1"/>
          <w:iCs w:val="1"/>
          <w:color w:val="auto"/>
        </w:rPr>
        <w:t>(Loss) Gain on Change in Fair Value of Derivative Liabilities</w:t>
      </w:r>
      <w:r>
        <w:rPr>
          <w:rFonts w:ascii="Arial" w:cs="Arial" w:eastAsia="Arial" w:hAnsi="Arial"/>
          <w:sz w:val="18"/>
          <w:szCs w:val="18"/>
          <w:color w:val="auto"/>
        </w:rPr>
        <w:t>. (Loss) gain on change in fair value of derivative liabilities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2015 was a loss of $0.1 million versus a gain of $7.4 million in the prior year period. (Loss) gain on change in fair value of derivative liabilities is comprised of (i) the change in fair value of the warrant derivative liability, (ii) the change in fair value of the derivative liability related to the change in control provision associated with the December 2012 BioPharma financing, (iii) the change in fair value of the derivative liability related to the change in control provision associated with the May 2014 exchangeable senior notes; and (iv) the change in fair value of the derivative liability related to the preferred stock purchase option.</w:t>
      </w:r>
    </w:p>
    <w:p>
      <w:pPr>
        <w:spacing w:after="0" w:line="193"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warrant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as of December 31, 2014 was $0.1 million and we recognized a $0.1 million gain on change in fair value of derivative liability for the six months ended June 30, 2015 for these warrants. The fair value of the warrant derivative liability as of December 31, 2013 was $6.9 million and we recognized a $2.2 million gain on change in fair value of derivative liability for the six months ended June 30, 2014. The change in fair value of the warrant derivative liability for the six months ended June 30, 2015 is due to the expiration of the warrants and the resulting extinguishment of the liability, while the change in fair value for the six months ended June 30, 2014 is due primarily to the change in the price of our common stock on the date of valuation. In October 2014, we and the holders of the remaining October 2009 warrants mutually agreed to extend the expiration date of such warrants from October 16, 2014 to February 27, 2015. Of the 8,087,388 warrants outstanding as of December 31, 2014, 1,844,585 warrants were exercised and the remaining 6,242,803 warrants expired on February 27, 2015. As such, no warrants were outstanding as of June 30, 2015.</w:t>
      </w:r>
    </w:p>
    <w:p>
      <w:pPr>
        <w:spacing w:after="0" w:line="180"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Our December 2012 financing agreement with BioPharma contains a redemption feature whereby,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As of December 31, 2014, the fair value of the derivative was determined to be $4.8 million, and as of June 30, 2015, the fair value of the derivative was determined to be $5.6 million. As such, we recognized a $0.8 million loss on change in fair value of derivative liability for the six months ended June 30, 2015. As of December 31, 2013, the fair value of the derivative was determined to be $11.1 million, and as of June 30, 2014, the fair value of the derivative was determined to be $6.1 million. As such, we recognized a $5.0 million gain on change in fair value of derivative liability for the six months ended June 30, 2014.</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Our 2014 Notes, issued in May 2014, contain a redemption feature whereby, upon occurrence of a change in control, we would be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As of December 31, 2014, the fair value of the derivative was determined to be $2.6 million, and as of June 30, 2015, the fair value of the derivative was determined to be $1.1 million. As such, we recognized a $1.5 million gain on change in fair value of derivative liability for the six months ended June 30, 2015. As of June 30, 2014, the fair value of the derivative was determined to be $3.3 million. We recognized a $0.2 million gain on change in fair value of derivative liability for the six months ended June 30, 2014.</w:t>
      </w:r>
    </w:p>
    <w:p>
      <w:pPr>
        <w:spacing w:after="0" w:line="167" w:lineRule="exact"/>
        <w:rPr>
          <w:sz w:val="20"/>
          <w:szCs w:val="20"/>
          <w:color w:val="auto"/>
        </w:rPr>
      </w:pPr>
    </w:p>
    <w:p>
      <w:pPr>
        <w:ind w:right="300" w:firstLine="913"/>
        <w:spacing w:after="0" w:line="273" w:lineRule="auto"/>
        <w:rPr>
          <w:sz w:val="20"/>
          <w:szCs w:val="20"/>
          <w:color w:val="auto"/>
        </w:rPr>
      </w:pPr>
      <w:r>
        <w:rPr>
          <w:rFonts w:ascii="Arial" w:cs="Arial" w:eastAsia="Arial" w:hAnsi="Arial"/>
          <w:sz w:val="17"/>
          <w:szCs w:val="17"/>
          <w:color w:val="auto"/>
        </w:rPr>
        <w:t>In connection with the closing of a private placement transaction in March 2015, we recorded a derivative liability pursuant to a pre-existing contractual right. This preferred stock purchase option was determined to be a derivative liability effective March 5, 2015, the date in which the private placement was initially subscribed. The fair value of this liability was calculated using a Black-Scholes model and was determined to be $0.9 million at inception and was charged to accumulated deficit as a deemed non-cash dividend. The liability was then marked to fair value through March 30, 2015, the date on which we executed a subscription agreement with the investor, resulting in a charge of $0.9 million through (loss) gain on change in fair value of derivatives in the six months ended June 30, 2015. The liability was reclassified to permanent equity on such date.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changes in the assumptions used to value the derivative liabilities could result in a material change to the carrying value of such liabilities.</w:t>
      </w:r>
    </w:p>
    <w:p>
      <w:pPr>
        <w:spacing w:after="0" w:line="24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i w:val="1"/>
          <w:iCs w:val="1"/>
          <w:color w:val="auto"/>
        </w:rPr>
        <w:t xml:space="preserve">Gain on Extinguishment of Debt. </w:t>
      </w:r>
      <w:r>
        <w:rPr>
          <w:rFonts w:ascii="Arial" w:cs="Arial" w:eastAsia="Arial" w:hAnsi="Arial"/>
          <w:sz w:val="16"/>
          <w:szCs w:val="16"/>
          <w:color w:val="auto"/>
        </w:rPr>
        <w:t>On May 15, 2014, we entered into separate, privately negotiated exchange agreements with certain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exchangeable senior notes pursuant to which we exchanged $118.7 million in aggregate principal amount of existing exchangeable senior notes for $118.7 million in aggregate principal amount of new 3.50% exchangeable senior notes due 2032. The key changes in the terms of the new notes included moving the first put date from January 2017 to January 2019, adding an issuer conversion option whereby we can opt to convert the notes into equity should the Daily VWAP (as defined in the Indenture) exceed $2.86 for a certain number of days and reducing the conversion price (see Note 6). As a result of the exchange, we assessed the value of the notes immediately prior to the exchange and immediately after the exchange and determined that the exchange resulted in a substantial modification of the terms of the notes resulting in an extinguishment of the original notes. We recorded a gain on extinguishment of the original notes of $38.0 million in the six months ended June 30, 2014. There was no such gain in the six months ended June 30, 2015.</w:t>
      </w:r>
    </w:p>
    <w:p>
      <w:pPr>
        <w:spacing w:after="0" w:line="166"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Net interest expense for the six months ended June 30, 2015 and 2014 was $9.7 million and $8.7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$1.0 million, or 11%. Net interest expense for the six months ended June 30, 2015 and 2014 is summarized in the table below (in thousands):</w:t>
      </w:r>
    </w:p>
    <w:p>
      <w:pPr>
        <w:spacing w:after="0" w:line="143"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Six Months Ended</w:t>
      </w:r>
    </w:p>
    <w:p>
      <w:pPr>
        <w:jc w:val="center"/>
        <w:ind w:left="70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5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 (1):</w:t>
            </w:r>
          </w:p>
        </w:tc>
        <w:tc>
          <w:tcPr>
            <w:tcW w:w="18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Amortization of debt discounts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$3,002</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18"/>
                <w:szCs w:val="18"/>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Contractual coupon interest</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18"/>
                <w:szCs w:val="18"/>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Total exchangeable senior notes interest expense</w:t>
            </w:r>
          </w:p>
        </w:tc>
        <w:tc>
          <w:tcPr>
            <w:tcW w:w="182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12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debt—BioPharma financing (2):</w:t>
            </w:r>
          </w:p>
        </w:tc>
        <w:tc>
          <w:tcPr>
            <w:tcW w:w="1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Cash interest—current</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3,103</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2,357</w:t>
            </w:r>
          </w:p>
        </w:tc>
        <w:tc>
          <w:tcPr>
            <w:tcW w:w="120" w:type="dxa"/>
            <w:vAlign w:val="bottom"/>
          </w:tcPr>
          <w:p>
            <w:pPr>
              <w:spacing w:after="0"/>
              <w:rPr>
                <w:sz w:val="18"/>
                <w:szCs w:val="18"/>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interest—deferred</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20" w:type="dxa"/>
            <w:vAlign w:val="bottom"/>
            <w:shd w:val="clear" w:color="auto" w:fill="CCEEFF"/>
          </w:tcPr>
          <w:p>
            <w:pPr>
              <w:spacing w:after="0"/>
              <w:rPr>
                <w:sz w:val="18"/>
                <w:szCs w:val="18"/>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Non-cash interest</w:t>
            </w:r>
          </w:p>
        </w:tc>
        <w:tc>
          <w:tcPr>
            <w:tcW w:w="18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18"/>
                <w:szCs w:val="18"/>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interest expense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2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Other interest expense</w:t>
            </w:r>
          </w:p>
        </w:tc>
        <w:tc>
          <w:tcPr>
            <w:tcW w:w="18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12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Interest income (3)</w:t>
            </w:r>
          </w:p>
        </w:tc>
        <w:tc>
          <w:tcPr>
            <w:tcW w:w="18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r>
      <w:tr>
        <w:trPr>
          <w:trHeight w:val="20"/>
        </w:trPr>
        <w:tc>
          <w:tcPr>
            <w:tcW w:w="5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9,692</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8,689</w:t>
            </w:r>
          </w:p>
        </w:tc>
        <w:tc>
          <w:tcPr>
            <w:tcW w:w="120" w:type="dxa"/>
            <w:vAlign w:val="bottom"/>
            <w:shd w:val="clear" w:color="auto" w:fill="CCEEFF"/>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40" w:hanging="452"/>
        <w:spacing w:after="0" w:line="25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six months ended June 30, 2015 and 2014 was $5.6 million and $4.0 million, respectively.</w:t>
      </w:r>
    </w:p>
    <w:p>
      <w:pPr>
        <w:spacing w:after="0" w:line="1"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and non-cash interest expenses related to the BioPharma financing for the six months ended June 30, 2015 and 2014 were $4.1 million and $4.8 million, respectively. These amounts reflect the assumption that our Vascepa revenue levels will not be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60"/>
        <w:spacing w:after="0" w:line="288" w:lineRule="auto"/>
        <w:rPr>
          <w:sz w:val="20"/>
          <w:szCs w:val="20"/>
          <w:color w:val="auto"/>
        </w:rPr>
      </w:pPr>
      <w:r>
        <w:rPr>
          <w:rFonts w:ascii="Arial" w:cs="Arial" w:eastAsia="Arial" w:hAnsi="Arial"/>
          <w:sz w:val="16"/>
          <w:szCs w:val="16"/>
          <w:color w:val="auto"/>
        </w:rPr>
        <w:t>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ind w:left="460" w:right="10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income for the six months ended June 30, 2015 and 2014 was $0.06 million and $0.05 million, respectively. Interest income represents income earned on cash balances.</w:t>
      </w:r>
    </w:p>
    <w:p>
      <w:pPr>
        <w:spacing w:after="0" w:line="18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for the six months ended June 30, 2015 was expense of $0.03 million versus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of $4.2 million in the prior year period. Other income (expense), net, in the six months ended June 30, 2015 primarily consists of losses and gains on foreign exchange transactions. Other income (expense), net in the six months ended June 30, 2014 primarily consists of $4.1 million received in the second quarter of 2014 with respect to settlement agreements with one of our suppliers and one of our encapsulators that provided for the reimbursement of certain amounts previously paid by us.</w:t>
      </w:r>
    </w:p>
    <w:p>
      <w:pPr>
        <w:spacing w:after="0" w:line="188"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i w:val="1"/>
          <w:iCs w:val="1"/>
          <w:color w:val="auto"/>
        </w:rPr>
        <w:t xml:space="preserve">Benefit from (Provision for) Income Taxes. </w:t>
      </w:r>
      <w:r>
        <w:rPr>
          <w:rFonts w:ascii="Arial" w:cs="Arial" w:eastAsia="Arial" w:hAnsi="Arial"/>
          <w:sz w:val="17"/>
          <w:szCs w:val="17"/>
          <w:color w:val="auto"/>
        </w:rPr>
        <w:t>Benefit from (provision for) income taxes for the six months ended June 30, 2015 was a $1.0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versus a $0.8 million provision in the prior year period. The current benefit (provision) relates entirely to the U.S. subsidiary operations. We are profitable in the United States as a result of intercompany transactions between our U.S. subsidiary and our other companies.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Our sources of liquidity as of June 30, 2015 include cash and cash equivalents of $136.0 million. In February 2015, we received a $15.0 million non-refundable, up-front payment upon the execution of our first ex-U.S. licensing agreement which agreement covers China and surrounding territories. In March 2015, we entered into a subscription agreement with four institutional investors for the issuance and sale of our Series A Preference Shares resulting in net proceeds to us of $52.1 million. Both the $15.0 million up-front payment from the ex-U.S. licensing agreement and the $52.1 million in net proceeds from the issuance and sale of Series A Preference Shares are included in our June 30, 2015 cash balance. Our projected uses of cash include commercialization of Vascepa for the MARINE indication, the continued funding of the REDUCE-IT cardiovascular outcomes study, working capital and other general corporate activities. Our cash flows from operating, investing and financing activities, as reflected in the condensed consolidated statements of cash flows, are summarized in the following table (in millions):</w:t>
      </w:r>
    </w:p>
    <w:p>
      <w:pPr>
        <w:spacing w:after="0" w:line="18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 continuing operations: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(37.6)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5</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On December 6, 2012 we entered into a financing agreement with BioPharma. Under this agreement, we granted to BioPharma a security interest in future receivables associated with Vascepa patent rights, in exchange for $100 million received at the closing of the agreement which closing occurred in December 2012. We have agreed to repay BioPharma up to $150 million of future revenue and receivables. As of June 30, 2015, the net remaining amount to be repaid to BioPharma is $141.2 million. To date, our revenues have been below the contractual threshold amount such that each payment made has reflected the calculated optional reduction amount as opposed to the contractual threshold payments for each quarterly period. The maximum amount payable under the contractual threshold for 2015 is $23.2 million. The quarterly repayments through June 30, 2015 represented interest only. In accordance with the agreement with BioPharma, quarterly differences between the calculated optional reduction amounts and the repayment schedule amounts are rescheduled for payment beginning in the second quarter of 2017. Any such deferred payments will remain subject to continued application of the quarterly ceiling in amounts due established by the calculated threshold based on quarterly Vascepa revenues. No additional interest expense or liability is incurred as a result of such deferred repayments and no cliff payment of the remaining balance is due except in the event of Company default or Company change of control. The agreement does not expire until $150 million in aggregate has been repaid. We can prepay an amount equal to $150 million less any previously repaid amount. We currently estimate that Vascepa revenue levels will not be high enough in each quarter to support repayment to BioPharma in accordance with threshold amounts in the repayment schedule.</w:t>
      </w:r>
    </w:p>
    <w:p>
      <w:pPr>
        <w:spacing w:after="0" w:line="18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On January 9, 2012, Amarin, through our wholly-owned subsidiary Corsicanto Limited, or Corsicanto, a private limited company incorporated under the laws of Ireland, completed a private placement of $150.0 million in aggregate principal amount of its 3.5% exchangeable senior notes due 2032, or the 2012 Notes. The proceeds we received from the January 2012 debt offering were approximately $144.3 million, net of fees and transaction costs. On May 20, 2014, we entered into separate, privately negotiated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exchange agreements with certain holders of the 2012 Notes pursuant to which Corsicanto exchanged $118.7 million in aggregate principal amount of the 2012 Notes for $118.7 million in aggregate principal amount of new 3.50% May 2014 Exchangeable Senior Notes due 2032, or the 2014 Notes, following which $31.3 million in aggregate principal amount of the 2012 Notes remain outstanding with terms unchanged.</w:t>
      </w:r>
    </w:p>
    <w:p>
      <w:pPr>
        <w:spacing w:after="0" w:line="166"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2012 Notes were issued pursuant to an indenture dated as of January 9, 2012, by and among Corsicanto, us as guarantor, and Wells Fargo Bank, National Association, as trustee. The notes are the senior unsecured obligations of Corsicanto and are guaranteed by us. The 2012 Notes bear interest at a rate of 3.5%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our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our election, subject to certain conditions, in cash, ADSs or a combination of cash and ADSs.</w:t>
      </w:r>
    </w:p>
    <w:p>
      <w:pPr>
        <w:spacing w:after="0" w:line="18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2014 Notes were issued pursuant to an indenture dated May 20, 2014 by and among Corsicanto, us as grantor, and Wells Fargo Bank, National Association, as trustee. The notes are senior unsecured obligations of Corsicanto and are guaranteed by us. The 2014 Notes have a stated interest rate of 3.5% per year, payable semiannually in arrears on January 15 and July 15 of each year beginning on July 15, 2014, and ending upon the Notes’ maturity on January 15, 2032, unless earlier repurchased or redeemed by Corsicanto or exchanged by the holders. At any time after the issuance of the 2014 Notes and prior to the close of business on the second business day immediately preceding January 15, 2032, holders may exchange their 2014 Notes at their option. If prior to January 15, 2018, a make-whole fundamental change (as defined in the Indenture) occurs or we elect to redeem the 2014 Notes in connection with certain changes in tax law, in each case as described in the Indenture, and a holder elects to exchange its 2014 Notes in connection with such make-whole fundamental change or election, as the case may be, such holder may be entitled to an increase in the exchange rate as described in the Indenture. The initial exchange rate is 384.6154 ADSs per $1,000 principal amount of the 2014 Notes (equivalent to an initial exchange price of approximately $2.60 per ADS, or the Exchange Price), subject to adjustment in certain circumstances. The exchange rate is subject to adjustment from time to time upon the occurrence of certain events, including, but not limited to, the payment of cash dividends.</w:t>
      </w:r>
    </w:p>
    <w:p>
      <w:pPr>
        <w:spacing w:after="0" w:line="173"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On March 30, 2015, in connection with the closing of the initial private placement, and pursuant to a pre-existing contractual preemptive right to participate in certain private placement transactions effected by us, we entered into a separate subscription agreement with an existing investor, Sofinnova Venture Partners VII L.P. (Sofinnova), for the purchase of an additional 38,867,180 restricted ADSs, each representing one (1) share of our Series A Preference Shares, at the same price per share and otherwise on substantially the same terms as the initial private placement, for potential proceeds of $5.8 million. In accordance with applicable marketplace rules of the NASDAQ Stock Market, the consummation of the second private placement was conditioned upon approval by our shareholders at a future meeting of our shareholders. Such approval was received at our Annual General Meeting of Shareholders on July 6, 2015 and as a result, the closing of this second private placement occurred on July 10, 2015. Dr. James Healy, a member of our Board, is a managing member of Sofinnova Management VII, L.L.C., the general partner of Sofinnova.</w:t>
      </w:r>
    </w:p>
    <w:p>
      <w:pPr>
        <w:spacing w:after="0" w:line="179"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As of June 30, 2015, we had cash and cash equivalents of $136.0 million, an increase of $16.5 million from December 31, 2014. The increase is primarily due to the net proceeds from an equity financing of $52.1 million and a $15.0 million up-front payment received from an ex-U.S. licensing agreement offset by net cash used in operating activities in support of the continued commercialization of Vascepa and the continued funding of REDUCE-IT, less accounts receivable collections. We have incurred annual operating losses since our inception and, as a result, we had an accumulated deficit of $1.1 billion as of June 30, 2015. We believe that our cash and cash equivalents balance of $136.0 million as of June 30, 2015 will be sufficient to fund our projected operations for at least the next twelve months. We anticipate that quarterly net cash outflows in future periods will be variable.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The following table summarizes our contractual obligations as of June 30, 2015 and the effects such obligations are expected to have on our liquidity and cash flows in future periods (in millions):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After 2019</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to 2017</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to 2019</w:t>
            </w: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1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Purchase obligations (1)</w:t>
            </w:r>
          </w:p>
        </w:tc>
        <w:tc>
          <w:tcPr>
            <w:tcW w:w="2400" w:type="dxa"/>
            <w:vAlign w:val="bottom"/>
            <w:gridSpan w:val="3"/>
          </w:tcPr>
          <w:p>
            <w:pPr>
              <w:jc w:val="right"/>
              <w:ind w:right="400"/>
              <w:spacing w:after="0"/>
              <w:rPr>
                <w:sz w:val="20"/>
                <w:szCs w:val="20"/>
                <w:color w:val="auto"/>
              </w:rPr>
            </w:pPr>
            <w:r>
              <w:rPr>
                <w:rFonts w:ascii="Arial" w:cs="Arial" w:eastAsia="Arial" w:hAnsi="Arial"/>
                <w:sz w:val="18"/>
                <w:szCs w:val="18"/>
                <w:color w:val="auto"/>
              </w:rPr>
              <w:t>$53.3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9.4</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$ 31.8</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$ 12.1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 obligations (2)</w:t>
            </w:r>
          </w:p>
        </w:tc>
        <w:tc>
          <w:tcPr>
            <w:tcW w:w="2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Interest payment obligations—exchangeable debt (3)</w:t>
            </w:r>
          </w:p>
        </w:tc>
        <w:tc>
          <w:tcPr>
            <w:tcW w:w="1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contractual cash obligations</w:t>
            </w:r>
          </w:p>
        </w:tc>
        <w:tc>
          <w:tcPr>
            <w:tcW w:w="2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12.3</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$ 43.0</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$ 18.5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46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380" w:hanging="452"/>
        <w:spacing w:after="0" w:line="26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have agreements with API suppliers which include minimum purchase levels to enable us to maintain certain exclusivity with each respective supplier and certain agreements require any shortfall in such purchase levels to be paid in cash. The amounts in the table above reflect amounts potentially payable to our suppliers based on our minimum purchase obligations assuming such suppliers are qualified. Each supplier is required to meet certain performance obligations and the agreements may be terminated by us in the event of non-performance. There are additional potential purchase requirements based on our total annual API supply requirements that are not reflected in the table.</w:t>
      </w:r>
    </w:p>
    <w:p>
      <w:pPr>
        <w:spacing w:after="0" w:line="3" w:lineRule="exact"/>
        <w:rPr>
          <w:rFonts w:ascii="Arial" w:cs="Arial" w:eastAsia="Arial" w:hAnsi="Arial"/>
          <w:sz w:val="17"/>
          <w:szCs w:val="17"/>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operating lease costs consisting of leases for facilities in Dublin, Ireland and Bedminster, NJ.</w:t>
      </w:r>
    </w:p>
    <w:p>
      <w:pPr>
        <w:spacing w:after="0" w:line="9" w:lineRule="exact"/>
        <w:rPr>
          <w:rFonts w:ascii="Arial" w:cs="Arial" w:eastAsia="Arial" w:hAnsi="Arial"/>
          <w:sz w:val="18"/>
          <w:szCs w:val="18"/>
          <w:color w:val="auto"/>
        </w:rPr>
      </w:pPr>
    </w:p>
    <w:p>
      <w:pPr>
        <w:jc w:val="both"/>
        <w:ind w:left="460" w:right="440" w:hanging="452"/>
        <w:spacing w:after="0" w:line="277"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scheduled interest payments due under the terms of the 2012 Notes and 2014 Notes, assuming that the 2012 Notes remain outstanding through January 19, 2017 and that the 2014 Notes remain outstanding through January 19, 2019 and they have not been exchanged for ADSs. The above table does not reflect the repayment of the $150.0 million notes as they may be exchanged for ADSs.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do not enter into financial instruments for trading or speculative purposes. As of June 30, 2015, we had no outstanding forward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contracts.</w:t>
      </w:r>
    </w:p>
    <w:p>
      <w:pPr>
        <w:spacing w:after="0" w:line="211"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We have Vascepa API supply agreements with two independent companies from which we purchase qualified API supply: Nisshin and Chemport. Additionally, in June 2015 we entered into a supply agreement with Finorga SAS (Novasep). Our agreements with Chemport and Novasep contain minimum annual purchase levels to enable us to maintain certain supply exclusivity and also contain a provision that any shortfall in the minimum purchase commitments is payable in cash. The maximum amounts payable pursuant to this provision are reflected in the table above.</w:t>
      </w:r>
    </w:p>
    <w:p>
      <w:pPr>
        <w:spacing w:after="0" w:line="17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long-term assets. This long-term asset is being amortized over the estimated useful life of the intellectual property we acquired from Laxdale and we recognized amortization expense of $0.3 million in each of the six months ended June 30, 2015 and 2014. Also under the Laxdale agreement, upon receipt of marketing approval in Europe for the first indication for Vascepa (or first indication of any product containing Amarin Neuroscience intellectual property acquired from Laxdale in 2004), we must make an aggregate stock or cash payment to the former shareholders of Laxdale (at the sole option of each of the sellers) of £7.5 million (approximately $11.8 million as of June 30, 2015). Additionally, upon receipt of a marketing approval in the United States or Europe for a further indication of Vascepa (or further indication of any other product using Amarin Neuroscience intellectual property), we must make an aggregate stock or cash payment (at the sole option of each of the sellers) of £5 million (approximately $7.9 million as of June 30, 2015) for each of the two potential market approvals (i.e. £10 million maximum, or approximately $15.7 million as of June 30, 2015).</w:t>
      </w:r>
    </w:p>
    <w:p>
      <w:pPr>
        <w:spacing w:after="0" w:line="169"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January 2015, we granted a total of 5,455,500 performance-based RSUs (“PSUs”) to employees for the right to receive payment in the form of ordinary shares, or any combination of cash and shares. Payment in the form of ordinary shares was subject to shareholder approval of a sufficient increase in the number of shares reserved for issuance under the Amarin Corporation plc 2011 Stock Incentive Plan. Such shareholder approval was obtained at our Annual General Meeting on July 6, 2015.</w:t>
      </w:r>
    </w:p>
    <w:p>
      <w:pPr>
        <w:spacing w:after="0" w:line="187"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In addition to the obligations in the table above, we have recorded a liability of $0.4 million for uncertain tax positions that have been recorded in long-term liabilities as of June 30, 2015. We are not able to reasonably estimate in which future periods these amounts will ultimately be settled.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There have been no material changes with respect to the information appearing in PART II, Item 7A “Quantitative and Qualitative Disclosures about Market Risk” of our Annual Report on Form 10-K filed with the Securities and Exchange Commission on March 3, 2015.</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As of June 30, 2015, our management, with the participation of our principal executive officer and principal financial officer, evaluated the effectiveness of our disclosure controls and procedures (as defined in Rules 13a-15(e) and 15d-15(e) under the Securities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2015, our disclosure controls and procedures were effective at the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During the quarter ended June 30, 2015,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In the ordinary course of business, we are from time to time involved in lawsuits, claims, investigations, proceedings, and threats of litigation relating to our business. “Item 3. Legal Proceedings” of our Annual Report on Form 10-K for the fiscal year ended December 31, 2014 includes a discussion of our current legal proceedings. There have been no material changes to those disclosures as of the date of this filing other than as set forth below.</w:t>
      </w:r>
    </w:p>
    <w:p>
      <w:pPr>
        <w:spacing w:after="0" w:line="14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On May 7, 2015, we and a group of independent physicians filed a federal lawsuit to permit us to share truthful and non-misleading information, including, but not limited to, the ANCHOR trial clinical data, with healthcare professionals in the United States about certain uses of Vascepa not included with approved FDA labeling of Vascepa and thus not permitted under the FDA’s interpretation of applicable law. The lawsuit, captioned </w:t>
      </w:r>
      <w:r>
        <w:rPr>
          <w:rFonts w:ascii="Arial" w:cs="Arial" w:eastAsia="Arial" w:hAnsi="Arial"/>
          <w:sz w:val="16"/>
          <w:szCs w:val="16"/>
          <w:i w:val="1"/>
          <w:iCs w:val="1"/>
          <w:color w:val="auto"/>
        </w:rPr>
        <w:t>Amarin Pharma, Inc.,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 al. v. Food &amp; Drug Administration, et al. </w:t>
      </w:r>
      <w:r>
        <w:rPr>
          <w:rFonts w:ascii="Arial" w:cs="Arial" w:eastAsia="Arial" w:hAnsi="Arial"/>
          <w:sz w:val="16"/>
          <w:szCs w:val="16"/>
          <w:color w:val="auto"/>
        </w:rPr>
        <w:t>(1:15-cv-03588-PAE), was filed in the United States District Court for the Southern District of New York and</w:t>
      </w:r>
      <w:r>
        <w:rPr>
          <w:rFonts w:ascii="Arial" w:cs="Arial" w:eastAsia="Arial" w:hAnsi="Arial"/>
          <w:sz w:val="16"/>
          <w:szCs w:val="16"/>
          <w:i w:val="1"/>
          <w:iCs w:val="1"/>
          <w:color w:val="auto"/>
        </w:rPr>
        <w:t xml:space="preserve"> </w:t>
      </w:r>
      <w:r>
        <w:rPr>
          <w:rFonts w:ascii="Arial" w:cs="Arial" w:eastAsia="Arial" w:hAnsi="Arial"/>
          <w:sz w:val="16"/>
          <w:szCs w:val="16"/>
          <w:color w:val="auto"/>
        </w:rPr>
        <w:t>seeks a judicial declaration based on several legal theories. We intend to litigate the case vigorously, but we cannot predict the outcome of this litigation.</w:t>
      </w:r>
    </w:p>
    <w:p>
      <w:pPr>
        <w:spacing w:after="0" w:line="158"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On May 28, 2015, the U.S. District Court for the District of Columbia granted our motion for summary judgment in our lawsuit against the FDA, captioned </w:t>
      </w:r>
      <w:r>
        <w:rPr>
          <w:rFonts w:ascii="Arial" w:cs="Arial" w:eastAsia="Arial" w:hAnsi="Arial"/>
          <w:sz w:val="17"/>
          <w:szCs w:val="17"/>
          <w:i w:val="1"/>
          <w:iCs w:val="1"/>
          <w:color w:val="auto"/>
        </w:rPr>
        <w:t>Amarin Pharmaceuticals Ireland Ltd. v. Food &amp; Drug Administration, et al.</w:t>
      </w:r>
      <w:r>
        <w:rPr>
          <w:rFonts w:ascii="Arial" w:cs="Arial" w:eastAsia="Arial" w:hAnsi="Arial"/>
          <w:sz w:val="17"/>
          <w:szCs w:val="17"/>
          <w:color w:val="auto"/>
        </w:rPr>
        <w:t>, Civ. A. No. 14-0324 (D.D.C.). This lawsuit sought an order requiring FDA to recognize five-year, New Chemical Entity (“NCE”) marketing exclusivity for Vascepa. The decision vacated the FDA’s denial of our claim for such exclusivity and remanded to the FDA for proceedings consistent with the decision. On July 22, 2015, Watson Laboratories Inc., the purported first Vascepa ANDA filer, filed a motion to intervene and a notice of appeal of the Court’s decision. We intend to litigate the case vigorously, but cannot predict the outcome of this litigation. FDA did not seek to appeal the Court’s decision prior to the July 28, 2015 deadline for appeal.</w:t>
      </w:r>
    </w:p>
    <w:p>
      <w:pPr>
        <w:spacing w:after="0" w:line="17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Based on the May 28, 2015, U.S. District Court for the District of Columbia order granting our motion for summary judgment in the NCE litigation, on June 26, 2015, the parties to the related Vascepa patent litigation that followed acceptance by FDA of abbreviated new drug applications, or ANDAs, to Vascepa agreed to a full stay of proceeding in that patent litigation. Based on subsequent FDA notification to the ANDA filers that FDA had changed the status of their ANDAs to submitted, but no longer accepted, we believe the statutory basis for the patent litigation (accepted ANDAs) no longer exists. Thus, on July 24, 2015, we moved to dismiss the pending patent infringement lawsuits against each of the Vascepa ANDA applicants. We intend to vigorously enforce our intellectual property rights relating to Vascepa consistent with the time period contemplated by the Hatch-Waxman Act, but we cannot predict the outcome of these lawsuits. We cannot predict the outcome of this motion to dismiss or litigation. If the motion to dismiss is granted, we plan to defend the exclusivity of Vascepa through patent litigation after notification that FDA has accepted an ANDA application related to Vascepa which, assuming NCE exclusivity, we would expect no sooner than July 2016.</w:t>
      </w:r>
    </w:p>
    <w:p>
      <w:pPr>
        <w:spacing w:after="0" w:line="18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On June 29, 2015, the U.S. District Court for the District of New Jersey granted our motion to dismiss the putative consolidated class action lawsuit captioned </w:t>
      </w:r>
      <w:r>
        <w:rPr>
          <w:rFonts w:ascii="Arial" w:cs="Arial" w:eastAsia="Arial" w:hAnsi="Arial"/>
          <w:sz w:val="18"/>
          <w:szCs w:val="18"/>
          <w:i w:val="1"/>
          <w:iCs w:val="1"/>
          <w:color w:val="auto"/>
        </w:rPr>
        <w:t>In re Amarin Corporation plc, Securities Litigation,</w:t>
      </w:r>
      <w:r>
        <w:rPr>
          <w:rFonts w:ascii="Arial" w:cs="Arial" w:eastAsia="Arial" w:hAnsi="Arial"/>
          <w:sz w:val="18"/>
          <w:szCs w:val="18"/>
          <w:color w:val="auto"/>
        </w:rPr>
        <w:t xml:space="preserve"> No. 3:13-cv-06663 (D.N.J. Nov. 1, 2013). The class action was dismissed without prejudice with leave for plaintiffs to file an amended complaint. The lawsuit sought unspecified monetary damages and attorneys’ fees and costs alleging that we and certain of our current and former officers and directors made misstatements and omissions regarding the FDA’s willingness to approve Vascepa’s ANCHOR indication and related contributing factors and the potential relevance of data from the ongoing REDUCE-IT trial to that potential approval. On July 29, 2015, plaintiffs filed an amended complaint alleging facts similar to those in the original complaint. Like the first complaint, the amended complaint seeks unspecified monetary damages and attorneys’ fees and costs. We believe we have valid defenses and will vigorously defend against this lawsuit, but cannot predict the outcome. We are not able to reasonably estimate the loss exposure, if any, associated with the claims. We have insurance coverage that is anticipated to cover any significant loss exposure that may arise from this action after payment of the associated deductible obligation under such insurance coverage.</w:t>
      </w:r>
    </w:p>
    <w:p>
      <w:pPr>
        <w:spacing w:after="0" w:line="3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our ability to successfully commercially launch Vascepa,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Form 10-K filed with the SEC on March 3,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121"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*We are substantially dependent upon the success of Vascepa in the United States, which we launched commercially in the MARINE indication in early 2013.</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As a result of our reliance on a single product and our primary focus on the U.S. market in the near-term, much of our near-term results and value as a company depends on our ability to execute our commercial strategy for Vascepa in the United States. We launched Vascepa based on FDA approval of our MARINE indication in January 2013. If commercialization efforts for Vascepa in the MARINE indication are not successful, our business will be materially and adversely affected.</w:t>
      </w:r>
    </w:p>
    <w:p>
      <w:pPr>
        <w:spacing w:after="0" w:line="187"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Even if we are able to develop additional products from our research and development efforts, the development time cycle for products typically takes several years. This restricts our ability to respond to adverse business conditions for Vascepa. If we are not successful in developing any future product or products,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products we develop could constrain our ability to generate revenues and achieve profitability.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current and planned commercialization efforts may not be successful in increasing sales of Vascepa.</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In January 2013, we began selling and marketing Vascepa in the United States through our own, newly established sales and marketing teams and through a newly established third-party commercial distribution infrastructure. We hired key personnel in these areas over the last several years and hired and trained a professional sales force in early January 2013. In October 2013, following an FDA advisory committee recommendation against approval for the ANCHOR indication, we implemented a plan to reduce our workforce and our team of sales professionals in half.</w:t>
      </w:r>
    </w:p>
    <w:p>
      <w:pPr>
        <w:spacing w:after="0" w:line="17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In May 2014 we began co-promoting Vascepa in the United States with Kowa Pharmaceuticals America, Inc. under a co-promotion agreement we entered into in March 2014. Under the agreement, approximately 250 Kowa Pharmaceuticals America, Inc. sales representatives devote a substantial portion of their time to promoting Vascepa with Amarin’s approximately 130 sales representatives based on a plan designed to substantially increase both the number of sales targets reached and the frequency of sales calls on existing sales targets. However, the commercialization of a new pharmaceutical product is a complex undertaking for a company to manage, and we have very limited experience as a company operating in this area and co-promoting a pharmaceutical product with a partner.</w:t>
      </w:r>
    </w:p>
    <w:p>
      <w:pPr>
        <w:spacing w:after="0" w:line="193"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We are also expanding our commercialization activities to markets outside of the United States through partnering arrangements. On February 26, 2015, we entered into a Development, Commercialization and Supply Agreement (the “DCS Agreement”) with Eddingpharm (Asia) Macao Commercial Offshore Limited (“Eddingpharm”) related to the development and commercialization of Vascepa in Mainland China, Hong Kong, Macau and Taiwan (the “China Territory”). Under the DCS Agreement, Eddingpharm will be solely responsible for development and commercialization activities in the China Territory and associated expenses. Significant commercialization of Vascepa in the China Territory is several years away. If Eddingpharm is not able to effectively develop and commercialize Vascepa in the China Territory, we may not be able to generate revenue from the DCS Agreement resulting from the sale of Vascepa in the China Territory.</w:t>
      </w:r>
    </w:p>
    <w:p>
      <w:pPr>
        <w:spacing w:after="0" w:line="189"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We have limited experience working with ex-U.S. partners such as Eddingpharm to develop and market our products in foreign countries. In order for Eddingpharm, or us, to market and sell Vascepa in any country outside of the United States for any indication, it will be necessary to obtain regulatory approval from the appropriate regulatory authorities. The requirements and timing for regulatory approval vary widely from country to country and may in some cases be different than or more rigorous than requirements in the United States. Any failure by us or Eddingpharm to obtain approval for Vascepa in any countries outside of the United States in a timely manner may limit the commercial success of Vascepa and our ability to grow our revenues.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116" w:lineRule="exact"/>
        <w:rPr>
          <w:sz w:val="20"/>
          <w:szCs w:val="20"/>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130" w:lineRule="exact"/>
        <w:rPr>
          <w:rFonts w:ascii="Arial" w:cs="Arial" w:eastAsia="Arial" w:hAnsi="Arial"/>
          <w:sz w:val="18"/>
          <w:szCs w:val="18"/>
          <w:color w:val="auto"/>
        </w:rPr>
      </w:pPr>
    </w:p>
    <w:p>
      <w:pPr>
        <w:ind w:left="1480" w:right="40" w:hanging="446"/>
        <w:spacing w:after="0" w:line="264"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adequately train our sales and marketing personnel, in particular as it relates to various healthcare regulatory requirements applicable to the marketing and sale of pharmaceutical products, and our inability to adequately monitor compliance with these requirements;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360" w:hanging="446"/>
        <w:spacing w:after="0" w:line="27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75"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our recent reduction in force and regulatory events on our ability to contact potential purchasers of Vascepa in an efficient manner;</w:t>
      </w:r>
    </w:p>
    <w:p>
      <w:pPr>
        <w:spacing w:after="0" w:line="75" w:lineRule="exact"/>
        <w:rPr>
          <w:rFonts w:ascii="Arial" w:cs="Arial" w:eastAsia="Arial" w:hAnsi="Arial"/>
          <w:sz w:val="18"/>
          <w:szCs w:val="18"/>
          <w:color w:val="auto"/>
        </w:rPr>
      </w:pPr>
    </w:p>
    <w:p>
      <w:pPr>
        <w:ind w:left="1480" w:right="720" w:hanging="446"/>
        <w:spacing w:after="0" w:line="27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inability by us or our partners to obtain regulatory and marketing approval or establish marketing channels in foreign jurisdictions; and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In addition, we believe that investors should view with caution the results for prior quarterly periods and the results for quarterly periods for the foreseeable future, as data for these periods may not be representative of a trend consistent with the results presented or otherwise predictive of future results, especially in light of competitive developments in the market in which we operate, our April 2015 Complete Response Letter, or CRL, on our application to the FDA to expand FDA-approved labeling for Vascepa, our recent litigation to expand our ability to promote Vascepa in the United States outside of FDA-approved labeling, the October 2013 approximately 50% reduction in our sales force, the March 2014 co-promotion Agreement with Kowa Pharmaceuticals America, Inc., and the February 2015 DCS Agreement with Eddingpharm.</w:t>
      </w:r>
    </w:p>
    <w:p>
      <w:pPr>
        <w:spacing w:after="0" w:line="17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181"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b w:val="1"/>
          <w:bCs w:val="1"/>
          <w:i w:val="1"/>
          <w:iCs w:val="1"/>
          <w:color w:val="auto"/>
        </w:rPr>
        <w:t>*Vascepa may fail to achieve the degree of market acceptance by physicians, patients, healthcare payors and others in the medical community necessary for commercial success.</w:t>
      </w:r>
    </w:p>
    <w:p>
      <w:pPr>
        <w:spacing w:after="0" w:line="17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We began marketing and selling Vascepa for use in the MARINE indication in January 2013. Vascepa may fail to gain sufficient market acceptance by physicians, patients, healthcare payors and others in the medical community. If Vascepa does not achieve an adequate level of acceptance, we may not generate significant product revenues and we may not become profitable. The degree of market acceptance of Vascepa for the MARINE indication and any future approved indications will depend on a number of factors, including:</w:t>
      </w:r>
    </w:p>
    <w:p>
      <w:pPr>
        <w:spacing w:after="0" w:line="92" w:lineRule="exact"/>
        <w:rPr>
          <w:sz w:val="20"/>
          <w:szCs w:val="20"/>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scope, effectiveness and strength of product education, marketing and distribution support, including our sales and marketing team;</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30" w:lineRule="exact"/>
        <w:rPr>
          <w:rFonts w:ascii="Arial" w:cs="Arial" w:eastAsia="Arial" w:hAnsi="Arial"/>
          <w:sz w:val="18"/>
          <w:szCs w:val="18"/>
          <w:color w:val="auto"/>
        </w:rPr>
      </w:pPr>
    </w:p>
    <w:p>
      <w:pPr>
        <w:ind w:left="1480" w:right="280" w:hanging="446"/>
        <w:spacing w:after="0" w:line="264"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outcome of our pending litigation to expand our ability to promote Vascepa in the United States outside of FDA-approved labeling and the related perception that we will continue to market and sell Vascepa only in the MARINE indication and any future FDA-approved indications;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170" w:lineRule="exact"/>
        <w:rPr>
          <w:rFonts w:ascii="Arial" w:cs="Arial" w:eastAsia="Arial" w:hAnsi="Arial"/>
          <w:sz w:val="18"/>
          <w:szCs w:val="18"/>
          <w:color w:val="auto"/>
        </w:rPr>
      </w:pPr>
    </w:p>
    <w:p>
      <w:pPr>
        <w:ind w:left="460" w:right="140"/>
        <w:spacing w:after="0" w:line="342" w:lineRule="auto"/>
        <w:rPr>
          <w:rFonts w:ascii="Arial" w:cs="Arial" w:eastAsia="Arial" w:hAnsi="Arial"/>
          <w:sz w:val="18"/>
          <w:szCs w:val="18"/>
          <w:color w:val="auto"/>
        </w:rPr>
      </w:pPr>
      <w:r>
        <w:rPr>
          <w:rFonts w:ascii="Arial" w:cs="Arial" w:eastAsia="Arial" w:hAnsi="Arial"/>
          <w:sz w:val="16"/>
          <w:szCs w:val="16"/>
          <w:b w:val="1"/>
          <w:bCs w:val="1"/>
          <w:i w:val="1"/>
          <w:iCs w:val="1"/>
          <w:color w:val="auto"/>
        </w:rPr>
        <w:t>* FDA issued a Complete Response Letter to us regarding our ANCHOR study sNDA in April 2015. Based on our communications with the FDA, we currently expect that final positive results from the REDUCE-IT outcomes study will be required for label expansion for Vascepa.</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Since January 2013 we have marketed Vascepa for use in the MARINE indication in the United States. Our ability to fully commercialize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Vascepa beyond the MARINE indication in the United States is dependent upon the marketing claims associated with Vascepa, gained through additional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FDA approval or the outcome of our pending litigation to expand our ability to promote Vascepa in the United States outside of FDA-approved labeling.</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color w:val="auto"/>
        </w:rPr>
        <w:t>In April 2015, we received a CRL from the FDA on our Supplemental New Drug Application, or sNDA, that sought approval for the use of Vascepa in patients with high triglyceride levels (TG ³200 mg/dL and &lt;500 mg/dL) who are also on statin therapy, which we refer to as the ANCHOR indication. In the CRL, the FDA acknowledged that Vascepa yielded a treatment difference showing reduced triglyceride levels compared to placebo in patients treated in the ANCHOR study. The clinical rationale for reducing serum triglycerides with Vascepa and modifying other lipid/lipoprotein parameters shown in ANCHOR among statin-treated patients with triglycerides 200-499 mg/dL is to reduce cardiovascular risk. The FDA concluded that, for regulatory approval purposes, there are insufficient data at this time to support a drug-induced change in serum triglycerides as a surrogate for reducing cardiovascular risk in the ANCHOR population. The FDA did not determine that the drug-induced effects of Vascepa, which go beyond triglyceride-lowering, would not actually reduce cardiovascular risk in this population.</w:t>
      </w:r>
    </w:p>
    <w:p>
      <w:pPr>
        <w:spacing w:after="0" w:line="179"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Based on our communications with the FDA, we expect that final positive results from the REDUCE-IT outcomes study will be required for FDA approval of label expansion for Vascepa. Any delay in obtaining, or an inability to obtain, expansion of our marketing approval rights could prevent us from growing revenue at greater than our current pace and could therefore have a material adverse effect on our operations and financial condition, including our ability to reach profitability. Even if we obtain additional regulatory approvals for Vascepa, the timing or scope of any approvals may prohibit or reduce our ability to commercialize the product successfully. For example, if the approval process for any expanded indication takes too long, we may miss market opportunities and give other companies the ability to develop competing products or establish market dominance. If the FDA does not approve any expanded indication at all, it could have a material impact on our future results of operations and financial condition. Additionally, the terms of any approvals, including the approval received from the FDA in July 2012 for the MARINE indication, may prove to not have the scope or breadth needed for us to successfully commercialize Vascepa or become profitable.</w:t>
      </w:r>
    </w:p>
    <w:p>
      <w:pPr>
        <w:spacing w:after="0" w:line="182"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b w:val="1"/>
          <w:bCs w:val="1"/>
          <w:i w:val="1"/>
          <w:iCs w:val="1"/>
          <w:color w:val="auto"/>
        </w:rPr>
        <w:t>*Our lawsuit to allow for promotion of truthful and non-misleading information to healthcare professionals in the United States about uses of Vascepa may not achieve its intended goal.</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On May 7, 2015, we and a group of independent physicians filed a lawsuit in federal court to permit us to promote to healthcare professionals certain uses of Vascepa that reflect recognized medical practice but are not covered by current FDA-approved labeling for the drug, so long as the promotion is truthful and non-misleading. The uses at issue are consistent with multiple national and international treatment guidelines and relevant to tens of millions of patients in the United States at risk of cardiovascular disease. Because, for example, the efficacy results from the ANCHOR trial have not been approved by the FDA for inclusion in FDA labeling of Vascepa, truthful and non-misleading promotion of such information is considered off-label and thus illegal under FDA’s regulatory structure. The lawsuit, captioned </w:t>
      </w:r>
      <w:r>
        <w:rPr>
          <w:rFonts w:ascii="Arial" w:cs="Arial" w:eastAsia="Arial" w:hAnsi="Arial"/>
          <w:sz w:val="16"/>
          <w:szCs w:val="16"/>
          <w:i w:val="1"/>
          <w:iCs w:val="1"/>
          <w:color w:val="auto"/>
        </w:rPr>
        <w:t>Amarin Pharma, Inc. et al. v. Food &amp; Drug Administration, et al</w:t>
      </w:r>
      <w:r>
        <w:rPr>
          <w:rFonts w:ascii="Arial" w:cs="Arial" w:eastAsia="Arial" w:hAnsi="Arial"/>
          <w:sz w:val="16"/>
          <w:szCs w:val="16"/>
          <w:color w:val="auto"/>
        </w:rPr>
        <w:t>., was filed in the United States District Court for the Southern District of New York and seeks a judicial declaration based on applicable precedent, First Amendment freedom of speech principles and Fifth Amendment restrictions against overly vague laws. The lawsuit seeks a declaration to permit promotion of the FDA-reviewed and agreed effects of Vascepa demonstrated in the ANCHOR clinical trial and use of peer-reviewed scientific publications that present the current state of scientific research related to the potential of Vascepa to reduce the risk of cardiovascular disease. The physicians in the suit regularly treat patients at risk of cardiovascular disease and, as the complaint contends, have First Amendment rights to receive accurate information. The goal of the lawsuit is to supply accurate information to physicians about Vascepa so they can make informed decisions on how to treat patients based on current, scientific data and consistent with numerous national and international cardiovascular treatment guidelines and position statements.</w:t>
      </w:r>
    </w:p>
    <w:p>
      <w:pPr>
        <w:spacing w:after="0" w:line="175"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In connection with this litigation, the FDA sent a detailed letter to us on June 5, 2015 that confirmed the validity of the ANCHOR trial results. The letter also sought to clarify how, in the FDA’s view, applicable law and FDA policies apply to the communications proposed in Amarin’s complaint. FDA stated in this letter that it did not have concerns with much of the information Amarin proposed to communicate and provided Amarin with guidance on the FDA’s view of lawful, but limited paths for the dissemination and communication to healthcare professionals of the effects of Vascepa demonstrated in the ANCHOR clinical trial and use of peer-reviewed scientific publications in the context of appropriate disclaimers. This litigation continues because significant issues remain despite the significant steps forward provided by the June 5 letter. Such remaining issues include, but are not limited to, the ability of Amarin to engage in a full and truthful dialogue with healthcare professionals about the success of the ANCHOR trial and the potential effectiveness of Vascepa as a treatment to reduce cardiovascular risk.</w:t>
      </w:r>
    </w:p>
    <w:p>
      <w:pPr>
        <w:spacing w:after="0" w:line="179"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We may not be successful in this lawsuit. Even if we are successful at the federal district court level, the FDA may appeal. The legal process can be unpredictable, costly and time-consuming and even if we are successful the remedies available to us may be less beneficial to us or the medical community in general than we currently believe.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87"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Our competitors both in the United States and Europe include large, well-established pharmaceutical companies, specialty pharmaceutical sales and marketing companies, and specialized cardiovascular treatment companies. GlaxoSmithKline plc, which currently sells Lovaza</w:t>
      </w:r>
      <w:r>
        <w:rPr>
          <w:rFonts w:ascii="Arial" w:cs="Arial" w:eastAsia="Arial" w:hAnsi="Arial"/>
          <w:sz w:val="13"/>
          <w:szCs w:val="13"/>
          <w:color w:val="auto"/>
        </w:rPr>
        <w:t>®</w:t>
      </w:r>
      <w:r>
        <w:rPr>
          <w:rFonts w:ascii="Arial" w:cs="Arial" w:eastAsia="Arial" w:hAnsi="Arial"/>
          <w:sz w:val="16"/>
          <w:szCs w:val="16"/>
          <w:color w:val="auto"/>
        </w:rPr>
        <w:t>, a prescription-only omega-3 fatty acid indicated for patients with severe hypertriglyceridemia was approved by FDA in 2004 and has been on the market in the United States since 2005. As described below, multiple generic versions of Lovaza are now available in the United States. Other large companies with competitive products include AbbVie, Inc., which currently sells Tricor</w:t>
      </w:r>
      <w:r>
        <w:rPr>
          <w:rFonts w:ascii="Arial" w:cs="Arial" w:eastAsia="Arial" w:hAnsi="Arial"/>
          <w:sz w:val="13"/>
          <w:szCs w:val="13"/>
          <w:color w:val="auto"/>
        </w:rPr>
        <w:t>®</w:t>
      </w:r>
      <w:r>
        <w:rPr>
          <w:rFonts w:ascii="Arial" w:cs="Arial" w:eastAsia="Arial" w:hAnsi="Arial"/>
          <w:sz w:val="16"/>
          <w:szCs w:val="16"/>
          <w:color w:val="auto"/>
        </w:rPr>
        <w:t xml:space="preserve"> and Trilipix</w:t>
      </w:r>
      <w:r>
        <w:rPr>
          <w:rFonts w:ascii="Arial" w:cs="Arial" w:eastAsia="Arial" w:hAnsi="Arial"/>
          <w:sz w:val="13"/>
          <w:szCs w:val="13"/>
          <w:color w:val="auto"/>
        </w:rPr>
        <w:t>®</w:t>
      </w:r>
      <w:r>
        <w:rPr>
          <w:rFonts w:ascii="Arial" w:cs="Arial" w:eastAsia="Arial" w:hAnsi="Arial"/>
          <w:sz w:val="16"/>
          <w:szCs w:val="16"/>
          <w:color w:val="auto"/>
        </w:rPr>
        <w:t xml:space="preserve"> for the treatment of severe hypertriglyceridemia and mixed dyslipidemia and Niaspan</w:t>
      </w:r>
      <w:r>
        <w:rPr>
          <w:rFonts w:ascii="Arial" w:cs="Arial" w:eastAsia="Arial" w:hAnsi="Arial"/>
          <w:sz w:val="13"/>
          <w:szCs w:val="13"/>
          <w:color w:val="auto"/>
        </w:rPr>
        <w:t>®</w:t>
      </w:r>
      <w:r>
        <w:rPr>
          <w:rFonts w:ascii="Arial" w:cs="Arial" w:eastAsia="Arial" w:hAnsi="Arial"/>
          <w:sz w:val="16"/>
          <w:szCs w:val="16"/>
          <w:color w:val="auto"/>
        </w:rPr>
        <w:t>, which is primarily used to raise HDL-C, but is also used to lower triglycerides. Generic versions of Tricor, Trilipix, and Niaspan are also now available in the United States. In addition, in May 2014, Epanova</w:t>
      </w:r>
      <w:r>
        <w:rPr>
          <w:rFonts w:ascii="Arial" w:cs="Arial" w:eastAsia="Arial" w:hAnsi="Arial"/>
          <w:sz w:val="13"/>
          <w:szCs w:val="13"/>
          <w:color w:val="auto"/>
        </w:rPr>
        <w:t>®</w:t>
      </w:r>
      <w:r>
        <w:rPr>
          <w:rFonts w:ascii="Arial" w:cs="Arial" w:eastAsia="Arial" w:hAnsi="Arial"/>
          <w:sz w:val="16"/>
          <w:szCs w:val="16"/>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We expect AstraZeneca will utilize its substantial commercial resources to market its product imminently. Also, in April 2014, Omtryg, another omega-3-acid fatty acid composition developed by Trygg Pharma AS, received FDA approval for severe hypertriglyceridemia. We are not aware of the commercialization plan for Omtryg. Each of these competitors, other than Trygg, has greater resources than we do, including financial, product development, marketing, personnel and other resources.</w:t>
      </w:r>
    </w:p>
    <w:p>
      <w:pPr>
        <w:spacing w:after="0" w:line="169"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In April 2014, Teva Pharmaceuticals USA Inc., or Teva, launched a generic version of Lovaza after winning its patent litigation against Pronova BioPharma Norge AS, now owned by BASF, which owns such patents rights. In June 2014 and September 2014, Par Pharmaceutical Inc., or Par, and Apotex Inc., or Apotex, received FDA approval of their respective versions of generic Lovaza. In March 2011, Pronova/BASF entered into an agreement with Apotex to settle its patent litigation in the United States related to Lovaza. Pursuant to the terms of the settlement agreement, we believe Pronova/BASF granted Apotex a license to enter the U.S. market with a generic version of Lovaza in the first quarter of 2015, the details of which are not known to us. In the first quarter of 2015, Prasco Labs announced it also has a generic version of Lovaza.</w:t>
      </w:r>
    </w:p>
    <w:p>
      <w:pPr>
        <w:spacing w:after="0" w:line="178" w:lineRule="exact"/>
        <w:rPr>
          <w:sz w:val="20"/>
          <w:szCs w:val="20"/>
          <w:color w:val="auto"/>
        </w:rPr>
      </w:pPr>
    </w:p>
    <w:p>
      <w:pPr>
        <w:ind w:right="100" w:firstLine="913"/>
        <w:spacing w:after="0" w:line="287"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and marketed, would compete with Vascepa. We understand that Acasti Pharma, a subsidiary of Neptune Technologies &amp; Bioresources Inc., announced in late 2012 that it intends to conduct a Phase 3 clinical program to assess the safety and efficacy of its omega-3 prescription drug candidate derived from krill oil for the treatment of hypertriglyceridemia. We believe Catabasis Pharmaceuticals, or Catabasis, Resolvyx Pharmaceuticals, or Resolvyx, and Sancilio &amp; Company are also developing potential treatments for hypertriglyceridemia based on omega-3 fatty acids. To our knowledge, Catabasis initiated a Phase 2 clinical trial of its product in December 2013; Resolvyx’s compound remains in Phase 1 clinical testing; and Sancilio is preparing to commence Phase 3 clinical testing. In addition, we are aware that Matinas BioPharma, Inc. is developing an omega-3-based therapeutic for the treatment of severe hypertriglyceridemia and mixed dyslipidemia. Matinas BioPharma, Inc. has filed an Investigational New Drug Application with the FDA to conduct a human study in the treatment of severe hypertriglyceridemia. Isis Pharmaceuticals announced favorable Phase 2 results of ISIS-APOCIII</w:t>
      </w:r>
      <w:r>
        <w:rPr>
          <w:rFonts w:ascii="Arial" w:cs="Arial" w:eastAsia="Arial" w:hAnsi="Arial"/>
          <w:sz w:val="13"/>
          <w:szCs w:val="13"/>
          <w:color w:val="auto"/>
        </w:rPr>
        <w:t>Rx</w:t>
      </w:r>
      <w:r>
        <w:rPr>
          <w:rFonts w:ascii="Arial" w:cs="Arial" w:eastAsia="Arial" w:hAnsi="Arial"/>
          <w:sz w:val="16"/>
          <w:szCs w:val="16"/>
          <w:color w:val="auto"/>
        </w:rPr>
        <w:t xml:space="preserve"> a drug candidate administered through weekly subcutaneous injections, in patients with high triglycerides and type 2 diabetes and in patients with moderate to severe high triglycerides. Finally, Madrigal Pharmaceuticals has completed Phase 1 clinical testing of MGL-3196 for the treatment of high triglycerides and various lipid parameters in patients.</w:t>
      </w:r>
    </w:p>
    <w:p>
      <w:pPr>
        <w:spacing w:after="0" w:line="173"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b w:val="1"/>
          <w:bCs w:val="1"/>
          <w:i w:val="1"/>
          <w:iCs w:val="1"/>
          <w:color w:val="auto"/>
        </w:rPr>
        <w:t>*Our suit against FDA challenging its denial of five-year, NCE exclusivity to Vascepa under the Hatch-Waxman Amendments may not achieve its intended goal to delay generic competition challenges to Vascepa.</w:t>
      </w:r>
    </w:p>
    <w:p>
      <w:pPr>
        <w:spacing w:after="0" w:line="17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The timelines and conditions under the ANDA process that permit the start of patent litigation and allow the FDA to approve generic versions of brand name drugs like Vascepa differ based on whether a drug receives three-year, or five-year, new chemical entity (NCE) marketing exclusivity. The FDA typically makes a determination on marketing exclusivity in connection with an NDA approval of a drug for a new indication. 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NCE marketing exclusivity to Vascepa and granted three-year marketing exclusivity. Under applicable regulations, subject to our related litigation with FDA over NCE marketing exclusivity, such three-year exclusivity would have extended through July 25, 2015 and be supplemented by a 30-month stay that we believe would have extended into September 2016, if the related Vascepa patent litigation were not resolved against us sooner.</w:t>
      </w:r>
    </w:p>
    <w:p>
      <w:pPr>
        <w:spacing w:after="0" w:line="179"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NCE marketing exclusivity, not granted to Vascepa at this time,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this case, the pioneer drug company may be afforded the benefit of a 30-month stay against the launch of such a competitive product that would extend from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end of the five-year exclusivity period, and may also be afforded other extensions under applicable regulations, including a six-month pediatric exclusivity extension or a judicial extension if applicable requirements are met. Another drug sponsor could also gain a form of marketing exclusivity under the provisions of the FDCA, as amended by the Hatch-Waxman Amendments, if such company can, under certain circumstances, complete a human clinical trial process and obtain regulatory approval of its product.</w:t>
      </w:r>
    </w:p>
    <w:p>
      <w:pPr>
        <w:spacing w:after="0" w:line="18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three-year period of exclusivity granted to Vascepa under the Hatch-Waxman Amendments is for a drug product that contains an active moiety that has been previously approved when the application contains reports of new clinical investigations (other than bioavailability studies) conducted by the sponsor that were essential to approval of the application. Our MARINE clinical trial was a new clinical investigation that was essential to the approval of our new drug application. We are entitled to three-year exclusivity even though FDA determined that the EPA moiety was previously approved in Lovaza because our MARINE clinical investigation was essential for the approval of our new drug product, Vascepa.</w:t>
      </w:r>
    </w:p>
    <w:p>
      <w:pPr>
        <w:spacing w:after="0" w:line="173"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our patents at any time. In this case, Amarin would be, and has been, afforded the benefit of a 30-month stay against the launch of such a competitive product that extends from the period that Amarin receives notice of the patent challenge (the paragraph IV notice), assuming Amarin responds to the patent challenge within 45 days, and Amarin may also be afforded a judicial extension if applicable requirements are met. This three-year form of exclusivity may also not prevent the FDA from approving an NDA that relies only on its own data to support the change or innovation.</w:t>
      </w:r>
    </w:p>
    <w:p>
      <w:pPr>
        <w:spacing w:after="0" w:line="166"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On February 27, 2014, we commenced a lawsuit against the FDA, captioned </w:t>
      </w:r>
      <w:r>
        <w:rPr>
          <w:rFonts w:ascii="Arial" w:cs="Arial" w:eastAsia="Arial" w:hAnsi="Arial"/>
          <w:sz w:val="18"/>
          <w:szCs w:val="18"/>
          <w:i w:val="1"/>
          <w:iCs w:val="1"/>
          <w:color w:val="auto"/>
        </w:rPr>
        <w:t>Amarin Pharmaceuticals Ireland Ltd. v. Food &amp; Drug</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Administration, et al.</w:t>
      </w:r>
      <w:r>
        <w:rPr>
          <w:rFonts w:ascii="Arial" w:cs="Arial" w:eastAsia="Arial" w:hAnsi="Arial"/>
          <w:sz w:val="18"/>
          <w:szCs w:val="18"/>
          <w:color w:val="auto"/>
        </w:rPr>
        <w:t>, Civ. A. No. 14-0324 (D.D.C.), that challenges FDA’s denial of our request for five-year NCE exclusivity for Vascepa based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reading of the relevant statute, our view of FDA’s inconsistency with its past actions in this area and the retroactive effect of what we believe is a new policy at FDA as it relates to our situation. Our complaint requested that the court vacate FDA’s decision, declare that Vascepa is entitled to the benefits of five-year statutory exclusivity, bar the FDA from accepting any ANDA or similar application for which Vascepa is the reference-listed drug until after the statutory exclusivity period and set aside what we contend are—due to the denial of five-year exclusivity to Vascepa—prematurely accepted pending ANDA applications.</w:t>
      </w:r>
    </w:p>
    <w:p>
      <w:pPr>
        <w:spacing w:after="0" w:line="189"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On May 28, 2015, the U.S. District Court for the District of Columbia granted our motion for summary judgment in this lawsuit. The decision vacated the FDA’s denial of our claim for such exclusivity and remanded to the FDA for proceedings consistent with the decision. On July 22, 2015, Watson Laboratories Inc., the purported first Vascepa ANDA filer, filed a motion to intervene and a notice of appeal of the Court’s decision. FDA did not seek to appeal the Court’s decision prior to the July 28, 2015 deadline for appeal. The legal process can be unpredictable, costly and time-consuming. We intend to litigate the case vigorously, but cannot predict the outcome of this litigation.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*Generic company competitors are seeking approval of generic versions of Vascepa.</w:t>
      </w:r>
    </w:p>
    <w:p>
      <w:pPr>
        <w:spacing w:after="0" w:line="225"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color w:val="auto"/>
        </w:rPr>
        <w:t>The Food Drug and Cosmetic Act, or FDCA, as amended by the Drug Price Competition and Patent Term Restoration Act of 1984, as amended, or the Hatch-Waxman Amendments, permit the FDA to approve abbreviated new drug applications, or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65"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claim Vascepa.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71"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The paragraph IV notice is required to contain a detailed factual and legal statement explaining the basis for the applicant’s opinion that the proposed product does not infringe our patents, that our patents are invalid, or both. After receipt of a valid notice, we would have the option of bringing a patent infringement suit in federal district court against any generic company seeking approval for its product within 45 days from the date of receipt of each notice. If such a suit is commenced within this 45 day period, we will be entitled to receive a 30 month stay on FDA’s ability to give final approval to any of the proposed products that reference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Vascepa that begins on the date we receive the paragraph IV notice. The stay may be shortened or lengthened if either party fails to cooperate in the litigation and it may be terminated if the court decides the case in less than 30 months. If the litigation is resolved in favor of the applicant before the expiration of the 30 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54"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We received six paragraph IV notices notifying us of submitted ANDAs to Vascepa under the Hatch-Waxman Amendments based on the FDA’s determination that we were entitled to three, and not five-year exclusivity. As a result, until recently, we have been engaged in costly litigation with the ANDA applicants to protect our patent rights.</w:t>
      </w:r>
    </w:p>
    <w:p>
      <w:pPr>
        <w:spacing w:after="0" w:line="181" w:lineRule="exact"/>
        <w:rPr>
          <w:sz w:val="20"/>
          <w:szCs w:val="20"/>
          <w:color w:val="auto"/>
        </w:rPr>
      </w:pPr>
    </w:p>
    <w:p>
      <w:pPr>
        <w:ind w:right="360" w:firstLine="913"/>
        <w:spacing w:after="0" w:line="290" w:lineRule="auto"/>
        <w:rPr>
          <w:sz w:val="20"/>
          <w:szCs w:val="20"/>
          <w:color w:val="auto"/>
        </w:rPr>
      </w:pPr>
      <w:r>
        <w:rPr>
          <w:rFonts w:ascii="Arial" w:cs="Arial" w:eastAsia="Arial" w:hAnsi="Arial"/>
          <w:sz w:val="16"/>
          <w:szCs w:val="16"/>
          <w:color w:val="auto"/>
        </w:rPr>
        <w:t>Based on the May 28, 2015, U.S. District Court for the District of Columbia order granting our motion for summary judgment in the NCE litigation, on June 26, 2015, the parties to the related Vascepa patent litigation that followed acceptance by FDA of abbreviated new drug applications, or ANDAs, to Vascepa agreed to a full stay of proceeding in that patent litigation. Based on subsequent FDA notification to the ANDA filers that FDA had changed the status of their ANDAs to submitted, but no longer accepted, we believe the statutory, constructive infringement basis for the patent litigation (accepted ANDAs) no longer exists. Thus, on July 24, 2015, we moved to dismiss the pending patent infringement lawsuits against each of the Vascepa ANDA applicants. We cannot predict the outcome of this motion to dismiss or litigation. The legal process can also be costly and time-consuming. If the motion to dismiss is granted, we plan to defend the exclusivity of Vascepa through patent litigation after notification that FDA has accepted an ANDA application related to Vascepa which, assuming NCE exclusivity, we would expect no sooner than July 2016.</w:t>
      </w:r>
    </w:p>
    <w:p>
      <w:pPr>
        <w:spacing w:after="0" w:line="16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If an ANDA filer is ultimately successful in patent litigation against us, it meets the requirements for a generic version of Vascepa to the satisfaction of the FDA under its ANDA (after any applicable regulatory exclusivity period and the litigation-related 30-month stay period expires), and is able to supply the product in significant commercial quantities, the generic company could introduce a generic version of Vascepa. Such a market entry would likely limit our U.S. sales, which would have an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193"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In addition to the six paragraph IV notices received to date, in February 2014, prior to the FDA’s three-year exclusivity determination for Vascepa, we received a purported paragraph IV notice from a generic drug company with respect to an ANDA to Vascepa. The FDA confirmed with us after we received the notice and before the exclusivity determination was made that the FDA had not accepted for review any ANDA to Vascepa. The FDA has repeatedly taken the position that paragraph IV notices delivered to pioneer companies such as Amarin prior to the acceptance by the FDA for review of a submitted ANDA are not effective under the Hatch-Waxman Amendments. The generic company may challenge the FDA’s position on whether the notice is valid in court in connection with patent litigation. Generic companies are thought to send such premature notices to seek to avail themselves of the 180-day generic exclusivity period for an approved product under an ANDA based on the generic’s view that it would then have first-to-file status and to seek an early end to related patent litigation with the branded drug company and the associated 30-month stay. Because we and the FDA do not believe this purported paragraph IV notice is an effective notice under the Hatch-Waxman Amendments and because FDA is not accepting ANDAs after submission at this time, we do not plan to initiate patent litigation against the generic company that submitted the ANDA until within the 45-day period after we receive a valid paragraph IV notice from such applicant.</w:t>
      </w:r>
    </w:p>
    <w:p>
      <w:pPr>
        <w:spacing w:after="0" w:line="183" w:lineRule="exact"/>
        <w:rPr>
          <w:sz w:val="20"/>
          <w:szCs w:val="20"/>
          <w:color w:val="auto"/>
        </w:rPr>
      </w:pPr>
    </w:p>
    <w:p>
      <w:pPr>
        <w:ind w:left="460" w:right="140"/>
        <w:spacing w:after="0" w:line="308" w:lineRule="auto"/>
        <w:rPr>
          <w:sz w:val="20"/>
          <w:szCs w:val="20"/>
          <w:color w:val="auto"/>
        </w:rPr>
      </w:pPr>
      <w:r>
        <w:rPr>
          <w:rFonts w:ascii="Arial" w:cs="Arial" w:eastAsia="Arial" w:hAnsi="Arial"/>
          <w:sz w:val="17"/>
          <w:szCs w:val="17"/>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14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Our only current product, Vascepa, is a prescription-only omega-3 fatty acid. Mixtures of omega-3 fatty acids are naturally occurring substances contained in various foods, including fatty fish. Omega-3 fatty acids are also marketed by others as non-prescription dietary supplements. We cannot be sure physicians will view the pharmaceutical grade purity and tested safety of Vascepa as having a superior therapeutic profile to naturally occurring omega-3 fatty acids and dietary supplements. In addition, the FDA has not enforced what we view as illegal drug claims made by certain supplement manufacturers to the extent we believe appropriate under applicable law and regulations, for example, claims that such supplements reduce triglyceride levels. Also, for more than a decade now,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Under FDA’s regulatory regime, we cannot make this claim (though we are contending our right to do so in our pending litigation related to Vascepa promotional rights). These factors enable dietary supplements to effectively compete with Vascepa. 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may recommend these commercial alternatives instead of writing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 due to reduced market acceptance.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successful in our Vascepa co-promotion effort with Kowa Pharmaceuticals America, Inc.</w:t>
      </w:r>
    </w:p>
    <w:p>
      <w:pPr>
        <w:spacing w:after="0" w:line="225"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In March 2014, we entered into a co-promotion agreement with Kowa Pharmaceuticals America, Inc. to co-promote Vascepa in the United States under which approximately 250 Kowa Pharmaceuticals America, Inc. sales representatives devote a substantial portion of their time to promoting Vascepa with Amarin’s approximately 130 sales representatives. Co-promotion under the agreement commenced in May 2014 based on a plan designed to substantially increase both the number of sales targets reached and the frequency of sales calls on existing sales targets. While our agreement provides for minimum performance criteria, we have little control over Kowa Pharmaceuticals America, Inc., and it may fail to devote the necessary resources and attention to promote Vascepa effectively. If that were to occur, depending on Vascepa revenues, we may have to curtail the continued development of Vascepa for approval for additional indications or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commercial value to us of the indications we seek may be smaller than we anticipate.</w:t>
      </w:r>
    </w:p>
    <w:p>
      <w:pPr>
        <w:spacing w:after="0" w:line="22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MARINE indication or, if approved, an indication based on a successful outcome of the REDUCE-IT study.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with regard to the MARINE indication and any other indications for which we may gain approval, the number of actual patients with the condition included in such approved indication may be smaller than we anticipate. If any such approved indication is narrower than we anticipate, the market potential for our product would suffer.</w:t>
      </w:r>
    </w:p>
    <w:p>
      <w:pPr>
        <w:spacing w:after="0" w:line="193"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*Our SPA agreement for ANCHOR was rescinded and our SPA agreement for REDUCE-IT is not a guarantee of FDA approval of Vascepa for the proposed REDUCE-IT indication.</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an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w:t>
      </w:r>
    </w:p>
    <w:p>
      <w:pPr>
        <w:spacing w:after="0" w:line="189"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On October 29, 2013, the FDA notified us that it rescinded the ANCHOR study SPA agreement because the FDA determined that a substantial scientific issue essential to determining the effectiveness of Vascepa in the studied population was identified after testing began. In April 2015, we received a CRL from the FDA stating that the FDA determined not to approve label expansion reflecting the ANCHOR clinical trial efficacy data at this time.</w:t>
      </w:r>
    </w:p>
    <w:p>
      <w:pPr>
        <w:spacing w:after="0" w:line="14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Thus, even though we have received regulatory approval of Vascepa for the MARINE indication under an SPA agreement, our ANCHOR SPA agreement was rescinded and there is no assurance that the FDA will not rescind our REDUCE-IT SPA agreement. The inability to obtain marketing approval in the ANCHOR or REDUCE-IT indications has and would prevent us from growing revenue more significantly, and it has had, and could continue to have, a material adverse effect on our operations and financial condition, including our ability to reach profitability.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commercial value to us of sales of Vascepa under the DCS Agreement with Eddingpharm may be smaller than we anticipate.</w:t>
      </w:r>
    </w:p>
    <w:p>
      <w:pPr>
        <w:spacing w:after="0" w:line="237" w:lineRule="exact"/>
        <w:rPr>
          <w:sz w:val="20"/>
          <w:szCs w:val="20"/>
          <w:color w:val="auto"/>
        </w:rPr>
      </w:pPr>
    </w:p>
    <w:p>
      <w:pPr>
        <w:ind w:right="440" w:firstLine="913"/>
        <w:spacing w:after="0" w:line="259" w:lineRule="auto"/>
        <w:rPr>
          <w:sz w:val="20"/>
          <w:szCs w:val="20"/>
          <w:color w:val="auto"/>
        </w:rPr>
      </w:pPr>
      <w:r>
        <w:rPr>
          <w:rFonts w:ascii="Arial" w:cs="Arial" w:eastAsia="Arial" w:hAnsi="Arial"/>
          <w:sz w:val="18"/>
          <w:szCs w:val="18"/>
          <w:color w:val="auto"/>
        </w:rPr>
        <w:t>There can be no assurance as to the adequacy for commercial success under the DCS Agreement with Eddingpharm. Even if we and Eddingpharm obtain marketing approval in countries within the China Territory, applicable regulatory agencies may impose restrictions on the product’s conditions for use, distribution or marketing and in some cases may impose ongoing requirements for post-market surveillance, post-approval studies or clinical trials. Also, with regard to any indications for which we may gain approval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these countries, the 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products will be subject to extensive post-approval government regulation.</w:t>
      </w:r>
    </w:p>
    <w:p>
      <w:pPr>
        <w:spacing w:after="0" w:line="225" w:lineRule="exact"/>
        <w:rPr>
          <w:sz w:val="20"/>
          <w:szCs w:val="20"/>
          <w:color w:val="auto"/>
        </w:rPr>
      </w:pPr>
    </w:p>
    <w:p>
      <w:pPr>
        <w:jc w:val="both"/>
        <w:ind w:right="80" w:firstLine="913"/>
        <w:spacing w:after="0" w:line="279" w:lineRule="auto"/>
        <w:rPr>
          <w:sz w:val="20"/>
          <w:szCs w:val="20"/>
          <w:color w:val="auto"/>
        </w:rPr>
      </w:pPr>
      <w:r>
        <w:rPr>
          <w:rFonts w:ascii="Arial" w:cs="Arial" w:eastAsia="Arial" w:hAnsi="Arial"/>
          <w:sz w:val="17"/>
          <w:szCs w:val="17"/>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7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With respect to sales and marketing activities including direct-to-consumer advertising and promotional activities involving the internet, advertising and promotional materials must comply with FDA rules in addition to other applicable federal and local laws in the United States and in other countries.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current good manufacturing practice requirements, or cGMPs. Application holders must obtain FDA approval for product and manufacturing changes, depending on the nature of the change. We also are subject to the new federal transparency requirements under the Patient Protection and Affordable Care Act, as amended by the Health Care and Education Reconciliation Act,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we believe that we have demonstrated to FDA that we have adequately responded to these observations. Our activities are also potentially subject to U.S. federal and state consumer protection and unfair competition laws. Similar requirements exist in many of these areas in other countries.</w:t>
      </w:r>
    </w:p>
    <w:p>
      <w:pPr>
        <w:spacing w:after="0" w:line="173"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Kowa Pharmaceuticals America, Inc.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 party payment and insurance programs. In addition, all of the above factors may also apply to any regulatory approval for Vascepa obtained within the China Territory under the DCS agreement with Eddingpharm. Given our inexperience with marketing and commercializing products in the China Territory, we will need to rely on Eddingpharm to assist us in dealing with any such issues.</w:t>
      </w:r>
    </w:p>
    <w:p>
      <w:pPr>
        <w:spacing w:after="0" w:line="182"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b w:val="1"/>
          <w:bCs w:val="1"/>
          <w:i w:val="1"/>
          <w:iCs w:val="1"/>
          <w:color w:val="auto"/>
        </w:rPr>
        <w:t>The commercial value of Vascepa may be negatively affected by the April 2015 rejection of the application with the FDA for the use of Vascepa in the ANCHOR indication.</w:t>
      </w:r>
    </w:p>
    <w:p>
      <w:pPr>
        <w:spacing w:after="0" w:line="170"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Though we are restricted from promoting Vascepa under applicable regulations for any indication other than the FDA-approved MARINE indication, healthcare professionals are not restricted from prescribing Vascepa for such so-called off-labeled uses. A significant amount of the sales of Vascepa are, in fact, attributable to so-called off-labeled uses of the drug. We expect that among the off-labeled uses of Vascepa are uses that would fall into, or be closely related to, the proposed ANCHOR indication. The October 2013 negative recommendation of the advisory committee meeting against approval of Vascepa in the ANCHOR indication, the October 2013 rescission by the FDA of the ANCHOR SPA, and the April 2015 CRL regarding the FDA’s determination not to approve label expansion reflecting the ANCHOR clinical trial efficacy data at this time may negatively and materially affect the perception of the utility of Vascepa for use in the ANCHOR indication or for other purposes and thus negatively and materially affect sales of Vascepa.</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60"/>
        <w:spacing w:after="0" w:line="264"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or Kowa Pharmaceuticals America, Inc. are found to have improperly promoted off-label uses of Vascepa, we may become subject to significant fines and other liability.</w:t>
      </w:r>
    </w:p>
    <w:p>
      <w:pPr>
        <w:spacing w:after="0" w:line="181"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Even though we received FDA marketing approval for Vascepa for the MARINE indication, physicians may still prescribe Vascepa to their patients for use in the treatment of conditions that are not included as part of the indication statement in our FDA-approved Vascepa label. If we are found to have promoted such off-label uses, we may become subject to significant government fines and other related liability. We may also be held responsible for the non-compliance of our co-promotion partner, Kowa Pharmaceuticals America, Inc., or our ex-U.S. commercialization partner, Eddingpharm.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82"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78"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Even if we are successful in our current litigation seeking the ability to promote beyond FDA-approved labeling, our promotion would still be subject to a high, perhaps abnormally high, degree of scrutiny to ensure that our promotion remains within the scope of any favorable judgment. Likewise, even if we are successful in such litigation, the government may seek to find other means to prevent our promotion of truthful and non-misleading information.</w:t>
      </w:r>
    </w:p>
    <w:p>
      <w:pPr>
        <w:spacing w:after="0" w:line="187"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18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In accordance with the SPA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is designed to evaluate the efficacy of Vascepa in reducing major cardiovascular events in an at-risk patient population on statin therapy.</w:t>
      </w:r>
    </w:p>
    <w:p>
      <w:pPr>
        <w:spacing w:after="0" w:line="187"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 xml:space="preserve">Outcomes studies of certain other lipid-modifying therapies have failed to achieve the endpoints of such studies. 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No significant incremental treatment benefit with extended-release niacin was observed. In addition, in September 2012, researchers published in the </w:t>
      </w:r>
      <w:r>
        <w:rPr>
          <w:rFonts w:ascii="Arial" w:cs="Arial" w:eastAsia="Arial" w:hAnsi="Arial"/>
          <w:sz w:val="17"/>
          <w:szCs w:val="17"/>
          <w:i w:val="1"/>
          <w:iCs w:val="1"/>
          <w:color w:val="auto"/>
        </w:rPr>
        <w:t>Journal of the American Medical Association,</w:t>
      </w:r>
      <w:r>
        <w:rPr>
          <w:rFonts w:ascii="Arial" w:cs="Arial" w:eastAsia="Arial" w:hAnsi="Arial"/>
          <w:sz w:val="17"/>
          <w:szCs w:val="17"/>
          <w:color w:val="auto"/>
        </w:rPr>
        <w:t xml:space="preserve"> or </w:t>
      </w:r>
      <w:r>
        <w:rPr>
          <w:rFonts w:ascii="Arial" w:cs="Arial" w:eastAsia="Arial" w:hAnsi="Arial"/>
          <w:sz w:val="17"/>
          <w:szCs w:val="17"/>
          <w:i w:val="1"/>
          <w:iCs w:val="1"/>
          <w:color w:val="auto"/>
        </w:rPr>
        <w:t>JAMA,</w:t>
      </w:r>
      <w:r>
        <w:rPr>
          <w:rFonts w:ascii="Arial" w:cs="Arial" w:eastAsia="Arial" w:hAnsi="Arial"/>
          <w:sz w:val="17"/>
          <w:szCs w:val="17"/>
          <w:color w:val="auto"/>
        </w:rPr>
        <w:t xml:space="preserve">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We believe the results of these studies may not be directly applicable to the use of Vascepa over time. For instance,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and nineteen of the twenty studies included in the JAMA meta-analysis involved the use of omega-3 supplements containing a mixture of EPA and DHA, and most were evaluated at relatively lower doses. In addition, in May 2013,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xml:space="preserve"> published the results of an outcome study of 1 gram per day of an omega-3 acid ethyl ester composition. In that study, the composition failed to show a 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adult patients with severe hypertriglyceridemia at a dose of 4 grams per day and is being studied in REDUCE-IT at 4 grams per day.</w:t>
      </w:r>
    </w:p>
    <w:p>
      <w:pPr>
        <w:spacing w:after="0" w:line="193"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JELIS study. First, the patient population was exclusively Japanese, the majority of the participants were women, and at baseline patients had a much higher LDL, limiting its generalizability to the intended target population. Also, a low dose of statins was used. It is unknown whether the positive treatment effects would have persisted if these patients had been optimally treated with statins using contemporary LDL targets in the United States. In addition, JELIS was an open-label trial, which could influence patient and physician behavior and reporting of symptoms, decisions regarding hospitalization, and referral of events for adjudication. This may be particularly relevant since hospitalizations for unstable angina was a primary contributor of the overall positive result, and is considered a softer endpoint than fatal cardiovascular events.</w:t>
      </w:r>
    </w:p>
    <w:p>
      <w:pPr>
        <w:spacing w:after="0" w:line="193" w:lineRule="exact"/>
        <w:rPr>
          <w:sz w:val="20"/>
          <w:szCs w:val="20"/>
          <w:color w:val="auto"/>
        </w:rPr>
      </w:pPr>
    </w:p>
    <w:p>
      <w:pPr>
        <w:ind w:right="200" w:firstLine="913"/>
        <w:spacing w:after="0" w:line="276" w:lineRule="auto"/>
        <w:rPr>
          <w:sz w:val="20"/>
          <w:szCs w:val="20"/>
          <w:color w:val="auto"/>
        </w:rPr>
      </w:pPr>
      <w:r>
        <w:rPr>
          <w:rFonts w:ascii="Arial" w:cs="Arial" w:eastAsia="Arial" w:hAnsi="Arial"/>
          <w:sz w:val="17"/>
          <w:szCs w:val="17"/>
          <w:color w:val="auto"/>
        </w:rPr>
        <w:t>Although we believe the results of the JAMA meta-analysis and other studies are not directly applicable to the potential long-term clinical experience with Vascepa, there can be no assurance that the endpoints of the REDUCE-IT cardiovascular outcomes study will be achieved or that the lipid-modifying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 of any approved product or even call into question the efficacy of any approved product.</w:t>
      </w:r>
    </w:p>
    <w:p>
      <w:pPr>
        <w:spacing w:after="0" w:line="173"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b w:val="1"/>
          <w:bCs w:val="1"/>
          <w:i w:val="1"/>
          <w:iCs w:val="1"/>
          <w:color w:val="auto"/>
        </w:rPr>
        <w:t>The prospective interim efficacy and safety analysis of the REDUCE-IT cardiovascular outcomes trial may not be completed in the contemplated timeframe in 2016 and may not demonstrate to the independent committee monitoring the study a sufficient benefit risk result to warrant the independent committee recommending stopping the study early for overwhelming efficacy. The study may also be stopped for futility or for safety concerns.</w:t>
      </w:r>
    </w:p>
    <w:p>
      <w:pPr>
        <w:spacing w:after="0" w:line="18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In accordance with the SPA agreement for our REDUCE-IT cardiovascular outcomes trial, an interim review of the efficacy and safety results of the trial is scheduled to occur upon reaching 60% of the target aggregate number of cardiovascular events. We currently expect this interim review by the study’s independent data monitoring committee (DMC) to occur during 2016 based on our understanding of the current event rates in the study and expected future event rates. It may actually take longer to reach the targeted number of events, which would delay the DMC assessment of data for the interim analysis.</w:t>
      </w:r>
    </w:p>
    <w:p>
      <w:pPr>
        <w:spacing w:after="0" w:line="154"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Further, as is typical of interim analyses, the statistical threshold for defining overwhelming efficacy on the primary endpoint that would call for stopping the study early in connection with such analysis is considerably higher than the threshold for defining statistical significance after the expected completion of the study in 2017. For example, even if the appropriate studied cardiovascular events in the trial occur at sufficiently low rates in the active, Vascepa, group as compared to the placebo group such that the study would be a success at completion, the more rigorous statistical analysis applied by the DMC at the interim analysis may not warrant stoppage of the study for overwhelming efficacy in connection with the interim analysis. The study may also be stopped pursuant to recommendation by the DMC at this interim analysis for lack of signals of a favorable result at completion, so called stoppage for futility.</w:t>
      </w:r>
    </w:p>
    <w:p>
      <w:pPr>
        <w:spacing w:after="0" w:line="165" w:lineRule="exact"/>
        <w:rPr>
          <w:sz w:val="20"/>
          <w:szCs w:val="20"/>
          <w:color w:val="auto"/>
        </w:rPr>
      </w:pPr>
    </w:p>
    <w:p>
      <w:pPr>
        <w:ind w:right="340" w:firstLine="913"/>
        <w:spacing w:after="0" w:line="273" w:lineRule="auto"/>
        <w:rPr>
          <w:sz w:val="20"/>
          <w:szCs w:val="20"/>
          <w:color w:val="auto"/>
        </w:rPr>
      </w:pPr>
      <w:r>
        <w:rPr>
          <w:rFonts w:ascii="Arial" w:cs="Arial" w:eastAsia="Arial" w:hAnsi="Arial"/>
          <w:sz w:val="17"/>
          <w:szCs w:val="17"/>
          <w:color w:val="auto"/>
        </w:rPr>
        <w:t>Moreover, it is the DMC that will make the formal recommendation as to whether to stop the study early or continue as planned. Amarin is blinded to the interim analysis and is informed by the DMC of the recommendation to stop the study or to continue as planned. The DMC may consider factors outside the pre-specified statistical analysis plan when assessing whether to continue the study as planned. For example, even if study results are sufficiently positive at the interim analysis to demonstrate overwhelming efficacy, the DMC at its discretion may recommend continuation of the study as planned with the goal of arriving at more robust results at the planned study completion if they believe that waiting for more robust results outweighs the potential medical benefit of stopping and unblinding the study early.</w:t>
      </w:r>
    </w:p>
    <w:p>
      <w:pPr>
        <w:spacing w:after="0" w:line="178"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The DMC has multiple times per year assessed safety data generated in the ongoing study and has thus far recommended to continue the study as planned. Thus, multiple safety analyses to date have not warranted study stoppage. Nevertheless, the study may be stopped at any time based on recommendations of the DMC due to safety concerns identified by the DMC during its ongoing and regularly scheduled safety data assessments.</w:t>
      </w:r>
    </w:p>
    <w:p>
      <w:pPr>
        <w:spacing w:after="0" w:line="147"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170"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the China Territory under the DCS Agreement with Eddingpharm,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84" w:lineRule="exact"/>
        <w:rPr>
          <w:sz w:val="20"/>
          <w:szCs w:val="20"/>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53" w:lineRule="exact"/>
        <w:rPr>
          <w:rFonts w:ascii="Arial" w:cs="Arial" w:eastAsia="Arial" w:hAnsi="Arial"/>
          <w:sz w:val="16"/>
          <w:szCs w:val="16"/>
          <w:color w:val="auto"/>
        </w:rPr>
      </w:pPr>
    </w:p>
    <w:p>
      <w:pPr>
        <w:ind w:left="1480" w:right="60" w:hanging="446"/>
        <w:spacing w:after="0" w:line="27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 such as the potential for political unrest affecting our REDUCE-IT clinical trial sites in the Ukraine and Russia.</w:t>
      </w:r>
    </w:p>
    <w:p>
      <w:pPr>
        <w:spacing w:after="0" w:line="17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Even if we obtain positive results from early stage pre-clinical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17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189"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 of the health care system in the United States and foreign jurisdictions may affect our ability to profitably sell Vascepa.</w:t>
      </w:r>
    </w:p>
    <w:p>
      <w:pPr>
        <w:spacing w:after="0" w:line="170" w:lineRule="exact"/>
        <w:rPr>
          <w:sz w:val="20"/>
          <w:szCs w:val="20"/>
          <w:color w:val="auto"/>
        </w:rPr>
      </w:pPr>
    </w:p>
    <w:p>
      <w:pPr>
        <w:ind w:right="280" w:firstLine="913"/>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88"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Specifically, in both the United States and some foreign jurisdictions, there have been a number of legislative and regulatory proposals to change the health 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77" w:lineRule="exact"/>
        <w:rPr>
          <w:sz w:val="20"/>
          <w:szCs w:val="20"/>
          <w:color w:val="auto"/>
        </w:rPr>
      </w:pPr>
    </w:p>
    <w:p>
      <w:pPr>
        <w:ind w:left="1480" w:hanging="446"/>
        <w:spacing w:after="0"/>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w:t>
      </w:r>
    </w:p>
    <w:p>
      <w:pPr>
        <w:spacing w:after="0" w:line="142" w:lineRule="exact"/>
        <w:rPr>
          <w:rFonts w:ascii="Arial" w:cs="Arial" w:eastAsia="Arial" w:hAnsi="Arial"/>
          <w:sz w:val="17"/>
          <w:szCs w:val="17"/>
          <w:color w:val="auto"/>
        </w:rPr>
      </w:pPr>
    </w:p>
    <w:p>
      <w:pPr>
        <w:ind w:left="1480" w:right="240" w:hanging="446"/>
        <w:spacing w:after="0" w:line="277"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We expect further federal and state proposals and health care reforms to continue to be proposed by legislators, which could limit the prices that can be charged for the products we develop and may limit our commercial opportunity.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The continuing efforts of government and other third-party payors to contain or reduce the costs of health 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 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67"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158" w:lineRule="exact"/>
        <w:rPr>
          <w:sz w:val="20"/>
          <w:szCs w:val="20"/>
          <w:color w:val="auto"/>
        </w:rPr>
      </w:pPr>
    </w:p>
    <w:p>
      <w:pPr>
        <w:ind w:left="460" w:right="440"/>
        <w:spacing w:after="0" w:line="381" w:lineRule="auto"/>
        <w:rPr>
          <w:sz w:val="20"/>
          <w:szCs w:val="20"/>
          <w:color w:val="auto"/>
        </w:rPr>
      </w:pPr>
      <w:r>
        <w:rPr>
          <w:rFonts w:ascii="Arial" w:cs="Arial" w:eastAsia="Arial" w:hAnsi="Arial"/>
          <w:sz w:val="15"/>
          <w:szCs w:val="15"/>
          <w:b w:val="1"/>
          <w:bCs w:val="1"/>
          <w:i w:val="1"/>
          <w:iCs w:val="1"/>
          <w:color w:val="auto"/>
        </w:rPr>
        <w:t>As we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10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We hired and trained a professional sales force of approximately 275 sales representatives and commenced our commercial launch of Vascepa in the MARINE indication in the United States in early January 2013. The process of establishing a commercial infrastructure is difficult, expensive and time-consuming. Our October 2013 worldwide reduction in force, which included the termination of approximately 50% of the then-staffed sales force, has made this process more difficult. As our operations expand with the anticipated growth of our produce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supply of product for commercial supply and clinical trials is dependent upon relationships with third party manufacturers and key suppliers.</w:t>
      </w:r>
    </w:p>
    <w:p>
      <w:pPr>
        <w:spacing w:after="0" w:line="260"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 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7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Vascepa.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65"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We initially purchased all of our supply of the bulk compound (ethyl-EPA), which constitutes the only active pharmaceutical ingredient, or API, of Vascepa, from a single supplier, Nisshin Pharma, Inc., or Nisshin, located in Japan. Nisshin was approved by the FDA as a Vascepa API supplier as part of our FDA marketing approval for the MARINE indication in July 2012. In April 2013, we announced the approval by the FDA of Chemport, Inc. and BASF (formerly Equateq Limited) as additional Vascepa API suppliers. We purchase and use commercial supply from Chemport in addition to Nisshin. We terminated our agreement with BASF due to its inability to meet the agreement requirements, may enter into a new development and supply agreement with BASF, and may purchase API from BASF. In 2014, we obtained sNDA approval of a fourth supplier of API, which includes the manufacturing facility of Finorga SAS (Novasep). Each of the API manufacturers obtains supply of the key raw material to manufacture API from other third party sources of supply.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913"/>
        <w:spacing w:after="0" w:line="312" w:lineRule="auto"/>
        <w:rPr>
          <w:sz w:val="20"/>
          <w:szCs w:val="20"/>
          <w:color w:val="auto"/>
        </w:rPr>
      </w:pPr>
      <w:r>
        <w:rPr>
          <w:rFonts w:ascii="Arial" w:cs="Arial" w:eastAsia="Arial" w:hAnsi="Arial"/>
          <w:sz w:val="16"/>
          <w:szCs w:val="16"/>
          <w:color w:val="auto"/>
        </w:rPr>
        <w:t>While we have contractual freedom to source the API for Vascepa and have entered into supply agreements with multiple suppliers who also rely on other third party suppliers of the key raw material to manufacture the API for Vascepa, Nisshin and Chemport currently supply all of our API for Vascepa. Our strategy in adding API suppliers beyond Nisshin has been to expand manufacturing capacity and to partially mitigate the risk of reliance on one supplier.</w:t>
      </w:r>
    </w:p>
    <w:p>
      <w:pPr>
        <w:spacing w:after="0" w:line="14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Expanding manufacturing capacity and qualifying such capacity is difficult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our API supply will be limited to the API we purchase from previously approved suppliers. If our third party manufacturing capacity is not expanded and compliant with application regulatory requirements, we may not be able to supply sufficient quantities of Vascepa to meet anticipated demand. We cannot assure you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78"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We currently have encapsulation agreements with three commercial API encapsulators for the encapsulation of Vascepa: Patheon, Inc. (formerly Banner Pharmacaps), Catalent Pharma Solutions, and Capsugel US, LLC. These companies have qualified their manufacturing processes and are capable of manufacturing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 We cannot assure you that we can contract with any future manufacturer on acceptable terms or that any such alternative supplier will not require capital investment from us in order for them to meet our requirements.</w:t>
      </w:r>
    </w:p>
    <w:p>
      <w:pPr>
        <w:spacing w:after="0" w:line="178"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We may not be able to maintain our exclusivity with our certain third-party Vascepa suppliers if we do not meet minimum purchase obligations due to lower than anticipated sales of Vascepa.</w:t>
      </w:r>
    </w:p>
    <w:p>
      <w:pPr>
        <w:spacing w:after="0" w:line="170"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Certain of our agreements with our suppliers include minimum purchase obligations and limited exclusivity provisions based on such minimum purchase obligations. If we do not meet the respective minimum purchase obligations in our supply agreements, our suppliers, in certain cases, will be free to sell the active pharmaceutical ingredient of Vascepa to potential competitors. Similarly if we terminate certain of our supply agreements, such suppliers may be free to sell the active pharmaceutical ingredient of Vascepa to potential competitors of Vascepa. While we anticipate that intellectual property barriers and FDA regulatory exclusivity will be the primary means to protect the commercial potential of Vascepa, the availability of Vascepa active pharmaceutical ingredient from our suppliers to our potential competitors would make our competitors’ entry into the market easier and more attractive.</w:t>
      </w:r>
    </w:p>
    <w:p>
      <w:pPr>
        <w:spacing w:after="0" w:line="165" w:lineRule="exact"/>
        <w:rPr>
          <w:sz w:val="20"/>
          <w:szCs w:val="20"/>
          <w:color w:val="auto"/>
        </w:rPr>
      </w:pPr>
    </w:p>
    <w:p>
      <w:pPr>
        <w:ind w:left="460" w:right="120"/>
        <w:spacing w:after="0" w:line="308" w:lineRule="auto"/>
        <w:rPr>
          <w:sz w:val="20"/>
          <w:szCs w:val="20"/>
          <w:color w:val="auto"/>
        </w:rPr>
      </w:pPr>
      <w:r>
        <w:rPr>
          <w:rFonts w:ascii="Arial" w:cs="Arial" w:eastAsia="Arial" w:hAnsi="Arial"/>
          <w:sz w:val="17"/>
          <w:szCs w:val="17"/>
          <w:b w:val="1"/>
          <w:bCs w:val="1"/>
          <w:i w:val="1"/>
          <w:iCs w:val="1"/>
          <w:color w:val="auto"/>
        </w:rPr>
        <w:t>We have limited experience with the commercial sale of Vascepa, and such inexperience may cause us to purchase too much or not enough supply to satisfy actual demand, which could have a material adverse effect on our financial results and financial condition.</w:t>
      </w:r>
    </w:p>
    <w:p>
      <w:pPr>
        <w:spacing w:after="0" w:line="14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have limited experience with the commercial sale of Vascepa, and as such 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178"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b w:val="1"/>
          <w:bCs w:val="1"/>
          <w:i w:val="1"/>
          <w:iCs w:val="1"/>
          <w:color w:val="auto"/>
        </w:rPr>
        <w:t>The manufacture and packaging of pharmaceutical products such as Vascepa are subject to FDA requirements and those of similar foreign regulatory bodies. If we or our third party manufacturers fail to satisfy these requirements, our product development and commercialization efforts may be materially harmed.</w:t>
      </w:r>
    </w:p>
    <w:p>
      <w:pPr>
        <w:spacing w:after="0" w:line="18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The manufacture and packaging of pharmaceutical products, such as Vascepa, are regulated by the FDA and similar foreign regulatory bodies and must be conducted in accordance with the FDA’s current good manufacturing practices, or cGMPs, and comparable requirements of foreign regulatory bodies. There are a limited number of manufacturers that operate under these cGMPs regulations who are both capable of manufacturing Vascepa and willing to do so. Failure by us or our third party manufacturers to comply with applicable regulations, requirements, or guidelines could result in sanctions being imposed on us, including fines,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injunctions, civil penalties, failure of regulatory authorities to grant marketing approval of our products, delays, suspension or withdrawal of approvals, license revocation, seizures or recalls of product, operating restrictions and criminal prosecutions, any of which could significantly and adversely affect our business. For example, Nisshin plans to expand its capacity to supply API to us by further expanding their current facility.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73"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 party manufacturer, may require prior FDA review and approval of the manufacturing process and procedures in accordance with the FDA’s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w:t>
      </w:r>
    </w:p>
    <w:p>
      <w:pPr>
        <w:spacing w:after="0" w:line="154"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Furthermore, the FDA and foreign regulatory agencies require that we be able to consistently produce the API and the finished product in commercial quantities and of specified quality on a repeated basis, including proven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73"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FDA and similar foreign regulatory bodies may also implement new standards, or change their interpretation and enforcement of existing standards and requirements, for manufacture, packaging or testing of products at any time. If we are unable to comply, we may be subject to regulatory, civil actions or penalties which could significantly and adversely affect our business.</w:t>
      </w:r>
    </w:p>
    <w:p>
      <w:pPr>
        <w:spacing w:after="0" w:line="181"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7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79" w:lineRule="exact"/>
        <w:rPr>
          <w:sz w:val="20"/>
          <w:szCs w:val="20"/>
          <w:color w:val="auto"/>
        </w:rPr>
      </w:pPr>
    </w:p>
    <w:p>
      <w:pPr>
        <w:jc w:val="both"/>
        <w:ind w:left="460" w:right="520"/>
        <w:spacing w:after="0" w:line="312" w:lineRule="auto"/>
        <w:rPr>
          <w:sz w:val="20"/>
          <w:szCs w:val="20"/>
          <w:color w:val="auto"/>
        </w:rPr>
      </w:pPr>
      <w:r>
        <w:rPr>
          <w:rFonts w:ascii="Arial" w:cs="Arial" w:eastAsia="Arial" w:hAnsi="Arial"/>
          <w:sz w:val="16"/>
          <w:szCs w:val="16"/>
          <w:b w:val="1"/>
          <w:bCs w:val="1"/>
          <w:i w:val="1"/>
          <w:iCs w:val="1"/>
          <w:color w:val="auto"/>
        </w:rPr>
        <w:t>We are dependent upon our collaboration with Eddingpharm to commercialize Vascepa in certain regions outside of the United States, and if Eddingpharm fails to successfully fulfill its obligations, or is ineffective in its commercialization of Vascepa in the China Territory, or if our collaboration is terminated, our plans to commercialize Vascepa outside of the United States may be adversely affected.</w:t>
      </w:r>
    </w:p>
    <w:p>
      <w:pPr>
        <w:spacing w:after="0" w:line="147"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In February 2015, we entered into the DCS Agreement with Eddingpharm, under which we granted exclusive rights to Eddingpharm to develop and commercialize Vascepa in the China Territory. We are dependent on Eddingpharm for certain regulatory filings outside of the United States with respect to Vascepa and the commercialization of Vascepa outside of the United States. If Eddingpharm fails to perform its obligations under the DCS Agreement or is ineffective in its commercialization of Vascepa in the China Territory or if we fail to effectively manage our relationship with Eddingpharm, our ability to and the extent to which we commercialize and obtain certain regulatory approvals of Vascepa outside of the United States would be significantly harmed.</w:t>
      </w:r>
    </w:p>
    <w:p>
      <w:pPr>
        <w:spacing w:after="0" w:line="15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addition, Eddingpharm has the right to terminate the agreement under certain conditions. If Eddingpharm terminates the DCS Agreement, we would be required to either enter into alternative arrangements with third parties to commercialize Vascepa in the China Territory, which we may be unable to do, or to increase our internal infrastructure, both of which would likely result in significant additional expense and delay or termination of our Vascepa clinical development programs outside of the United States.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87" w:lineRule="exact"/>
        <w:rPr>
          <w:sz w:val="20"/>
          <w:szCs w:val="20"/>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225" w:lineRule="exact"/>
        <w:rPr>
          <w:sz w:val="20"/>
          <w:szCs w:val="20"/>
          <w:color w:val="auto"/>
        </w:rPr>
      </w:pPr>
    </w:p>
    <w:p>
      <w:pPr>
        <w:ind w:right="160" w:firstLine="913"/>
        <w:spacing w:after="0" w:line="312" w:lineRule="auto"/>
        <w:rPr>
          <w:sz w:val="20"/>
          <w:szCs w:val="20"/>
          <w:color w:val="auto"/>
        </w:rPr>
      </w:pPr>
      <w:r>
        <w:rPr>
          <w:rFonts w:ascii="Arial" w:cs="Arial" w:eastAsia="Arial" w:hAnsi="Arial"/>
          <w:sz w:val="16"/>
          <w:szCs w:val="16"/>
          <w:color w:val="auto"/>
        </w:rPr>
        <w:t>Amarin has prosecuted, and is currently prosecuting, multiple patent applications to protect the intellectual property developed during the Vascepa cardiovascular program. As of the date of this report, we had 45 patent applications in the United States that have been either issued or allowed and more than 30 additional patent applications are pending in the United States. Of such 45 allowed and issued applications, we currently have:</w:t>
      </w:r>
    </w:p>
    <w:p>
      <w:pPr>
        <w:spacing w:after="0" w:line="52" w:lineRule="exact"/>
        <w:rPr>
          <w:sz w:val="20"/>
          <w:szCs w:val="20"/>
          <w:color w:val="auto"/>
        </w:rPr>
      </w:pPr>
    </w:p>
    <w:p>
      <w:pPr>
        <w:ind w:left="1480" w:right="400" w:hanging="446"/>
        <w:spacing w:after="0" w:line="277"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130" w:lineRule="exact"/>
        <w:rPr>
          <w:rFonts w:ascii="Arial" w:cs="Arial" w:eastAsia="Arial" w:hAnsi="Arial"/>
          <w:sz w:val="18"/>
          <w:szCs w:val="18"/>
          <w:color w:val="auto"/>
        </w:rPr>
      </w:pPr>
    </w:p>
    <w:p>
      <w:pPr>
        <w:ind w:left="1480" w:right="380" w:hanging="446"/>
        <w:spacing w:after="0" w:line="277"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35 U.S. patents covering the use of Vascepa in either the MARINE or anticipated ANCHOR indication that have terms that expire in 2030,</w:t>
      </w:r>
    </w:p>
    <w:p>
      <w:pPr>
        <w:spacing w:after="0" w:line="75" w:lineRule="exact"/>
        <w:rPr>
          <w:rFonts w:ascii="Arial" w:cs="Arial" w:eastAsia="Arial" w:hAnsi="Arial"/>
          <w:sz w:val="18"/>
          <w:szCs w:val="18"/>
          <w:color w:val="auto"/>
        </w:rPr>
      </w:pPr>
    </w:p>
    <w:p>
      <w:pPr>
        <w:ind w:left="1480" w:right="600" w:hanging="446"/>
        <w:spacing w:after="0" w:line="277"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 additional patents related to the use of a pharmaceutical composition comprised of free fatty acids to treat the ANCHOR patient population with a term that expires in 2030,</w:t>
      </w:r>
    </w:p>
    <w:p>
      <w:pPr>
        <w:spacing w:after="0" w:line="75" w:lineRule="exact"/>
        <w:rPr>
          <w:rFonts w:ascii="Arial" w:cs="Arial" w:eastAsia="Arial" w:hAnsi="Arial"/>
          <w:sz w:val="18"/>
          <w:szCs w:val="18"/>
          <w:color w:val="auto"/>
        </w:rPr>
      </w:pPr>
    </w:p>
    <w:p>
      <w:pPr>
        <w:ind w:left="1480" w:right="660" w:hanging="446"/>
        <w:spacing w:after="0" w:line="277"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MARINE patient population with a term that expires in 2030,</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 additional patent related to a pharmaceutical composition comprised of free fatty acids and uses thereof to treat both the MARINE and ANCHOR patient populations with a term that expires in 2030,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 additional patent related to a formulation of EPA/DHA and uses thereof with a term that expires in 2030.</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We are also pursuing patent applications related to Vascepa in multiple jurisdictions</w:t>
      </w:r>
    </w:p>
    <w:p>
      <w:pPr>
        <w:spacing w:after="0" w:line="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outside the United States. 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9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Such proceedings are generally highly technical, expensive, and time consuming, and there can be no assurance that such a challenge would not result in the narrowing or complete revocation of any patent of ours that was so challenged.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225"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Amarin’s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78"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54"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any of our pending patent applications will be granted or, if they grant, that they will prevent competitors from competing with Vascepa.</w:t>
      </w:r>
    </w:p>
    <w:p>
      <w:pPr>
        <w:spacing w:after="0" w:line="19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178"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170"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have been named as defendants in a class action lawsuit that could result in substantial costs and divert management’s attention.</w:t>
      </w:r>
    </w:p>
    <w:p>
      <w:pPr>
        <w:spacing w:after="0" w:line="170"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The market price of our ADSs declined significantly after the October 2013 decision by the FDA Advisory Committee to recommend against approval of Vascepa in the ANCHOR indication. We and certain of our current and former executive officers and directors have been named as defendants in a class action lawsuit that generally alleges that we and certain of our current and former officers and directors violated Sections 10(b) and/or 20(a) of the Securities Exchange Act of 1934 and Rule 10b-5 promulgated thereunder by making allegedly false and/or misleading statements or material omissions concerning the ANCHOR sNDA and related FDA regulatory approval process in an effort to lead investors to believe that Vascepa would receive approval from the FDA in the ANCHOR indication. The complaints seek unspecified damages, interest, attorneys’ fees, and other costs.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engaged in a vigorous defense of this lawsuit. On June 29, 2015, the Court granted our motion to dismiss the class action without prejudice.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Court held that the plaintiffs failed to state a claim upon which relief could be granted and plaintiffs were given 30 days to refile an amended complaint.</w:t>
      </w:r>
    </w:p>
    <w:p>
      <w:pPr>
        <w:spacing w:after="0" w:line="234"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On July 29, 2015, the plaintiffs filed an amended complaint. We will continue with our vigorous defense. However, we are unable to predict the outcome of this matter at this time. Moreover, while we expect insurance to cover any financial exposure from this litigation, the conclusion of this matter in a manner adverse to us could have a material adverse effect on our financial condition and business. For example, we could incur substantial costs not covered by our directors’ and officers’ liability insurance, suffer a significant adverse impact on our reputation and divert management’s attention and resources from other priorities, including the execution of business plans and strategies that are important to our ability to grow our business, any of which could have a material adverse effect on our business. In addition, any of these matters could require payments that are not covered by, or exceed the limits of, our available directors’ and officers’ liability insurance, which could have a material adverse effect on our operating results or financial condition.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225"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8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225"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 In keeping with our 2009 decision to re-focus our efforts on developing improved treatments for cardiovascular disease and cease development of all product candidates outside of our cardiovascular disease focus, we amended the terms of our acquisition agreement with the original shareholders of Ester.</w:t>
      </w:r>
    </w:p>
    <w:p>
      <w:pPr>
        <w:spacing w:after="0" w:line="158"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In 2011 and early 2012, but not after, we received several communications on behalf of the former shareholders of Ester asserting that we are in breach of our agreement with them as it relates to alleged rights to share in the value of EN101 due to the fact that Yissum terminated its license. We do not believe the circumstances presented constitute a breach of the agreement. If the dispute arises again, we plan to defend our position vigorously, but there can be no assurance as to the outcome of this dispute.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225"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79"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22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Furthermore, our inability to obtain FDA approval for the ANCHOR indication before the REDUCE-IT outcomes trial is completed successfully could have an adverse impact on our ability to retain and recruit qualified personnel. In addition, in October 2013, we eliminated approximately 50% of our staff positions worldwide as part of a restructuring following the FDA advisory committee’s recommendation against the potential Vascepa label expansion. The restructuring could have an adverse impact on our ability to retain and recruit qualified personnel. The failure to recruit key scientific, technical and management personnel would be detrimental to our ability to implement our business plan.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225"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A significant portion of our sales are to wholesalers in the pharmaceutical industry. Our top three customers accounted for 95% of gross product sales for each of the six months ended June 30, 2015 and 2014, and represented 96% of the gross accounts receivable balance as of June 30, 2015 and 2014.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have not been profitable in any of the last five fiscal years. For the fiscal years ended December 31, 2014, 2013, and 2012, we reported losses of approximately $56.4 million, $166.2 million, and $179.2 million, respectively, and we had an accumulated deficit as of December 31, 2014 of $970.2 million. For the six months ended June 30, 2015 and 2014, we reported losses of approximately $94.8 million and $10.7 million, respectively and we had an accumulated deficit as of June 30, 2015 of $1.1 billion. Substantially all of our operating losses resulted from costs incurred in connection with our research and development programs, from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general and administrative costs associated with our operations, costs related to the commercialization of Vascepa, and from non-cash losses on changes in the fair value of warrant derivative liabilities.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225"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Our ability to become profitable depends upon our ability to generate revenue. In January 2013, we began to generate revenue from the marketing of Vascepa for use in the MARINE indication,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enter into one or more strategic collaborations to effectively market and sell Vascepa.</w:t>
      </w:r>
    </w:p>
    <w:p>
      <w:pPr>
        <w:spacing w:after="0" w:line="188"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22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As a consequence of the many years developing Vascepa for commercialization and the recent commercial launch of Vascepa in the MARINE indication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seek to obtain additional regulatory approval of Vascepa from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192"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170" w:lineRule="exact"/>
        <w:rPr>
          <w:sz w:val="20"/>
          <w:szCs w:val="20"/>
          <w:color w:val="auto"/>
        </w:rPr>
      </w:pPr>
    </w:p>
    <w:p>
      <w:pPr>
        <w:jc w:val="both"/>
        <w:ind w:right="280" w:firstLine="913"/>
        <w:spacing w:after="0" w:line="279" w:lineRule="auto"/>
        <w:rPr>
          <w:sz w:val="20"/>
          <w:szCs w:val="20"/>
          <w:color w:val="auto"/>
        </w:rPr>
      </w:pPr>
      <w:r>
        <w:rPr>
          <w:rFonts w:ascii="Arial" w:cs="Arial" w:eastAsia="Arial" w:hAnsi="Arial"/>
          <w:sz w:val="17"/>
          <w:szCs w:val="17"/>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77" w:lineRule="exact"/>
        <w:rPr>
          <w:sz w:val="20"/>
          <w:szCs w:val="20"/>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demand for Vascepa;</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75" w:lineRule="exact"/>
        <w:rPr>
          <w:rFonts w:ascii="Arial" w:cs="Arial" w:eastAsia="Arial" w:hAnsi="Arial"/>
          <w:sz w:val="18"/>
          <w:szCs w:val="18"/>
          <w:color w:val="auto"/>
        </w:rPr>
      </w:pPr>
    </w:p>
    <w:p>
      <w:pPr>
        <w:ind w:left="1480" w:right="420" w:hanging="446"/>
        <w:spacing w:after="0" w:line="27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new co-promotion partner, Kowa Pharmaceuticals America, Inc.;</w:t>
      </w:r>
    </w:p>
    <w:p>
      <w:pPr>
        <w:spacing w:after="0" w:line="75" w:lineRule="exact"/>
        <w:rPr>
          <w:rFonts w:ascii="Arial" w:cs="Arial" w:eastAsia="Arial" w:hAnsi="Arial"/>
          <w:sz w:val="18"/>
          <w:szCs w:val="18"/>
          <w:color w:val="auto"/>
        </w:rPr>
      </w:pPr>
    </w:p>
    <w:p>
      <w:pPr>
        <w:ind w:left="1480" w:right="140" w:hanging="446"/>
        <w:spacing w:after="0" w:line="27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ability of Eddingpharm to development and commercialize Vascepa in the China Territory, including obtaining necessary regulatory approvals and establishing marketing channels;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the REDUCE-IT study or post-approval studies for Vascepa;</w:t>
      </w:r>
    </w:p>
    <w:p>
      <w:pPr>
        <w:spacing w:after="0" w:line="130" w:lineRule="exact"/>
        <w:rPr>
          <w:rFonts w:ascii="Arial" w:cs="Arial" w:eastAsia="Arial" w:hAnsi="Arial"/>
          <w:sz w:val="18"/>
          <w:szCs w:val="18"/>
          <w:color w:val="auto"/>
        </w:rPr>
      </w:pPr>
    </w:p>
    <w:p>
      <w:pPr>
        <w:ind w:left="1480" w:right="200" w:hanging="446"/>
        <w:spacing w:after="0" w:line="308" w:lineRule="auto"/>
        <w:tabs>
          <w:tab w:leader="none" w:pos="14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outcomes of litigation and other legal proceedings, including the recently initiated lawsuit against the FDA to expand marketing claims for Vascepa, our NCE litigation against the FDA, shareholder litigation, regulatory matters and tax matters; and</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regulatory dialogue on the REDUCE-IT study.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17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We currently operate with limited resources. We believe that our cash and cash equivalents balance of $136.0 million as of June 30, 2015 will be sufficient to fund our projected operations for at least the next twelve months.</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 We may also need additional capital to fully complete our REDUCE-IT cardiovascular outcomes trial.</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480" w:hanging="446"/>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revenue generated from the commercial sale of Vascepa in the MARINE indication;</w:t>
      </w:r>
    </w:p>
    <w:p>
      <w:pPr>
        <w:spacing w:after="0" w:line="130" w:lineRule="exact"/>
        <w:rPr>
          <w:rFonts w:ascii="Arial" w:cs="Arial" w:eastAsia="Arial" w:hAnsi="Arial"/>
          <w:sz w:val="18"/>
          <w:szCs w:val="18"/>
          <w:color w:val="auto"/>
        </w:rPr>
      </w:pPr>
    </w:p>
    <w:p>
      <w:pPr>
        <w:ind w:left="1480" w:right="40" w:hanging="446"/>
        <w:spacing w:after="0" w:line="257"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for the MARINE indication in the United States and for additional indications in the United States and in jurisdictions in which we receive regulatory approval, if any, including the cost of sales and marketing capabilities with our new co-promotion partner, Kowa Pharmaceuticals America, Inc., and the cost and timing of securing commercial supply of Vascepa and the timing of entering into any new strategic collaboration with others relating to the commercialization of Vascepa, if at all, and the terms of any such collaboration;</w:t>
      </w:r>
    </w:p>
    <w:p>
      <w:pPr>
        <w:spacing w:after="0" w:line="93" w:lineRule="exact"/>
        <w:rPr>
          <w:rFonts w:ascii="Arial" w:cs="Arial" w:eastAsia="Arial" w:hAnsi="Arial"/>
          <w:sz w:val="18"/>
          <w:szCs w:val="18"/>
          <w:color w:val="auto"/>
        </w:rPr>
      </w:pPr>
    </w:p>
    <w:p>
      <w:pPr>
        <w:ind w:left="1480" w:hanging="446"/>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w:t>
      </w:r>
    </w:p>
    <w:p>
      <w:pPr>
        <w:spacing w:after="0" w:line="130" w:lineRule="exact"/>
        <w:rPr>
          <w:rFonts w:ascii="Arial" w:cs="Arial" w:eastAsia="Arial" w:hAnsi="Arial"/>
          <w:sz w:val="18"/>
          <w:szCs w:val="18"/>
          <w:color w:val="auto"/>
        </w:rPr>
      </w:pPr>
    </w:p>
    <w:p>
      <w:pPr>
        <w:ind w:left="1480" w:right="160" w:hanging="446"/>
        <w:spacing w:after="0" w:line="308" w:lineRule="auto"/>
        <w:tabs>
          <w:tab w:leader="none" w:pos="1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continued cost associated with litigation and other legal proceedings, including the recently initiated lawsuit against the FDA to expand marketing claims for Vascepa, our NCE litigation against the FDA, shareholder litigation and patent litigation;</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spacing w:after="0" w:line="181" w:lineRule="exact"/>
        <w:rPr>
          <w:sz w:val="20"/>
          <w:szCs w:val="20"/>
          <w:color w:val="auto"/>
        </w:rPr>
      </w:pPr>
    </w:p>
    <w:p>
      <w:pPr>
        <w:ind w:left="460" w:right="200"/>
        <w:spacing w:after="0" w:line="264" w:lineRule="auto"/>
        <w:rPr>
          <w:sz w:val="20"/>
          <w:szCs w:val="20"/>
          <w:color w:val="auto"/>
        </w:rPr>
      </w:pPr>
      <w:r>
        <w:rPr>
          <w:rFonts w:ascii="Arial" w:cs="Arial" w:eastAsia="Arial" w:hAnsi="Arial"/>
          <w:sz w:val="18"/>
          <w:szCs w:val="18"/>
          <w:b w:val="1"/>
          <w:bCs w:val="1"/>
          <w:i w:val="1"/>
          <w:iCs w:val="1"/>
          <w:color w:val="auto"/>
        </w:rPr>
        <w:t>As a result of recent worldwide reductions in our workforce, we are in the process of reallocating certain employment responsibilities and may outsource certain corporate functions. As a result, we may be more dependent on third parties to perform these corporate functions than we have been in the past.</w:t>
      </w:r>
    </w:p>
    <w:p>
      <w:pPr>
        <w:spacing w:after="0" w:line="18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As a result of the recent worldwide reductions in our workforce, we have been required to outsource certain corporate functions. This has made us more dependent on third-parties for the performance of these functions. Our ongoing results of operations could be adversely affected to the extent that we are unable to effectively reallocate employee responsibilities, retain key employees, maintain effective internal control over financial reporting and effective disclosure controls and procedures, establish and maintain agreements with competent third-party contractors on terms that are acceptable to us, and effectively manage the work performed by any retained third-party contractors.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Continued negative economic conditions would likely have a negative effect on our ability to obtain financing on acceptable terms.</w:t>
      </w:r>
    </w:p>
    <w:p>
      <w:pPr>
        <w:spacing w:after="0" w:line="23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237"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To the extent we are permitted under our Purchase and Sale Agreement with BioPharma Secured Debt Fund II Holdings Cayman LP, or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On January 9, 2012, we issued $150 million in aggregate principal amount of 3.50% exchangeable senior notes due 2032, or the notes. In the event of physical settlement, the notes would initially be exchangeable into a total of 49,214,841 ADS.</w:t>
      </w:r>
    </w:p>
    <w:p>
      <w:pPr>
        <w:spacing w:after="0" w:line="17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225"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Inc. related to the commercialization of Vascepa in the United States. The consummation and performance of any such future transactions or collaborations will involve risks, such as:</w:t>
      </w:r>
    </w:p>
    <w:p>
      <w:pPr>
        <w:spacing w:after="0" w:line="92" w:lineRule="exact"/>
        <w:rPr>
          <w:sz w:val="20"/>
          <w:szCs w:val="20"/>
          <w:color w:val="auto"/>
        </w:rPr>
      </w:pPr>
    </w:p>
    <w:p>
      <w:pPr>
        <w:ind w:left="1480" w:hanging="446"/>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1"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As of August 1, 2015 we had 183,395,889 common shares outstanding including 182,529,985 shares held as ADSs and 865,904 held as common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March 2015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31" w:lineRule="exact"/>
        <w:rPr>
          <w:sz w:val="20"/>
          <w:szCs w:val="20"/>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the European Union or other countries;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57" w:lineRule="auto"/>
        <w:rPr>
          <w:sz w:val="20"/>
          <w:szCs w:val="20"/>
          <w:color w:val="auto"/>
        </w:rPr>
      </w:pPr>
      <w:r>
        <w:rPr>
          <w:rFonts w:ascii="Arial" w:cs="Arial" w:eastAsia="Arial" w:hAnsi="Arial"/>
          <w:sz w:val="18"/>
          <w:szCs w:val="18"/>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188"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In March 2015, we completed the private placement of American Depositary Shares representing 352,150,790 Series A Preference Shares, each ten (10) of which may be consolidated and redesignated into one (1) ordinary share in the capital of the Company. During the three months ended June 30, 2015, 62,833,330 preferred shares were converted, resulting in the issuance of 6,283,333 ordinary shares. The consolidation and redesignation of the Series A Preference Shares currently outstanding would result in an additional 28,931,746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92"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Pursuant to the securities subscription agreement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158" w:lineRule="exact"/>
        <w:rPr>
          <w:sz w:val="20"/>
          <w:szCs w:val="20"/>
          <w:color w:val="auto"/>
        </w:rPr>
      </w:pPr>
    </w:p>
    <w:p>
      <w:pPr>
        <w:ind w:left="460" w:right="100"/>
        <w:spacing w:after="0" w:line="308" w:lineRule="auto"/>
        <w:rPr>
          <w:sz w:val="20"/>
          <w:szCs w:val="20"/>
          <w:color w:val="auto"/>
        </w:rPr>
      </w:pPr>
      <w:r>
        <w:rPr>
          <w:rFonts w:ascii="Arial" w:cs="Arial" w:eastAsia="Arial" w:hAnsi="Arial"/>
          <w:sz w:val="17"/>
          <w:szCs w:val="17"/>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14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70"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67"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In addition, under the first March 2015 securities subscription agreement we are required to offer to certain investors party to that agreement an opportunity to participate in future equity and debt financings we may conduct from time to time, and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the Company on a recent quarterly conference call concerning the 2015 private placement, we agreed to specified liquidated damages in the event we are found to have violated the confidentiality provisions of the subscription agreement in the future.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181"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24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believe it prudent to assume that we were classified as a PFIC in 2012. We do not believe that we were classified as a PFIC in 2013 or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status as a PFIC is subject to change in 2015 and future years.</w:t>
      </w:r>
    </w:p>
    <w:p>
      <w:pPr>
        <w:spacing w:after="0" w:line="211"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Failure to meet our obligations under our Purchase and Sale Agreement with BioPharma could adversely affect our financial results and liquidity.</w:t>
      </w:r>
    </w:p>
    <w:p>
      <w:pPr>
        <w:spacing w:after="0" w:line="260"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124"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 (iv) encumber any of the collateral securing our performance under the agreement; and (v) abandon certain patent rights, in each case without the consent of BioPharma.</w:t>
      </w:r>
    </w:p>
    <w:p>
      <w:pPr>
        <w:spacing w:after="0" w:line="188" w:lineRule="exact"/>
        <w:rPr>
          <w:sz w:val="20"/>
          <w:szCs w:val="20"/>
          <w:color w:val="auto"/>
        </w:rPr>
      </w:pPr>
    </w:p>
    <w:p>
      <w:pPr>
        <w:jc w:val="both"/>
        <w:ind w:right="160" w:firstLine="913"/>
        <w:spacing w:after="0" w:line="291" w:lineRule="auto"/>
        <w:rPr>
          <w:sz w:val="20"/>
          <w:szCs w:val="20"/>
          <w:color w:val="auto"/>
        </w:rPr>
      </w:pPr>
      <w:r>
        <w:rPr>
          <w:rFonts w:ascii="Arial" w:cs="Arial" w:eastAsia="Arial" w:hAnsi="Arial"/>
          <w:sz w:val="16"/>
          <w:szCs w:val="16"/>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w:t>
      </w:r>
    </w:p>
    <w:p>
      <w:pPr>
        <w:ind w:right="40" w:firstLine="8"/>
        <w:spacing w:after="0" w:line="273" w:lineRule="auto"/>
        <w:tabs>
          <w:tab w:leader="none" w:pos="2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greater than 50 percent change in the ownership of Amarin, (ii) a sale or disposition of any collateral securing our debt with BioPharma and (iii), unless BioPharma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7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BioPharma may attempt to collect the maximum amount payable by us under this agreement (after deducting any payments we have already made).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225" w:lineRule="exact"/>
        <w:rPr>
          <w:sz w:val="20"/>
          <w:szCs w:val="20"/>
          <w:color w:val="auto"/>
        </w:rPr>
      </w:pPr>
    </w:p>
    <w:p>
      <w:pPr>
        <w:jc w:val="both"/>
        <w:ind w:right="20" w:firstLine="913"/>
        <w:spacing w:after="0" w:line="312" w:lineRule="auto"/>
        <w:rPr>
          <w:sz w:val="20"/>
          <w:szCs w:val="20"/>
          <w:color w:val="auto"/>
        </w:rPr>
      </w:pPr>
      <w:r>
        <w:rPr>
          <w:rFonts w:ascii="Arial" w:cs="Arial" w:eastAsia="Arial" w:hAnsi="Arial"/>
          <w:sz w:val="16"/>
          <w:szCs w:val="16"/>
          <w:color w:val="auto"/>
        </w:rPr>
        <w:t>Our existing indebtedness consists of $150.0 million in aggregate principal amount of 3.50% exchangeable senior notes due 2032, $31.3 million of which relates to the January 2012 notes with provisions for the notes to be put to us on or after January 19, 2017 while the balance of $118.7 million relates to the May 2014 notes with provision for the notes to be redeemed by us on or after January 19, 2018 or put to us by the holders on or after January 19, 2019.</w:t>
      </w:r>
    </w:p>
    <w:p>
      <w:pPr>
        <w:spacing w:after="0" w:line="14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Our indebtedness and the related annual debt service requirements may adversely impact our business, operations and financial condition in the future. For example, they could:</w:t>
      </w:r>
    </w:p>
    <w:p>
      <w:pPr>
        <w:spacing w:after="0" w:line="76" w:lineRule="exact"/>
        <w:rPr>
          <w:sz w:val="20"/>
          <w:szCs w:val="20"/>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1480" w:right="660" w:hanging="446"/>
        <w:spacing w:after="0" w:line="277" w:lineRule="auto"/>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130"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170"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The accounting for convertible debt securities that may be settled in cash, such as our notes, could have a material effect on our reported financial results.</w:t>
      </w:r>
    </w:p>
    <w:p>
      <w:pPr>
        <w:spacing w:after="0" w:line="17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(such as the notes)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condensed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66"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70"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Our ability to make scheduled payments of the principal,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78"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ectPr>
          <w:pgSz w:w="11900" w:h="16838" w:orient="portrait"/>
          <w:cols w:equalWidth="0" w:num="1">
            <w:col w:w="11420"/>
          </w:cols>
          <w:pgMar w:left="240" w:top="459" w:right="239" w:bottom="1440" w:gutter="0" w:footer="0" w:header="0"/>
        </w:sectPr>
      </w:pPr>
    </w:p>
    <w:bookmarkStart w:id="74" w:name="page75"/>
    <w:bookmarkEnd w:id="74"/>
    <w:p>
      <w:pPr>
        <w:ind w:firstLine="913"/>
        <w:spacing w:after="0" w:line="255" w:lineRule="auto"/>
        <w:rPr>
          <w:sz w:val="20"/>
          <w:szCs w:val="20"/>
          <w:color w:val="auto"/>
        </w:rPr>
      </w:pPr>
      <w:r>
        <w:rPr>
          <w:rFonts w:ascii="Arial" w:cs="Arial" w:eastAsia="Arial" w:hAnsi="Arial"/>
          <w:sz w:val="18"/>
          <w:szCs w:val="18"/>
          <w:color w:val="auto"/>
        </w:rPr>
        <w:t>In the event the conditional exchange feature of the notes is triggered, holders of notes will be entitled to exchange the notes at any time during specified periods at their option. If one or more holders elect to exchange their notes, unless we elect to satisfy its exchange obligation by delivering solely the ADSs (other than cash in lieu of any fractional ADS), we would be required to 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change in control repurchase feature of the notes may delay or prevent an otherwise beneficial takeover attempt of us.</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change in control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87" w:lineRule="exact"/>
        <w:rPr>
          <w:sz w:val="20"/>
          <w:szCs w:val="20"/>
          <w:color w:val="auto"/>
        </w:rPr>
      </w:pPr>
    </w:p>
    <w:p>
      <w:pPr>
        <w:ind w:left="1480" w:hanging="446"/>
        <w:spacing w:after="0" w:line="264"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86" w:lineRule="exact"/>
        <w:rPr>
          <w:rFonts w:ascii="Arial" w:cs="Arial" w:eastAsia="Arial" w:hAnsi="Arial"/>
          <w:sz w:val="18"/>
          <w:szCs w:val="18"/>
          <w:color w:val="auto"/>
        </w:rPr>
      </w:pPr>
    </w:p>
    <w:p>
      <w:pPr>
        <w:ind w:left="1480" w:right="60" w:hanging="446"/>
        <w:spacing w:after="0" w:line="342" w:lineRule="auto"/>
        <w:tabs>
          <w:tab w:leader="none" w:pos="1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29" w:lineRule="exact"/>
        <w:rPr>
          <w:rFonts w:ascii="Arial" w:cs="Arial" w:eastAsia="Arial" w:hAnsi="Arial"/>
          <w:sz w:val="16"/>
          <w:szCs w:val="16"/>
          <w:color w:val="auto"/>
        </w:rPr>
      </w:pPr>
    </w:p>
    <w:p>
      <w:pPr>
        <w:ind w:left="1480" w:right="140" w:hanging="446"/>
        <w:spacing w:after="0" w:line="259"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92" w:lineRule="exact"/>
        <w:rPr>
          <w:rFonts w:ascii="Arial" w:cs="Arial" w:eastAsia="Arial" w:hAnsi="Arial"/>
          <w:sz w:val="18"/>
          <w:szCs w:val="18"/>
          <w:color w:val="auto"/>
        </w:rPr>
      </w:pPr>
    </w:p>
    <w:p>
      <w:pPr>
        <w:ind w:left="1480" w:right="20" w:hanging="446"/>
        <w:spacing w:after="0" w:line="257"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93" w:lineRule="exact"/>
        <w:rPr>
          <w:rFonts w:ascii="Arial" w:cs="Arial" w:eastAsia="Arial" w:hAnsi="Arial"/>
          <w:sz w:val="18"/>
          <w:szCs w:val="18"/>
          <w:color w:val="auto"/>
        </w:rPr>
      </w:pPr>
    </w:p>
    <w:p>
      <w:pPr>
        <w:ind w:left="1480" w:hanging="446"/>
        <w:spacing w:after="0" w:line="291" w:lineRule="auto"/>
        <w:tabs>
          <w:tab w:leader="none" w:pos="1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72" w:lineRule="exact"/>
        <w:rPr>
          <w:rFonts w:ascii="Arial" w:cs="Arial" w:eastAsia="Arial" w:hAnsi="Arial"/>
          <w:sz w:val="16"/>
          <w:szCs w:val="16"/>
          <w:color w:val="auto"/>
        </w:rPr>
      </w:pPr>
    </w:p>
    <w:p>
      <w:pPr>
        <w:ind w:left="1480" w:hanging="446"/>
        <w:spacing w:after="0" w:line="257"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93" w:lineRule="exact"/>
        <w:rPr>
          <w:rFonts w:ascii="Arial" w:cs="Arial" w:eastAsia="Arial" w:hAnsi="Arial"/>
          <w:sz w:val="18"/>
          <w:szCs w:val="18"/>
          <w:color w:val="auto"/>
        </w:rPr>
      </w:pPr>
    </w:p>
    <w:p>
      <w:pPr>
        <w:ind w:left="1480" w:right="20" w:hanging="446"/>
        <w:spacing w:after="0" w:line="276" w:lineRule="auto"/>
        <w:tabs>
          <w:tab w:leader="none" w:pos="1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225" w:lineRule="exact"/>
        <w:rPr>
          <w:sz w:val="20"/>
          <w:szCs w:val="20"/>
          <w:color w:val="auto"/>
        </w:rPr>
      </w:pPr>
    </w:p>
    <w:p>
      <w:pPr>
        <w:ind w:right="220" w:firstLine="913"/>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65"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170"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20" w:type="dxa"/>
            <w:vAlign w:val="bottom"/>
            <w:gridSpan w:val="3"/>
          </w:tcPr>
          <w:p>
            <w:pPr>
              <w:ind w:left="12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0" w:type="dxa"/>
            <w:vAlign w:val="bottom"/>
          </w:tcPr>
          <w:p>
            <w:pPr>
              <w:spacing w:after="0"/>
              <w:rPr>
                <w:sz w:val="1"/>
                <w:szCs w:val="1"/>
                <w:color w:val="auto"/>
              </w:rPr>
            </w:pPr>
          </w:p>
        </w:tc>
      </w:tr>
      <w:tr>
        <w:trPr>
          <w:trHeight w:val="369"/>
        </w:trPr>
        <w:tc>
          <w:tcPr>
            <w:tcW w:w="100" w:type="dxa"/>
            <w:vAlign w:val="bottom"/>
          </w:tcPr>
          <w:p>
            <w:pPr>
              <w:spacing w:after="0"/>
              <w:rPr>
                <w:sz w:val="24"/>
                <w:szCs w:val="2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0420" w:type="dxa"/>
            <w:vAlign w:val="bottom"/>
            <w:gridSpan w:val="3"/>
            <w:vMerge w:val="restart"/>
          </w:tcPr>
          <w:p>
            <w:pPr>
              <w:ind w:left="5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6"/>
                <w:szCs w:val="16"/>
                <w:color w:val="auto"/>
              </w:rPr>
            </w:pPr>
          </w:p>
        </w:tc>
        <w:tc>
          <w:tcPr>
            <w:tcW w:w="104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520" w:type="dxa"/>
            <w:vAlign w:val="bottom"/>
          </w:tcPr>
          <w:p>
            <w:pPr>
              <w:jc w:val="right"/>
              <w:ind w:right="122"/>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0420" w:type="dxa"/>
            <w:vAlign w:val="bottom"/>
            <w:gridSpan w:val="3"/>
          </w:tcPr>
          <w:p>
            <w:pPr>
              <w:ind w:left="360"/>
              <w:spacing w:after="0"/>
              <w:rPr>
                <w:sz w:val="20"/>
                <w:szCs w:val="20"/>
                <w:color w:val="auto"/>
              </w:rPr>
            </w:pPr>
            <w:r>
              <w:rPr>
                <w:rFonts w:ascii="Arial" w:cs="Arial" w:eastAsia="Arial" w:hAnsi="Arial"/>
                <w:sz w:val="18"/>
                <w:szCs w:val="18"/>
                <w:color w:val="auto"/>
              </w:rPr>
              <w:t>Amendment No. 4 to Amarin Corporation plc 2011 Stock Incentive Plan</w:t>
            </w:r>
          </w:p>
        </w:tc>
        <w:tc>
          <w:tcPr>
            <w:tcW w:w="0" w:type="dxa"/>
            <w:vAlign w:val="bottom"/>
          </w:tcPr>
          <w:p>
            <w:pPr>
              <w:spacing w:after="0"/>
              <w:rPr>
                <w:sz w:val="1"/>
                <w:szCs w:val="1"/>
                <w:color w:val="auto"/>
              </w:rPr>
            </w:pPr>
          </w:p>
        </w:tc>
      </w:tr>
      <w:tr>
        <w:trPr>
          <w:trHeight w:val="324"/>
        </w:trPr>
        <w:tc>
          <w:tcPr>
            <w:tcW w:w="620" w:type="dxa"/>
            <w:vAlign w:val="bottom"/>
            <w:gridSpan w:val="2"/>
          </w:tcPr>
          <w:p>
            <w:pPr>
              <w:jc w:val="right"/>
              <w:ind w:right="122"/>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10420" w:type="dxa"/>
            <w:vAlign w:val="bottom"/>
            <w:gridSpan w:val="3"/>
          </w:tcPr>
          <w:p>
            <w:pPr>
              <w:ind w:left="360"/>
              <w:spacing w:after="0"/>
              <w:rPr>
                <w:sz w:val="20"/>
                <w:szCs w:val="20"/>
                <w:color w:val="auto"/>
              </w:rPr>
            </w:pPr>
            <w:r>
              <w:rPr>
                <w:rFonts w:ascii="Arial" w:cs="Arial" w:eastAsia="Arial" w:hAnsi="Arial"/>
                <w:sz w:val="18"/>
                <w:szCs w:val="18"/>
                <w:color w:val="auto"/>
              </w:rPr>
              <w:t>Amendment No. 5 to Amarin Corporation plc 2011 Stock Incentive Plan</w:t>
            </w:r>
          </w:p>
        </w:tc>
        <w:tc>
          <w:tcPr>
            <w:tcW w:w="0" w:type="dxa"/>
            <w:vAlign w:val="bottom"/>
          </w:tcPr>
          <w:p>
            <w:pPr>
              <w:spacing w:after="0"/>
              <w:rPr>
                <w:sz w:val="1"/>
                <w:szCs w:val="1"/>
                <w:color w:val="auto"/>
              </w:rPr>
            </w:pPr>
          </w:p>
        </w:tc>
      </w:tr>
      <w:tr>
        <w:trPr>
          <w:trHeight w:val="324"/>
        </w:trPr>
        <w:tc>
          <w:tcPr>
            <w:tcW w:w="620" w:type="dxa"/>
            <w:vAlign w:val="bottom"/>
            <w:gridSpan w:val="2"/>
          </w:tcPr>
          <w:p>
            <w:pPr>
              <w:jc w:val="right"/>
              <w:ind w:right="122"/>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0420" w:type="dxa"/>
            <w:vAlign w:val="bottom"/>
            <w:gridSpan w:val="3"/>
          </w:tcPr>
          <w:p>
            <w:pPr>
              <w:ind w:left="360"/>
              <w:spacing w:after="0"/>
              <w:rPr>
                <w:sz w:val="20"/>
                <w:szCs w:val="20"/>
                <w:color w:val="auto"/>
              </w:rPr>
            </w:pPr>
            <w:r>
              <w:rPr>
                <w:rFonts w:ascii="Arial" w:cs="Arial" w:eastAsia="Arial" w:hAnsi="Arial"/>
                <w:sz w:val="18"/>
                <w:szCs w:val="18"/>
                <w:color w:val="auto"/>
                <w:w w:val="95"/>
              </w:rPr>
              <w:t>Amendment to Employment Agreement by and between Joseph T. Kennedy and Amarin Corporation plc, dated December 13, 2011</w:t>
            </w:r>
          </w:p>
        </w:tc>
        <w:tc>
          <w:tcPr>
            <w:tcW w:w="0" w:type="dxa"/>
            <w:vAlign w:val="bottom"/>
          </w:tcPr>
          <w:p>
            <w:pPr>
              <w:spacing w:after="0"/>
              <w:rPr>
                <w:sz w:val="1"/>
                <w:szCs w:val="1"/>
                <w:color w:val="auto"/>
              </w:rPr>
            </w:pPr>
          </w:p>
        </w:tc>
      </w:tr>
      <w:tr>
        <w:trPr>
          <w:trHeight w:val="324"/>
        </w:trPr>
        <w:tc>
          <w:tcPr>
            <w:tcW w:w="620" w:type="dxa"/>
            <w:vAlign w:val="bottom"/>
            <w:gridSpan w:val="2"/>
          </w:tcPr>
          <w:p>
            <w:pPr>
              <w:jc w:val="right"/>
              <w:ind w:right="122"/>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10420" w:type="dxa"/>
            <w:vAlign w:val="bottom"/>
            <w:gridSpan w:val="3"/>
          </w:tcPr>
          <w:p>
            <w:pPr>
              <w:ind w:left="360"/>
              <w:spacing w:after="0"/>
              <w:rPr>
                <w:sz w:val="20"/>
                <w:szCs w:val="20"/>
                <w:color w:val="auto"/>
              </w:rPr>
            </w:pPr>
            <w:r>
              <w:rPr>
                <w:rFonts w:ascii="Arial" w:cs="Arial" w:eastAsia="Arial" w:hAnsi="Arial"/>
                <w:sz w:val="18"/>
                <w:szCs w:val="18"/>
                <w:color w:val="auto"/>
                <w:w w:val="97"/>
              </w:rPr>
              <w:t>Amendment to Employment Agreement by and between Steven B. Ketchum and Amarin Corporation plc, dated February 8, 2012</w:t>
            </w:r>
          </w:p>
        </w:tc>
        <w:tc>
          <w:tcPr>
            <w:tcW w:w="0" w:type="dxa"/>
            <w:vAlign w:val="bottom"/>
          </w:tcPr>
          <w:p>
            <w:pPr>
              <w:spacing w:after="0"/>
              <w:rPr>
                <w:sz w:val="1"/>
                <w:szCs w:val="1"/>
                <w:color w:val="auto"/>
              </w:rPr>
            </w:pPr>
          </w:p>
        </w:tc>
      </w:tr>
      <w:tr>
        <w:trPr>
          <w:trHeight w:val="324"/>
        </w:trPr>
        <w:tc>
          <w:tcPr>
            <w:tcW w:w="620" w:type="dxa"/>
            <w:vAlign w:val="bottom"/>
            <w:gridSpan w:val="2"/>
          </w:tcPr>
          <w:p>
            <w:pPr>
              <w:jc w:val="right"/>
              <w:ind w:right="122"/>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10420" w:type="dxa"/>
            <w:vAlign w:val="bottom"/>
            <w:gridSpan w:val="3"/>
          </w:tcPr>
          <w:p>
            <w:pPr>
              <w:ind w:left="360"/>
              <w:spacing w:after="0"/>
              <w:rPr>
                <w:sz w:val="20"/>
                <w:szCs w:val="20"/>
                <w:color w:val="auto"/>
              </w:rPr>
            </w:pPr>
            <w:r>
              <w:rPr>
                <w:rFonts w:ascii="Arial" w:cs="Arial" w:eastAsia="Arial" w:hAnsi="Arial"/>
                <w:sz w:val="18"/>
                <w:szCs w:val="18"/>
                <w:color w:val="auto"/>
              </w:rPr>
              <w:t>Amendment to Employment Agreement by and between John F. Thero and Amarin Corporation plc, dated January 2014</w:t>
            </w:r>
          </w:p>
        </w:tc>
        <w:tc>
          <w:tcPr>
            <w:tcW w:w="0" w:type="dxa"/>
            <w:vAlign w:val="bottom"/>
          </w:tcPr>
          <w:p>
            <w:pPr>
              <w:spacing w:after="0"/>
              <w:rPr>
                <w:sz w:val="1"/>
                <w:szCs w:val="1"/>
                <w:color w:val="auto"/>
              </w:rPr>
            </w:pPr>
          </w:p>
        </w:tc>
      </w:tr>
      <w:tr>
        <w:trPr>
          <w:trHeight w:val="324"/>
        </w:trPr>
        <w:tc>
          <w:tcPr>
            <w:tcW w:w="620" w:type="dxa"/>
            <w:vAlign w:val="bottom"/>
            <w:gridSpan w:val="2"/>
          </w:tcPr>
          <w:p>
            <w:pPr>
              <w:jc w:val="right"/>
              <w:ind w:right="122"/>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0420" w:type="dxa"/>
            <w:vAlign w:val="bottom"/>
            <w:gridSpan w:val="3"/>
          </w:tcPr>
          <w:p>
            <w:pPr>
              <w:ind w:left="360"/>
              <w:spacing w:after="0"/>
              <w:rPr>
                <w:sz w:val="20"/>
                <w:szCs w:val="20"/>
                <w:color w:val="auto"/>
              </w:rPr>
            </w:pPr>
            <w:r>
              <w:rPr>
                <w:rFonts w:ascii="Arial" w:cs="Arial" w:eastAsia="Arial" w:hAnsi="Arial"/>
                <w:sz w:val="18"/>
                <w:szCs w:val="18"/>
                <w:color w:val="auto"/>
              </w:rPr>
              <w:t>Certification of Chief Executive Officer (Principal Executive Officer) pursuant to Section 302 of Sarbanes-Oxley Act of 2002</w:t>
            </w:r>
          </w:p>
        </w:tc>
        <w:tc>
          <w:tcPr>
            <w:tcW w:w="0" w:type="dxa"/>
            <w:vAlign w:val="bottom"/>
          </w:tcPr>
          <w:p>
            <w:pPr>
              <w:spacing w:after="0"/>
              <w:rPr>
                <w:sz w:val="1"/>
                <w:szCs w:val="1"/>
                <w:color w:val="auto"/>
              </w:rPr>
            </w:pPr>
          </w:p>
        </w:tc>
      </w:tr>
      <w:tr>
        <w:trPr>
          <w:trHeight w:val="324"/>
        </w:trPr>
        <w:tc>
          <w:tcPr>
            <w:tcW w:w="620" w:type="dxa"/>
            <w:vAlign w:val="bottom"/>
            <w:gridSpan w:val="2"/>
          </w:tcPr>
          <w:p>
            <w:pPr>
              <w:jc w:val="right"/>
              <w:ind w:right="122"/>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0420" w:type="dxa"/>
            <w:vAlign w:val="bottom"/>
            <w:gridSpan w:val="3"/>
          </w:tcPr>
          <w:p>
            <w:pPr>
              <w:ind w:left="360"/>
              <w:spacing w:after="0"/>
              <w:rPr>
                <w:sz w:val="20"/>
                <w:szCs w:val="20"/>
                <w:color w:val="auto"/>
              </w:rPr>
            </w:pPr>
            <w:r>
              <w:rPr>
                <w:rFonts w:ascii="Arial" w:cs="Arial" w:eastAsia="Arial" w:hAnsi="Arial"/>
                <w:sz w:val="18"/>
                <w:szCs w:val="18"/>
                <w:color w:val="auto"/>
              </w:rPr>
              <w:t>Certification of President (Principal Financial Officer) pursuant to Section 302 of Sarbanes-Oxley Act of 2002</w:t>
            </w:r>
          </w:p>
        </w:tc>
        <w:tc>
          <w:tcPr>
            <w:tcW w:w="0" w:type="dxa"/>
            <w:vAlign w:val="bottom"/>
          </w:tcPr>
          <w:p>
            <w:pPr>
              <w:spacing w:after="0"/>
              <w:rPr>
                <w:sz w:val="1"/>
                <w:szCs w:val="1"/>
                <w:color w:val="auto"/>
              </w:rPr>
            </w:pPr>
          </w:p>
        </w:tc>
      </w:tr>
      <w:tr>
        <w:trPr>
          <w:trHeight w:val="310"/>
        </w:trPr>
        <w:tc>
          <w:tcPr>
            <w:tcW w:w="620" w:type="dxa"/>
            <w:vAlign w:val="bottom"/>
            <w:gridSpan w:val="2"/>
          </w:tcPr>
          <w:p>
            <w:pPr>
              <w:jc w:val="right"/>
              <w:ind w:right="122"/>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0420" w:type="dxa"/>
            <w:vAlign w:val="bottom"/>
            <w:gridSpan w:val="3"/>
          </w:tcPr>
          <w:p>
            <w:pPr>
              <w:ind w:left="360"/>
              <w:spacing w:after="0"/>
              <w:rPr>
                <w:sz w:val="20"/>
                <w:szCs w:val="20"/>
                <w:color w:val="auto"/>
              </w:rPr>
            </w:pPr>
            <w:r>
              <w:rPr>
                <w:rFonts w:ascii="Arial" w:cs="Arial" w:eastAsia="Arial" w:hAnsi="Arial"/>
                <w:sz w:val="18"/>
                <w:szCs w:val="18"/>
                <w:color w:val="auto"/>
                <w:w w:val="92"/>
              </w:rPr>
              <w:t>Certification of Chief Executive Officer (Principal Executive Officer) and President (Principal Financial Officer) pursuant to Section 906 of</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gridSpan w:val="3"/>
          </w:tcPr>
          <w:p>
            <w:pPr>
              <w:ind w:left="36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420" w:type="dxa"/>
            <w:vAlign w:val="bottom"/>
            <w:gridSpan w:val="3"/>
          </w:tcPr>
          <w:p>
            <w:pPr>
              <w:ind w:left="3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42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42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42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42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42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tcPr>
          <w:p>
            <w:pPr>
              <w:ind w:left="4820"/>
              <w:spacing w:after="0"/>
              <w:rPr>
                <w:sz w:val="20"/>
                <w:szCs w:val="20"/>
                <w:color w:val="auto"/>
              </w:rPr>
            </w:pPr>
            <w:r>
              <w:rPr>
                <w:rFonts w:ascii="Arial" w:cs="Arial" w:eastAsia="Arial" w:hAnsi="Arial"/>
                <w:sz w:val="18"/>
                <w:szCs w:val="18"/>
                <w:color w:val="auto"/>
              </w:rPr>
              <w:t>76</w:t>
            </w:r>
          </w:p>
        </w:tc>
        <w:tc>
          <w:tcPr>
            <w:tcW w:w="7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MARIN</w:t>
      </w:r>
      <w:r>
        <w:rPr>
          <w:rFonts w:ascii="Arial" w:cs="Arial" w:eastAsia="Arial" w:hAnsi="Arial"/>
          <w:sz w:val="18"/>
          <w:szCs w:val="18"/>
          <w:color w:val="auto"/>
        </w:rPr>
        <w:t xml:space="preserve"> C</w:t>
      </w:r>
      <w:r>
        <w:rPr>
          <w:rFonts w:ascii="Arial" w:cs="Arial" w:eastAsia="Arial" w:hAnsi="Arial"/>
          <w:sz w:val="15"/>
          <w:szCs w:val="15"/>
          <w:color w:val="auto"/>
        </w:rPr>
        <w:t>ORPORATION</w:t>
      </w:r>
      <w:r>
        <w:rPr>
          <w:rFonts w:ascii="Arial" w:cs="Arial" w:eastAsia="Arial" w:hAnsi="Arial"/>
          <w:sz w:val="18"/>
          <w:szCs w:val="18"/>
          <w:color w:val="auto"/>
        </w:rPr>
        <w:t xml:space="preserve"> P</w:t>
      </w:r>
      <w:r>
        <w:rPr>
          <w:rFonts w:ascii="Arial" w:cs="Arial" w:eastAsia="Arial" w:hAnsi="Arial"/>
          <w:sz w:val="15"/>
          <w:szCs w:val="15"/>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1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2015</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60"/>
          </w:cols>
          <w:pgMar w:left="240" w:top="459" w:right="69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STOCK INCENTIVE PLAN</w:t>
      </w:r>
    </w:p>
    <w:p>
      <w:pPr>
        <w:spacing w:after="0" w:line="211"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Amarin Corporation plc 2011 Stock Incentive Plan (the “Plan”) is hereby amended by the Board of Directors and shareholders of Amarin Corporation plc as follows: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2(v) of the Plan is hereby amended to read as follows:</w:t>
      </w:r>
    </w:p>
    <w:p>
      <w:pPr>
        <w:spacing w:after="0" w:line="117"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“ISO Limit” shall mean 31,500,000 Shares, subject to adjustment as provided in the Plan and subject to the provisions of Section 422 or 424 of the Code or any successor provisions.</w:t>
      </w:r>
    </w:p>
    <w:p>
      <w:pPr>
        <w:spacing w:after="0" w:line="16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Section 4(a) of the Plan is hereby amended to increase the total number of Shares available for issuance under the Plan shall be increased by </w:t>
      </w:r>
      <w:r>
        <w:rPr>
          <w:rFonts w:ascii="Arial" w:cs="Arial" w:eastAsia="Arial" w:hAnsi="Arial"/>
          <w:sz w:val="18"/>
          <w:szCs w:val="18"/>
          <w:b w:val="1"/>
          <w:bCs w:val="1"/>
          <w:color w:val="auto"/>
        </w:rPr>
        <w:t>20,000,000</w:t>
      </w:r>
      <w:r>
        <w:rPr>
          <w:rFonts w:ascii="Arial" w:cs="Arial" w:eastAsia="Arial" w:hAnsi="Arial"/>
          <w:sz w:val="18"/>
          <w:szCs w:val="18"/>
          <w:color w:val="auto"/>
        </w:rPr>
        <w:t xml:space="preserve"> shares, such that Section 4(a) of the Plan, as so amended, shall read in its entirety as follows: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 Shares Available for Awards</w:t>
      </w:r>
    </w:p>
    <w:p>
      <w:pPr>
        <w:spacing w:after="0" w:line="135" w:lineRule="exact"/>
        <w:rPr>
          <w:sz w:val="20"/>
          <w:szCs w:val="20"/>
          <w:color w:val="auto"/>
        </w:rPr>
      </w:pPr>
    </w:p>
    <w:p>
      <w:pPr>
        <w:ind w:left="900" w:right="20" w:hanging="446"/>
        <w:spacing w:after="0" w:line="287"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Shares Available</w:t>
      </w:r>
      <w:r>
        <w:rPr>
          <w:rFonts w:ascii="Arial" w:cs="Arial" w:eastAsia="Arial" w:hAnsi="Arial"/>
          <w:sz w:val="16"/>
          <w:szCs w:val="16"/>
          <w:color w:val="auto"/>
        </w:rPr>
        <w:t>. Subject to adjustment as provided in Section 4(c) of the Plan, the number of Shares in respect of which Awards may be made under this Plan on any day shall not exceed the sum of (i) 31,500,000 Shares, (ii) 3,074,680 Shares (being Shares that remained available for grants under the Company’s existing 2002 Stock Option Plan (the “</w:t>
      </w:r>
      <w:r>
        <w:rPr>
          <w:rFonts w:ascii="Arial" w:cs="Arial" w:eastAsia="Arial" w:hAnsi="Arial"/>
          <w:sz w:val="16"/>
          <w:szCs w:val="16"/>
          <w:b w:val="1"/>
          <w:bCs w:val="1"/>
          <w:i w:val="1"/>
          <w:iCs w:val="1"/>
          <w:color w:val="auto"/>
        </w:rPr>
        <w:t>2002 Plan</w:t>
      </w:r>
      <w:r>
        <w:rPr>
          <w:rFonts w:ascii="Arial" w:cs="Arial" w:eastAsia="Arial" w:hAnsi="Arial"/>
          <w:sz w:val="16"/>
          <w:szCs w:val="16"/>
          <w:color w:val="auto"/>
        </w:rPr>
        <w:t xml:space="preserve">”) as of July 12, 2011) and (iii) the number of Shares subject to grants under the 2002 Plan that are outstanding as of the Effective Date but subsequently become Lapsed Awards (as defined below) (“the Plan Limit”). Shares to be issued under the Plan may be either authorized but unissued Shares, or Shares acquired in the open market or otherwise. If any award over Shares granted under this Plan or the 2002 Plan expires or is forfeited, surrendered, canceled or otherwise terminated in whole or in part without Shares being issued (“Lapsed Award”), then the Shares subject to such Lapsed Award may, at the discretion of the Committee, be made available for subsequent grants under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Shares tendered or held back upon exercise of an Option or settlement of an Award to cover the exercise price or tax withholding shall not be considered a Lapsed Award. Notwithstanding the foregoing, the number of Shares available for granting Incentive Stock Options under the Plan shall not exceed the ISO Limit, and Options with respect to no more than 10,000,000 Shares may be granted to any one individual Participant during any one calendar year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ADOPTED BY BOARD OF DIRECTORS: March 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ADOPTED BY SHAREHOLDERS: July 6, 2015</w:t>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5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STOCK INCENTIVE PLAN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Amarin Corporation plc 2011 Stock Incentive Plan (the “Plan”) is hereby amended by the Board of Directors and shareholders of Amarin Corporation plc as follows: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Section 7(a) of the Plan is hereby amended, such that Section 7(a) of the Plan, as so amended, shall read in its entirety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 Change of Control</w:t>
      </w:r>
    </w:p>
    <w:p>
      <w:pPr>
        <w:spacing w:after="0" w:line="121" w:lineRule="exact"/>
        <w:rPr>
          <w:sz w:val="20"/>
          <w:szCs w:val="20"/>
          <w:color w:val="auto"/>
        </w:rPr>
      </w:pPr>
    </w:p>
    <w:p>
      <w:pPr>
        <w:ind w:left="700" w:hanging="236"/>
        <w:spacing w:after="0"/>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Each of the following events shall constitute a “Change of Control” for purposes of the Plan:</w:t>
      </w:r>
    </w:p>
    <w:p>
      <w:pPr>
        <w:spacing w:after="0" w:line="117" w:lineRule="exact"/>
        <w:rPr>
          <w:rFonts w:ascii="Arial" w:cs="Arial" w:eastAsia="Arial" w:hAnsi="Arial"/>
          <w:sz w:val="18"/>
          <w:szCs w:val="18"/>
          <w:color w:val="auto"/>
        </w:rPr>
      </w:pPr>
    </w:p>
    <w:p>
      <w:pPr>
        <w:ind w:right="500" w:firstLine="8"/>
        <w:spacing w:after="0" w:line="277" w:lineRule="auto"/>
        <w:tabs>
          <w:tab w:leader="none" w:pos="2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person or company (either alone or together with any person or company acting in concert with him or it) (an “Acquiring Company”)) obtaining Control of the Company,</w:t>
      </w:r>
    </w:p>
    <w:p>
      <w:pPr>
        <w:spacing w:after="0" w:line="170" w:lineRule="exact"/>
        <w:rPr>
          <w:rFonts w:ascii="Arial" w:cs="Arial" w:eastAsia="Arial" w:hAnsi="Arial"/>
          <w:sz w:val="18"/>
          <w:szCs w:val="18"/>
          <w:color w:val="auto"/>
        </w:rPr>
      </w:pPr>
    </w:p>
    <w:p>
      <w:pPr>
        <w:ind w:right="340" w:firstLine="8"/>
        <w:spacing w:after="0" w:line="277" w:lineRule="auto"/>
        <w:tabs>
          <w:tab w:leader="none" w:pos="2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person or company that Controls the Company becoming bound or entitled to acquire Shares under sections 974 to 991 of the UK Companies Act 2006,</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court sanctioning a compromise or arrangement under section 899 of the UK Companies Act 2006,</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resolution being tabled for the voluntary winding-up of the Company,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Acquiring Company acquiring all or substantially all of the assets of the Company,</w:t>
      </w:r>
    </w:p>
    <w:p>
      <w:pPr>
        <w:spacing w:after="0" w:line="225" w:lineRule="exact"/>
        <w:rPr>
          <w:sz w:val="20"/>
          <w:szCs w:val="20"/>
          <w:color w:val="auto"/>
        </w:rPr>
      </w:pPr>
    </w:p>
    <w:p>
      <w:pPr>
        <w:ind w:right="60" w:firstLine="8"/>
        <w:spacing w:after="0" w:line="312" w:lineRule="auto"/>
        <w:tabs>
          <w:tab w:leader="none" w:pos="3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merger, reorganization, consolidation or other similar transaction pursuant to which the holders of the Company’s outstanding voting power and outstanding stock immediately prior to such transaction do not own a majority of the outstanding voting power and outstanding stock or other equity interests of the Company or any resulting or successor entity (or its ultimate parent, if applicable) immediately upon completion of such transaction,</w:t>
      </w:r>
    </w:p>
    <w:p>
      <w:pPr>
        <w:spacing w:after="0" w:line="146" w:lineRule="exact"/>
        <w:rPr>
          <w:rFonts w:ascii="Arial" w:cs="Arial" w:eastAsia="Arial" w:hAnsi="Arial"/>
          <w:sz w:val="16"/>
          <w:szCs w:val="16"/>
          <w:color w:val="auto"/>
        </w:rPr>
      </w:pPr>
    </w:p>
    <w:p>
      <w:pPr>
        <w:ind w:left="420" w:hanging="412"/>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sale of all of the Shares of the Company to an unrelated person, entity or group thereof acting in concert, and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similar transaction which the Board determines should constitute a Change of Control for the purposes of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ADOPTED BY BOARD OF DIRECTORS: July 6, 2015</w:t>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172085</wp:posOffset>
            </wp:positionV>
            <wp:extent cx="3035935" cy="677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0359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July 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Joseph T. Kennedy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Joe:</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Thank you for your continued service with Amarin Corporation plc (the “Company”). The purpose of this letter is to amend certain terms of that certain letter agreement between you and the Company dated December 13, 2011 concerning the terms of your employment with the Company (the “Employment Agreement”), which is enclosed herewith for your reference. Except as specifically amended herein, all other terms and conditions of the Employment Agreement will remain in full force and effect, unless amended or otherwise modified under separate cover.</w:t>
      </w:r>
    </w:p>
    <w:p>
      <w:pPr>
        <w:spacing w:after="0" w:line="198"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fourth (4</w:t>
      </w:r>
      <w:r>
        <w:rPr>
          <w:rFonts w:ascii="Arial" w:cs="Arial" w:eastAsia="Arial" w:hAnsi="Arial"/>
          <w:sz w:val="15"/>
          <w:szCs w:val="15"/>
          <w:color w:val="auto"/>
        </w:rPr>
        <w:t>th</w:t>
      </w:r>
      <w:r>
        <w:rPr>
          <w:rFonts w:ascii="Arial" w:cs="Arial" w:eastAsia="Arial" w:hAnsi="Arial"/>
          <w:sz w:val="18"/>
          <w:szCs w:val="18"/>
          <w:color w:val="auto"/>
        </w:rPr>
        <w:t>) sentence of Section 1 of the Employment Agreement is replaced with the following:</w:t>
      </w:r>
    </w:p>
    <w:p>
      <w:pPr>
        <w:spacing w:after="0" w:line="225" w:lineRule="exact"/>
        <w:rPr>
          <w:sz w:val="20"/>
          <w:szCs w:val="20"/>
          <w:color w:val="auto"/>
        </w:rPr>
      </w:pPr>
    </w:p>
    <w:p>
      <w:pPr>
        <w:ind w:left="1140" w:right="80"/>
        <w:spacing w:after="0" w:line="259" w:lineRule="auto"/>
        <w:rPr>
          <w:sz w:val="20"/>
          <w:szCs w:val="20"/>
          <w:color w:val="auto"/>
        </w:rPr>
      </w:pPr>
      <w:r>
        <w:rPr>
          <w:rFonts w:ascii="Arial" w:cs="Arial" w:eastAsia="Arial" w:hAnsi="Arial"/>
          <w:sz w:val="18"/>
          <w:szCs w:val="18"/>
          <w:color w:val="auto"/>
        </w:rPr>
        <w:t>Notwithstanding the foregoing, you may (i) serve on one or more outside boards of directors, provided that in each case you receive prior consent of the Company’s Board of Directors or the Nominating and Corporate Governance Committee of the Company’s Board of Directors and (ii) engage in religious, charitable, or other community activities so long as such services or activities do not interfere or conflict with your obligations to the Company.</w:t>
      </w:r>
    </w:p>
    <w:p>
      <w:pPr>
        <w:spacing w:after="0" w:line="214"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paragraph beginning “Change of Control” in Section 10 of the Employment Agreement is replaced with the following:</w:t>
      </w:r>
    </w:p>
    <w:p>
      <w:pPr>
        <w:spacing w:after="0" w:line="225" w:lineRule="exact"/>
        <w:rPr>
          <w:sz w:val="20"/>
          <w:szCs w:val="20"/>
          <w:color w:val="auto"/>
        </w:rPr>
      </w:pPr>
    </w:p>
    <w:p>
      <w:pPr>
        <w:ind w:left="1140" w:right="100"/>
        <w:spacing w:after="0" w:line="264" w:lineRule="auto"/>
        <w:rPr>
          <w:sz w:val="20"/>
          <w:szCs w:val="20"/>
          <w:color w:val="auto"/>
        </w:rPr>
      </w:pPr>
      <w:r>
        <w:rPr>
          <w:rFonts w:ascii="Arial" w:cs="Arial" w:eastAsia="Arial" w:hAnsi="Arial"/>
          <w:sz w:val="18"/>
          <w:szCs w:val="18"/>
          <w:color w:val="auto"/>
        </w:rPr>
        <w:t>The meaning of “Change of Control” shall be limited to the following events, but only to the extent such events constitute a “change in the ownership or effective control” of the Company or a “change in the ownership of a substantial portion of the Company’s assets” for purposes of Section 409A of the Code:</w:t>
      </w:r>
    </w:p>
    <w:p>
      <w:pPr>
        <w:spacing w:after="0" w:line="208" w:lineRule="exact"/>
        <w:rPr>
          <w:sz w:val="20"/>
          <w:szCs w:val="20"/>
          <w:color w:val="auto"/>
        </w:rPr>
      </w:pPr>
    </w:p>
    <w:p>
      <w:pPr>
        <w:ind w:left="1920" w:right="480" w:hanging="440"/>
        <w:spacing w:after="0" w:line="277" w:lineRule="auto"/>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person or company (either alone or together with any person or company acting in concert with him or it) (an “Acquiring Company”) obtaining Control of the Company,</w:t>
      </w:r>
    </w:p>
    <w:p>
      <w:pPr>
        <w:spacing w:after="0" w:line="197" w:lineRule="exact"/>
        <w:rPr>
          <w:rFonts w:ascii="Arial" w:cs="Arial" w:eastAsia="Arial" w:hAnsi="Arial"/>
          <w:sz w:val="18"/>
          <w:szCs w:val="18"/>
          <w:color w:val="auto"/>
        </w:rPr>
      </w:pPr>
    </w:p>
    <w:p>
      <w:pPr>
        <w:ind w:left="1920" w:right="160" w:hanging="440"/>
        <w:spacing w:after="0" w:line="277" w:lineRule="auto"/>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person or company that Controls the Company becoming bound or entitled to acquire Shares under sections 974 to 991 of the UK Companies Act 2006,</w:t>
      </w:r>
    </w:p>
    <w:p>
      <w:pPr>
        <w:sectPr>
          <w:pgSz w:w="11900" w:h="16838" w:orient="portrait"/>
          <w:cols w:equalWidth="0" w:num="1">
            <w:col w:w="11420"/>
          </w:cols>
          <w:pgMar w:left="240" w:top="121" w:right="239" w:bottom="1440" w:gutter="0" w:footer="0" w:header="0"/>
        </w:sectPr>
      </w:pPr>
    </w:p>
    <w:bookmarkStart w:id="81" w:name="page82"/>
    <w:bookmarkEnd w:id="81"/>
    <w:p>
      <w:pPr>
        <w:ind w:left="780" w:hanging="440"/>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court sanctioning a compromise or arrangement under section 899 of the UK Companies Act 2006,</w:t>
      </w:r>
    </w:p>
    <w:p>
      <w:pPr>
        <w:spacing w:after="0" w:line="252" w:lineRule="exact"/>
        <w:rPr>
          <w:rFonts w:ascii="Arial" w:cs="Arial" w:eastAsia="Arial" w:hAnsi="Arial"/>
          <w:sz w:val="18"/>
          <w:szCs w:val="18"/>
          <w:color w:val="auto"/>
        </w:rPr>
      </w:pPr>
    </w:p>
    <w:p>
      <w:pPr>
        <w:ind w:left="780" w:hanging="440"/>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resolution being tabled for the voluntary winding-up of the Company,</w:t>
      </w:r>
    </w:p>
    <w:p>
      <w:pPr>
        <w:spacing w:after="0" w:line="252" w:lineRule="exact"/>
        <w:rPr>
          <w:rFonts w:ascii="Arial" w:cs="Arial" w:eastAsia="Arial" w:hAnsi="Arial"/>
          <w:sz w:val="18"/>
          <w:szCs w:val="18"/>
          <w:color w:val="auto"/>
        </w:rPr>
      </w:pPr>
    </w:p>
    <w:p>
      <w:pPr>
        <w:ind w:left="780" w:hanging="440"/>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Acquiring Company acquiring all or substantially all of the assets of the Company,</w:t>
      </w:r>
    </w:p>
    <w:p>
      <w:pPr>
        <w:spacing w:after="0" w:line="252" w:lineRule="exact"/>
        <w:rPr>
          <w:rFonts w:ascii="Arial" w:cs="Arial" w:eastAsia="Arial" w:hAnsi="Arial"/>
          <w:sz w:val="18"/>
          <w:szCs w:val="18"/>
          <w:color w:val="auto"/>
        </w:rPr>
      </w:pPr>
    </w:p>
    <w:p>
      <w:pPr>
        <w:ind w:left="780" w:right="20" w:hanging="440"/>
        <w:spacing w:after="0" w:line="259"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merger, reorganization, consolidation or other similar transaction pursuant to which the holders of the Company’s outstanding voting power and outstanding stock immediately prior to such transaction do not own a majority of the outstanding voting power and outstanding stock or other equity interests of the Company or any resulting or successor entity (or its ultimate parent, if applicable) immediately upon completion of such transaction,</w:t>
      </w:r>
    </w:p>
    <w:p>
      <w:pPr>
        <w:spacing w:after="0" w:line="213" w:lineRule="exact"/>
        <w:rPr>
          <w:rFonts w:ascii="Arial" w:cs="Arial" w:eastAsia="Arial" w:hAnsi="Arial"/>
          <w:sz w:val="18"/>
          <w:szCs w:val="18"/>
          <w:color w:val="auto"/>
        </w:rPr>
      </w:pPr>
    </w:p>
    <w:p>
      <w:pPr>
        <w:ind w:left="780" w:hanging="440"/>
        <w:spacing w:after="0"/>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sale of all or a majority of the Shares of the Company to an unrelated person, entity or group thereof acting in concert, or</w:t>
      </w:r>
    </w:p>
    <w:p>
      <w:pPr>
        <w:spacing w:after="0" w:line="263" w:lineRule="exact"/>
        <w:rPr>
          <w:rFonts w:ascii="Arial" w:cs="Arial" w:eastAsia="Arial" w:hAnsi="Arial"/>
          <w:sz w:val="17"/>
          <w:szCs w:val="17"/>
          <w:color w:val="auto"/>
        </w:rPr>
      </w:pPr>
    </w:p>
    <w:p>
      <w:pPr>
        <w:ind w:left="780" w:hanging="440"/>
        <w:spacing w:after="0"/>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other similar transaction which the Board determines should constitute a Change of Control for the purposes of the Plan.</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“Control” means the ownership of more than fifty (50) percent of the issued share capital or other equity interest of the Company or the legal power to direct or cause the direction of the general management and policies of the Company.</w:t>
      </w:r>
    </w:p>
    <w:p>
      <w:pPr>
        <w:spacing w:after="0" w:line="17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60"/>
          </w:cols>
          <w:pgMar w:left="1380" w:top="274" w:right="359" w:bottom="1440" w:gutter="0" w:footer="0" w:header="0"/>
        </w:sectPr>
      </w:pPr>
    </w:p>
    <w:bookmarkStart w:id="82" w:name="page83"/>
    <w:bookmarkEnd w:id="8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look forward to continuing working with you at Amarin. If you have any questions about the above amendments, please do not hesitate to call. Otherwise, please confirm your acceptance of these amendments by signing below and returning a copy to me no later than July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AMARIN CORPORATION PLC</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Signed:</w:t>
        <w:tab/>
        <w:t>/s/ John F. Thero</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John F. Thero, President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24612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July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076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763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understand, acknowledge, and accept the amended terms and conditions of my Employment Agreement as stated above.</w:t>
      </w:r>
    </w:p>
    <w:p>
      <w:pPr>
        <w:spacing w:after="0" w:line="200" w:lineRule="exact"/>
        <w:rPr>
          <w:sz w:val="20"/>
          <w:szCs w:val="20"/>
          <w:color w:val="auto"/>
        </w:rPr>
      </w:pPr>
    </w:p>
    <w:p>
      <w:pPr>
        <w:spacing w:after="0" w:line="2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Signed:</w:t>
        <w:tab/>
        <w:t>/s/ Joseph T. Kennedy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Joseph T.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24612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July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076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76325"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172085</wp:posOffset>
            </wp:positionV>
            <wp:extent cx="3035935" cy="677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359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July 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Steven B. Ketchum, Ph.D.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Steven: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Thank you for your continued service with Amarin Corporation plc (the “Company”). The purpose of this letter is to amend certain terms of that certain letter agreement between you and the Company dated February 8, 2012 concerning the terms of your employment with the Company (the “Employment Agreement”), which is enclosed herewith for your reference. Except as specifically amended herein, all other terms and conditions of the Employment Agreement will remain in full force and effect, unless amended or otherwise modified under separate cover.</w:t>
      </w:r>
    </w:p>
    <w:p>
      <w:pPr>
        <w:spacing w:after="0" w:line="214"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paragraph beginning “Change of Control” in Section 9 of the Employment Agreement is replaced with the following:</w:t>
      </w:r>
    </w:p>
    <w:p>
      <w:pPr>
        <w:spacing w:after="0" w:line="225" w:lineRule="exact"/>
        <w:rPr>
          <w:sz w:val="20"/>
          <w:szCs w:val="20"/>
          <w:color w:val="auto"/>
        </w:rPr>
      </w:pPr>
    </w:p>
    <w:p>
      <w:pPr>
        <w:ind w:left="1140" w:right="100"/>
        <w:spacing w:after="0" w:line="264" w:lineRule="auto"/>
        <w:rPr>
          <w:sz w:val="20"/>
          <w:szCs w:val="20"/>
          <w:color w:val="auto"/>
        </w:rPr>
      </w:pPr>
      <w:r>
        <w:rPr>
          <w:rFonts w:ascii="Arial" w:cs="Arial" w:eastAsia="Arial" w:hAnsi="Arial"/>
          <w:sz w:val="18"/>
          <w:szCs w:val="18"/>
          <w:color w:val="auto"/>
        </w:rPr>
        <w:t>The meaning of “Change of Control” shall be limited to the following events, but only to the extent such events constitute a “change in the ownership or effective control” of the Company or a “change in the ownership of a substantial portion of the Company’s assets” for purposes of Section 409A of the Code:</w:t>
      </w:r>
    </w:p>
    <w:p>
      <w:pPr>
        <w:spacing w:after="0" w:line="208" w:lineRule="exact"/>
        <w:rPr>
          <w:sz w:val="20"/>
          <w:szCs w:val="20"/>
          <w:color w:val="auto"/>
        </w:rPr>
      </w:pPr>
    </w:p>
    <w:p>
      <w:pPr>
        <w:ind w:left="1920" w:right="480" w:hanging="440"/>
        <w:spacing w:after="0" w:line="277" w:lineRule="auto"/>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person or company (either alone or together with any person or company acting in concert with him or it) (an “Acquiring Company”) obtaining Control of the Company,</w:t>
      </w:r>
    </w:p>
    <w:p>
      <w:pPr>
        <w:spacing w:after="0" w:line="197" w:lineRule="exact"/>
        <w:rPr>
          <w:rFonts w:ascii="Arial" w:cs="Arial" w:eastAsia="Arial" w:hAnsi="Arial"/>
          <w:sz w:val="18"/>
          <w:szCs w:val="18"/>
          <w:color w:val="auto"/>
        </w:rPr>
      </w:pPr>
    </w:p>
    <w:p>
      <w:pPr>
        <w:ind w:left="1920" w:right="160" w:hanging="440"/>
        <w:spacing w:after="0" w:line="277" w:lineRule="auto"/>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person or company that Controls the Company becoming bound or entitled to acquire Shares under sections 974 to 991 of the UK Companies Act 2006,</w:t>
      </w:r>
    </w:p>
    <w:p>
      <w:pPr>
        <w:spacing w:after="0" w:line="197" w:lineRule="exact"/>
        <w:rPr>
          <w:rFonts w:ascii="Arial" w:cs="Arial" w:eastAsia="Arial" w:hAnsi="Arial"/>
          <w:sz w:val="18"/>
          <w:szCs w:val="18"/>
          <w:color w:val="auto"/>
        </w:rPr>
      </w:pPr>
    </w:p>
    <w:p>
      <w:pPr>
        <w:ind w:left="1920" w:hanging="440"/>
        <w:spacing w:after="0"/>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court sanctioning a compromise or arrangement under section 899 of the UK Companies Act 2006,</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resolution being tabled for the voluntary winding-up of the Company,</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Acquiring Company acquiring all or substantially all of the assets of the Company,</w:t>
      </w:r>
    </w:p>
    <w:p>
      <w:pPr>
        <w:spacing w:after="0" w:line="252" w:lineRule="exact"/>
        <w:rPr>
          <w:rFonts w:ascii="Arial" w:cs="Arial" w:eastAsia="Arial" w:hAnsi="Arial"/>
          <w:sz w:val="18"/>
          <w:szCs w:val="18"/>
          <w:color w:val="auto"/>
        </w:rPr>
      </w:pPr>
    </w:p>
    <w:p>
      <w:pPr>
        <w:ind w:left="1920" w:right="140" w:hanging="440"/>
        <w:spacing w:after="0" w:line="259" w:lineRule="auto"/>
        <w:tabs>
          <w:tab w:leader="none" w:pos="1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merger, reorganization, consolidation or other similar transaction pursuant to which the holders of the Company’s outstanding voting power and outstanding stock immediately prior to such transaction do not own a majority of the outstanding voting power and outstanding stock or other equity interests of the Company or any resulting or successor entity (or its ultimate parent, if applicable) immediately upon completion of such transaction,</w:t>
      </w:r>
    </w:p>
    <w:p>
      <w:pPr>
        <w:sectPr>
          <w:pgSz w:w="11900" w:h="16838" w:orient="portrait"/>
          <w:cols w:equalWidth="0" w:num="1">
            <w:col w:w="11420"/>
          </w:cols>
          <w:pgMar w:left="240" w:top="121" w:right="239" w:bottom="1440" w:gutter="0" w:footer="0" w:header="0"/>
        </w:sectPr>
      </w:pPr>
    </w:p>
    <w:bookmarkStart w:id="84" w:name="page85"/>
    <w:bookmarkEnd w:id="84"/>
    <w:p>
      <w:pPr>
        <w:ind w:left="1920" w:hanging="440"/>
        <w:spacing w:after="0"/>
        <w:tabs>
          <w:tab w:leader="none" w:pos="1920" w:val="left"/>
        </w:tabs>
        <w:numPr>
          <w:ilvl w:val="0"/>
          <w:numId w:val="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sale of all or a majority of the Shares of the Company to an unrelated person, entity or group thereof acting in concert, or</w:t>
      </w:r>
    </w:p>
    <w:p>
      <w:pPr>
        <w:spacing w:after="0" w:line="263" w:lineRule="exact"/>
        <w:rPr>
          <w:rFonts w:ascii="Arial" w:cs="Arial" w:eastAsia="Arial" w:hAnsi="Arial"/>
          <w:sz w:val="17"/>
          <w:szCs w:val="17"/>
          <w:color w:val="auto"/>
        </w:rPr>
      </w:pPr>
    </w:p>
    <w:p>
      <w:pPr>
        <w:ind w:left="1920" w:hanging="440"/>
        <w:spacing w:after="0"/>
        <w:tabs>
          <w:tab w:leader="none" w:pos="19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other similar transaction which the Board determines should constitute a Change of Control for the purposes of the Plan.</w:t>
      </w:r>
    </w:p>
    <w:p>
      <w:pPr>
        <w:spacing w:after="0" w:line="237" w:lineRule="exact"/>
        <w:rPr>
          <w:sz w:val="20"/>
          <w:szCs w:val="20"/>
          <w:color w:val="auto"/>
        </w:rPr>
      </w:pPr>
    </w:p>
    <w:p>
      <w:pPr>
        <w:ind w:left="1140" w:right="100"/>
        <w:spacing w:after="0" w:line="277" w:lineRule="auto"/>
        <w:rPr>
          <w:sz w:val="20"/>
          <w:szCs w:val="20"/>
          <w:color w:val="auto"/>
        </w:rPr>
      </w:pPr>
      <w:r>
        <w:rPr>
          <w:rFonts w:ascii="Arial" w:cs="Arial" w:eastAsia="Arial" w:hAnsi="Arial"/>
          <w:sz w:val="18"/>
          <w:szCs w:val="18"/>
          <w:color w:val="auto"/>
        </w:rPr>
        <w:t>“Control” means the ownership of more than fifty (50) percent of the issued share capital or other equity interest of the Company or the legal power to direct or cause the direction of the general management and policies of the Company.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look forward to continuing working with you at Amarin. If you have any questions about the above amendments, please do not hesitate to call. Otherwise, please confirm your acceptance of these amendments by signing below and returning a copy to me no later than July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AMARIN CORPORATION PLC</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Signed:</w:t>
        <w:tab/>
        <w:t>/s/ John F. Thero</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John F. Thero, President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24612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July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076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763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understand, acknowledge, and accept the amended terms and conditions of my Employment Agreement as stated above.</w:t>
      </w:r>
    </w:p>
    <w:p>
      <w:pPr>
        <w:spacing w:after="0" w:line="200" w:lineRule="exact"/>
        <w:rPr>
          <w:sz w:val="20"/>
          <w:szCs w:val="20"/>
          <w:color w:val="auto"/>
        </w:rPr>
      </w:pPr>
    </w:p>
    <w:p>
      <w:pPr>
        <w:spacing w:after="0" w:line="2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Signed:</w:t>
        <w:tab/>
        <w:t>/s/ Steven B. Ketchum</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Steven B. Ketchum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24612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July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076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76325"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171450</wp:posOffset>
            </wp:positionV>
            <wp:extent cx="3035935" cy="677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359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July 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F. Thero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John: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Thank you for your continued service with Amarin Corporation plc (the “Company”). The purpose of this letter is to amend certain terms of that certain January 2014 letter agreement between you and the Company concerning the terms of your employment with the Company (the “Employment Agreement”), which is enclosed herewith for your reference. Except as specifically amended herein, all other terms and conditions of the Employment Agreement will remain in full force and effect, unless amended or otherwise modified under separate cover.</w:t>
      </w:r>
    </w:p>
    <w:p>
      <w:pPr>
        <w:spacing w:after="0" w:line="214"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paragraph beginning “Change of Control” in Section 7 of the Employment Agreement is replaced with the following:</w:t>
      </w:r>
    </w:p>
    <w:p>
      <w:pPr>
        <w:spacing w:after="0" w:line="225" w:lineRule="exact"/>
        <w:rPr>
          <w:sz w:val="20"/>
          <w:szCs w:val="20"/>
          <w:color w:val="auto"/>
        </w:rPr>
      </w:pPr>
    </w:p>
    <w:p>
      <w:pPr>
        <w:ind w:left="1140" w:right="100"/>
        <w:spacing w:after="0" w:line="264" w:lineRule="auto"/>
        <w:rPr>
          <w:sz w:val="20"/>
          <w:szCs w:val="20"/>
          <w:color w:val="auto"/>
        </w:rPr>
      </w:pPr>
      <w:r>
        <w:rPr>
          <w:rFonts w:ascii="Arial" w:cs="Arial" w:eastAsia="Arial" w:hAnsi="Arial"/>
          <w:sz w:val="18"/>
          <w:szCs w:val="18"/>
          <w:color w:val="auto"/>
        </w:rPr>
        <w:t>The meaning of “Change of Control” shall be limited to the following events, but only to the extent such events constitute a “change in the ownership or effective control” of the Company or a “change in the ownership of a substantial portion of the Company’s assets” for purposes of Section 409A of the Code:</w:t>
      </w:r>
    </w:p>
    <w:p>
      <w:pPr>
        <w:spacing w:after="0" w:line="208" w:lineRule="exact"/>
        <w:rPr>
          <w:sz w:val="20"/>
          <w:szCs w:val="20"/>
          <w:color w:val="auto"/>
        </w:rPr>
      </w:pPr>
    </w:p>
    <w:p>
      <w:pPr>
        <w:ind w:left="1920" w:right="480" w:hanging="440"/>
        <w:spacing w:after="0" w:line="277" w:lineRule="auto"/>
        <w:tabs>
          <w:tab w:leader="none" w:pos="1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person or company (either alone or together with any person or company acting in concert with him or it) (an “Acquiring Company”) obtaining Control of the Company,</w:t>
      </w:r>
    </w:p>
    <w:p>
      <w:pPr>
        <w:spacing w:after="0" w:line="197" w:lineRule="exact"/>
        <w:rPr>
          <w:rFonts w:ascii="Arial" w:cs="Arial" w:eastAsia="Arial" w:hAnsi="Arial"/>
          <w:sz w:val="18"/>
          <w:szCs w:val="18"/>
          <w:color w:val="auto"/>
        </w:rPr>
      </w:pPr>
    </w:p>
    <w:p>
      <w:pPr>
        <w:ind w:left="1920" w:right="160" w:hanging="440"/>
        <w:spacing w:after="0" w:line="277" w:lineRule="auto"/>
        <w:tabs>
          <w:tab w:leader="none" w:pos="1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person or company that Controls the Company becoming bound or entitled to acquire Shares under sections 974 to 991 of the UK Companies Act 2006,</w:t>
      </w:r>
    </w:p>
    <w:p>
      <w:pPr>
        <w:spacing w:after="0" w:line="197" w:lineRule="exact"/>
        <w:rPr>
          <w:rFonts w:ascii="Arial" w:cs="Arial" w:eastAsia="Arial" w:hAnsi="Arial"/>
          <w:sz w:val="18"/>
          <w:szCs w:val="18"/>
          <w:color w:val="auto"/>
        </w:rPr>
      </w:pPr>
    </w:p>
    <w:p>
      <w:pPr>
        <w:ind w:left="1920" w:hanging="440"/>
        <w:spacing w:after="0"/>
        <w:tabs>
          <w:tab w:leader="none" w:pos="1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court sanctioning a compromise or arrangement under section 899 of the UK Companies Act 2006,</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resolution being tabled for the voluntary winding-up of the Company,</w:t>
      </w:r>
    </w:p>
    <w:p>
      <w:pPr>
        <w:spacing w:after="0" w:line="252" w:lineRule="exact"/>
        <w:rPr>
          <w:rFonts w:ascii="Arial" w:cs="Arial" w:eastAsia="Arial" w:hAnsi="Arial"/>
          <w:sz w:val="18"/>
          <w:szCs w:val="18"/>
          <w:color w:val="auto"/>
        </w:rPr>
      </w:pPr>
    </w:p>
    <w:p>
      <w:pPr>
        <w:ind w:left="1920" w:hanging="440"/>
        <w:spacing w:after="0"/>
        <w:tabs>
          <w:tab w:leader="none" w:pos="1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Acquiring Company acquiring all or substantially all of the assets of the Company,</w:t>
      </w:r>
    </w:p>
    <w:p>
      <w:pPr>
        <w:spacing w:after="0" w:line="252" w:lineRule="exact"/>
        <w:rPr>
          <w:rFonts w:ascii="Arial" w:cs="Arial" w:eastAsia="Arial" w:hAnsi="Arial"/>
          <w:sz w:val="18"/>
          <w:szCs w:val="18"/>
          <w:color w:val="auto"/>
        </w:rPr>
      </w:pPr>
    </w:p>
    <w:p>
      <w:pPr>
        <w:ind w:left="1920" w:right="140" w:hanging="440"/>
        <w:spacing w:after="0" w:line="259" w:lineRule="auto"/>
        <w:tabs>
          <w:tab w:leader="none" w:pos="1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merger, reorganization, consolidation or other similar transaction pursuant to which the holders of the Company’s outstanding voting power and outstanding stock immediately prior to such transaction do not own a majority of the outstanding voting power and outstanding stock or other equity interests of the Company or any resulting or successor entity (or its ultimate parent, if applicable) immediately upon completion of such transaction,</w:t>
      </w:r>
    </w:p>
    <w:p>
      <w:pPr>
        <w:sectPr>
          <w:pgSz w:w="11900" w:h="16838" w:orient="portrait"/>
          <w:cols w:equalWidth="0" w:num="1">
            <w:col w:w="11420"/>
          </w:cols>
          <w:pgMar w:left="240" w:top="121" w:right="239" w:bottom="1440" w:gutter="0" w:footer="0" w:header="0"/>
        </w:sectPr>
      </w:pPr>
    </w:p>
    <w:bookmarkStart w:id="86" w:name="page87"/>
    <w:bookmarkEnd w:id="86"/>
    <w:p>
      <w:pPr>
        <w:ind w:left="1920" w:hanging="440"/>
        <w:spacing w:after="0"/>
        <w:tabs>
          <w:tab w:leader="none" w:pos="1920" w:val="left"/>
        </w:tabs>
        <w:numPr>
          <w:ilvl w:val="0"/>
          <w:numId w:val="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sale of all or a majority of the Shares of the Company to an unrelated person, entity or group thereof acting in concert, or</w:t>
      </w:r>
    </w:p>
    <w:p>
      <w:pPr>
        <w:spacing w:after="0" w:line="263" w:lineRule="exact"/>
        <w:rPr>
          <w:rFonts w:ascii="Arial" w:cs="Arial" w:eastAsia="Arial" w:hAnsi="Arial"/>
          <w:sz w:val="17"/>
          <w:szCs w:val="17"/>
          <w:color w:val="auto"/>
        </w:rPr>
      </w:pPr>
    </w:p>
    <w:p>
      <w:pPr>
        <w:ind w:left="1920" w:hanging="440"/>
        <w:spacing w:after="0"/>
        <w:tabs>
          <w:tab w:leader="none" w:pos="19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other similar transaction which the Board determines should constitute a Change of Control for the purposes of the Plan.</w:t>
      </w:r>
    </w:p>
    <w:p>
      <w:pPr>
        <w:spacing w:after="0" w:line="237" w:lineRule="exact"/>
        <w:rPr>
          <w:sz w:val="20"/>
          <w:szCs w:val="20"/>
          <w:color w:val="auto"/>
        </w:rPr>
      </w:pPr>
    </w:p>
    <w:p>
      <w:pPr>
        <w:ind w:left="1140" w:right="100"/>
        <w:spacing w:after="0" w:line="277" w:lineRule="auto"/>
        <w:rPr>
          <w:sz w:val="20"/>
          <w:szCs w:val="20"/>
          <w:color w:val="auto"/>
        </w:rPr>
      </w:pPr>
      <w:r>
        <w:rPr>
          <w:rFonts w:ascii="Arial" w:cs="Arial" w:eastAsia="Arial" w:hAnsi="Arial"/>
          <w:sz w:val="18"/>
          <w:szCs w:val="18"/>
          <w:color w:val="auto"/>
        </w:rPr>
        <w:t>“Control” means the ownership of more than fifty (50) percent of the issued share capital or other equity interest of the Company or the legal power to direct or cause the direction of the general management and policies of the Company.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look forward to continuing working with you at Amarin. If you have any questions about the above amendments, please do not hesitate to call. Otherwise, please confirm your acceptance of these amendments by signing below and returning a copy to me no later than July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AMARIN CORPORATION PLC</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Signed:</w:t>
        <w:tab/>
        <w:t>/s/ Joseph T. Kennedy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Joseph T.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24612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July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076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763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 understand, acknowledge, and accept the amended terms and conditions of my Employment Agreement as stated above.</w:t>
      </w:r>
    </w:p>
    <w:p>
      <w:pPr>
        <w:spacing w:after="0" w:line="200" w:lineRule="exact"/>
        <w:rPr>
          <w:sz w:val="20"/>
          <w:szCs w:val="20"/>
          <w:color w:val="auto"/>
        </w:rPr>
      </w:pPr>
    </w:p>
    <w:p>
      <w:pPr>
        <w:spacing w:after="0" w:line="2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Signed:</w:t>
        <w:tab/>
        <w:t>/s/ John F. Thero</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24612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July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076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76325"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131"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right="560" w:hanging="446"/>
        <w:spacing w:after="0" w:line="264"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880" w:val="left"/>
          <w:tab w:leader="none" w:pos="8220" w:val="left"/>
        </w:tabs>
        <w:rPr>
          <w:sz w:val="20"/>
          <w:szCs w:val="20"/>
          <w:color w:val="auto"/>
        </w:rPr>
      </w:pPr>
      <w:r>
        <w:rPr>
          <w:rFonts w:ascii="Arial" w:cs="Arial" w:eastAsia="Arial" w:hAnsi="Arial"/>
          <w:sz w:val="18"/>
          <w:szCs w:val="18"/>
          <w:color w:val="auto"/>
        </w:rPr>
        <w:t>Date: August 6,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John F. Thero</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Farrell, certify that:</w:t>
      </w:r>
    </w:p>
    <w:p>
      <w:pPr>
        <w:spacing w:after="0" w:line="131"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720" w:val="left"/>
          <w:tab w:leader="none" w:pos="8080" w:val="left"/>
        </w:tabs>
        <w:rPr>
          <w:sz w:val="20"/>
          <w:szCs w:val="20"/>
          <w:color w:val="auto"/>
        </w:rPr>
      </w:pPr>
      <w:r>
        <w:rPr>
          <w:rFonts w:ascii="Arial" w:cs="Arial" w:eastAsia="Arial" w:hAnsi="Arial"/>
          <w:sz w:val="18"/>
          <w:szCs w:val="18"/>
          <w:color w:val="auto"/>
        </w:rPr>
        <w:t>Date: August 6,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J.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Michael J. Farrell</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J. Farrell, Vice President, Finance (Principal Financial Officer) of the Company, each hereby certifies that, to the best of his knowledge:</w:t>
      </w:r>
    </w:p>
    <w:p>
      <w:pPr>
        <w:spacing w:after="0" w:line="92" w:lineRule="exact"/>
        <w:rPr>
          <w:sz w:val="20"/>
          <w:szCs w:val="20"/>
          <w:color w:val="auto"/>
        </w:rPr>
      </w:pPr>
    </w:p>
    <w:p>
      <w:pPr>
        <w:ind w:left="460" w:right="680" w:hanging="452"/>
        <w:spacing w:after="0" w:line="308"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2015, to which this Certification is attached as Exhibit 32.1 (the “Quarterly Report”) fully complies with the requirements of Section 13(a) or 15(d) of the Securities Exchange Act of 1934; and</w:t>
      </w:r>
    </w:p>
    <w:p>
      <w:pPr>
        <w:spacing w:after="0" w:line="51" w:lineRule="exact"/>
        <w:rPr>
          <w:rFonts w:ascii="Arial" w:cs="Arial" w:eastAsia="Arial" w:hAnsi="Arial"/>
          <w:sz w:val="17"/>
          <w:szCs w:val="17"/>
          <w:color w:val="auto"/>
        </w:rPr>
      </w:pPr>
    </w:p>
    <w:p>
      <w:pPr>
        <w:ind w:left="460" w:right="560" w:hanging="452"/>
        <w:spacing w:after="0" w:line="277"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Date: August 6, 2015</w:t>
            </w:r>
          </w:p>
        </w:tc>
        <w:tc>
          <w:tcPr>
            <w:tcW w:w="536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30"/>
        </w:trPr>
        <w:tc>
          <w:tcPr>
            <w:tcW w:w="6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and Chief Executive Officer (Principal Executive Officer)</w:t>
            </w:r>
          </w:p>
        </w:tc>
      </w:tr>
      <w:tr>
        <w:trPr>
          <w:trHeight w:val="432"/>
        </w:trPr>
        <w:tc>
          <w:tcPr>
            <w:tcW w:w="606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Farrell</w:t>
            </w: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Date: August 6, 2015</w:t>
            </w:r>
          </w:p>
        </w:tc>
        <w:tc>
          <w:tcPr>
            <w:tcW w:w="5360" w:type="dxa"/>
            <w:vAlign w:val="bottom"/>
          </w:tcPr>
          <w:p>
            <w:pPr>
              <w:spacing w:after="0"/>
              <w:rPr>
                <w:sz w:val="20"/>
                <w:szCs w:val="20"/>
                <w:color w:val="auto"/>
              </w:rPr>
            </w:pPr>
            <w:r>
              <w:rPr>
                <w:rFonts w:ascii="Arial" w:cs="Arial" w:eastAsia="Arial" w:hAnsi="Arial"/>
                <w:sz w:val="18"/>
                <w:szCs w:val="18"/>
                <w:color w:val="auto"/>
              </w:rPr>
              <w:t>Michael J. Farrell</w:t>
            </w:r>
          </w:p>
        </w:tc>
      </w:tr>
      <w:tr>
        <w:trPr>
          <w:trHeight w:val="230"/>
        </w:trPr>
        <w:tc>
          <w:tcPr>
            <w:tcW w:w="6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Finance (Principal Financial Officer)</w:t>
            </w:r>
          </w:p>
        </w:tc>
      </w:tr>
    </w:tbl>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decimal"/>
      <w:start w:val="2"/>
    </w:lvl>
  </w:abstractNum>
  <w:abstractNum w:abstractNumId="4">
    <w:nsid w:val="6CEAF087"/>
    <w:multiLevelType w:val="hybridMultilevel"/>
    <w:lvl w:ilvl="0">
      <w:lvlJc w:val="left"/>
      <w:lvlText w:val="(%1)"/>
      <w:numFmt w:val="lowerRoman"/>
      <w:start w:val="1"/>
    </w:lvl>
  </w:abstractNum>
  <w:abstractNum w:abstractNumId="5">
    <w:nsid w:val="22221A70"/>
    <w:multiLevelType w:val="hybridMultilevel"/>
    <w:lvl w:ilvl="0">
      <w:lvlJc w:val="left"/>
      <w:lvlText w:val="(%1)"/>
      <w:numFmt w:val="lowerRoman"/>
      <w:start w:val="3"/>
    </w:lvl>
  </w:abstractNum>
  <w:abstractNum w:abstractNumId="6">
    <w:nsid w:val="4516DDE9"/>
    <w:multiLevelType w:val="hybridMultilevel"/>
    <w:lvl w:ilvl="0">
      <w:lvlJc w:val="left"/>
      <w:lvlText w:val="(%1)"/>
      <w:numFmt w:val="decimal"/>
      <w:start w:val="3"/>
    </w:lvl>
  </w:abstractNum>
  <w:abstractNum w:abstractNumId="7">
    <w:nsid w:val="3006C83E"/>
    <w:multiLevelType w:val="hybridMultilevel"/>
    <w:lvl w:ilvl="0">
      <w:lvlJc w:val="left"/>
      <w:lvlText w:val="(%1)"/>
      <w:numFmt w:val="decimal"/>
      <w:start w:val="4"/>
    </w:lvl>
  </w:abstractNum>
  <w:abstractNum w:abstractNumId="8">
    <w:nsid w:val="614FD4A1"/>
    <w:multiLevelType w:val="hybridMultilevel"/>
    <w:lvl w:ilvl="0">
      <w:lvlJc w:val="left"/>
      <w:lvlText w:val="(%1)"/>
      <w:numFmt w:val="decimal"/>
      <w:start w:val="5"/>
    </w:lvl>
  </w:abstractNum>
  <w:abstractNum w:abstractNumId="9">
    <w:nsid w:val="419AC241"/>
    <w:multiLevelType w:val="hybridMultilevel"/>
    <w:lvl w:ilvl="0">
      <w:lvlJc w:val="left"/>
      <w:lvlText w:val="(%1)"/>
      <w:numFmt w:val="decimal"/>
      <w:start w:val="6"/>
    </w:lvl>
  </w:abstractNum>
  <w:abstractNum w:abstractNumId="10">
    <w:nsid w:val="5577F8E1"/>
    <w:multiLevelType w:val="hybridMultilevel"/>
    <w:lvl w:ilvl="0">
      <w:lvlJc w:val="left"/>
      <w:lvlText w:val="(%1)"/>
      <w:numFmt w:val="decimal"/>
      <w:start w:val="7"/>
    </w:lvl>
  </w:abstractNum>
  <w:abstractNum w:abstractNumId="11">
    <w:nsid w:val="440BADFC"/>
    <w:multiLevelType w:val="hybridMultilevel"/>
    <w:lvl w:ilvl="0">
      <w:lvlJc w:val="left"/>
      <w:lvlText w:val="(%1)"/>
      <w:numFmt w:val="decimal"/>
      <w:start w:val="8"/>
    </w:lvl>
  </w:abstractNum>
  <w:abstractNum w:abstractNumId="12">
    <w:nsid w:val="5072367"/>
    <w:multiLevelType w:val="hybridMultilevel"/>
    <w:lvl w:ilvl="0">
      <w:lvlJc w:val="left"/>
      <w:lvlText w:val="(%1)"/>
      <w:numFmt w:val="lowerLetter"/>
      <w:start w:val="2"/>
    </w:lvl>
  </w:abstractNum>
  <w:abstractNum w:abstractNumId="13">
    <w:nsid w:val="3804823E"/>
    <w:multiLevelType w:val="hybridMultilevel"/>
    <w:lvl w:ilvl="0">
      <w:lvlJc w:val="left"/>
      <w:lvlText w:val="\endash "/>
      <w:numFmt w:val="bullet"/>
      <w:start w:val="1"/>
    </w:lvl>
  </w:abstractNum>
  <w:abstractNum w:abstractNumId="14">
    <w:nsid w:val="77465F01"/>
    <w:multiLevelType w:val="hybridMultilevel"/>
    <w:lvl w:ilvl="0">
      <w:lvlJc w:val="left"/>
      <w:lvlText w:val="(%1)"/>
      <w:numFmt w:val="decimal"/>
      <w:start w:val="9"/>
    </w:lvl>
  </w:abstractNum>
  <w:abstractNum w:abstractNumId="15">
    <w:nsid w:val="7724C67E"/>
    <w:multiLevelType w:val="hybridMultilevel"/>
    <w:lvl w:ilvl="0">
      <w:lvlJc w:val="left"/>
      <w:lvlText w:val="(%1)"/>
      <w:numFmt w:val="lowerLetter"/>
      <w:start w:val="1"/>
    </w:lvl>
  </w:abstractNum>
  <w:abstractNum w:abstractNumId="16">
    <w:nsid w:val="5C482A97"/>
    <w:multiLevelType w:val="hybridMultilevel"/>
    <w:lvl w:ilvl="0">
      <w:lvlJc w:val="left"/>
      <w:lvlText w:val="(%1)"/>
      <w:numFmt w:val="lowerRoman"/>
      <w:start w:val="5"/>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2"/>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2"/>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3"/>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lvl w:ilvl="1">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1)"/>
      <w:numFmt w:val="lowerRoman"/>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1)"/>
      <w:numFmt w:val="lowerLetter"/>
      <w:start w:val="1"/>
    </w:lvl>
  </w:abstractNum>
  <w:abstractNum w:abstractNumId="43">
    <w:nsid w:val="79A1DEAA"/>
    <w:multiLevelType w:val="hybridMultilevel"/>
    <w:lvl w:ilvl="0">
      <w:lvlJc w:val="left"/>
      <w:lvlText w:val="%1"/>
      <w:numFmt w:val="lowerRoman"/>
      <w:start w:val="1"/>
    </w:lvl>
    <w:lvl w:ilvl="1">
      <w:lvlJc w:val="left"/>
      <w:lvlText w:val="(%2)"/>
      <w:numFmt w:val="lowerLetter"/>
      <w:start w:val="1"/>
    </w:lvl>
  </w:abstractNum>
  <w:abstractNum w:abstractNumId="44">
    <w:nsid w:val="75C6C33A"/>
    <w:multiLevelType w:val="hybridMultilevel"/>
    <w:lvl w:ilvl="0">
      <w:lvlJc w:val="left"/>
      <w:lvlText w:val="(%1)"/>
      <w:numFmt w:val="lowerRoman"/>
      <w:start w:val="1"/>
    </w:lvl>
    <w:lvl w:ilvl="1">
      <w:lvlJc w:val="left"/>
      <w:lvlText w:val="%2"/>
      <w:numFmt w:val="lowerLetter"/>
      <w:start w:val="1"/>
    </w:lvl>
  </w:abstractNum>
  <w:abstractNum w:abstractNumId="45">
    <w:nsid w:val="12E685FB"/>
    <w:multiLevelType w:val="hybridMultilevel"/>
    <w:lvl w:ilvl="0">
      <w:lvlJc w:val="left"/>
      <w:lvlText w:val="(%1)"/>
      <w:numFmt w:val="lowerRoman"/>
      <w:start w:val="7"/>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2"/>
    </w:lvl>
  </w:abstractNum>
  <w:abstractNum w:abstractNumId="48">
    <w:nsid w:val="374A3FE6"/>
    <w:multiLevelType w:val="hybridMultilevel"/>
    <w:lvl w:ilvl="0">
      <w:lvlJc w:val="left"/>
      <w:lvlText w:val="(%1)"/>
      <w:numFmt w:val="lowerRoman"/>
      <w:start w:val="1"/>
    </w:lvl>
  </w:abstractNum>
  <w:abstractNum w:abstractNumId="49">
    <w:nsid w:val="4F4EF005"/>
    <w:multiLevelType w:val="hybridMultilevel"/>
    <w:lvl w:ilvl="0">
      <w:lvlJc w:val="left"/>
      <w:lvlText w:val="(%1)"/>
      <w:numFmt w:val="lowerRoman"/>
      <w:start w:val="3"/>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lowerRoman"/>
      <w:start w:val="1"/>
    </w:lvl>
  </w:abstractNum>
  <w:abstractNum w:abstractNumId="52">
    <w:nsid w:val="275AC794"/>
    <w:multiLevelType w:val="hybridMultilevel"/>
    <w:lvl w:ilvl="0">
      <w:lvlJc w:val="left"/>
      <w:lvlText w:val="(%1)"/>
      <w:numFmt w:val="lowerRoman"/>
      <w:start w:val="7"/>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lowerRoman"/>
      <w:start w:val="1"/>
    </w:lvl>
  </w:abstractNum>
  <w:abstractNum w:abstractNumId="55">
    <w:nsid w:val="180115BE"/>
    <w:multiLevelType w:val="hybridMultilevel"/>
    <w:lvl w:ilvl="0">
      <w:lvlJc w:val="left"/>
      <w:lvlText w:val="(%1)"/>
      <w:numFmt w:val="lowerRoman"/>
      <w:start w:val="7"/>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2019-12-29T15:33:45Z</dcterms:created>
  <dcterms:modified xsi:type="dcterms:W3CDTF">2019-12-29T15:33:45Z</dcterms:modified>
</cp:coreProperties>
</file>