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181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268,067,924 shares held as American Depositary Shares (ADSs), each representing one Ordinary Share, 50 pence par value per share, and 1,884,965 ordinary shares, were outstanding as of November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580" w:type="dxa"/>
            <w:vAlign w:val="bottom"/>
            <w:gridSpan w:val="11"/>
          </w:tcPr>
          <w:p>
            <w:pPr>
              <w:jc w:val="center"/>
              <w:ind w:right="41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00" w:type="dxa"/>
            <w:vAlign w:val="bottom"/>
          </w:tcPr>
          <w:p>
            <w:pPr>
              <w:spacing w:after="0"/>
              <w:rPr>
                <w:sz w:val="22"/>
                <w:szCs w:val="22"/>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5"/>
          </w:tcPr>
          <w:p>
            <w:pPr>
              <w:spacing w:after="0"/>
              <w:rPr>
                <w:sz w:val="24"/>
                <w:szCs w:val="24"/>
                <w:color w:val="auto"/>
              </w:rPr>
            </w:pPr>
          </w:p>
        </w:tc>
        <w:tc>
          <w:tcPr>
            <w:tcW w:w="41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01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5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2016 and 2015</w:t>
              </w:r>
            </w:hyperlink>
          </w:p>
        </w:tc>
        <w:tc>
          <w:tcPr>
            <w:tcW w:w="16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92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Equity (Deficit) for the nine months ended September 30, 2016</w:t>
              </w:r>
            </w:hyperlink>
          </w:p>
        </w:tc>
        <w:tc>
          <w:tcPr>
            <w:tcW w:w="8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2016 and 2015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7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6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04"/>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0"/>
          </w:tcPr>
          <w:p>
            <w:pPr>
              <w:jc w:val="center"/>
              <w:ind w:right="4220"/>
              <w:spacing w:after="0"/>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PART II – Other Information</w:t>
              </w:r>
            </w:hyperlink>
          </w:p>
        </w:tc>
        <w:tc>
          <w:tcPr>
            <w:tcW w:w="3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64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280" w:type="dxa"/>
            <w:vAlign w:val="bottom"/>
            <w:tcBorders>
              <w:top w:val="single" w:sz="8" w:color="0000EE"/>
            </w:tcBorders>
            <w:gridSpan w:val="3"/>
          </w:tcPr>
          <w:p>
            <w:pPr>
              <w:spacing w:after="0"/>
              <w:rPr>
                <w:sz w:val="24"/>
                <w:szCs w:val="24"/>
                <w:color w:val="auto"/>
              </w:rPr>
            </w:pPr>
          </w:p>
        </w:tc>
        <w:tc>
          <w:tcPr>
            <w:tcW w:w="42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700" w:type="dxa"/>
            <w:vAlign w:val="bottom"/>
            <w:gridSpan w:val="9"/>
          </w:tcPr>
          <w:p>
            <w:pPr>
              <w:jc w:val="right"/>
              <w:ind w:right="10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117,562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19,773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9020" w:type="dxa"/>
            <w:vAlign w:val="bottom"/>
          </w:tcPr>
          <w:p>
            <w:pPr>
              <w:ind w:left="14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161,180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23,006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19,872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8,933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193,903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173,230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6,864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Current portion of exchangeable senior notes, net of discount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15,273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 from royalty-bearing instrument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12,476</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revenue, current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50,723</w:t>
            </w:r>
          </w:p>
        </w:tc>
        <w:tc>
          <w:tcPr>
            <w:tcW w:w="0" w:type="dxa"/>
            <w:vAlign w:val="bottom"/>
          </w:tcPr>
          <w:p>
            <w:pPr>
              <w:spacing w:after="0"/>
              <w:rPr>
                <w:sz w:val="1"/>
                <w:szCs w:val="1"/>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Exchangeable senior notes, net of discount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136,734</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Long-term debt from royalty-bearing instrument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88,645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91,512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derivative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revenue, long-term</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14,236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9020" w:type="dxa"/>
            <w:vAlign w:val="bottom"/>
          </w:tcPr>
          <w:p>
            <w:pPr>
              <w:ind w:left="14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Series A Convertible Preferred Stock, £0.05 par, unlimited authorized; 328,184,640 shares issued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outstanding as of September 30, 2016 and December 31, 2015 (equivalent to 32,818,464 ordinary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upon future consolidation and redesignation at a 10:1 ratio)</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24,364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02"/>
        </w:trPr>
        <w:tc>
          <w:tcPr>
            <w:tcW w:w="9020" w:type="dxa"/>
            <w:vAlign w:val="bottom"/>
          </w:tcPr>
          <w:p>
            <w:pPr>
              <w:ind w:left="720"/>
              <w:spacing w:after="0" w:line="201" w:lineRule="exact"/>
              <w:rPr>
                <w:sz w:val="20"/>
                <w:szCs w:val="20"/>
                <w:color w:val="auto"/>
              </w:rPr>
            </w:pPr>
            <w:r>
              <w:rPr>
                <w:rFonts w:ascii="Arial" w:cs="Arial" w:eastAsia="Arial" w:hAnsi="Arial"/>
                <w:sz w:val="18"/>
                <w:szCs w:val="18"/>
                <w:color w:val="auto"/>
              </w:rPr>
              <w:t>Common stock, £0.50 par, unlimited authorized; 269,952,889 issued, 269,181,463 outstanding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900"/>
              <w:spacing w:after="0"/>
              <w:rPr>
                <w:sz w:val="20"/>
                <w:szCs w:val="20"/>
                <w:color w:val="auto"/>
              </w:rPr>
            </w:pPr>
            <w:r>
              <w:rPr>
                <w:rFonts w:ascii="Arial" w:cs="Arial" w:eastAsia="Arial" w:hAnsi="Arial"/>
                <w:sz w:val="18"/>
                <w:szCs w:val="18"/>
                <w:color w:val="auto"/>
              </w:rPr>
              <w:t>September 30, 2016; 183,577,765 issued, 183,403,263 outstanding as of December 31, 2015</w:t>
            </w: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207,023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149,978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961,691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816,171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Treasury stock; 771,426 shares as of September 30, 2016; 174,502 shares as of December 31, 2015</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(1,176,551)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(1,117,654)</w:t>
            </w:r>
          </w:p>
        </w:tc>
        <w:tc>
          <w:tcPr>
            <w:tcW w:w="0" w:type="dxa"/>
            <w:vAlign w:val="bottom"/>
          </w:tcPr>
          <w:p>
            <w:pPr>
              <w:spacing w:after="0"/>
              <w:rPr>
                <w:sz w:val="1"/>
                <w:szCs w:val="1"/>
                <w:color w:val="auto"/>
              </w:rPr>
            </w:pPr>
          </w:p>
        </w:tc>
      </w:tr>
      <w:tr>
        <w:trPr>
          <w:trHeight w:val="230"/>
        </w:trPr>
        <w:tc>
          <w:tcPr>
            <w:tcW w:w="9020" w:type="dxa"/>
            <w:vAlign w:val="bottom"/>
          </w:tcPr>
          <w:p>
            <w:pPr>
              <w:ind w:left="144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193,903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173,230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Licensing revenue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91,388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7,478</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24,208</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35,637</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80,147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13,092</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39,798</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39,819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119,945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115,237</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(52,765)</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(5,051)</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(5,061)</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(16,253)</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from operations before taxes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(31,207)</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(61,229)</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(30,675)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(58,897)</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purchase option</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Preferred stock beneficial conversion features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(1,646)</w:t>
            </w: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(32,321)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(58,897)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(127,168)</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209,149</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183,245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183,245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4"/>
                <w:szCs w:val="14"/>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Paid-</w:t>
            </w:r>
          </w:p>
        </w:tc>
        <w:tc>
          <w:tcPr>
            <w:tcW w:w="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 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328,184,640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183,577,765</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0"/>
              </w:rPr>
              <w:t>(174,502)</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$24,364</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$149,978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$816,171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$(1,119,293)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(129,191)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Cumulative-effect adjustment</w:t>
            </w: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2016</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328,184,640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183,577,765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(174,502)</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2"/>
              </w:rPr>
              <w:t>$24,364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$149,978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$816,171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$(1,117,654)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(127,552)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24,265,000</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15,712</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48,902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Exchange of exchangeable senior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net of transaction costs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60,311,188</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40,062</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87,375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94,272</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1,704,664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(596,924)</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10,385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(58,897)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(58,897)</w:t>
            </w:r>
          </w:p>
        </w:tc>
        <w:tc>
          <w:tcPr>
            <w:tcW w:w="0" w:type="dxa"/>
            <w:vAlign w:val="bottom"/>
          </w:tcPr>
          <w:p>
            <w:pPr>
              <w:spacing w:after="0"/>
              <w:rPr>
                <w:sz w:val="1"/>
                <w:szCs w:val="1"/>
                <w:color w:val="auto"/>
              </w:rPr>
            </w:pPr>
          </w:p>
        </w:tc>
      </w:tr>
      <w:tr>
        <w:trPr>
          <w:trHeight w:val="223"/>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September 30, 2016</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328,184,640</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269,952,889</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(771,426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24,364</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207,023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961,691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(1,176,551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(58,897)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10,376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compensation—warrants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(Gain) loss on change in fair value of derivative liabilities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(8,170)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10,149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(52,504)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(60,807)</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 of equipment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64,614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Transaction costs related to exchange of exchangeable senior notes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stock-based awards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63,126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119,539</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117,562</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Cash paid during the year for: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13,839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700"/>
              <w:spacing w:after="0"/>
              <w:rPr>
                <w:sz w:val="20"/>
                <w:szCs w:val="20"/>
                <w:color w:val="auto"/>
              </w:rPr>
            </w:pPr>
            <w:r>
              <w:rPr>
                <w:rFonts w:ascii="Arial" w:cs="Arial" w:eastAsia="Arial" w:hAnsi="Arial"/>
                <w:sz w:val="18"/>
                <w:szCs w:val="18"/>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transactions: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Exchange of exchangeable senior notes into common stock</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128,115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700"/>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of preferred stock beneficial conversion features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8"/>
          <w:szCs w:val="18"/>
          <w:b w:val="1"/>
          <w:bCs w:val="1"/>
          <w:color w:val="auto"/>
        </w:rPr>
        <w:t>MARIN</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ORPORATION PLC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Vascepa is available in the United States by prescription only. In January 2013, the Company began selling and marketing Vascepa in the United States.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no less than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2015, or the 2015 Form 10-K, filed with the SEC. The consolidated balance sheet amounts at December 31, 2015 in this report were derived from the Company’s audited 2015 consolidated financial statements included in the 2015 Form 10-K.</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2016 and September 30, 2015, respectively, are not necessarily indicative of the results for the entire fiscal year or any future period.</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numbers presented throughout this document may not add precisely to the totals provided due to rounding. Absolute and percentage changes are calculated using the underlying amounts in thousands. Certain prior period balances have been reclassified to conform to the current period presentation due primarily to the Company’s adoption of recent accounting pronouncements related to the presentation of debt issuance costs and excess tax benefits. These reclassifications do not have a material impact on the Company’s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September 30, 2016, the Company had current assets of $161.2 million, including cash and cash equivalents of $117.6 million. Cash and cash equivalents as of September 30, 2016 includes net proceeds of approximately $64.6 million resulting from the issuance of 24,265,000 American Depositary Shares, or ADSs, as part of a public offering completed in August 2016 (see Note 8—Equity). The Company’s condensed consolidated balance sheets also include long-term debt from royalty-bearing instrument and exchangeable senior notes. The outstanding January 2012 exchangeable senior notes, or the 2012 Notes, may be redeemed by the Company on or after January 19, 2017 and may be put back to the Company by the holders on each of January 19, 2017, 2022 and 2027 for cash equal to 100% of the principal amount of $15.1 million plus any accrued and unpaid interest. The 2012 Notes are exchangeable under certain circumstances into cash, ADSs, or a combination of cash and ADSs, at the Company’s election. Accordingly, the 2012 Notes represent a potential short-term claim on the liquid assets of the Company. In September 2016, the Company mandatorily exchanged the aggregate principal amount of $118.7 million of the May 2014 exchangeable senior notes, or the 2014 Notes, and the aggregate principal amount of $31.3 million of the November 2015 exchangeable senior notes, or the 2015 Notes, into ADSs such that they were retired in full, and derecognized the related derivative liabilities (see Note 6— Debt).</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 Depending on the level of cash generated from operations, additional capital may be required to sustain operations, fund debt obligations or expand promotion of Vascepa as contemplated following anticipated successful results of the REDUCE-IT study. The Company anticipates that quarterly net cash outflows in future periods will be variable.</w:t>
      </w:r>
    </w:p>
    <w:p>
      <w:pPr>
        <w:spacing w:after="0" w:line="3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Patients are required to have a prescription in order to purchase Vascepa. In accordance with GAAP, the Company’s revenue recognition policy requires that:</w:t>
      </w:r>
    </w:p>
    <w:p>
      <w:pPr>
        <w:ind w:right="78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persuasive evidence that an arrangement exists between the Company and the Distributor, (ii) delivery has occurred, (iii) collectability is reasonably assured and (iv) the price is fixed or determinable.</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contracts with its primary Distributors and delivery generally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conclude that the price is fixed or determinable, the Company must be able to (i) calculate its gross product revenues from the sales to Distributors and</w:t>
      </w:r>
    </w:p>
    <w:p>
      <w:pPr>
        <w:spacing w:after="0" w:line="35" w:lineRule="exact"/>
        <w:rPr>
          <w:sz w:val="20"/>
          <w:szCs w:val="20"/>
          <w:color w:val="auto"/>
        </w:rPr>
      </w:pPr>
    </w:p>
    <w:p>
      <w:pPr>
        <w:ind w:right="220" w:firstLine="8"/>
        <w:spacing w:after="0" w:line="253"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reasonably estimate its net product revenues. The Company calculates gross product revenues generally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83" w:lineRule="exact"/>
        <w:rPr>
          <w:sz w:val="20"/>
          <w:szCs w:val="20"/>
          <w:color w:val="auto"/>
        </w:rPr>
      </w:pPr>
    </w:p>
    <w:p>
      <w:pPr>
        <w:ind w:left="460" w:right="100" w:firstLine="438"/>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81" w:lineRule="exact"/>
        <w:rPr>
          <w:sz w:val="20"/>
          <w:szCs w:val="20"/>
          <w:color w:val="auto"/>
        </w:rPr>
      </w:pPr>
    </w:p>
    <w:p>
      <w:pPr>
        <w:ind w:left="460" w:right="80" w:firstLine="438"/>
        <w:spacing w:after="0" w:line="270"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 beginning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0" w:lineRule="exact"/>
        <w:rPr>
          <w:sz w:val="20"/>
          <w:szCs w:val="20"/>
          <w:color w:val="auto"/>
        </w:rPr>
      </w:pPr>
    </w:p>
    <w:p>
      <w:pPr>
        <w:ind w:left="460" w:right="60" w:firstLine="438"/>
        <w:spacing w:after="0" w:line="271"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9"/>
              </w:rPr>
              <w:t>Trade</w:t>
            </w:r>
          </w:p>
        </w:tc>
        <w:tc>
          <w:tcPr>
            <w:tcW w:w="1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Rebates,</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4,296</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9,881</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535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$ 15,796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15,823</w:t>
            </w: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46,553</w:t>
            </w:r>
          </w:p>
        </w:tc>
        <w:tc>
          <w:tcPr>
            <w:tcW w:w="12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8,539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71,318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(11,086)</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(22,236)</w:t>
            </w:r>
          </w:p>
        </w:tc>
        <w:tc>
          <w:tcPr>
            <w:tcW w:w="12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(6,788)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(40,110)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(8,492)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(1,284)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25,304</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691</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$ 32,312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40" w:type="dxa"/>
            <w:vAlign w:val="bottom"/>
            <w:vMerge w:val="restart"/>
          </w:tcPr>
          <w:p>
            <w:pPr>
              <w:jc w:val="right"/>
              <w:ind w:right="5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9"/>
              </w:rPr>
              <w:t>Trade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Rebates,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5"/>
              </w:rPr>
              <w:t>Allowances</w:t>
            </w:r>
          </w:p>
        </w:tc>
        <w:tc>
          <w:tcPr>
            <w:tcW w:w="2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rPr>
              <w:t>481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10,104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21,633</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5,976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37,944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(6,729)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(14,194)</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(4,220)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Balance as of September 30, 2015</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686</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w:t>
      </w: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enhancement of the value of the delivered item(s) as a result of a specific outcome resulting from the entity’s performance to achieve the milestone,</w:t>
      </w:r>
    </w:p>
    <w:p>
      <w:pPr>
        <w:spacing w:after="0" w:line="32"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10—Development, Commercialization and Supply Agreement for further information regarding licensing revenue and milestones primarily related to the Company’s multiple-element arrangement with Eddingpharm (Asia) Macao Commercial Offshore Limited.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credit losses.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 2016</w:t>
            </w:r>
          </w:p>
        </w:tc>
        <w:tc>
          <w:tcPr>
            <w:tcW w:w="172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trade accounts receivable</w:t>
            </w:r>
          </w:p>
        </w:tc>
        <w:tc>
          <w:tcPr>
            <w:tcW w:w="1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22,522</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Trade allowances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(4,766)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17,504</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Effective April 2016, the Company adopted ASU No. 2015-11, </w:t>
      </w:r>
      <w:r>
        <w:rPr>
          <w:rFonts w:ascii="Arial" w:cs="Arial" w:eastAsia="Arial" w:hAnsi="Arial"/>
          <w:sz w:val="17"/>
          <w:szCs w:val="17"/>
          <w:i w:val="1"/>
          <w:iCs w:val="1"/>
          <w:color w:val="auto"/>
        </w:rPr>
        <w:t>Inventory (Topic 330)—Simplifying the Measurement of Inventory</w:t>
      </w:r>
      <w:r>
        <w:rPr>
          <w:rFonts w:ascii="Arial" w:cs="Arial" w:eastAsia="Arial" w:hAnsi="Arial"/>
          <w:sz w:val="17"/>
          <w:szCs w:val="17"/>
          <w:color w:val="auto"/>
        </w:rPr>
        <w:t>, which simplifies the subsequent measurement of inventories by replacing the lower of cost or market test with a lower of cost and net realizable value test and, as such, began to state inventories at the lower of cost or net realizable value. Such adoption had no impact on the carrying value of inventory. Cost is determined based on actual cost using the average cost method. An allowance is established when management determines that certain inventories may not be saleable. If inventory cost exceeds expected net realizable value due to obsolescence, damage,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7—Commitments and Contingencies for further information regarding other obligations related to the acquisition of Laxdale Limited.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Beneficial Conversion Features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issued Series A preference shares in a private placement transaction executed in two tranches that each contain a conversion feature whereby such shares are convertible into ordinary shares at a fixed rate. The conversion price on the date of issuance was less than the market price of the Company’s ordinary shares. It was determined that these discounts represent contingent beneficial conversion features, which were valued based on the difference between the conversion price and the market price of the ordinary shares on the date of issuance, which is the commitment date. These features are analogous to preference dividends and were each recorded as a non-cash return to preferred shareholders through accumulated deficit upon the earliest possible date of conversion, which occurred in the three months ended June 30, 2015 upon effectiveness of the related resale Registration Statement on Form S-3 and in the three months ended September 30, 2015 upon shareholder approval received at the Company’s Annual General Meeting of Shareholders. See Note 8—Equity for further discussion.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In April 2016, the Company adopted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changes the accounting for certain aspects of share-based payments to employees. One aspect of the standard requires that excess tax</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and nine months ended September 30, 2016, includes $0.3 million and $0.4 million, respectively,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of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w:t>
      </w:r>
    </w:p>
    <w:p>
      <w:pPr>
        <w:spacing w:after="0" w:line="5" w:lineRule="exact"/>
        <w:rPr>
          <w:sz w:val="20"/>
          <w:szCs w:val="20"/>
          <w:color w:val="auto"/>
        </w:rPr>
      </w:pPr>
    </w:p>
    <w:p>
      <w:pPr>
        <w:ind w:right="80" w:firstLine="8"/>
        <w:spacing w:after="0" w:line="252"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paid to taxing authorities arising from the withholding of shares from employees be classified as cash flows from financing activities. The Company adopted the aspects of the standard affecting cash flow presentation retrospectively and, accordingly, reclassified $0.7 million of excess tax provision from cash flows provided by financing activities to cash flows used in operating activities in the condensed consolidated statement of cash flows for the nine months ended September 30, 2015 to conform to the current year presentation. The presentation requirement for cash flows related to taxes paid for withheld shares had no impact to any of the periods presented in the condensed consolidated statement of cash flows since such payments have historically been presented as a financing activity.</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 audit by the United States Internal Revenue Service (IRS) for the years 2012 to 2013.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Warrants are valued using a Black-Scholes option pricing model.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89"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2016 and 2015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4"/>
                <w:szCs w:val="14"/>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23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(30,675)</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(58,897)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Preferred stock purchase option (see Note 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features (see Note 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(1,646)</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(32,987)</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loss applicable to common shareholders—basic</w:t>
            </w: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(15,772)</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(58,897)</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(127,168)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 on warrant derivative liability</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loss—diluted</w:t>
            </w: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(15,772)</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(58,897)</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(127,287)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209,149</w:t>
            </w: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183,245</w:t>
            </w:r>
          </w:p>
        </w:tc>
        <w:tc>
          <w:tcPr>
            <w:tcW w:w="880" w:type="dxa"/>
            <w:vAlign w:val="bottom"/>
          </w:tcPr>
          <w:p>
            <w:pPr>
              <w:jc w:val="right"/>
              <w:spacing w:after="0"/>
              <w:rPr>
                <w:sz w:val="20"/>
                <w:szCs w:val="20"/>
                <w:color w:val="auto"/>
              </w:rPr>
            </w:pPr>
            <w:r>
              <w:rPr>
                <w:rFonts w:ascii="Arial" w:cs="Arial" w:eastAsia="Arial" w:hAnsi="Arial"/>
                <w:sz w:val="18"/>
                <w:szCs w:val="18"/>
                <w:color w:val="auto"/>
              </w:rPr>
              <w:t>192,618</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179,780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and nine months ended September 30, 2016 and 2015, the following potentially dilutive securities were not included in the computation of net loss per share because the effect would be anti-dilutive: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10,346</w:t>
            </w:r>
          </w:p>
        </w:tc>
        <w:tc>
          <w:tcPr>
            <w:tcW w:w="960" w:type="dxa"/>
            <w:vAlign w:val="bottom"/>
          </w:tcPr>
          <w:p>
            <w:pPr>
              <w:jc w:val="right"/>
              <w:spacing w:after="0"/>
              <w:rPr>
                <w:sz w:val="20"/>
                <w:szCs w:val="20"/>
                <w:color w:val="auto"/>
              </w:rPr>
            </w:pPr>
            <w:r>
              <w:rPr>
                <w:rFonts w:ascii="Arial" w:cs="Arial" w:eastAsia="Arial" w:hAnsi="Arial"/>
                <w:sz w:val="18"/>
                <w:szCs w:val="18"/>
                <w:color w:val="auto"/>
              </w:rPr>
              <w:t>11,001</w:t>
            </w:r>
          </w:p>
        </w:tc>
        <w:tc>
          <w:tcPr>
            <w:tcW w:w="48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10,346</w:t>
            </w:r>
          </w:p>
        </w:tc>
        <w:tc>
          <w:tcPr>
            <w:tcW w:w="920" w:type="dxa"/>
            <w:vAlign w:val="bottom"/>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(if converted)</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1,714</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49,215</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32,818</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32,818</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32,818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32,818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the 2012 Notes and previously the 2014 Notes and 2015 Notes prior to the mandatory exchange qualify for the exception from derivative accounting in accordance with ASC 815-40. The 2012 Notes may be put to the Company by their holders for repurchase in cash. The 2012 Notes are exchangeable under certain circumstances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fully amortized over the expected term of the instrument. The conversion features in the 2014 Notes and 2015 Notes could only have been settled in ADSs upon conversion and were therefore accounted for as part of the debt host.</w:t>
      </w:r>
    </w:p>
    <w:p>
      <w:pPr>
        <w:spacing w:after="0" w:line="16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conversion feature in the 2012 Notes continues to be evaluated on a quarterly basis to determine if it still receives an exception from derivative accounting in accordance with ASC 815-40. The 2014 Notes were recognized initially at fair value as part of an extinguishment of a portion of the 2012 Notes. As a result, the 2014 Notes were initially recognized at a discount of $27.9 million. The 2015 Notes were recognized initially at fair value as part of the issuance of new debt in November 2015. As a result, the 2015 Notes were initially recognized at a discount of $3.8 million. These discounts were amortized through interest expense though the date of mandatory exchange. See Note 6—Debt for further discussion.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nine months ending September 30, 2016 and 2015 and represented 95% of the gross accounts receivable balance as of September 30, 2016 and 2015. The Company has not experienced any write-offs of its accounts receivable.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 in particular three suppliers of API for Vascepa.</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if needed, could have a material adverse effect on its business, condition (financial and other), prospects or results of operations.</w:t>
      </w:r>
    </w:p>
    <w:p>
      <w:pPr>
        <w:spacing w:after="0" w:line="18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continue to be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net, in the condensed consolidated statements of operations. For transactions settled during the applicable period, gains and losses are included in other expense,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Prior to January 2016, debt issuance costs were initially recorded as a deferred cost and amortized to interest expense using the effective interest method over the expected term of the related debt. Effective January 2016, the Company adopted ASU No. 2015-03, </w:t>
      </w:r>
      <w:r>
        <w:rPr>
          <w:rFonts w:ascii="Arial" w:cs="Arial" w:eastAsia="Arial" w:hAnsi="Arial"/>
          <w:sz w:val="16"/>
          <w:szCs w:val="16"/>
          <w:i w:val="1"/>
          <w:iCs w:val="1"/>
          <w:color w:val="auto"/>
        </w:rPr>
        <w:t>Interest—Imputation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and as such began recording debt issuance costs related to a recognized debt liability in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 as a direct deduction from the carrying amount of that debt liability and amortized to interest expense using the effective interest method over the expected term of the related debt. As the standard is required to be adopted on a retrospective basis, the Company reclassified $1.9 million of underwriters’ fees and offering costs related to the 2014 Notes and 2015 Notes from other long-term assets to exchangeable senior notes, net of discount, within the condensed consolidated balance sheet as of December 31, 2015. Unamortized debt issuance costs related to the extinguishment of debt are expensed at the time the debt is extinguished and recorded in other expense, net, in the condensed consolidated statements of operations.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September 30, 2016 and December 31, 2015 that are measured at fair value on a recurring basis and indicate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September 30, 2016</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840" w:type="dxa"/>
            <w:vAlign w:val="bottom"/>
            <w:gridSpan w:val="4"/>
          </w:tcPr>
          <w:p>
            <w:pPr>
              <w:jc w:val="center"/>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14,223</w:t>
            </w:r>
          </w:p>
        </w:tc>
        <w:tc>
          <w:tcPr>
            <w:tcW w:w="1120" w:type="dxa"/>
            <w:vAlign w:val="bottom"/>
            <w:gridSpan w:val="6"/>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14,223</w:t>
            </w:r>
          </w:p>
        </w:tc>
        <w:tc>
          <w:tcPr>
            <w:tcW w:w="54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600" w:type="dxa"/>
            <w:vAlign w:val="bottom"/>
            <w:gridSpan w:val="4"/>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600" w:type="dxa"/>
            <w:vAlign w:val="bottom"/>
            <w:gridSpan w:val="4"/>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8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14,184</w:t>
            </w:r>
          </w:p>
        </w:tc>
        <w:tc>
          <w:tcPr>
            <w:tcW w:w="16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14,184</w:t>
            </w:r>
          </w:p>
        </w:tc>
        <w:tc>
          <w:tcPr>
            <w:tcW w:w="28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600" w:type="dxa"/>
            <w:vAlign w:val="bottom"/>
            <w:gridSpan w:val="4"/>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$ 8,170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3"/>
          </w:tcPr>
          <w:p>
            <w:pPr>
              <w:spacing w:after="0"/>
              <w:rPr>
                <w:sz w:val="20"/>
                <w:szCs w:val="20"/>
                <w:color w:val="auto"/>
              </w:rPr>
            </w:pPr>
            <w:r>
              <w:rPr>
                <w:rFonts w:ascii="Arial" w:cs="Arial" w:eastAsia="Arial" w:hAnsi="Arial"/>
                <w:sz w:val="18"/>
                <w:szCs w:val="18"/>
                <w:color w:val="auto"/>
              </w:rPr>
              <w:t>$ —</w:t>
            </w:r>
          </w:p>
        </w:tc>
        <w:tc>
          <w:tcPr>
            <w:tcW w:w="800" w:type="dxa"/>
            <w:vAlign w:val="bottom"/>
            <w:gridSpan w:val="4"/>
          </w:tcPr>
          <w:p>
            <w:pPr>
              <w:ind w:left="2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 The carrying amounts and the estimated fair values of debt instruments as of September 30, 2016 and December 31, 2015 are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14"/>
                <w:szCs w:val="14"/>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from royalty-bearing instrument</w:t>
            </w:r>
          </w:p>
        </w:tc>
        <w:tc>
          <w:tcPr>
            <w:tcW w:w="1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$93,055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$ 90,800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$91,512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2012 Notes</w:t>
            </w:r>
          </w:p>
        </w:tc>
        <w:tc>
          <w:tcPr>
            <w:tcW w:w="2300" w:type="dxa"/>
            <w:vAlign w:val="bottom"/>
            <w:gridSpan w:val="3"/>
          </w:tcPr>
          <w:p>
            <w:pPr>
              <w:jc w:val="right"/>
              <w:ind w:right="240"/>
              <w:spacing w:after="0"/>
              <w:rPr>
                <w:sz w:val="20"/>
                <w:szCs w:val="20"/>
                <w:color w:val="auto"/>
              </w:rPr>
            </w:pPr>
            <w:r>
              <w:rPr>
                <w:rFonts w:ascii="Arial" w:cs="Arial" w:eastAsia="Arial" w:hAnsi="Arial"/>
                <w:sz w:val="18"/>
                <w:szCs w:val="18"/>
                <w:color w:val="auto"/>
              </w:rPr>
              <w:t>15,107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15,084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15,107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1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94,599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108,034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2015 Notes</w:t>
            </w:r>
          </w:p>
        </w:tc>
        <w:tc>
          <w:tcPr>
            <w:tcW w:w="146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27,028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28,448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estimated fair value of the long-term debt from royalty-bearing instrument pursuant to the December 2012 financing is calculated utilizing the same Level 3 inputs utilized in valuing the related derivative liability (see Long-Term Debt Redemption Features below). The estimated fair value of the 2012 Notes and 2014 Notes is calculated based on Level 1 quoted bond prices, while the estimated fair value of the 2015 Notes is calculated based on Level 2 quoted bond prices for the 2014 Notes. The carrying value of the 2012 Notes as of September 30, 2016 and December 31, 2015 does not include a debt discount, as it had been fully amortized as non-cash interest expense over the expected term of the 2012 Notes, which was calculated to be a period of twenty-four months. The carrying value of the 2014 Notes as of December 31, 2015 includes a debt discount of $24.1 million, which prior to mandatory exchange was being amortized as non-cash interest expense over the expected term of the 2014 Notes, through January 2019. The carrying value of the 2015 Notes as of December 31, 2015 includes a debt discount of $4.2 million, which prior to mandatory exchange was being amortized as non-cash interest expense over the expected term of the 2015 Notes, through January 2019. The carrying values and related debt discounts of the 2014 Notes and 2015 Notes as of December 31, 2015 reflect the retroactive reclassification of debt issuance costs per adoption of ASU No. 2015-03 as described in Note 6—Debt. The change in the estimated fair values of these liabilities from December 31, 2015 to September 30, 2016 is largely related to changes in the quoted bond prices and derecognition of the mandatorily exchanged debt.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 Derivative Liability</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warrant derivative liability (discussed in Note 5—Warrants and Warrant Derivative Liability) was carried at fair value and was classified as Level 3 in the fair value hierarchy due to the use of significant unobservable inputs. During the nine months ended September 30, 2015, of the 8,087,388 warrants outstanding as of December 31, 2014, 1,844,585 warrants were exercised while the remaining 6,242,803 warrants expired, and the related derivative liability was extinguished. As such, no warrants were outstanding as of September 30, 2016 and December 31, 2015.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 Redemption Features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6—Debt) contains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redemption feature whereby, upon a change of control, the Company would be required to repay $150 million, less any previously repaid amount.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determined this redemption feature to be an embedded derivative, which is carried at fair value and is classified as Level 3 in the fair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hierarchy due to the use of significant unobservable inputs. The fair value of the embedded derivative was calculated using a probability-weighted model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incorporating management estimates of future revenues and for a potential change in control, and by determining the fair value of the debt with and without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control provision included. The difference between the two was determined to be the fair value of the embedded derivative.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the fair value of the derivative was determined to be nil based on current assumptions, and the debt was valued by comparing debt issues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similar companies with (i) remaining terms of between 1.3 and 5.6 years, (ii) coupon rates of between 6.6% and 12.5% and (iii) market yields of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 and 30.7%. As of December 31, 2015, the fair value of the derivative was determined to be $5.5 million, and the debt was valued by comparing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issues of similar companies with (i) remaining terms of between 2.0 and 7.3 years, (ii) coupon rates of between 6.6% and 12.5% and (iii) market yields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13.0% and 30.7%. As such, the Company recognized a $5.5 million gain on change in fair value of derivative liability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21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Company’s 2014 Notes and 2015 Notes each contained a redemption feature whereby, upon occurrence of a change in control, the Company would have been required to repurchase the notes. The Company determined these redemption features to be embedded derivatives, requiring bifurcation in accordance with ASC 815. The derivatives were carried at fair value and were classified as Level 3 in the fair value hierarchy due to the use of significant unobservable inputs. The fair value of each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September 30, 2016, the derivatives related to the 2014 Notes and 2015 Notes were each derecognized, as the related debt hosts were exchanged into equity in September 2016. As of December 31, 2015, the fair values of the derivatives related to the 2014 Notes and 2015 Notes were determined to be $2.1 million and $0.6 million, respectively, and the debts were valued by using</w:t>
      </w:r>
    </w:p>
    <w:p>
      <w:pPr>
        <w:spacing w:after="0" w:line="1" w:lineRule="exact"/>
        <w:rPr>
          <w:sz w:val="20"/>
          <w:szCs w:val="20"/>
          <w:color w:val="auto"/>
        </w:rPr>
      </w:pPr>
    </w:p>
    <w:p>
      <w:pPr>
        <w:ind w:right="180" w:firstLine="8"/>
        <w:spacing w:after="0" w:line="255"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remaining term of the notes, (ii) a bond yield of 25.6%, (iii) a risk-free interest rate of 2.9% and (iv) volatility of 89.0%. As such, the Company recognized gains on change in fair value of derivative liabilities for the 2014 Notes and 2015 Notes of $2.1 million and $0.6 million, respectively, for the nine months ended September 30, 2016.</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 Purchase Option Derivative Liability</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 that such right represented a derivative liability (see Note 8—Equity).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for the nine months ended September 30, 2016 and 2015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October</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Purchase Option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(8,170)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(8,170)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October</w:t>
            </w:r>
          </w:p>
        </w:tc>
        <w:tc>
          <w:tcPr>
            <w:tcW w:w="54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Long-Term Debt</w:t>
            </w:r>
          </w:p>
        </w:tc>
        <w:tc>
          <w:tcPr>
            <w:tcW w:w="280" w:type="dxa"/>
            <w:vAlign w:val="bottom"/>
          </w:tcPr>
          <w:p>
            <w:pPr>
              <w:spacing w:after="0"/>
              <w:rPr>
                <w:sz w:val="24"/>
                <w:szCs w:val="24"/>
                <w:color w:val="auto"/>
              </w:rPr>
            </w:pPr>
          </w:p>
        </w:tc>
        <w:tc>
          <w:tcPr>
            <w:tcW w:w="13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3"/>
              </w:rPr>
              <w:t>Preferred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gridSpan w:val="4"/>
          </w:tcPr>
          <w:p>
            <w:pPr>
              <w:jc w:val="right"/>
              <w:ind w:right="72"/>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Derivative</w:t>
            </w:r>
          </w:p>
        </w:tc>
        <w:tc>
          <w:tcPr>
            <w:tcW w:w="28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Warrants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Liabilities</w:t>
            </w:r>
          </w:p>
        </w:tc>
        <w:tc>
          <w:tcPr>
            <w:tcW w:w="2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Purchase Option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right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Record derivative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93"/>
              </w:rPr>
              <w:t>868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(110)</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3"/>
              </w:rPr>
              <w:t>946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 issued to former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employees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(1,814)</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2015</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January 2016, the Company adopted ASU No. 2015-03, </w:t>
      </w:r>
      <w:r>
        <w:rPr>
          <w:rFonts w:ascii="Arial" w:cs="Arial" w:eastAsia="Arial" w:hAnsi="Arial"/>
          <w:sz w:val="17"/>
          <w:szCs w:val="17"/>
          <w:i w:val="1"/>
          <w:iCs w:val="1"/>
          <w:color w:val="auto"/>
        </w:rPr>
        <w:t>Interest—Imputation of Interest (Subtopic 835-30): Simplifying the Presentation of Debt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Costs</w:t>
      </w:r>
      <w:r>
        <w:rPr>
          <w:rFonts w:ascii="Arial" w:cs="Arial" w:eastAsia="Arial" w:hAnsi="Arial"/>
          <w:sz w:val="17"/>
          <w:szCs w:val="17"/>
          <w:color w:val="auto"/>
        </w:rPr>
        <w:t>, which provides guidance on simplifying the presentation of debt issuance costs on the balance sheet. To simplify presentation of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in ASU No. 2015-03 require that debt issuance costs related to a recognized debt liability be presented in the balance sheet as a direct deduction from the carrying amount of that debt liability, consistent with the treatment of debt discounts. The recognition and measurement guidance for debt issuance costs are not affected by the amendments in this update. In accordance with ASU No. 2015-03, the Company applied the new guidance on a retrospective basis, wherein the condensed consolidated balance sheet of each individual period presented was adjusted to reflect the period-specific effects of applying the new guidance. See Note 6</w:t>
      </w:r>
      <w:r>
        <w:rPr>
          <w:rFonts w:ascii="Arial" w:cs="Arial" w:eastAsia="Arial" w:hAnsi="Arial"/>
          <w:sz w:val="17"/>
          <w:szCs w:val="17"/>
          <w:i w:val="1"/>
          <w:iCs w:val="1"/>
          <w:color w:val="auto"/>
        </w:rPr>
        <w:t>—</w:t>
      </w:r>
      <w:r>
        <w:rPr>
          <w:rFonts w:ascii="Arial" w:cs="Arial" w:eastAsia="Arial" w:hAnsi="Arial"/>
          <w:sz w:val="17"/>
          <w:szCs w:val="17"/>
          <w:color w:val="auto"/>
        </w:rPr>
        <w:t>Debt.</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April 2016, the Company adopted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which simplifies the subsequent measurement of inventories by replacing the lower of cost or market test with a lower of cost or net realizable value test. When evidence exists that the net realizable value of inventory is less than its cost (due to damage, physical deterioration, obsolescence, changes in price levels or other causes), the Company will recognize the difference as a component of cost of goods sold in the period in which it occurs. In accordance with ASU No. 2015-11, the Company applied the new guidance on a prospective basis with no impact on the carrying amount of inventory.</w:t>
      </w:r>
    </w:p>
    <w:p>
      <w:pPr>
        <w:spacing w:after="0" w:line="17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Also in April 2016, the Company adopted ASU No. 2016-09, </w:t>
      </w:r>
      <w:r>
        <w:rPr>
          <w:rFonts w:ascii="Arial" w:cs="Arial" w:eastAsia="Arial" w:hAnsi="Arial"/>
          <w:sz w:val="16"/>
          <w:szCs w:val="16"/>
          <w:i w:val="1"/>
          <w:iCs w:val="1"/>
          <w:color w:val="auto"/>
        </w:rPr>
        <w:t>Compensation—Stock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which changes the accounting for certain aspects of share-based payments to employees. One aspect of the standard requires that excess</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and nine months ended September 30, 2016, includes $0.3 million and $0.4 million, respectively,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w:t>
      </w:r>
    </w:p>
    <w:p>
      <w:pPr>
        <w:spacing w:after="0" w:line="5" w:lineRule="exact"/>
        <w:rPr>
          <w:sz w:val="20"/>
          <w:szCs w:val="20"/>
          <w:color w:val="auto"/>
        </w:rPr>
      </w:pPr>
    </w:p>
    <w:p>
      <w:pPr>
        <w:ind w:right="80" w:firstLine="8"/>
        <w:spacing w:after="0" w:line="252"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paid to taxing authorities arising from the withholding of shares from employees be classified as cash flows from financing activities. The Company adopted the aspects of the standard affecting cash flow presentation retrospectively and, accordingly, reclassified $0.7 million of excess tax provision from cash flows provided by financing activities to cash flows used in operating activities in the condensed consolidated statement of cash flows for the nine months ended September 30, 2015 to conform to the current year presentation. The presentation requirement for cash flows related to taxes paid for withheld shares had no impact to any of the periods presented in the condensed consolidated statement of cash flows since such payments have historically been presented as a financing activity.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September 30, 2016:</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the Company’s fiscal year beginning January 1, 2018.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has determined that this standard would not have a material impact on its condensed consolidated financial statements based on the assessment of its ability to continue as a going concern as of September 30, 2016.</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which clarifies that an entity is a principal when it controls the specified good or service before that good or service is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w:t>
      </w:r>
      <w:r>
        <w:rPr>
          <w:rFonts w:ascii="Arial" w:cs="Arial" w:eastAsia="Arial" w:hAnsi="Arial"/>
          <w:sz w:val="16"/>
          <w:szCs w:val="16"/>
          <w:i w:val="1"/>
          <w:iCs w:val="1"/>
          <w:color w:val="auto"/>
        </w:rPr>
        <w:t>, 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which provides clarifying guidance in certain narrow areas and adds some practical expedients. The amendments do not change the core principles of the guidance in Topic 606 and are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these standards and cannot currently estimate the financial statement impact of adoption.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which is intended to reduce diversity in practice regarding how certain cash receipts and cash payments are presented and classified in the statement of cash flows. Specifically, it addresses the following eight issues: debt prepayment or debt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investments; beneficial interests in securitization transactions; and separately identifiable cash flows and application of the predominance principle. The new guidance is effective for fiscal years beginning after December 15, 2017, including interim periods within those fiscal years. Early adoption is permitted. The Company has evaluated the accounting, transition and disclosure requirements of the standard and does not expect it to have a material impact on the Company’s condensed consolidated financial statements.</w:t>
      </w:r>
    </w:p>
    <w:p>
      <w:pPr>
        <w:spacing w:after="0" w:line="18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9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13.8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September 30, 2016 and December 31, 2015 is as follows: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gridSpan w:val="4"/>
          </w:tcPr>
          <w:p>
            <w:pPr>
              <w:ind w:left="1680"/>
              <w:spacing w:after="0"/>
              <w:rPr>
                <w:sz w:val="20"/>
                <w:szCs w:val="20"/>
                <w:color w:val="auto"/>
              </w:rPr>
            </w:pPr>
            <w:r>
              <w:rPr>
                <w:rFonts w:ascii="Arial" w:cs="Arial" w:eastAsia="Arial" w:hAnsi="Arial"/>
                <w:sz w:val="14"/>
                <w:szCs w:val="14"/>
                <w:b w:val="1"/>
                <w:bCs w:val="1"/>
                <w:color w:val="auto"/>
              </w:rPr>
              <w:t>September 30, 2016</w:t>
            </w: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1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(2,691)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7"/>
        </w:trPr>
        <w:tc>
          <w:tcPr>
            <w:tcW w:w="3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6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20" w:type="dxa"/>
            <w:vAlign w:val="bottom"/>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September 30, 2016 and December 31, 2015 consist of the following:</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2016</w:t>
            </w:r>
          </w:p>
        </w:tc>
        <w:tc>
          <w:tcPr>
            <w:tcW w:w="2180" w:type="dxa"/>
            <w:vAlign w:val="bottom"/>
            <w:gridSpan w:val="4"/>
          </w:tcPr>
          <w:p>
            <w:pPr>
              <w:ind w:left="920"/>
              <w:spacing w:after="0"/>
              <w:rPr>
                <w:sz w:val="20"/>
                <w:szCs w:val="20"/>
                <w:color w:val="auto"/>
              </w:rPr>
            </w:pPr>
            <w:r>
              <w:rPr>
                <w:rFonts w:ascii="Arial" w:cs="Arial" w:eastAsia="Arial" w:hAnsi="Arial"/>
                <w:sz w:val="14"/>
                <w:szCs w:val="14"/>
                <w:b w:val="1"/>
                <w:bCs w:val="1"/>
                <w:color w:val="auto"/>
                <w:w w:val="98"/>
              </w:rPr>
              <w:t>December 31, 2015</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7,579</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9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19,773</w:t>
            </w:r>
          </w:p>
        </w:tc>
        <w:tc>
          <w:tcPr>
            <w:tcW w:w="9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(one half)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(one half) of an ADS at an exercise price of $1.50 per ADS. The total number of warrants issued in conjunction with the financing was 35.2 million.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were not considered to be indexed to the Company’s common stock. Accordingly, the warrants did not qualify for the exception to classify the warrants within equity and were classified as a derivative liability.</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fair value of this warrant derivative liability was remeasured at each reporting period, with changes in fair value recognized in the condensed consolidated statement of operations. Upon exercise, the fair value of the warrants exercised was remeasured and reclassified from warrant derivative liability to additional paid-in-capital. Although the warrants contained a pricing variability feature, the number of warrants issuable remained fixed. Therefore, the maximum number of common shares issuable as a result of the October 2009 private placement was 36.1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October 2014, the Company and the holders of the remaining October 2009 warrants mutually agreed to extend the expiration date of such warrants from October 16, 2014 to February 27, 2015. During the nine months ended September 30, 2015, of the 8,087,388 warrants outstanding as of December 31, 2014, 1,844,585 warrants were exercised, resulting in net proceeds to the Company of $2.7 million, the remaining 6,242,803 warrants expired, and the related derivative liability was extinguished. As such, no warrants were outstanding as of September 30, 2016 and December 31, 2015.</w:t>
      </w:r>
    </w:p>
    <w:p>
      <w:pPr>
        <w:spacing w:after="0" w:line="29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 million with such repayment based on a portion of revenues and receivables generated from Vascepa.</w:t>
      </w:r>
    </w:p>
    <w:p>
      <w:pPr>
        <w:spacing w:after="0" w:line="17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As of September 30, 2016, the remaining amount to be repaid to BioPharma is $128.8 million. During the three and nine months ended September 30, 2016, the Company made repayments under the agreement of $3.3 million and $8.5 million, respectively, to BioPharma and an additional $3.2 million is scheduled to be paid in November 2016 for the third quarter of 2016. These payments were calculated based on the threshold limitation, as described below, as opposed to the scheduled quarterly repayments. Additional quarterly repayments, subject to the threshold limitation, are scheduled to be paid.</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maximum quarterly amounts which could be due for payment, except upon a change of control and subject each quarter to the threshold limitation, are as follows: $15.0 million in the first quarter of 2017 and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Except in the event of the Company’s default, there is no compounding of interest and no scheduled cliff payment due under this agreement. Rather, payment will be made, subject to the threshold limitation, until $150 million in aggregate has been repaid, including payments made previously. The Company can prepay an amount equal to $150 million less any previously repaid amount.</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a $5.5 million gain on change in fair value of derivative liability during the nine months ended September 30, 2016, as compared to a $0.3 million loss on change in fair value of derivative liability in the prior year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September 30, 2016 and December 31, 2015, the carrying value of the BioPharma debt, net of the unamortized debt discount and issuance costs, was $93.1 million and $91.5 million, respectively. During the nine months ended September 30, 2016, the Company recorded cash and non-cash interest expense of $5.0 million and $1.5 million, respectively, in connection with the BioPharma debt. During the nine months ended September 30, 2015, the Company recorded cash and non-cash interest expense of $4.9 million and $1.4 million, respectively, in connection with the BioPharma debt. The Company will periodically evaluate the remaining term of the agreement and the effective interest rate is recalculated each period based on the Company’s most current estimate of repayment.</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2012, the Company issued $150.0 million in principal amount of 3.5% exchangeable senior notes due 2032 (the “2012 Notes”), a portion of which was subsequently exchanged and a portion of which was extinguished (see discussion of May 2014 and November 2015 Exchangeable Senior Notes below), such that $15.1 million in principal amount remains outstanding as of September 30, 2016.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2012 Notes have a stated interest rate of 3.5% per year, payable semiannually in arrears on January 15 and July 15 of each year beginning on July 15, 2012, and ending upon the 2012 Notes’ maturity on January 15, 2032. The 2012 Notes are subject to repurchase in cash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 1,714,270 ADSs. Based on the closing price of the Company’s stock as of September 30, 2016, the principal amount of the 2012 Notes would exceed the value of the shares if converted on that date by $9.6 million.</w:t>
      </w:r>
    </w:p>
    <w:p>
      <w:pPr>
        <w:spacing w:after="0" w:line="18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maintain the listing of the 2012 Notes on the Global Exchange Market operated under the supervision of the Irish Stock Exchange (or other recognized stock exchange as defined in the 2012 Notes indenture). If the 2012 Notes are not freely tradable, as a result of restrictions pursuant to U.S. securities law or the terms of the 2012 Notes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both September 30, 2016 and December 31, 2015, the discount created from the allocation of the proceeds to the conversion option was fully amortized and the carrying amount of the conversion option was $11.5 million. The conversion option will not be subsequently remeasured as long as it continues to meet the criteria for equity classification.</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both September 30, 2016 and December 31, 2015, the debt discount was fully amortized and the carrying value of the 2012 Notes was $15.1 million after an exchange and repayment of a portion of the 2012 Notes (see below for further discussion of the May 2014 Notes and November 2015 Notes). The outstanding 2012 Notes may be put to the Company (at the holders’ option, upon fundamental change or an event of default), or converted by holders and the holders have the option to put the 2012 Notes back to the Company on each of January 19, 2017, 2022 and 2027 for cash equal to 100% of the principal amount plus accrued and unpaid interest. As a result, the carrying value of the 2012 Notes of $15.1 million is classified as a current liability as of September 30, 2016. During the nine months ended September 30, 2016 and 2015, the Company recognized contractual coupon interest expense of $0.4 million and $0.8 million related to the 2012 Notes, respectively. The Company made the contractual interest payments due on the 2012 Notes during the nine months ended September 30, 2016 and 2015 of $0.5 million and $1.1 million, respectively, and had accrued interest of $0.2 million and $0.3 million as of September 30, 2016 and December 31, 2015, respectively, which is included in current portion of exchangeable senior notes, net of discount.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w:t>
      </w:r>
    </w:p>
    <w:p>
      <w:pPr>
        <w:ind w:right="280"/>
        <w:spacing w:after="0" w:line="254" w:lineRule="auto"/>
        <w:rPr>
          <w:sz w:val="20"/>
          <w:szCs w:val="20"/>
          <w:color w:val="auto"/>
        </w:rPr>
      </w:pPr>
      <w:r>
        <w:rPr>
          <w:rFonts w:ascii="Arial" w:cs="Arial" w:eastAsia="Arial" w:hAnsi="Arial"/>
          <w:sz w:val="18"/>
          <w:szCs w:val="18"/>
          <w:color w:val="auto"/>
        </w:rPr>
        <w:t>3.5% May 2014 Exchangeable Senior Notes due 2032 (the “2014 Notes”), following which $31.3 million in aggregate principal amount of the 2012 Notes remained outstanding with terms unchanged (the 2012 Notes and 2014 Notes are referred to collectively as the “Notes”). In September 2016, Corsicanto mandatorily exchanged $118.7 million of aggregate principal amount of the 2014 Notes for equity upon satisfaction of specified equity conditions as described below, such that no 2014 Notes remained outstanding as of September 30, 2016.</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2014 Notes indenture contained a provision that allowed the Company to elect at its option to cause all or any portion of the 2014 Notes to be mandatorily exchanged in whole or in part at any time prior to the close of business on the business day preceding January 15, 2032 if the Daily VWAP (as defined in the 2014 Notes indenture) equaled or exceeded 110% of the Exchange Price then in effect for at least 20 VWAP Trading Days (as defined in the 2014 Notes indenture) in any 30 VWAP Trading Day period, and upon satisfaction of other specified equity conditions, including that the ADSs issuable upon exchange of the 2014 Notes be eligible for resale without registration by non-affiliates and listed on The NASDAQ Global Market, its related exchanges or the New York Stock Exchange. In August 2016, Corsicanto gave notice to the holders of the 2014 Notes that the above described conditions had been satisfied and exercised its option to mandatorily exchange $118.7 million of aggregate principal amount of the 2014 Notes for equity with settlement in September 2016, such that all of the outstanding 2014 Notes were retired. In the event of physical settlement, the 2014 Notes were initially exchangeable into 45,666,925 ADSs. The initial exchange rate was 384.6154 ADSs per $1,000 principal amount of the 2014 Notes (equivalent to an initial exchange price of approximately $2.60 per ADS, or the Exchange Price), subject to adjustment in certain circumstances, including, but not limited to, the payment of cash dividends or the Company’s exercise of its optional exchange rights. Consistent with the 2014 Notes indenture, the final as-adjusted exchange rate was</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402.0746 ADSs per $1,000 of principal amount, resulting in 47,739,925 ADSs being issued in exchange for the 2014 Notes. Refer to the end of this Note for discussion of the accounting treatment for this transaction.</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2014 Notes had a stated interest rate of 3.5% per year, payable semiannually in arrears on January 15 and July 15 of each year beginning on July 15, 2014, and ending upon the 2014 Notes’ maturity on January 15, 2032, had the notes not been exchanged early. The 2014 Notes indenture provided holders the option to exchange the 2014 Notes at any time after the issuance of the 2014 Notes and prior to the close of business on the second business day immediately preceding January 15, 2032. If a fundamental change (as defined in the 2014 Notes indenture) had occurred prior to the 2014 Notes being exchanged, holders may have required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have required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As a result of the note exchange in 2014 (as described above), the Company assessed both quantitative and qualitative aspects of the features of the 2014 Notes as compared to the 2012 Notes. Such assessment resulted in the conclusion that the features of the 2014 Notes represented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initially recognized those costs as deferred assets. Effective January 2016, the Company adopted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consistent with the treatment of debt discounts. As the standard is required to be adopted on a retrospective basis, the Company reclassified $1.8 million of underwriters’ fees and offering costs related to the 2014 Notes from other long-term assets to exchangeable senior notes, net of discount, within the condensed consolidated balance sheet as of December 31, 2015.</w:t>
      </w:r>
    </w:p>
    <w:p>
      <w:pPr>
        <w:spacing w:after="0" w:line="16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further allocated $3.5 million of the $90.8 million fair value of the 2014 Notes to the derivative liability related to the fundamental change redemption feature (as described above). The fair value of this derivative liability was remeasured at each reporting period, with changes in fair value recognized in the condensed consolidated statement of operations. As a result of the mandatory exchange of the debt host, the Company derecognized the related derivative liability and recognized a $2.1 million gain on change in fair value of derivative liability in the nine months ended September 30, 2016, as compared to a $0.8 million gain on change in fair value of derivative liability recognized in the prior year period.</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Because the conversion option in the 2014 Notes received an exception from derivative accounting and only required gross physical settlement in shares, the embedded option did not require separate accounting and was therefore accounted for as part of the debt host at amortized cost. The debt discount was amortized as interest expense over the estimated life of the 2014 Notes and was recognized in the condensed consolidated statement of operations as interest expense. As of September 30, 2016 and December 31, 2015, the carrying value of the 2014 Notes, net of the unamortized debt discount and issuance costs, was nil and $94.6 million, respectively. During the nine months ended September 30, 2016, the Company recognized aggregate interest expense of $7.7 million related to the 2014 Notes, of which $4.8 million represents non-cash interest and $2.9 million represents contractual coupon interest. During the nine months ended September 30, 2015, the Company recognized aggregate interest expense of $7.7 million related to the 2014 Notes, of which $4.6 million represents non-cash interest and $3.1 million represents contractual coupon interest. The Company made the contractual interest payments due on the 2014 Notes during the nine months ended September 30, 2016 and 2015 of $4.2 million in each period, and had accrued interest of nil and $1.9 million as of September 30, 2016 and December 31, 2015, respectively, which is included in current portion of exchangeable senior notes, net of discount.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November 2015 Exchangeable Senior Notes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2015, the Company entered into a privately negotiated subscription agreement with one of its existing investors (the “Investor”),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a portion of the 2012 Notes with the remainder to be used for working capital and general corporate purposes. The 2015 Notes were issued by Amarin Corporation plc and were not guaranteed by any entity, but otherwise had substantially identical terms to the 2014 Notes, including the provision related to the Company’s optional exchange rights.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August 2016, the Company gave notice to the holders of the 2015 Notes that the Daily VWAP conditions as described above for the 2014 Notes had been satisfied and exercised its option to mandatorily exchange $31.3 million of aggregate principal amount of the 2015 Notes for equity with settlement in September 2016, such that all of the outstanding 2015 Notes were retired. In the event of physical settlement, the 2015 Notes were initially exchangeable into 12,025,385 ADSs. The initial exchange rate was 384.6154 ADSs per $1,000 principal amount of 2015 Notes (equivalent to an initial exchange price of approximately $2.60 per ADS), subject to adjustment in certain circumstances, including, but not limited to, the payment of cash dividends or the Company’s exercise of optional exchange rights. Consistent with the terms of the 2015 Notes, the final as-adjusted exchange rate was 402.0746 ADSs per $1,000 of principal amount, resulting in 12,571,263 ADSs being issued in exchange for the 2015 Notes. Refer to the end of this Note for discussion of the accounting treatment for this transaction.</w:t>
      </w:r>
    </w:p>
    <w:p>
      <w:pPr>
        <w:spacing w:after="0" w:line="19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2015 Notes were recorded at fair value of $27.5 million representing a $3.8 million discount to par. In addition, the Company recognized $0.1 million in offering costs and initially recognized those costs as deferred assets. As described for the 2014 Notes above, effective January 2016, the Company adopted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xml:space="preserve"> As the standard is required to be adopted on a retrospective basis, the Company reclassified $0.1 million of underwriters’ fees and offering costs related to the 2015 Notes from other long-term assets to exchangeable senior notes, net of discount, within the condensed consolidated balance sheet as of December 31, 2015.</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further allocated $0.5 million of the $27.5 million fair value of the 2015 Notes to the derivative liability related to the fundamental change redemption feature (as described under the 2014 Notes above). The fair value of this derivative liability was remeasured at each reporting period, with changes in fair value recognized in the condensed consolidated statement of operations. As a result of the mandatory exchange of the debt host, the Company derecognized the related derivative liability and recognized a $0.6 million gain on change in fair value of derivative liability in the nine months ended September 30, 2016.</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Because the conversion option in the 2015 Notes received an exception from derivative accounting and only required gross physical settlement in shares, the embedded option did not require separate accounting and was therefore accounted for as part of the debt host at amortized cost. The debt discount was amortized as interest expense over the estimated life of the 2015 Notes and recognized in the condensed consolidated statement of operations as interest expense. As of September 30, 2016 and December 31, 2015, the carrying value of the 2015 Notes, net of the unamortized debt discount and issuance costs, was nil and $27.0 million, respectively. During the nine months ended September 30, 2016, the Company recognized aggregate interest expense of $1.7 million related to the 2015 Notes, of which $0.9 million represents non-cash interest and $0.8 million represents contractual coupon interest. The Company made the contractual interest payments due on the 2015 Notes during the nine months ended September 30, 2016 of $0.7 million, and had accrued interest of nil and $0.1 million as of September 30, 2016 and December 31, 2015, respectively, which is included in current portion of exchangeable senior notes, net of discount.</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Concurrent with the issuance of the 2015 Notes, Corsicanto Limited and the Company entered into separate, privately negotiated purchase agreements with certain holders of the 2012 Notes pursuant to which the Company purchased (the “2012 Notes Purchase”) approximately $16.2 million in aggregate principal amount of the 2012 Notes for $15.9 million, which included accrued but unpaid interest on such 2012 Notes. The 2012 Notes Purchase was funded by the issuance of the 2015 Notes. Following the closing of the 2012 Notes Purchase, Corsicanto had approximately $15.1 million in aggregate principal amount of 2012 Notes outstanding. The 2012 Notes Purchase was accounted for as an extinguishment of debt and the Company recorded a gain of $1.3 million upon extinguishment during the fourth quarter of 2015, which represents the reacquisition of the conversion option at fair value and a negotiated discount on the purchase of the notes partially offset by legal and transaction advisory costs incurred.</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As described in the </w:t>
      </w:r>
      <w:r>
        <w:rPr>
          <w:rFonts w:ascii="Arial" w:cs="Arial" w:eastAsia="Arial" w:hAnsi="Arial"/>
          <w:sz w:val="16"/>
          <w:szCs w:val="16"/>
          <w:i w:val="1"/>
          <w:iCs w:val="1"/>
          <w:color w:val="auto"/>
        </w:rPr>
        <w:t>May 2014 Exchangeable Senior Notes</w:t>
      </w:r>
      <w:r>
        <w:rPr>
          <w:rFonts w:ascii="Arial" w:cs="Arial" w:eastAsia="Arial" w:hAnsi="Arial"/>
          <w:sz w:val="16"/>
          <w:szCs w:val="16"/>
          <w:color w:val="auto"/>
        </w:rPr>
        <w:t xml:space="preserve"> and </w:t>
      </w:r>
      <w:r>
        <w:rPr>
          <w:rFonts w:ascii="Arial" w:cs="Arial" w:eastAsia="Arial" w:hAnsi="Arial"/>
          <w:sz w:val="16"/>
          <w:szCs w:val="16"/>
          <w:i w:val="1"/>
          <w:iCs w:val="1"/>
          <w:color w:val="auto"/>
        </w:rPr>
        <w:t>November 2015 Exchangeable Senior Notes</w:t>
      </w:r>
      <w:r>
        <w:rPr>
          <w:rFonts w:ascii="Arial" w:cs="Arial" w:eastAsia="Arial" w:hAnsi="Arial"/>
          <w:sz w:val="16"/>
          <w:szCs w:val="16"/>
          <w:color w:val="auto"/>
        </w:rPr>
        <w:t xml:space="preserve"> sections above, the Company mandatorily exchanged, in total, $150.0 million in aggregate principal amount ($127.3 million in carrying value, net of unamortized debt discount and issuance costs) of outstanding 2014 Notes and 2015 Notes resulting in the issuance of 60,311,188 ADSs and recognition of $40.1 million in common stock and $87.4 million in additional paid-in capital. Included within this $87.4 million is $0.8 million of accrued but unpaid interest as of the exchange date deemed satisfied and discharged in full upon delivery of the ADSs consistent with the terms of the notes and ASC 470-20, less $0.7 million of transaction costs.</w:t>
      </w:r>
    </w:p>
    <w:p>
      <w:pPr>
        <w:spacing w:after="0" w:line="303" w:lineRule="exact"/>
        <w:rPr>
          <w:sz w:val="20"/>
          <w:szCs w:val="20"/>
          <w:color w:val="auto"/>
        </w:rPr>
      </w:pPr>
    </w:p>
    <w:p>
      <w:pPr>
        <w:jc w:val="both"/>
        <w:ind w:left="460" w:right="8380" w:hanging="452"/>
        <w:spacing w:after="0" w:line="425" w:lineRule="auto"/>
        <w:tabs>
          <w:tab w:leader="none" w:pos="449"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u w:val="single" w:color="auto"/>
          <w:color w:val="auto"/>
        </w:rPr>
        <w:t>Litigation and Other Legal Matters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the ordinary course of business, the Company is from time to time involved in lawsuits, claims, investigations, proceedings, and threats of litigation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relating to intellectual property, commercial arrangements and other matters. “Item 3. Legal Proceedings” of the Company’s Annual Report on Form 10-K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fiscal year ended December 31, 2015, and “Item 1. Legal Proceedings” of the Company’s Quarterly Reports on Form 10-Q for the quarters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2016 and June 30, 2016 include discussions of the Company’s current legal proceedings. There have been no material changes to those disclosures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filing other than as set forth below.</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September and October 2016, the Company received paragraph IV certification notices from four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filed or is in the process of filing patent infringement lawsuits against each of these ANDA applicants. In October 2016, Amarin filed a lawsuit against Roxane Laboratories, Inc. and related entities, or Roxane, in the U.S. District Court for the District of Nevada. The case against Roxane is captioned </w:t>
      </w:r>
      <w:r>
        <w:rPr>
          <w:rFonts w:ascii="Arial" w:cs="Arial" w:eastAsia="Arial" w:hAnsi="Arial"/>
          <w:sz w:val="17"/>
          <w:szCs w:val="17"/>
          <w:i w:val="1"/>
          <w:iCs w:val="1"/>
          <w:color w:val="auto"/>
        </w:rPr>
        <w:t>Amarin Pharma, Inc. et al. v. Roxane Laboratories, Inc. et al,</w:t>
      </w:r>
      <w:r>
        <w:rPr>
          <w:rFonts w:ascii="Arial" w:cs="Arial" w:eastAsia="Arial" w:hAnsi="Arial"/>
          <w:sz w:val="17"/>
          <w:szCs w:val="17"/>
          <w:color w:val="auto"/>
        </w:rPr>
        <w:t xml:space="preserve"> Civ. A. No. 2:16-cv-02525 (D. Nev.). In the </w:t>
      </w:r>
      <w:r>
        <w:rPr>
          <w:rFonts w:ascii="Arial" w:cs="Arial" w:eastAsia="Arial" w:hAnsi="Arial"/>
          <w:sz w:val="17"/>
          <w:szCs w:val="17"/>
          <w:i w:val="1"/>
          <w:iCs w:val="1"/>
          <w:color w:val="auto"/>
        </w:rPr>
        <w:t>Roxane</w:t>
      </w:r>
      <w:r>
        <w:rPr>
          <w:rFonts w:ascii="Arial" w:cs="Arial" w:eastAsia="Arial" w:hAnsi="Arial"/>
          <w:sz w:val="17"/>
          <w:szCs w:val="17"/>
          <w:color w:val="auto"/>
        </w:rPr>
        <w:t xml:space="preserve"> lawsuit, Amarin is seeking, among other remedies, an order enjoining Roxane from marketing generic versions of Vascepa before the last to expire of the asserted patents in 2030. The Company intends to vigorously enforce its intellectual property rights relating to Vascepa, but cannot predict the outcome of the </w:t>
      </w:r>
      <w:r>
        <w:rPr>
          <w:rFonts w:ascii="Arial" w:cs="Arial" w:eastAsia="Arial" w:hAnsi="Arial"/>
          <w:sz w:val="17"/>
          <w:szCs w:val="17"/>
          <w:i w:val="1"/>
          <w:iCs w:val="1"/>
          <w:color w:val="auto"/>
        </w:rPr>
        <w:t>Roxane</w:t>
      </w:r>
      <w:r>
        <w:rPr>
          <w:rFonts w:ascii="Arial" w:cs="Arial" w:eastAsia="Arial" w:hAnsi="Arial"/>
          <w:sz w:val="17"/>
          <w:szCs w:val="17"/>
          <w:color w:val="auto"/>
        </w:rPr>
        <w:t xml:space="preserve"> lawsuit or any subsequently filed lawsuits.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July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 Nisshin, Chemport and Novasep are currently the three manufacturers from which the Company purchases API.</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cash remedy for any shortfall in the minimum purchase obligations. The Company continues to meet its contractual purchase obligations.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$9.7 million as of September 30, 2016).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$6.5 million as of September 30, 2016) for each of the two potential market approvals (i.e. £10 million maximum, or approximately $13.0 million as of September 30, 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able to be estimated as of September 30, 2016.</w:t>
      </w:r>
    </w:p>
    <w:p>
      <w:pPr>
        <w:spacing w:after="0" w:line="393" w:lineRule="exact"/>
        <w:rPr>
          <w:sz w:val="20"/>
          <w:szCs w:val="20"/>
          <w:color w:val="auto"/>
        </w:rPr>
      </w:pPr>
    </w:p>
    <w:p>
      <w:pPr>
        <w:ind w:left="460" w:right="9840" w:hanging="452"/>
        <w:spacing w:after="0" w:line="453" w:lineRule="auto"/>
        <w:tabs>
          <w:tab w:leader="none" w:pos="449"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September 2016, the Company mandatorily exchanged $118.7 million and $31.3 million of aggregate principal amount of the 2014 Notes and 2015 Notes, respectively, resulting in the issuance of 47,739,925 ADSs and 12,571,263 ADSs, respectively, with each ADS representing one ordinary share of the Company (see Note 6—Debt).</w:t>
      </w:r>
    </w:p>
    <w:p>
      <w:pPr>
        <w:spacing w:after="0" w:line="181" w:lineRule="exact"/>
        <w:rPr>
          <w:sz w:val="20"/>
          <w:szCs w:val="20"/>
          <w:color w:val="auto"/>
        </w:rPr>
      </w:pPr>
    </w:p>
    <w:p>
      <w:pPr>
        <w:jc w:val="both"/>
        <w:ind w:right="280"/>
        <w:spacing w:after="0" w:line="276" w:lineRule="auto"/>
        <w:rPr>
          <w:sz w:val="20"/>
          <w:szCs w:val="20"/>
          <w:color w:val="auto"/>
        </w:rPr>
      </w:pPr>
      <w:r>
        <w:rPr>
          <w:rFonts w:ascii="Arial" w:cs="Arial" w:eastAsia="Arial" w:hAnsi="Arial"/>
          <w:sz w:val="17"/>
          <w:szCs w:val="17"/>
          <w:color w:val="auto"/>
        </w:rPr>
        <w:t>In August 2016, the Company completed a public offering of 21,100,000 ADSs, with each ADS representing one ordinary share of the Company. Amarin also granted the underwriters a 30-day option to purchase an additional 3,165,000 ADSs at the same price, which was exercised in full. The underwriters purchased the ADSs from the Company at a price of $2.679 per ADS after commission, resulting in net proceeds to the Company of approximately $64.6 million, after deducting estimated offering expenses payable by the Company. The Company currently intends to use the net proceeds from the offering to advance its REDUCE-IT cardiovascular outcomes trial and for general corporate and working capital purposes.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ten (10) Series A Preference Shares may be consolidated and redesignated as one (1) ordinary share, par value £0.50 per share, in the capital of the Company, each ordinary share to be represented by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Subsequently, at the request of the holders, a portion of the Series A Preference Shares were consolidated and redesignated during the three months ended June 30, 2015, resulting in the issuance of 6,283,333 ADSs such that a maximum of 32,818,464 ordinary shares remain issuable upon future consolidation and redesignation of the remaining Series A Preference Shares as of September 30, 2016, inclusive of the shares issued in July 2015 as discussed below, subject to certain adjustments for dilutive events.</w:t>
      </w:r>
    </w:p>
    <w:p>
      <w:pPr>
        <w:spacing w:after="0" w:line="16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equity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nine months ended September 30, 2015.</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at that time,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w:t>
      </w:r>
    </w:p>
    <w:p>
      <w:pPr>
        <w:spacing w:after="0" w:line="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Dr. James Healy, a member of the Company’s Board, is a managing general partner of Sofinnova Management VII, L.L.C., which is the general partner of Sofinnova.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three months ended September 30, 2015.</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The Company early adopted this standard during the quarter ended June 30, 2016, without electing to change its existing accounting policy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forfeitures based on expected vesting. The new standard requires that excess tax benefits and deficiencies that arise upon vesting or exercise of share-based payments be recognized as an income tax benefit and expense in the income statement, and also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Further, the new standard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Refer to Note 2 above for additional discussion on the Company’s adoption of the new standard.</w:t>
      </w:r>
    </w:p>
    <w:p>
      <w:pPr>
        <w:spacing w:after="0" w:line="167"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guidance became effective for all entities during the first quarter of fiscal 2016. The Company previously accounted for awards in a manner consistent with the new guidance and as such, adoption of the guidance did not have any impact on the Company’s condensed consolidated financial statements.</w:t>
      </w:r>
    </w:p>
    <w:p>
      <w:pPr>
        <w:spacing w:after="0" w:line="17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September 30, 2016, there were an aggregate of 21,240,894 stock options and 10,346,162 restricted stock units (“RSUs”) outstanding, representing approximately 6% and 3%, respectively, of outstanding shares (including common and preferred shares) on a fully diluted basis.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nine months ended September 30, 2016 and 2015, the Company issued 94,272 and 18,020 shares, respectively, as a result of the exercise of stock options, resulting in gross and net proceeds of $0.1 million during the nine months ended September 30, 2016 and $31 thousand during the nine months ended September 30, 2015.</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11, 2016, the Company granted a total of 148,403 RSUs and 208,340 stock options to members of the Company’s Board of Directors under the Amarin Corporation plc Stock Incentive Plan (the “2011 Plan”). The RSUs vest in equal installments over a three 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 2016, the Company granted a total of 1,607,500 RSUs and 2,442,000 stock options to employees under the 2011 Plan. The RSUs vest annually over a three year period and the stock options vest monthly over a four year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July 6, 2015, the Company granted a total of 1,455,000 RSUs and 5,470,000 stock options to employees under the 2011 Plan. The RSUs granted vest over a four year period. Of the total stock options granted, 3,670,000 stock options vest over a four year period while the remaining 1,800,000 stock options vest upon the achievement of certain performance conditions. During the nine months ended September 30, 2016, the Company issued 272,812 common shares related to the vesting of these RSUs, of which 125,484 shares were retained as treasury shares as settlement of employee tax obligations.</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Also on July 6, 2015, the Company granted a total of 413,500 RSUs and 288,657 stock options to members of the Company’s Board of Directors under the 2011 Plan. Of the total awards granted, 283,500 RSUs and 121,506 stock options vest in equal installments over a three year period upon the earlier of the one-year anniversary of the grant date or the Company’s annual general meeting of shareholders in such anniversary year, while the remaining 130,000 RSUs and 167,151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January 29, 2015, the Company granted a total of 2,564,251 RSUs and 1,622,500 stock options to employees under the 2011 Plan. The RSUs vest annually over a three year period and the stock options vest monthly over a four year period. Also on January 29, 2015, the Company granted 5,455,500 RSUs to employees under the 2011 Plan that vest upon the achievement of certain performance conditions. The issuance of these performance RSUs was contingent upon shareholder approval to increase the aggregate number of shares authorized for issuance under the 2011 Plan, which was obtained at the Company’s Annual General Meeting of Shareholders held on July 6, 2015. During the nine months ended September 30, 2016, the Company issued 818,352 common shares related to the vesting of these RSUs, of which 270,329 shares were retained as treasury shares as settlement of employee tax obligations.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nine months ended September 30, 2015, the Company issued 1,844,585 shares upon the exercise of warrants, resulting in gross and net proceeds of $2.8 million and $2.7 million, respectively. There was no warrant activity during the nine months ended September 30, 2016 and no warrants remained outstanding as of September 30, 2016.</w:t>
      </w:r>
    </w:p>
    <w:p>
      <w:pPr>
        <w:spacing w:after="0" w:line="3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 that increases during the term. The percentage of aggregate Vascepa gross margin earned by Kowa Pharmaceuticals America, Inc. was fifteen percent (15%) in 2015, is nineteen percent (19%) in 2016, and is scheduled to increase to low twenty percent levels in 2017 and 2018, subject to certain adjustments.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co-promotion fee in effect prior to such expiration or termination for periods ranging from one to three years following such expiration or termination.</w:t>
      </w:r>
    </w:p>
    <w:p>
      <w:pPr>
        <w:spacing w:after="0" w:line="18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September 30, 2016 and December 31, 2015, the Company had a net payable of $3.3 million and $2.5 million, respectively, to Kowa Pharmaceuticals America, Inc. representing co-promotion fees payable to Kowa Pharmaceuticals America, Inc. net of reimbursable amounts incurred for samples and other marketing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Development, Commercialization and Supply Agreement</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received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sales-based milestone events occur when annual aggregate net sales of Vascepa in the territory equals or exceeds certain specified thresholds.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Licensing and deferred revenues currently consist of revenue attributable to receipt of up-front, non-refundable payments and milestone payments related to the DCS Agreement and other licensing agreements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 During the nine months ended September 30, 2016 and 2015, the Company recognized $0.8 million and $0.5 million of up-front and milestone payments as licensing revenue, respectively, and recorded $15.4 million as deferred revenue as of September 30, 2016.</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has evaluated subsequent events from September 30, 2016 through the date of the issuance of these condensed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2015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³200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marketing Vascepa in the United States for the treatment of the patient population studied in the ANCHOR study based on the federal court declaration described below. In March 2016, we reached agreement with the FDA and U.S. government under which they agreed to be bound by the terms of the August 2015 judicial declaration. Vascepa is available in the United States by prescription only. In May 2016, the FDA determined Vascepa to be eligible for five-year, new chemical entity (NCE) marketing exclusivity thereby providing Vascepa with the benefits of NCE exclusivity afforded by statute from its July 2012 FDA approval.</w:t>
      </w:r>
    </w:p>
    <w:p>
      <w:pPr>
        <w:spacing w:after="0" w:line="18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sales force of approximately 150 sales professionals, including sales representatives and their managers. In March 2014, we entered into a co-promotion agreement in the United States with Kowa Pharmaceuticals America, Inc. under which no less than 250 Kowa Pharmaceuticals America, Inc. sales representatives began to devote a substantial portion of their time to promoting Vascepa starting in May 2014.</w:t>
      </w:r>
    </w:p>
    <w:p>
      <w:pPr>
        <w:spacing w:after="0" w:line="15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have an exclusive agreement with Eddingpharm (Asia) Macao Commercial Offshore Limited, or Eddingpharm, to develop and commercialize Vascepa capsules in Mainland China, Hong Kong, Macau and Taiwan, or the China Territory. We also have an agreement to register and commercialize Vascepa in countries within the Middle East and North Africa and are assessing other partnership opportunities for licensing Vascepa in other territories outside of the United States.</w:t>
      </w:r>
    </w:p>
    <w:p>
      <w:pPr>
        <w:spacing w:after="0" w:line="18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Triglycerides are the main constituent of body fat in humans.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150 mg/dL),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 Heart Association Scientific Statement on Triglycerides and Cardiovascular Disease</w:t>
      </w:r>
      <w:r>
        <w:rPr>
          <w:rFonts w:ascii="Arial" w:cs="Arial" w:eastAsia="Arial" w:hAnsi="Arial"/>
          <w:sz w:val="16"/>
          <w:szCs w:val="16"/>
          <w:color w:val="auto"/>
        </w:rPr>
        <w:t xml:space="preserve"> (2011), triglycerides provide important information as a marker associated with the risk for heart disease and stroke, especially when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In 2016, we completed patient enrollment and randomization of 8,175 individual patients into the REDUCE-IT study, slightly exceeding the 8,000 patients targeted for the trial.</w:t>
      </w:r>
    </w:p>
    <w:p>
      <w:pPr>
        <w:spacing w:after="0" w:line="18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REDUCE-IT study is designed to be completed after reaching 1,612 aggregate cardiovascular events. Based on projected event rates, we estimate the onset of the target aggregate number of cardiovascular events to be reached in or about the fourth quarter of 2017 with study results then expected to be available and published in 2018. In addition, since its inception in 2011, our REDUCE-IT special protocol assessment (SPA) agreement with the FDA has provided for periodic safety reviews and an interim efficacy and safety analysis by the study’s independent data monitoring committee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 The periodic safety reviews and interim efficacy and safety analyses are conducted confidentially by the study’s DMC. We remain blinded to all data from the study. Since patient enrollment commenced in 2011, more than 23,000 patient years of study experience have been accumulated in the REDUCE-IT study. Following each periodic review of safety data to date, the DMC has communicated to us that we should continue the study as planned.</w:t>
      </w:r>
    </w:p>
    <w:p>
      <w:pPr>
        <w:spacing w:after="0" w:line="183"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March 2016, we announced that the onset of approximately 60% of the target aggregate number of primary cardiovascular events had triggered preparation for the first pre-specified interim analysis of efficacy and safety results, such analysis to include the first review of unblinded efficacy data by the independent DMC. The 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It is our expectation that the 80% interim analysis will also result in a recommendation to continue the trial.</w:t>
      </w:r>
    </w:p>
    <w:p>
      <w:pPr>
        <w:spacing w:after="0" w:line="180" w:lineRule="exact"/>
        <w:rPr>
          <w:sz w:val="20"/>
          <w:szCs w:val="20"/>
          <w:color w:val="auto"/>
        </w:rPr>
      </w:pPr>
    </w:p>
    <w:p>
      <w:pPr>
        <w:ind w:right="180" w:firstLine="913"/>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permitted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promote Vascepa to healthcare professionals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commenced the commercial launch of Vascepa in the United States in January 2013. We commenced sales and shipments of Vascepa at that time to our network of U.S.-based wholesalers. We now market Vascepa in the United States through our sales force of approximately 150 sales professionals, including sales representatives and their managers. Commencing in May 2014, in addition to promotion by our sales representatives, no less than 250 Kowa Pharmaceuticals America, Inc. sales representatives began promoting Vascepa. We also employ various marketing personnel to support our commercialization of Vascepa.</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increases during the term. The percentage of aggregate Vascepa gross margin earned by Kowa Pharmaceuticals America, Inc. was fifteen percent (15%) in 2015, is nineteen percent (19%) in 2016, and is scheduled to increase to low twenty percent levels in 2017 and 2018, subject to certain adjustments. The term of this co-promotion agreement expires on December 31, 2018, following which Kowa Pharmaceuticals America, Inc. will be entitled to earn tail royalties equal to declining percentages of the co-promotion fee amount earned in the last year prior to such expiration for tail payment periods ranging from one to three years following such expiration.</w:t>
      </w:r>
    </w:p>
    <w:p>
      <w:pPr>
        <w:spacing w:after="0" w:line="16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Based on monthly compilations of data provided by a third party, Symphony Health Solutions, the estimated number of normalized total Vascepa prescriptions for the three months ended September 30, 2016 was approximately 260,000 compared to 230,000, 201,000, and 169,000 in the three months ended June 30, 2016, March 31, 2016, and September 30, 2015, respectively. According to data from another third party, IMS Health, the estimated number of normalized total Vascepa prescriptions for the three months ended September 30, 2016 was approximately 274,000 compared to 249,000, 216,000, and 176,000 in the three months ended June 30, 2016, March 31, 2016, and September 30, 2015, respectively. Normalized total prescriptions represent the estimated total number of Vascepa prescriptions shipped to patients, calculated on a normalized basis (i.e., total capsules shipped divided by 120 capsules, or one month’s supply). Inventory levels at wholesalers tend to fluctuate based on seasonal factors, prescription trends and other factors. For example, during the quarter ended March 31, 2016, wholesalers decreased inventory levels from year-end 2015. During the three months ended June 30, 2016, the trend was reversed and wholesalers increased inventory levels. During the three months ended September 30, 2016, wholesalers decreased inventory levels slightly from June 30, 2016.</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period-to-period Distributor purchasing habits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r>
        <w:rPr>
          <w:rFonts w:ascii="Arial" w:cs="Arial" w:eastAsia="Arial" w:hAnsi="Arial"/>
          <w:sz w:val="18"/>
          <w:szCs w:val="18"/>
          <w:color w:val="auto"/>
        </w:rPr>
        <w:t>.”</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August 2015, we and our co-promotion partner began communicating ANCHOR clinical trial data to targeted healthcare professionals. Such qualified communications are being made pursuant to the August 7, 2015 federal district court declaration and related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 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received upon successful submission of a clinical trial application with respect to the MARINE indication for Vascepa to the Chinese regulatory authority in March 2016, and future development, regulatory and sales-based milestone payments of up to an additional $153.0 million. Eddingpharm will also pay us tiered double-digit percentage royalties on net sales of Vascepa in the China Territory escalating to the high teens. We will supply finished product to Eddingpharm under negotiated terms.</w:t>
      </w:r>
    </w:p>
    <w:p>
      <w:pPr>
        <w:spacing w:after="0" w:line="17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We also have an agreement to register and commercialize Vascepa in countries within the Middle East and North Africa. We continue to assess other partnership opportunities for licensing Vascepa in other territories outside of the United States.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88"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slightly exceeding the 8,000 patients targeted for the trial.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Completion of the REDUCE-IT study is designed to occur after reaching an aggregate number of cardiovascular events. Based on projected event rates, we estimate the onset of the target aggregate number of cardiovascular events to be reached in or about the fourth quarter of 2017 with study results then expected to be available in 2018. In addition, since its inception in 2011, our REDUCE-IT special protocol assessment (SPA) agreement with the FDA has provided for periodic safety reviews and an interim efficacy and safety analysis by the independent DMC at approximately 60% of the target aggregate number of primary cardiovascular events. 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DMC at approximately 80% of the target aggregate number of primary cardiovascular events.</w:t>
      </w:r>
    </w:p>
    <w:p>
      <w:pPr>
        <w:spacing w:after="0" w:line="179"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In March 2016, we announced that the onset of approximately 60% of the target aggregate number of primary cardiovascular events had triggered preparation for the first pre-specified interim analysis of efficacy and safety results, such analysis to include the first review of unblinded efficacy data by the independent DMC. The DMC completed its review of the interim analysis in September 2016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analysis by the DMC expected in or about the third quarter of 2017. The interim efficacy analysis will be accompanied by an interim safety analysis by the DMC. As is typical, the statistical threshold for defining overwhelming efficacy on the primary endpoint at interim analyses is considerably higher than the threshold for defining statistical significance at the end of the study. In addition,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It is our expectation that the 80% interim analysis will also result in a recommendation to continue the trial. By design, it is most common for cardiovascular outcomes studies not to be stopped upon an interim look. We remain blinded to all data from the study. Unless overwhelming efficacy and safety is declared by the DMC at an interim look or the study is halted due to a patient safety concern, Amarin personnel will remain blinded to the efficacy and safety data from the REDUCE-IT study until the study is complete.</w:t>
      </w:r>
    </w:p>
    <w:p>
      <w:pPr>
        <w:spacing w:after="0" w:line="17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Since patient enrollment commenced in 2011, more than 23,000 patient years of study experience have been accumulated in REDUCE-IT. The DMC has reviewed unblinded safety data on a quarterly basis since initiation of the REDUCE-IT study in 2011 and, after each such meeting to date, the DMC has recommended to us that the study be continued as planned.</w:t>
      </w:r>
    </w:p>
    <w:p>
      <w:pPr>
        <w:spacing w:after="0" w:line="18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is higher than expected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believe that our cash and cash equivalents of $117.6 million as of September 30, 2016 will be sufficient to fund our projected operations for at least the next twelve months.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All of our product revenue is derived from product sales of Vascepa, net of allowances, discounts, incentives,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in the United States in January 2013. In accordance with U.S. Generally Accepted Accounting Principles, or GAAP, until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w:t>
      </w:r>
    </w:p>
    <w:p>
      <w:pPr>
        <w:spacing w:after="0" w:line="16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87"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the period,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costs for encapsulation, packaging, shipment, supply management, quality assurance and insurance. The cost of the API included in cost of goods sold reflects the average cost method of inventory valuation and relief. This average cost reflects the actual purchase price of Vascepa API.</w:t>
      </w:r>
    </w:p>
    <w:p>
      <w:pPr>
        <w:spacing w:after="0" w:line="14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as well as costs of product supply received from suppliers when such receipt by us is prior to regulatory approval of the supplier. We expense research and development costs as incurred.</w:t>
      </w:r>
    </w:p>
    <w:p>
      <w:pPr>
        <w:spacing w:after="0" w:line="189"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i w:val="1"/>
          <w:iCs w:val="1"/>
          <w:color w:val="auto"/>
        </w:rPr>
        <w:t xml:space="preserve">Gain (Loss) on Change in Fair Value of Derivative Liabilities. </w:t>
      </w:r>
      <w:r>
        <w:rPr>
          <w:rFonts w:ascii="Arial" w:cs="Arial" w:eastAsia="Arial" w:hAnsi="Arial"/>
          <w:sz w:val="18"/>
          <w:szCs w:val="18"/>
          <w:color w:val="auto"/>
        </w:rPr>
        <w:t>Gain (loss) on change in fair value of derivative liabilities is comprised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8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expense consists of interest incurred under lease obligations, interest incurred under our December 2012</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arrangement with BioPharma, and interest incurred under our 3.5% exchangeable notes. Interest expense under our BioPharma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expense, net, consists primarily of foreign exchange losses and gains.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condensed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Consequently, we recognized revenues of $90.6 million and $54.6 million based on sales to Distributors during the nine months ended September 30, 2016 and 2015, respectively.</w:t>
      </w:r>
    </w:p>
    <w:p>
      <w:pPr>
        <w:spacing w:after="0" w:line="178"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w:t>
      </w:r>
    </w:p>
    <w:p>
      <w:pPr>
        <w:spacing w:after="0" w:line="2" w:lineRule="exact"/>
        <w:rPr>
          <w:sz w:val="20"/>
          <w:szCs w:val="20"/>
          <w:color w:val="auto"/>
        </w:rPr>
      </w:pPr>
    </w:p>
    <w:p>
      <w:pPr>
        <w:ind w:right="20" w:firstLine="8"/>
        <w:spacing w:after="0" w:line="290"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channel inventory would result in a change of less than 1% in net product revenues reported during each of the three and nine months ended September 30, 2016 and 2015.</w:t>
      </w:r>
    </w:p>
    <w:p>
      <w:pPr>
        <w:spacing w:after="0" w:line="164" w:lineRule="exact"/>
        <w:rPr>
          <w:sz w:val="20"/>
          <w:szCs w:val="20"/>
          <w:color w:val="auto"/>
        </w:rPr>
      </w:pPr>
    </w:p>
    <w:p>
      <w:pPr>
        <w:ind w:right="260" w:firstLine="913"/>
        <w:spacing w:after="0" w:line="272" w:lineRule="auto"/>
        <w:rPr>
          <w:sz w:val="20"/>
          <w:szCs w:val="20"/>
          <w:color w:val="auto"/>
        </w:rPr>
      </w:pPr>
      <w:r>
        <w:rPr>
          <w:rFonts w:ascii="Arial" w:cs="Arial" w:eastAsia="Arial" w:hAnsi="Arial"/>
          <w:sz w:val="17"/>
          <w:szCs w:val="17"/>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78"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condensed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arising for changes in fair value recognized in the condensed consolidated statement of operations. The fair value of derivative financial liabilities is determined using various valuation techniques. We use our judgment to select a variety of methods and make assumptions that are mainly based on market conditions 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condensed consolidated balance sheet and, therefore, our condensed consolidated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during the first quarter of 2015), the change in control provision associated with our December 2012 debt financing, the change in control provisions associated with our May 2014 and November 2015 exchangeable senior notes (both derecognized upon exchange of the debt hosts into equity during the third quarter of 2016), and a preferred stock purchase option (subsequently reclassified to permanent equity).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i w:val="1"/>
          <w:iCs w:val="1"/>
          <w:color w:val="auto"/>
        </w:rPr>
        <w:t>Inventory</w:t>
      </w:r>
      <w:r>
        <w:rPr>
          <w:rFonts w:ascii="Arial" w:cs="Arial" w:eastAsia="Arial" w:hAnsi="Arial"/>
          <w:sz w:val="17"/>
          <w:szCs w:val="17"/>
          <w:color w:val="auto"/>
        </w:rPr>
        <w:t>—We capitalize purchases of saleable inventory of Vascepa from suppliers that have been qualified by the FDA. During the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presented, we purchased API for Vascepa from three FDA-approved suppliers.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In April 2016, we adopted ASU No. 2015-11, Inventory (Topic 330)—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and as such, began to state inventories at the lower of cost or net realizable market value (previously, we stated</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inventories at the lower of cost or market value). Cost is determined based on actual cost using the average cost method. An allowance is established when management determines that certain inventories may not be saleable. If inventory cost exceeds expected net realizable value due to obsolescence, damage, quantities in excess of expected demand, changes in price levels or other causes, then we will reduce the carrying value of such inventory to net realizable value and recognize the difference as a component of cost of goods sold in the period in which it occurs.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our U.S. deferred tax assets as of June 30, 2016,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September 30, 2016.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69"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In April 2016, we adopted ASU No. 2016-09, Compensation—</w:t>
      </w:r>
      <w:r>
        <w:rPr>
          <w:rFonts w:ascii="Arial" w:cs="Arial" w:eastAsia="Arial" w:hAnsi="Arial"/>
          <w:sz w:val="18"/>
          <w:szCs w:val="18"/>
          <w:i w:val="1"/>
          <w:iCs w:val="1"/>
          <w:color w:val="auto"/>
        </w:rPr>
        <w:t>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changes the accounting for certain aspects of share-based payments to employees. Refer to 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below for additional details on the impact of this recently adopted accounting guidance.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us or adopted as of the specified effective date.</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In January 2016, we adopted ASU No. 2015-03, </w:t>
      </w:r>
      <w:r>
        <w:rPr>
          <w:rFonts w:ascii="Arial" w:cs="Arial" w:eastAsia="Arial" w:hAnsi="Arial"/>
          <w:sz w:val="18"/>
          <w:szCs w:val="18"/>
          <w:i w:val="1"/>
          <w:iCs w:val="1"/>
          <w:color w:val="auto"/>
        </w:rPr>
        <w:t>Interest—Imputation of Interest (Subtopic 835-30): Simplifying the Presentation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Costs</w:t>
      </w:r>
      <w:r>
        <w:rPr>
          <w:rFonts w:ascii="Arial" w:cs="Arial" w:eastAsia="Arial" w:hAnsi="Arial"/>
          <w:sz w:val="18"/>
          <w:szCs w:val="18"/>
          <w:color w:val="auto"/>
        </w:rPr>
        <w:t>, which provides guidance on simplifying the presentation of debt issuance costs on the balance sheet. To simplify presentation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the amendments in ASU No. 2015-03 require that debt issuance costs related to a recognized debt liability be presented in the balance sheet as a direct deduction from the carrying amount of that debt liability, consistent with the treatment of debt discounts. The recognition and measurement guidance for debt issuance costs are not affected by the amendments in this update. In accordance with ASU No. 2015-03, we applied the new guidance on a retrospective basis, wherein the condensed consolidated balance sheet of each individual period presented was adjusted to reflect the period-specific effects of applying the new guidance. See Note 6</w:t>
      </w:r>
      <w:r>
        <w:rPr>
          <w:rFonts w:ascii="Arial" w:cs="Arial" w:eastAsia="Arial" w:hAnsi="Arial"/>
          <w:sz w:val="18"/>
          <w:szCs w:val="18"/>
          <w:i w:val="1"/>
          <w:iCs w:val="1"/>
          <w:color w:val="auto"/>
        </w:rPr>
        <w:t>—</w:t>
      </w:r>
      <w:r>
        <w:rPr>
          <w:rFonts w:ascii="Arial" w:cs="Arial" w:eastAsia="Arial" w:hAnsi="Arial"/>
          <w:sz w:val="18"/>
          <w:szCs w:val="18"/>
          <w:color w:val="auto"/>
        </w:rPr>
        <w:t>Debt.</w:t>
      </w:r>
    </w:p>
    <w:p>
      <w:pPr>
        <w:spacing w:after="0" w:line="18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In April 2016, we adopted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simplifies the subsequent measurement of inventories by replacing the lower of cost or market test with a lower of cost or net realizable value test. When evidence exists that the net realizable value of inventory is less than its cost (due to damage, physical deterioration, obsolescence, changes in price levels or other causes), we will recognize the difference as a component of cost of goods sold in the period in which it occurs. In accordance with ASU No. 2015-11, we applied the new guidance on a prospective basis with no impact on the carrying amount of inventory.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Also in April 2016, we adopted ASU No. 2016-09, </w:t>
      </w:r>
      <w:r>
        <w:rPr>
          <w:rFonts w:ascii="Arial" w:cs="Arial" w:eastAsia="Arial" w:hAnsi="Arial"/>
          <w:sz w:val="16"/>
          <w:szCs w:val="16"/>
          <w:i w:val="1"/>
          <w:iCs w:val="1"/>
          <w:color w:val="auto"/>
        </w:rPr>
        <w:t>Compensation—Stock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which changes the accounting for certain aspects of share-based payments to employees. One aspect of the standard requires that excess</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and nine months ended September 30, 2016, includes $0.3 million and $0.4 million, respectively, of excess tax deficiencies arising from share-based payments. Additionally, the new standard requires that historical excess tax benefits that were not previously recognized because the related tax deduction had not reduced current taxes payable should be recognized on a modified retrospective basis as a cumulative-effect adjustment to retained earnings as of the beginning of the annual period of adoption. Consequently, we recognized deferred tax assets of approximately $1.6 million relating to excess tax benefits on stock-based compensation outstanding as of December 31, 2015, with a corresponding cumulative-effect adjustment to accumulated deficit. The new standard also amends the presentation of employee share-based payment-related items in the statement of cash flows by requiring that: (i) excess income tax benefits and deficiencies be classified in cash flows from operating activities, and (ii) cash paid to taxing authorities arising from the withholding of shares from employees be classified as cash flows from financing activities. We adopted the aspects of the standard affecting cash flow presentation retrospectively and, accordingly, reclassified $0.7 million of excess tax provision from cash flows provided by financing activities to cash flows used in operating activities in the condensed consolidated statement of cash flows for the nine months ended September 30, 2015 to conform to the current year presentation. The presentation requirement for cash flows related to taxes paid for withheld shares had no impact to any of the periods presented in the condensed consolidated statement of cash flows since such payments have historically been presented as a financing activity.</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also considered the following recent accounting pronouncements which were not yet adopted as of September 30, 2016:</w:t>
      </w:r>
    </w:p>
    <w:p>
      <w:pPr>
        <w:spacing w:after="0" w:line="225"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our fiscal year beginning January 1, 2018.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ASU 2014-15 requires management to assess an entity’s ability to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We have determined that this standard would not have a material impact on our condensed consolidated financial statements based on the assessment of our ability to continue as a going concern as of September 30, 2016.</w:t>
      </w:r>
    </w:p>
    <w:p>
      <w:pPr>
        <w:spacing w:after="0" w:line="16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The new guidance is intended to improve the recognition and measurement of financial instruments by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We are currently evaluating the accounting, transition and disclosure requirements of the standard and cannot currently estimate the financial statement impact of adoption.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We are currently evaluating the accounting, transition and disclosure requirements of the standard and cannot currently estimate the financial statement impact of adoption.</w:t>
      </w:r>
    </w:p>
    <w:p>
      <w:pPr>
        <w:spacing w:after="0" w:line="18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clarifies that an entity is a principal when it controls the specified good or service before that good or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w:t>
      </w:r>
      <w:r>
        <w:rPr>
          <w:rFonts w:ascii="Arial" w:cs="Arial" w:eastAsia="Arial" w:hAnsi="Arial"/>
          <w:sz w:val="16"/>
          <w:szCs w:val="16"/>
          <w:i w:val="1"/>
          <w:iCs w:val="1"/>
          <w:color w:val="auto"/>
        </w:rPr>
        <w:t>, 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which provides clarifying guidance in certain narrow areas and adds some practical expedients. The amendments do not change the core principles of the guidance in Topic 606 and are effective for our fiscal year beginning January 1, 2018. Early application is permitted only as of annual reporting periods beginning after December 15, 2016, including interim reporting periods within that reporting period. We are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which is intended to reduce diversity in practice regarding how certain cash receipts and cash payments are presented and classified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Specifically, it addresses the following eight issues: debt prepayment or debt extinguishment costs; settlement of zero-coupon debt instruments;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investments; beneficial interests in securitization transactions; and separately identifiable cash flows and application of the predominance principle. The new guidance is effective for fiscal years beginning after December 15, 2017, including interim periods within those fiscal years. Early adoption is permitted. We have evaluated the accounting, transition and disclosure requirements of the standard and do not expect it to have a material impact on our condensed consolidated financial statements.</w:t>
      </w:r>
    </w:p>
    <w:p>
      <w:pPr>
        <w:spacing w:after="0" w:line="197"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our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2016 and September 30, 2015</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$32.4 million and $21.3 million during the three months ended September 30, 2016</w:t>
      </w:r>
      <w:r>
        <w:rPr>
          <w:rFonts w:ascii="Arial" w:cs="Arial" w:eastAsia="Arial" w:hAnsi="Arial"/>
          <w:sz w:val="16"/>
          <w:szCs w:val="16"/>
          <w:i w:val="1"/>
          <w:iCs w:val="1"/>
          <w:color w:val="auto"/>
        </w:rPr>
        <w:t xml:space="preserve"> </w:t>
      </w:r>
      <w:r>
        <w:rPr>
          <w:rFonts w:ascii="Arial" w:cs="Arial" w:eastAsia="Arial" w:hAnsi="Arial"/>
          <w:sz w:val="16"/>
          <w:szCs w:val="16"/>
          <w:color w:val="auto"/>
        </w:rPr>
        <w:t>and 2015, respectively, an increase of $11.1 million, or 52%. This increase in revenue was driven primarily by an increase in estimated normalized total Vascepa prescriptions offset by a slight decrease in the level of inventories held by our Distributors during the quarter. Based on data provided by Symphony Health Solutions and IMS Health, estimated normalized total Vascepa prescriptions increased by approximately 91,000 and 98,000, respectively, over the three months ended September 30, 2015, representing growth of 54% and 56%, respectively. The level of inventories held by our Distributors as of September 30, 2016 decreased as compared to inventories held at the beginning of the quarter calculated based on estimated days of Vascepa sales on hand. We estimate that product revenues during the quarter ended September 30, 2016 were negatively impacted by approximately $0.5 million to $0.8 million due to a net overall decrease in Distributor inventory levels during the quarter as compared to a $0.5 million to $0.8 million increase in product revenues due to a net overall increase in Distributor inventory levels in the corresponding period in 2015. The decrease in Distributor inventory levels during the quarter ended September 30, 2016 follows an estimated $2.9 million to $3.2 million increase in second quarter 2016 product revenues due to increased Distributor inventory levels during the second quarter of 2016. All of our product revenue in the three months ended September 30, 2016 and 2015 was derived from product sales of Vascepa, net of allowances, discounts, incentives, rebates, chargebacks and returns. Timing of shipments to wholesalers, as used for revenue recognition, and timing of prescriptions as estimated by third-party sources such as Symphony Health Solutions and IMS Health may differ from period to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During the quarters ended September 30, 2016 and 2015,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September 30, 2016 and 2015 was up to $70 per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6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during the three months ended September 30, 2016 and 2015 was $0.3 million and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$0.1 million. Licensing revenue relates primarily to the amortization of a $15.0 million up-front payment received in February 2015 and a $1.0 milestone payment achieved in March 2016, both associated with a Vascepa licensing agreement for the China Territory. The up-front and milestone payments are being recognized over the estimated period in which we are required to provide regulatory and development support and clinical and commercial supply under the agreement. The amount of licensing revenue recorded may be variable from period to period based on changes in estimates of the timing and level of support required.</w:t>
      </w:r>
    </w:p>
    <w:p>
      <w:pPr>
        <w:spacing w:after="0" w:line="193"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September 30, 2016 and 2015 was $8.5 million and $7.5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$1.0 million, or 13%.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API included in the calculation of the average cost of goods sold during the three months ended September 30, 2016 and 2015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Our gross margin on product sales for the three months ended September 30, 2016 and 2015 was 74% and 65%, respectively. This improvement was primarily driven by lower unit cost API purchases.</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September 30,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was $26.1 million and $26.7 million, respectively, a decrease of $0.7 million, or 2%. Selling, general and administrative expenses for the three months ended September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$18,657</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Co-promotion fees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26,061</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80" w:right="140" w:hanging="572"/>
        <w:spacing w:after="0" w:line="285"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co-promotion fees and non-cash compensation charges for stock compensation and warrants, for the three months ended September 30, 2016 and 2015 was $18.7 million and $21.5 million, respectively, a decrease of $2.9 million, or 13%. The decrease is due primarily to an increase in prior year sales and marketing costs in support of expanded Vascepa promotion following the favorable federal court declaration on August 7, 2015 and related settlement on March 8, 2016 allowing communication of truthful and non-misleading ANCHOR clinical trial and related data to be communicated to healthcare professionals, as well as lower legal costs resulting from the same.</w:t>
      </w:r>
    </w:p>
    <w:p>
      <w:pPr>
        <w:spacing w:after="0" w:line="2" w:lineRule="exact"/>
        <w:rPr>
          <w:rFonts w:ascii="Arial" w:cs="Arial" w:eastAsia="Arial" w:hAnsi="Arial"/>
          <w:sz w:val="16"/>
          <w:szCs w:val="16"/>
          <w:color w:val="auto"/>
        </w:rPr>
      </w:pPr>
    </w:p>
    <w:p>
      <w:pPr>
        <w:ind w:left="580" w:right="14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September 30, 2016 and 2015 were $4.6 million and $2.1 million, respectively, an increase of $2.5 million, or 119%. The increase is due primarily to an increase in gross margin on product sales in the third quarter of 2016 compared to the third quarter of 2015, coupled with an increase in the percentage of aggregate Vascepa gross margin earned by Kowa Pharmaceuticals America, Inc. from 15% in 2015 to 19% in 2016.</w:t>
      </w:r>
    </w:p>
    <w:p>
      <w:pPr>
        <w:spacing w:after="0" w:line="1"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Stock-based compensation expense for the three months ended September 30, 2016 and 2015 was $2.8 million and $3.1 million, respectively, a decrease of $0.3 million, or 9%. The decrease is primarily due to the duration of vesting periods and equity award forfeitures, partially offset by an increase in new stock option and restricted stock awards granted to attract and retain qualified employees.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September 30, 2016 and 2015 was $13.5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$13.1 million, respectively, an increase of $0.4 million, or 3%. Research and development expenses for the three months ended September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12,922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13,490</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research and development expenses for the quarter ended September 30, 2016, as compared to the prior year period, is primarily due to quarterly variability in costs related to the REDUCE-IT study.</w:t>
      </w:r>
    </w:p>
    <w:p>
      <w:pPr>
        <w:spacing w:after="0" w:line="76" w:lineRule="exact"/>
        <w:rPr>
          <w:sz w:val="20"/>
          <w:szCs w:val="20"/>
          <w:color w:val="auto"/>
        </w:rPr>
      </w:pPr>
    </w:p>
    <w:p>
      <w:pPr>
        <w:ind w:left="460" w:hanging="452"/>
        <w:spacing w:after="0" w:line="28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In 2016, we completed patient enrollment and randomization of 8,175 individual patients into the REDUCE-IT study, slightly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September 30, 2016 and 2015, we incurred expenses through our CRO in connection with this trial of approximately $7.5 million in each period. Inclusive of CTM costs, the combined CRO and CTM costs during the three months ended September 30, 2016 and 2015 for REDUCE-IT were approximately $9.9 million and $9.4 million, respectively. The increase in expenses in 2016 as compared to 2015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cardiovascular events. Based on projected event rates, we estimate the onset of the target aggregate number of cardiovascular events to be reached in or about the fourth quarter of 2017 with study results then expected to be available and published in 2018. We anticipate that our costs for this outcomes study will continue to represent the most significant component of our research and development expenditures.</w:t>
      </w: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regulatory filing fees in each of the quarters ended September 30, 2016 and 2015 included annual FDA fees for maintaining manufacturing sites.</w:t>
      </w:r>
    </w:p>
    <w:p>
      <w:pPr>
        <w:spacing w:after="0" w:line="3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i w:val="1"/>
          <w:iCs w:val="1"/>
          <w:color w:val="auto"/>
        </w:rPr>
        <w:t>Gain (Loss) on Change in Fair Value of Derivative Liabilities</w:t>
      </w:r>
      <w:r>
        <w:rPr>
          <w:rFonts w:ascii="Arial" w:cs="Arial" w:eastAsia="Arial" w:hAnsi="Arial"/>
          <w:sz w:val="17"/>
          <w:szCs w:val="17"/>
          <w:color w:val="auto"/>
        </w:rPr>
        <w:t>. Gain (loss) on change in fair value of derivative liabilities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2016 was a gain of $3.6 million versus a loss of $0.2 million in the prior year period. Gain (loss) on change in fair value of derivative liabilities for the three months ended September 30, 2016 and 2015 is comprised of (i) the change in fair value of the derivative liability related to the change in control provision associated with the December 2012 BioPharma financing, and (ii) the change in fair value of the derivative liabilities related to the change in control provisions associated with the May 2014 and November 2015 exchangeable senior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June 30, 2016, the fair value of the derivative was determined to be $2.8 million, and as of September 30, 2016, the fair value of the derivative was determined to be nil based on current assumptions. As such, we recognized a $2.8 million gain on change in fair value of derivative liability for the three months ended September 30, 2016. As of June 30, 2015, the fair value of the derivative was determined to be $5.6 million, and as of September 30, 2015, the fair value of the derivative was determined to be $5.1 million. As such, we recognized a $0.5 million gain on change in fair value of derivative liability for the three months ended September 30, 2015.</w:t>
      </w:r>
    </w:p>
    <w:p>
      <w:pPr>
        <w:spacing w:after="0" w:line="182"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2014 Notes, issued in May 2014,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American Depositary Shares, or ADSs (see Note 6—Debt). As such, the related derivative liability was derecognized and we recognized a $0.6 million gain on change in fair value of derivative liability for the three months ended September 30, 2016. As of June 30, 2015, the fair value of the derivative was determined to be $1.1 million, and as of September 30, 2015, the fair value of the derivative was determined to be $1.8 million. As such, we recognized a $0.7 million loss on change in fair value of derivative liability for the three months ended September 30, 2015.</w:t>
      </w:r>
    </w:p>
    <w:p>
      <w:pPr>
        <w:spacing w:after="0" w:line="182"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Our 2015 Notes, issued in November 2015,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6—Debt) As such, the related derivative liability was derecognized and we recognized a $0.2 million gain on change in fair value of derivative liability for the three months ended September 30, 2016. There was no such change in fair value of derivative liability for the three months ended September 30, 2015.</w:t>
      </w:r>
    </w:p>
    <w:p>
      <w:pPr>
        <w:spacing w:after="0" w:line="17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a result of the exchange of the related debt hosts for the three months ended September 30, 2016 and was largely related to changes in quoted bond prices for the three months ended September 30, 2015. Any changes in the assumptions used to value the derivative liabilities could result in a material change to the carrying value of such liabilities.</w:t>
      </w:r>
    </w:p>
    <w:p>
      <w:pPr>
        <w:spacing w:after="0" w:line="15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three months ended September 30, 2016 and 2015 was $5.1 million in each period. Net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the three months ended September 30, 2016 and 2015 is summarized in the table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4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Amortization of debt discounts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3"/>
              </w:rPr>
              <w:t>$ 1,686</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Contractual coupon 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from royalty-bearing instrument (2):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Cash interest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(3)</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$ 5,051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25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September 30, 2016 and 2015 was $2.9 million in each period.</w:t>
      </w:r>
    </w:p>
    <w:p>
      <w:pPr>
        <w:spacing w:after="0" w:line="1"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and non-cash interest expense related to the BioPharma financing for the three months ended September 30, 2016 and 2015 was $2.2 million in each period.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income represents income earned on cash balances.</w:t>
      </w:r>
    </w:p>
    <w:p>
      <w:pPr>
        <w:sectPr>
          <w:pgSz w:w="11900" w:h="16838" w:orient="portrait"/>
          <w:cols w:equalWidth="0" w:num="1">
            <w:col w:w="11380"/>
          </w:cols>
          <w:pgMar w:left="240" w:top="459" w:right="27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40" w:top="459" w:right="2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three months ended September 30, 2016 was $0.1 million in each period. Other expense, net,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consists of gains and losses on foreign exchange transactions.</w:t>
      </w:r>
    </w:p>
    <w:p>
      <w:pPr>
        <w:spacing w:after="0" w:line="17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i w:val="1"/>
          <w:iCs w:val="1"/>
          <w:color w:val="auto"/>
        </w:rPr>
        <w:t xml:space="preserve">Benefit from Income Taxes. </w:t>
      </w:r>
      <w:r>
        <w:rPr>
          <w:rFonts w:ascii="Arial" w:cs="Arial" w:eastAsia="Arial" w:hAnsi="Arial"/>
          <w:sz w:val="16"/>
          <w:szCs w:val="16"/>
          <w:color w:val="auto"/>
        </w:rPr>
        <w:t>Benefit from income taxes for the three months ended September 30, 2016 and 2015 was $1.0 million and $0.5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respectively. The current benefit relates entirely to the U.S. subsidiary operations. We are profitable in the United States as a result of intercompany transactions between our U.S. subsidiary and our other companies. In April 2016, we adopted ASU No. 2016-09,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Improvements to Employee Share-Based Payment Accounting, </w:t>
      </w:r>
      <w:r>
        <w:rPr>
          <w:rFonts w:ascii="Arial" w:cs="Arial" w:eastAsia="Arial" w:hAnsi="Arial"/>
          <w:sz w:val="16"/>
          <w:szCs w:val="16"/>
          <w:color w:val="auto"/>
        </w:rPr>
        <w:t>which requires that excess tax benefits and deficiencies that arise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three months ended September 30, 2016, includes $0.3 million of excess tax deficiencies arising from share-based payments.</w:t>
      </w:r>
    </w:p>
    <w:p>
      <w:pPr>
        <w:spacing w:after="0" w:line="16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i w:val="1"/>
          <w:iCs w:val="1"/>
          <w:color w:val="auto"/>
        </w:rPr>
        <w:t xml:space="preserve">Preferred Stock Beneficial Conversion Features. </w:t>
      </w:r>
      <w:r>
        <w:rPr>
          <w:rFonts w:ascii="Arial" w:cs="Arial" w:eastAsia="Arial" w:hAnsi="Arial"/>
          <w:sz w:val="17"/>
          <w:szCs w:val="17"/>
          <w:color w:val="auto"/>
        </w:rPr>
        <w:t>In 2015, we issued Series A preference shares in a private placement transaction executed in</w:t>
      </w:r>
      <w:r>
        <w:rPr>
          <w:rFonts w:ascii="Arial" w:cs="Arial" w:eastAsia="Arial" w:hAnsi="Arial"/>
          <w:sz w:val="17"/>
          <w:szCs w:val="17"/>
          <w:i w:val="1"/>
          <w:iCs w:val="1"/>
          <w:color w:val="auto"/>
        </w:rPr>
        <w:t xml:space="preserve"> </w:t>
      </w:r>
      <w:r>
        <w:rPr>
          <w:rFonts w:ascii="Arial" w:cs="Arial" w:eastAsia="Arial" w:hAnsi="Arial"/>
          <w:sz w:val="17"/>
          <w:szCs w:val="17"/>
          <w:color w:val="auto"/>
        </w:rPr>
        <w:t>two tranches that each contain a conversion feature whereby such shares are convertible into ordinary shares at a fixed rate. The conversion price on the date of issuance was less than the market price of our ordinary shares on such date. We determined that these discounts represent contingent beneficial conversion features, which were valued based on the difference between the conversion price and the market price of the ordinary shares on the date of issuance. These features are analogous to preference dividends and were recorded as a non-cash return to preferred shareholders through accumulated deficit, and are therefore reflected as an adjustment to net loss applicable to common shareholders for earnings per common share purposes in accordance with GAAP. During the three months ended September 30, 2015, we recorded an adjustment to net loss applicable to common shareholders of $1.6 million upon shareholder approval received at the Company’s Annual General Meeting of Shareholders. There was no such adjustment to net loss in the three months ended September 30,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2016 and September 30, 2015</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$90.6 million and $54.6 million during the nine months ended September 30, 2016</w:t>
      </w:r>
      <w:r>
        <w:rPr>
          <w:rFonts w:ascii="Arial" w:cs="Arial" w:eastAsia="Arial" w:hAnsi="Arial"/>
          <w:sz w:val="16"/>
          <w:szCs w:val="16"/>
          <w:i w:val="1"/>
          <w:iCs w:val="1"/>
          <w:color w:val="auto"/>
        </w:rPr>
        <w:t xml:space="preserve"> </w:t>
      </w:r>
      <w:r>
        <w:rPr>
          <w:rFonts w:ascii="Arial" w:cs="Arial" w:eastAsia="Arial" w:hAnsi="Arial"/>
          <w:sz w:val="16"/>
          <w:szCs w:val="16"/>
          <w:color w:val="auto"/>
        </w:rPr>
        <w:t>and 2015, respectively, an increase of $36.0 million, or 66%. This increase in revenue was driven primarily by a slight increase in estimated normalized total Vascepa prescriptions as well as an increase in the level of inventories held by our customers during the period. Based on data provided by Symphony Health Solutions and IMS Health, estimated normalized total Vascepa prescriptions increased by approximately 244,000 and 269,000, respectively, over the nine months ended September 30, 2015, representing growth of 55% and 57%, respectively. The level of inventories held by our customers as of September 30, 2016 increased as compared to inventories held as of year-end 2015 calculated based on estimated days of Vascepa sales on hand. We estimate that revenues during the nine months ended September 30, 2016 include approximately $0.9 million to $1.2 million in product revenues resulting from a net overall increase in Distributor inventory levels compared to a $0.5 to $0.8 million decrease in revenues due to net inventory level changes in the corresponding period in 2015. All of our product revenue in the nine months ended September 30, 2016 and 2015 was derived from product sales of Vascepa, net of allowances, discounts, incentives, rebates, chargebacks and returns. Timing of shipments to wholesalers, as used for revenue recognition, and timing of prescriptions as estimated by third-party sources such as Symphony Health Solutions and IMS Health may differ from period to period.</w:t>
      </w:r>
    </w:p>
    <w:p>
      <w:pPr>
        <w:spacing w:after="0" w:line="17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During the nine months ended September 30, 2016 and 2015,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nine months ended September 30, 2016 and 2015 was up to $70 per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6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during the nine months ended September 30, 2016 and 2015 was $0.8 million and $0.5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$0.3 million, or 53%. Licensing revenue relates to the amortization of a $15.0 million up-front payment received in February 2015 and a $1.0 million milestone payment achieved in March 2016, both associated with a Vascepa licensing agreement for the China Territory. The up-front and milestone payments are being recognized over the estimated period in which we are required to provide regulatory and development support and clinical and commercial supply under the agreement. The amount of licensing revenue recorded may be variable from period to period based on changes in estimates of the timing and level of support required.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2016 and 2015 was $24.2 million and $19.5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$4.7 million, or 24%.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API included in the calculation of the average cost of goods sold during the nine months ended September 30, 2016 and 2015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8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gross margin on product sales for the nine months ended September 30, 2016 and 2015 was 73% and 64%, respectively. This improvement was primarily driven by lower unit cost API purchases.</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nine months ended September 30,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was $80.1 million and $77.5 million, respectively, an increase of $2.6 million, or 3%. Selling, general and administrative expenses for the nine months ended September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1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$58,917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Co-promotion fees (2)</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12,607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Non-cash warrant related compensation income</w:t>
            </w:r>
          </w:p>
        </w:tc>
        <w:tc>
          <w:tcPr>
            <w:tcW w:w="172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80,147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8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co-promotion fees and non-cash compensation charges for stock compensation and warrants, for the nine months ended September 30, 2016 and 2015 was $58.9 million and $64.5 million, respectively, a decrease of $5.6 million, or 9%. The decrease is due primarily to lower legal costs following the favorable federal court declaration on August 7, 2015 and related settlement on March 8, 2016 allowing communication of truthful and non-misleading ANCHOR clinical trial and related data to be communicated to healthcare professionals.</w:t>
      </w:r>
    </w:p>
    <w:p>
      <w:pPr>
        <w:spacing w:after="0" w:line="1" w:lineRule="exact"/>
        <w:rPr>
          <w:rFonts w:ascii="Arial" w:cs="Arial" w:eastAsia="Arial" w:hAnsi="Arial"/>
          <w:sz w:val="16"/>
          <w:szCs w:val="16"/>
          <w:color w:val="auto"/>
        </w:rPr>
      </w:pPr>
    </w:p>
    <w:p>
      <w:pPr>
        <w:jc w:val="both"/>
        <w:ind w:left="460" w:right="24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Co-promotion fees payable to Kowa Pharmaceuticals America, Inc. for the nine months ended September 30, 2016 and 2015 were $12.6 million and $5.3 million, respectively, an increase of $7.3 million, or 139%. The increase is due primarily to an increase in gross margin on product sales for the nine months ended September 30, 2016 compared to the same period in 2015, coupled with an increase in the percentage of aggregate Vascepa gross margin earned by Kowa Pharmaceuticals America, Inc. from 15% in 2015 to 19% in 2016.</w:t>
      </w:r>
    </w:p>
    <w:p>
      <w:pPr>
        <w:ind w:left="460" w:right="36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Stock-based compensation expense for the nine months ended September 30, 2016 and 2015 was $8.6 million and $7.7 million, respectively, an increase of $0.9 million, or 12%, primarily due to an increase in new stock option and restricted stock awards granted to attract and retain qualified employees.</w:t>
      </w:r>
    </w:p>
    <w:p>
      <w:pPr>
        <w:spacing w:after="0" w:line="190"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nine months ended September 30, 2016 and 2015 was $39.8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$37.7 million, respectively, an increase of $2.1 million, or 6%. Research and development expenses for the nine months ended September 30, 2016 and 2015 are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$27,991</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38,045</w:t>
            </w:r>
          </w:p>
        </w:tc>
        <w:tc>
          <w:tcPr>
            <w:tcW w:w="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39,798</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40"/>
              <w:spacing w:after="0"/>
              <w:rPr>
                <w:sz w:val="20"/>
                <w:szCs w:val="20"/>
                <w:color w:val="auto"/>
              </w:rPr>
            </w:pPr>
            <w:r>
              <w:rPr>
                <w:rFonts w:ascii="Arial" w:cs="Arial" w:eastAsia="Arial" w:hAnsi="Arial"/>
                <w:sz w:val="18"/>
                <w:szCs w:val="18"/>
                <w:color w:val="auto"/>
              </w:rPr>
              <w:t>45</w:t>
            </w:r>
          </w:p>
        </w:tc>
        <w:tc>
          <w:tcPr>
            <w:tcW w:w="1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increase in research and development expenses for the nine months ended September 30, 2016, as compared to the prior year period, is primarily due to quarterly variability in costs related to the REDUCE-IT study.</w:t>
      </w:r>
    </w:p>
    <w:p>
      <w:pPr>
        <w:spacing w:after="0" w:line="76" w:lineRule="exact"/>
        <w:rPr>
          <w:sz w:val="20"/>
          <w:szCs w:val="20"/>
          <w:color w:val="auto"/>
        </w:rPr>
      </w:pPr>
    </w:p>
    <w:p>
      <w:pPr>
        <w:ind w:left="460" w:right="40" w:hanging="452"/>
        <w:spacing w:after="0" w:line="26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In 2016, we completed patient enrollment and randomization of 8,175 individual patients into the REDUCE-IT study, slightly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nine months ended September 30, 2016 and 2015, we incurred expenses through our CRO in connection with this trial of approximately $22.6 million and $21.3 million, respectively. Inclusive of CTM costs, the combined CRO and CTM costs during the nine months ended September 30, 2016 and 2015 for REDUCE-IT were approximately $28.0 million and $26.0 million, respectively. The increase in expenses in 2016 as compared to 2015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cardiovascular events. Based on projected event rates, we estimate the onset of the target aggregate number of cardiovascular events to be reached in or about the fourth quarter of 2017 with study results then expected to be available and published in 2018.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7"/>
          <w:szCs w:val="17"/>
          <w:color w:val="auto"/>
        </w:rPr>
      </w:pPr>
    </w:p>
    <w:p>
      <w:pPr>
        <w:ind w:left="460" w:right="3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regulatory filing fees in each of the nine months ended September 30, 2016 and 2015 included annual FDA fees for maintaining manufacturing sites.</w:t>
      </w:r>
    </w:p>
    <w:p>
      <w:pPr>
        <w:ind w:left="460" w:right="2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240" w:firstLine="913"/>
        <w:spacing w:after="0" w:line="273" w:lineRule="auto"/>
        <w:rPr>
          <w:sz w:val="20"/>
          <w:szCs w:val="20"/>
          <w:color w:val="auto"/>
        </w:rPr>
      </w:pPr>
      <w:r>
        <w:rPr>
          <w:rFonts w:ascii="Arial" w:cs="Arial" w:eastAsia="Arial" w:hAnsi="Arial"/>
          <w:sz w:val="17"/>
          <w:szCs w:val="17"/>
          <w:i w:val="1"/>
          <w:iCs w:val="1"/>
          <w:color w:val="auto"/>
        </w:rPr>
        <w:t>Gain (Loss) on Change in Fair Value of Derivative Liabilities</w:t>
      </w:r>
      <w:r>
        <w:rPr>
          <w:rFonts w:ascii="Arial" w:cs="Arial" w:eastAsia="Arial" w:hAnsi="Arial"/>
          <w:sz w:val="17"/>
          <w:szCs w:val="17"/>
          <w:color w:val="auto"/>
        </w:rPr>
        <w:t>. Gain (loss) on change in fair value of derivative liabilities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2016 was a gain of $8.2 million versus a loss of $0.4 million in the prior year period. Gain (loss) on change in fair value of derivative liabilities for the nine months ended September 30, 2016 and 2015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7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warrant derivative liability was related to the change in fair value of warrants issued in conjunction with the October 2009 private placement. In October 2009 we issued 36.1 million warrants at an exercise price of $1.50 per warrant and recorded a $48.3 million warrant derivative liability, representing the fair value of the warrants issued. As these warrants were classified as a derivative liability, they were revalued at each reporting period, with changes in fair value recognized in the condensed consolidated statement of operations. Of the 8,087,388 warrants outstanding as of December 31, 2014, 1,844,585 warrants were exercised and the remaining 6,242,803 warrants expired on February 27, 2015. As such, no warrants were outstanding as of September 30, 2015 and the derivative liability was extinguished. The fair value of the warrant derivative liability as of December 31, 2014 was $0.1 million and we recognized a $0.1 million gain on change in fair value of derivative liability for the nine months ended September 30, 2015. There was no such change in fair value of derivative liability for the nine months ended September 30, 2016.</w:t>
      </w:r>
    </w:p>
    <w:p>
      <w:pPr>
        <w:spacing w:after="0" w:line="17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2015, the fair value of the derivative was determined to be $5.5 million, and as of September 30, 2016, the fair value of the derivative was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determined to be nil based on current assumptions. As such, we recognized a $5.5 million gain on change in fair value of derivative liability for the nine months ended September 30, 2016. As of December 31, 2014, the fair value of the derivative was determined to be $4.8 million, and as of September 30, 2015, the fair value of the derivative was determined to be $5.1 million. As such, we recognized a $0.3 million loss on change in fair value of derivative liability for the nine months ended September 30, 2015.</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2014 Notes, issued in May 2014,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6—Debt). As such, the related derivative liability was derecognized and we recognized a $2.1 million gain on change in fair value of derivative liability for the nine months ended September 30, 2016. As of December 31, 2014, the fair value of the derivative was determined to be $2.6 million, and as of September 30, 2015, the fair value of the derivative was determined to be $1.8 million. As such, we recognized a $0.8 million gain on change in fair value of derivative liability for the nine months ended September 30, 2015.</w:t>
      </w:r>
    </w:p>
    <w:p>
      <w:pPr>
        <w:spacing w:after="0" w:line="182"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Our 2015 Notes, issued in November 2015,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6—Debt). As such, the related derivative liability was derecognized and we recognized a $0.6 million gain on change in fair value of derivative liability for the nine months ended September 30, 2016. There was no such change in fair value of derivative liability for the nine months ended September 30, 2015.</w:t>
      </w:r>
    </w:p>
    <w:p>
      <w:pPr>
        <w:spacing w:after="0" w:line="173"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In connection with the closing of a private placement transaction in early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nine months ended September 30, 2015. The liability was then marked to fair value through March 30, 2015, the date on which we executed a separate subscription agreement with the investor, resulting in a charge of $0.9 million through gain (loss) on change in fair value of derivatives in the nine months ended September 30, 2015. The liability of $1.8 million was then reclassified to permanent equity on March 30, 2015. There was no such change in fair value of derivative liability for the nine months ended September 30, 2016.</w:t>
      </w:r>
    </w:p>
    <w:p>
      <w:pPr>
        <w:spacing w:after="0" w:line="19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a result of the exchange of the related debt hosts for the nine months ended September 30, 2016 and was largely related to changes in quoted bond prices for the nine months ended September 30, 2015. Any changes in the assumptions used to value the derivative liabilities could result in a material change to the carrying value of such liabilities.</w:t>
      </w:r>
    </w:p>
    <w:p>
      <w:pPr>
        <w:spacing w:after="0" w:line="158"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nine months ended September 30, 2016 and 2015 was $16.3 million and $14.8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$1.5 million, or 10%. Net interest expense for the nine months ended September 30, 2016 and 2015 is summarized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Amortization of debt discounts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5,703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from royalty-bearing instrument (2):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Cash interest—current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interest—deferred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Non-cash interest</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interest expense</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income (3)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16,253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459" w:right="27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0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nine months ended September 30, 2016 and 2015 was $9.8 million and $8.5 million, respectively.</w:t>
      </w:r>
    </w:p>
    <w:p>
      <w:pPr>
        <w:spacing w:after="0" w:line="1"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and non-cash interest expense related to the BioPharma financing for the nine months ended September 30, 2016 and 2015 was $6.6 million and $6.3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7"/>
          <w:szCs w:val="17"/>
          <w:color w:val="auto"/>
        </w:rPr>
      </w:pPr>
    </w:p>
    <w:p>
      <w:pPr>
        <w:ind w:left="460" w:right="8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2016 and 2015 was $0.1 million in each period. Interest income represents income earned on cash balances.</w:t>
      </w:r>
    </w:p>
    <w:p>
      <w:pPr>
        <w:spacing w:after="0" w:line="184"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nine months ended September 30, 2016 was $0.4 million versus $0.1 million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Other expense, net, primarily consists of gains and losses on foreign exchange transactions.</w:t>
      </w:r>
    </w:p>
    <w:p>
      <w:pPr>
        <w:spacing w:after="0" w:line="17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i w:val="1"/>
          <w:iCs w:val="1"/>
          <w:color w:val="auto"/>
        </w:rPr>
        <w:t xml:space="preserve">Benefit from Income Taxes. </w:t>
      </w:r>
      <w:r>
        <w:rPr>
          <w:rFonts w:ascii="Arial" w:cs="Arial" w:eastAsia="Arial" w:hAnsi="Arial"/>
          <w:sz w:val="16"/>
          <w:szCs w:val="16"/>
          <w:color w:val="auto"/>
        </w:rPr>
        <w:t>Benefit from income taxes for the nine months ended September 30, 2016 and 2015 was $2.3 million and $1.5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respectively. The current benefit relates entirely to the U.S. subsidiary operations. We are profitable in the United States as a result of intercompany transactions between our U.S. subsidiary and our other companies. In April 2016, we adopted ASU No. 2016-09, </w:t>
      </w:r>
      <w:r>
        <w:rPr>
          <w:rFonts w:ascii="Arial" w:cs="Arial" w:eastAsia="Arial" w:hAnsi="Arial"/>
          <w:sz w:val="16"/>
          <w:szCs w:val="16"/>
          <w:i w:val="1"/>
          <w:iCs w:val="1"/>
          <w:color w:val="auto"/>
        </w:rPr>
        <w:t>Compensation—Stock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Improvements to Employee Share-Based Payment Accounting, </w:t>
      </w:r>
      <w:r>
        <w:rPr>
          <w:rFonts w:ascii="Arial" w:cs="Arial" w:eastAsia="Arial" w:hAnsi="Arial"/>
          <w:sz w:val="16"/>
          <w:szCs w:val="16"/>
          <w:color w:val="auto"/>
        </w:rPr>
        <w:t>which requires that excess tax benefits and deficiencies that arise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share-based payments be recognized as an income tax benefit and expense in the income statement. Previously, such amounts were recognized as an increase and decrease in additional paid-in capital. This aspect of the standard was adopted prospectively, and accordingly, the benefit from income taxes for the nine months ended September 30, 2016, includes $0.4 million of excess tax deficiencies arising from share-based payments.</w:t>
      </w:r>
    </w:p>
    <w:p>
      <w:pPr>
        <w:spacing w:after="0" w:line="167" w:lineRule="exact"/>
        <w:rPr>
          <w:sz w:val="20"/>
          <w:szCs w:val="20"/>
          <w:color w:val="auto"/>
        </w:rPr>
      </w:pPr>
    </w:p>
    <w:p>
      <w:pPr>
        <w:ind w:right="240" w:firstLine="913"/>
        <w:spacing w:after="0" w:line="293" w:lineRule="auto"/>
        <w:rPr>
          <w:sz w:val="20"/>
          <w:szCs w:val="20"/>
          <w:color w:val="auto"/>
        </w:rPr>
      </w:pPr>
      <w:r>
        <w:rPr>
          <w:rFonts w:ascii="Arial" w:cs="Arial" w:eastAsia="Arial" w:hAnsi="Arial"/>
          <w:sz w:val="16"/>
          <w:szCs w:val="16"/>
          <w:i w:val="1"/>
          <w:iCs w:val="1"/>
          <w:color w:val="auto"/>
        </w:rPr>
        <w:t xml:space="preserve">Preferred Stock Purchase Option. </w:t>
      </w:r>
      <w:r>
        <w:rPr>
          <w:rFonts w:ascii="Arial" w:cs="Arial" w:eastAsia="Arial" w:hAnsi="Arial"/>
          <w:sz w:val="16"/>
          <w:szCs w:val="16"/>
          <w:color w:val="auto"/>
        </w:rPr>
        <w:t>In connection with the closing of a private placement transaction in early March 2015, we recorded a</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nine months ended September 30, 2015. There was no such adjustment to net loss for the nine months ended September 30, 2016.</w:t>
      </w:r>
    </w:p>
    <w:p>
      <w:pPr>
        <w:spacing w:after="0" w:line="16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i w:val="1"/>
          <w:iCs w:val="1"/>
          <w:color w:val="auto"/>
        </w:rPr>
        <w:t xml:space="preserve">Preferred Stock Beneficial Conversion Features. </w:t>
      </w:r>
      <w:r>
        <w:rPr>
          <w:rFonts w:ascii="Arial" w:cs="Arial" w:eastAsia="Arial" w:hAnsi="Arial"/>
          <w:sz w:val="16"/>
          <w:szCs w:val="16"/>
          <w:color w:val="auto"/>
        </w:rPr>
        <w:t>In 2015, we issued Series A preference shares in a private placement transaction executed in</w:t>
      </w:r>
      <w:r>
        <w:rPr>
          <w:rFonts w:ascii="Arial" w:cs="Arial" w:eastAsia="Arial" w:hAnsi="Arial"/>
          <w:sz w:val="16"/>
          <w:szCs w:val="16"/>
          <w:i w:val="1"/>
          <w:iCs w:val="1"/>
          <w:color w:val="auto"/>
        </w:rPr>
        <w:t xml:space="preserve"> </w:t>
      </w:r>
      <w:r>
        <w:rPr>
          <w:rFonts w:ascii="Arial" w:cs="Arial" w:eastAsia="Arial" w:hAnsi="Arial"/>
          <w:sz w:val="16"/>
          <w:szCs w:val="16"/>
          <w:color w:val="auto"/>
        </w:rPr>
        <w:t>two tranches that each contain a conversion feature whereby such shares are convertible into ordinary shares at a fixed rate (see Note 8). The conversion price on the date of issuance was less than the market price of our ordinary shares on such date. We determined that these discounts represent contingent beneficial conversion features, which were valued based on the difference between the conversion price and the market price of the ordinary shares on the date of issuance. These features are analogous to preference dividends and were recorded as a non-cash return to preferred shareholders through accumulated deficit, and are therefore reflected as an adjustment to net loss applicable to common shareholders for earnings per common share purposes in accordance with GAAP. During the nine months ended September 30, 2015, we recorded an adjustment to net loss applicable to common shareholders of $31.3 million upon effectiveness of the related resale Registration Statement on Form S-3 and $1.6 million upon shareholder approval received at the Company’s Annual General Meeting of Shareholders. There was no such adjustment to net loss in the nine months ended September 30,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sources of liquidity as of September 30, 2016 include cash and cash equivalents of $117.6 million. On August 16, 2016, we completed a public offering of 24,265,000 American Depositary Shares, or ADSs. The underwriters purchased the ADSs from us at a price of $2.679 per ADS after commission, resulting in net proceeds to us of approximately $64.6 million, after deducting estimated offering expenses payable by us. Our projected uses of cash include commercialization of Vascepa,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2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Net cash used in operating activities during the nine months ended September 30, 2016 compared to the nine months ended September 30, 2015 decreased primarily as a result of increased collections resulting from higher revenues and decreased legal costs following the favorable federal court declaration on August 7, 2015 and related settlement on March 8, 2016 allowing communication of truthful and non-misleading ANCHOR clinical trial and related data to be communicated to healthcare professionals, partially offset by receipt in 2015 of $15.0 million in up-front proceeds from the Eddingpharm license agreement. Increased sales and marketing spend in 2016 in support of expanded Vascepa promotion was more than offset by higher collections from product sales.</w:t>
      </w:r>
    </w:p>
    <w:p>
      <w:pPr>
        <w:spacing w:after="0" w:line="19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September 30, 2016, the net remaining amount to be repaid to BioPharma is $128.8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2016 is $11.7 million. The quarterly repayments through September 30, 2016 represent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6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On January 9, 2012, through our wholly-owned subsidiary Corsicanto Limited, or Corsicanto, a private limited company incorporated under the laws of Ireland, we completed a private placement of $150.0 million in aggregate principal amount of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 May 2014 Exchangeable Senior Notes due 2032, or the 2014 Notes. In November 2015, $16.2 million of the 2012 Notes was extinguished, following which $15.1 million in aggregate principal amount of the 2012 Notes remains outstanding with terms unchanged. Also in November 2015, we entered into a privately negotiated subscription agreement with one of our existing investors, or the Investor, pursuant to which the Investor agreed to purchase approximately $31.3 million in aggregate principal amount of new 3.5% November 2015 Exchangeable Senior Notes due 2032, or the 2015 Notes, for approximately $27.5 million. In September 2016, we exercised our optional exchange rights upon satisfaction of specified equity conditions set forth in the 2014 Notes and 2015 Notes to mandatorily exchange the entirety of the 2014 Notes and 2015 Notes into ADSs, such that the only exchangeable senior notes that remain outstanding as of September 30, 2016 are the 2012 Notes (see Note 6—Debt).</w:t>
      </w:r>
    </w:p>
    <w:p>
      <w:pPr>
        <w:spacing w:after="0" w:line="18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 As a result, the carrying value of the 2012 Notes of $15.1 million is classified as a current liability as of September 30, 2016. We may in the future seek to negotiate exchange agreements with the remaining holders of the outstanding 2012 Notes or to otherwise refinance this debt obligation on or before all or a portion of the $15.1 million is put to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As of September 30, 2016, we had cash and cash equivalents of $117.6 million, an increase of $45.1 million from June 30, 2016 and an increase of $10.6 million from December 31, 2015. The increase during 2016 is primarily due to proceeds from financing activities and accounts receivable collections, less net cash used in operating activities in support of the commercialization of Vascepa and funding of REDUCE-IT. We have incurred annual operating losses since our inception and, as a result, we had an accumulated deficit of $1.2 billion as of September 30, 2016. We anticipate that our purchases of API will generally be higher in the future, including the fourth quarter of 2016, giving consideration to supplier lead times, economies of larger batch sizes, anticipated revenue growth and preparation for REDUCE-IT study completion. We anticipate that quarterly net cash outflows in future periods will be variable. We believe that our cash and cash equivalents will be sufficient to fund our projected operations for at least the next twelve months. Depending on the level of cash generated from operations, additional capital may be required to sustain operations, fund debt obligations or expand promotion of Vascepa as contemplated based on anticipated successful results of the REDUCE-IT study.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Patheon and Capsugel contain minimum annual purchase levels to enable us to maintain certain supply exclusivity and also contain a provision that any shortfall in the minimum purchase commitments may be payable in cash. Each supplier is required to meet certain performance obligations and the agreements may be terminated by us in the event of non-performance.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operating lease costs consisting of leases for facilities in Dublin, Ireland and Bedminster, NJ, offset by sublease rental income.</w:t>
      </w:r>
    </w:p>
    <w:p>
      <w:pPr>
        <w:spacing w:after="0" w:line="23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Under the terms of the agreement with BioPharma, we agreed to repay up to $150 million of future revenue and receivables. As of September 30, 2016, the net remaining amount to be repaid to BioPharma is $128.8 million. To date, each payment made has reflected the calculated optional reduction amount as opposed to the contractual threshold payments for each quarterly period. The maximum amount payable under the contractual threshold for 2016 is $11.7 million. The quarterly repayments through September 30, 2016 represent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83"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We have scheduled interest payments due under the terms of the 2012 Notes, assuming that the 2012 Notes remain outstanding through January 19, 2017.</w:t>
      </w:r>
    </w:p>
    <w:p>
      <w:pPr>
        <w:spacing w:after="0" w:line="17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In August 2014, we entered into a second equity sale and purchase agreement between this supplier and another third party in which we agreed to sell approximately $1.0 million of our remaining investment. This transaction closed in the fourth quarter of 2014. The remaining carrying amount of $0.2 million as of both September 30, 2016 and December 31, 2015 is included in other long-term assets and is accounted for under the cost method.</w:t>
      </w:r>
    </w:p>
    <w:p>
      <w:pPr>
        <w:spacing w:after="0" w:line="16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$0.5 million in each of the nine months ended September 30, 2016 and 2015.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$9.7 million as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September 30, 2016).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$6.5 million as of September 30, 2016) for each of the two potential market approvals (i.e. £10 million maximum, or approximately $13.0 million as of September 30, 2016).</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have recorded a liability of $0.1 million for uncertain tax positions in other long-term liabilities as of September 30, 2016. We are not able to reasonably estimate in which future periods these amounts will ultimately be settled.</w:t>
      </w:r>
    </w:p>
    <w:p>
      <w:pPr>
        <w:spacing w:after="0" w:line="17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September 30, 2016,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2016.</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As of September 30, 2016,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September 30, 2016,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During the quarter ended September 30, 2016,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2015 and “Item 1. Legal Proceedings” of our Quarterly Reports on Form 10-Q for the quarters ended March 31, 2016 and June 30, 2016 include discussions of our current legal proceedings. There have been no material changes to those disclosures as of the date of this filing other than as set forth below.</w:t>
      </w:r>
    </w:p>
    <w:p>
      <w:pPr>
        <w:spacing w:after="0" w:line="18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abbreviated new drug applications, or ANDAs. We filed or are in the process of filing patent infringement lawsuits against each of these ANDA applicants. In October 2016, Amarin filed a lawsuit against Roxane Laboratories, Inc., or Roxane, in the U.S. District Court for the District of Nevada. The case against Roxane is captioned </w:t>
      </w:r>
      <w:r>
        <w:rPr>
          <w:rFonts w:ascii="Arial" w:cs="Arial" w:eastAsia="Arial" w:hAnsi="Arial"/>
          <w:sz w:val="17"/>
          <w:szCs w:val="17"/>
          <w:i w:val="1"/>
          <w:iCs w:val="1"/>
          <w:color w:val="auto"/>
        </w:rPr>
        <w:t>Amarin Pharma, Inc. et al. v. Roxane Laboratories, Inc. et al,</w:t>
      </w:r>
      <w:r>
        <w:rPr>
          <w:rFonts w:ascii="Arial" w:cs="Arial" w:eastAsia="Arial" w:hAnsi="Arial"/>
          <w:sz w:val="17"/>
          <w:szCs w:val="17"/>
          <w:color w:val="auto"/>
        </w:rPr>
        <w:t xml:space="preserve"> Civ. A. No. 2:16-cv-02525 (D. Nev.). In the </w:t>
      </w:r>
      <w:r>
        <w:rPr>
          <w:rFonts w:ascii="Arial" w:cs="Arial" w:eastAsia="Arial" w:hAnsi="Arial"/>
          <w:sz w:val="17"/>
          <w:szCs w:val="17"/>
          <w:i w:val="1"/>
          <w:iCs w:val="1"/>
          <w:color w:val="auto"/>
        </w:rPr>
        <w:t>Roxane</w:t>
      </w:r>
      <w:r>
        <w:rPr>
          <w:rFonts w:ascii="Arial" w:cs="Arial" w:eastAsia="Arial" w:hAnsi="Arial"/>
          <w:sz w:val="17"/>
          <w:szCs w:val="17"/>
          <w:color w:val="auto"/>
        </w:rPr>
        <w:t xml:space="preserve"> lawsuit, Amarin is seeking, among other remedies, an order enjoining Roxane from marketing generic versions of Vascepa before the last to expire of the asserted patents in 2030. We intend to vigorously enforce our intellectual property rights relating to Vascepa, but we cannot predict the outcome of the </w:t>
      </w:r>
      <w:r>
        <w:rPr>
          <w:rFonts w:ascii="Arial" w:cs="Arial" w:eastAsia="Arial" w:hAnsi="Arial"/>
          <w:sz w:val="17"/>
          <w:szCs w:val="17"/>
          <w:i w:val="1"/>
          <w:iCs w:val="1"/>
          <w:color w:val="auto"/>
        </w:rPr>
        <w:t>Roxane</w:t>
      </w:r>
      <w:r>
        <w:rPr>
          <w:rFonts w:ascii="Arial" w:cs="Arial" w:eastAsia="Arial" w:hAnsi="Arial"/>
          <w:sz w:val="17"/>
          <w:szCs w:val="17"/>
          <w:color w:val="auto"/>
        </w:rPr>
        <w:t xml:space="preserve"> lawsuit or any subsequently filed lawsuits.</w:t>
      </w:r>
    </w:p>
    <w:p>
      <w:pPr>
        <w:spacing w:after="0" w:line="3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25,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301" w:lineRule="exact"/>
        <w:rPr>
          <w:sz w:val="20"/>
          <w:szCs w:val="20"/>
          <w:color w:val="auto"/>
        </w:rPr>
      </w:pPr>
    </w:p>
    <w:p>
      <w:pPr>
        <w:ind w:left="460" w:right="840"/>
        <w:spacing w:after="0" w:line="342" w:lineRule="auto"/>
        <w:rPr>
          <w:sz w:val="20"/>
          <w:szCs w:val="20"/>
          <w:color w:val="auto"/>
        </w:rPr>
      </w:pPr>
      <w:r>
        <w:rPr>
          <w:rFonts w:ascii="Arial" w:cs="Arial" w:eastAsia="Arial" w:hAnsi="Arial"/>
          <w:sz w:val="16"/>
          <w:szCs w:val="16"/>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16"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 xml:space="preserve">In January 2013, we launched Vascepa based on FDA approval of our MARINE indication, for use as an adjunct to diet to reduce triglyceride levels in adult patients with severe (TG ³500 mg/dL) hypertriglyceridemia.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In August 2015, based on a federal court order, we also began marketing Vascepa in the United States to healthcare professionals for the treatment of patients with high (TG ³200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7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any future approved indications will depend on a number of factors, including:</w:t>
      </w:r>
    </w:p>
    <w:p>
      <w:pPr>
        <w:spacing w:after="0" w:line="92"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42" w:lineRule="exact"/>
        <w:rPr>
          <w:rFonts w:ascii="Arial" w:cs="Arial" w:eastAsia="Arial" w:hAnsi="Arial"/>
          <w:sz w:val="17"/>
          <w:szCs w:val="17"/>
          <w:color w:val="auto"/>
        </w:rPr>
      </w:pPr>
    </w:p>
    <w:p>
      <w:pPr>
        <w:ind w:left="1480" w:right="96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75"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May 2014 we began co-promoting Vascepa in the United States with Kowa Pharmaceuticals America, Inc. under a co-promotion agreement we entered into in March 2014. Under the agreement, no less than 250 Kowa Pharmaceuticals America, Inc. sales representatives devote a substantial portion of their time to promoting Vascepa with our approximately 150 sales professionals, including sales representatives and their managers, based on a plan designed to increase both the number of sales targets reached and the frequency of sales calls on existing sales targets. However, the commercialization of pharmaceutical products is a complex undertaking for a company to manage, and we have very limited experience as a company operating in this area and co-promoting a pharmaceutical product with a partner.</w:t>
      </w:r>
    </w:p>
    <w:p>
      <w:pPr>
        <w:spacing w:after="0" w:line="19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In February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DCS Agreement, Eddingpharm will be solely responsible for development and commercialization activities in the China Territory and associated expenses. Additionally, Eddingpharm may be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9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also have an agreement to register and commercialize Vascepa in countries within the Middle East and North Africa. Development in this region, as in China, is also several years away and subject to similar risks. We continue to assess other partnership opportunities for licensing Vascepa in other territories outside of the United States.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jc w:val="both"/>
        <w:ind w:left="1480" w:right="40" w:hanging="446"/>
        <w:spacing w:after="0" w:line="286" w:lineRule="auto"/>
        <w:tabs>
          <w:tab w:leader="none" w:pos="1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70" w:lineRule="exact"/>
        <w:rPr>
          <w:rFonts w:ascii="Arial" w:cs="Arial" w:eastAsia="Arial" w:hAnsi="Arial"/>
          <w:sz w:val="17"/>
          <w:szCs w:val="17"/>
          <w:color w:val="auto"/>
        </w:rPr>
      </w:pPr>
    </w:p>
    <w:p>
      <w:pPr>
        <w:ind w:left="1480" w:right="3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April 2015, we received a Complete Response Letter, or CRL, from the FDA on our supplemental new drug application (“sNDA”) that sought approval for the use of Vascepa in patients with high triglyceride levels (TG ³200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82"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In August 2015, based on a federal court order, we began marketing Vascepa in the United States to healthcare professionals for the treatment of patients in the ANCHOR population through use of a set of qualified statements that reflect the state of research related to this use.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Our ability to reach full potential in the commercialization of Vascepa in the United States is dependent upon marketing claims associated with Vascepa that are granted with the approval of an indication statement by the FDA.</w:t>
      </w:r>
    </w:p>
    <w:p>
      <w:pPr>
        <w:spacing w:after="0" w:line="17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greater than our current pace and could therefore have a material adverse effect on our operations and financial condition, including our</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Federal Food, Drug, and Cosmetic Act, or FDCA, has been interpreted by the FDA to make it illegal for pharmaceutical companies to promote their products for uses that have not been approved by the FDA. Companies that market drugs for so called off-label uses or indications have been subject to related costly litigation, criminal penalties and civil liability under the False Claims Act.</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 so-called off-label use is considered by the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119 F. Supp. 3d 196 (S.D.N.Y. Aug. 7,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6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promote Vascepa to healthcare professionals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8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Federal and state governments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Currently, six manufacturers have launched generic versions of Lovaza. 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respectively, received FDA approval of their respective versions of generic Lovaza.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w:t>
      </w:r>
    </w:p>
    <w:p>
      <w:pPr>
        <w:spacing w:after="0" w:line="16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3"/>
          <w:szCs w:val="13"/>
          <w:color w:val="auto"/>
        </w:rPr>
        <w:t>®</w:t>
      </w:r>
      <w:r>
        <w:rPr>
          <w:rFonts w:ascii="Arial" w:cs="Arial" w:eastAsia="Arial" w:hAnsi="Arial"/>
          <w:sz w:val="16"/>
          <w:szCs w:val="16"/>
          <w:color w:val="auto"/>
        </w:rPr>
        <w:t>,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intends to complete long-term toxicity studies in the next 6-9 months and follow these with a Phase 3 clinical program to assess the safety and efficacy of CaPre in patients with very high (³500 mg/dL) triglycerides.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pivotal pharmacokinetic studies, and we expect the company to initiate a pivotal clinical endpoint study as the next step in development. 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announced favorable Phase 2 results of volanesorsen (formerly ISIS-APOCIII</w:t>
      </w:r>
      <w:r>
        <w:rPr>
          <w:rFonts w:ascii="Arial" w:cs="Arial" w:eastAsia="Arial" w:hAnsi="Arial"/>
          <w:sz w:val="13"/>
          <w:szCs w:val="13"/>
          <w:color w:val="auto"/>
        </w:rPr>
        <w:t>Rx</w:t>
      </w:r>
      <w:r>
        <w:rPr>
          <w:rFonts w:ascii="Arial" w:cs="Arial" w:eastAsia="Arial" w:hAnsi="Arial"/>
          <w:sz w:val="16"/>
          <w:szCs w:val="16"/>
          <w:color w:val="auto"/>
        </w:rPr>
        <w:t>), a drug candidate administered through weekly subcutaneous injections, in patients with high triglycerides and type 2 diabetes and in patients with moderate to severe high triglycerides. Phase 3 trials are currently ongoing studying volanesorsen in patients with severe hypertriglyceridemia, familial chylomicronemia syndrome (FCS), and familial partial lipodystrophy (FPL) with data expected in 2017 and 2018. Madrigal Pharmaceuticals has completed Phase 1 clinical testing of MGL-3196 for the treatment of high triglycerides and various lipid parameters in patients. We expect Madrigal to begin Phase 2 trials in homozygous familial hypercholesterolemia (HoFH) and heterozygous familial hypercholesterolemia (HeFH) in 2016. Finally, Gemfire Therapeutics has initiated a Phase 2 trial to evaluate the safety and efficacy of gemcabene, an oral, once-daily pill, in the treatment of patients with homozygous familial hypercholesterolemia (HoFH) on stable lipid-lowering therapy. The novel mechanism of action of gemcabene may support multiple indications including a potential severe triglyceride reduction.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spacing w:after="0" w:line="308" w:lineRule="auto"/>
        <w:rPr>
          <w:sz w:val="20"/>
          <w:szCs w:val="20"/>
          <w:color w:val="auto"/>
        </w:rPr>
      </w:pPr>
      <w:r>
        <w:rPr>
          <w:rFonts w:ascii="Arial" w:cs="Arial" w:eastAsia="Arial" w:hAnsi="Arial"/>
          <w:sz w:val="17"/>
          <w:szCs w:val="17"/>
          <w:b w:val="1"/>
          <w:bCs w:val="1"/>
          <w:i w:val="1"/>
          <w:iCs w:val="1"/>
          <w:color w:val="auto"/>
        </w:rPr>
        <w:t>*Vascepa’s recently granted five-year, new chemical entity, or NCE, regulatory exclusivity from the FDA, based on its July 2012 FDA approval, could be challenged by companies seeking to make generic versions of Vascepa or via a citizens’ petition.</w:t>
      </w:r>
    </w:p>
    <w:p>
      <w:pPr>
        <w:spacing w:after="0" w:line="3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timelines and conditions under the abbreviated new drug application, or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FDA marketing exclusivity is separate from, and in addition to, patent protection, trade secrets and manufacturing barriers to entry which also help protect Vascepa against generic competition.</w:t>
      </w:r>
    </w:p>
    <w:p>
      <w:pPr>
        <w:spacing w:after="0" w:line="188"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7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runs from its date of FDA approval on July 26, 2012 and extends until July 26, 2017. The statutory 30-month stay triggered by patent litigation following generic application submissions permitted on July 26, 2016 would continue until January 26, 2020, seven-and-a-half years from FDA approval, unless such patent litigation was resolved against us sooner.</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It is possible that FDA’s NCE determination could be challenged by interested parties. If challenged, we plan to vigorously support FDA’s determination. Any such challenge could have a negative impact on our company and create uncertainty around the continued benefits associated with a five-year exclusivity status.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*Generic company competitors are seeking FDA approval of generic versions of Vascepa and we are now engaged in related patent litigation.</w:t>
      </w:r>
    </w:p>
    <w:p>
      <w:pPr>
        <w:spacing w:after="0" w:line="14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7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8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We filed and are now in the process of filing of patent infringement lawsuits against each of these ANDA applicants. In October 2016, Amarin filed a lawsuit against Roxane Laboratories, Inc. and related parties in the U.S. District Court for the District of Nevada. The case against Roxane is captioned </w:t>
      </w:r>
      <w:r>
        <w:rPr>
          <w:rFonts w:ascii="Arial" w:cs="Arial" w:eastAsia="Arial" w:hAnsi="Arial"/>
          <w:sz w:val="18"/>
          <w:szCs w:val="18"/>
          <w:i w:val="1"/>
          <w:iCs w:val="1"/>
          <w:color w:val="auto"/>
        </w:rPr>
        <w:t xml:space="preserve">Amarin Pharma, Inc. et al. v. Roxane Laboratories, Inc. et al, </w:t>
      </w:r>
      <w:r>
        <w:rPr>
          <w:rFonts w:ascii="Arial" w:cs="Arial" w:eastAsia="Arial" w:hAnsi="Arial"/>
          <w:sz w:val="18"/>
          <w:szCs w:val="18"/>
          <w:color w:val="auto"/>
        </w:rPr>
        <w:t>Civ. A. No. 2:16-cv-02525 (D. Nev.). In the</w:t>
      </w:r>
      <w:r>
        <w:rPr>
          <w:rFonts w:ascii="Arial" w:cs="Arial" w:eastAsia="Arial" w:hAnsi="Arial"/>
          <w:sz w:val="18"/>
          <w:szCs w:val="18"/>
          <w:i w:val="1"/>
          <w:iCs w:val="1"/>
          <w:color w:val="auto"/>
        </w:rPr>
        <w:t xml:space="preserve"> Roxane </w:t>
      </w:r>
      <w:r>
        <w:rPr>
          <w:rFonts w:ascii="Arial" w:cs="Arial" w:eastAsia="Arial" w:hAnsi="Arial"/>
          <w:sz w:val="18"/>
          <w:szCs w:val="18"/>
          <w:color w:val="auto"/>
        </w:rPr>
        <w:t>lawsuit, we are seeking,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remedies, an order enjoining Roxane from marketing generic versions of Vascepa before the last to expire of the asserted patents in 2030. We intend to vigorously enforce our intellectual property rights relating to Vascepa, but we cannot predict the outcome of the </w:t>
      </w:r>
      <w:r>
        <w:rPr>
          <w:rFonts w:ascii="Arial" w:cs="Arial" w:eastAsia="Arial" w:hAnsi="Arial"/>
          <w:sz w:val="18"/>
          <w:szCs w:val="18"/>
          <w:i w:val="1"/>
          <w:iCs w:val="1"/>
          <w:color w:val="auto"/>
        </w:rPr>
        <w:t>Roxane</w:t>
      </w:r>
      <w:r>
        <w:rPr>
          <w:rFonts w:ascii="Arial" w:cs="Arial" w:eastAsia="Arial" w:hAnsi="Arial"/>
          <w:sz w:val="18"/>
          <w:szCs w:val="18"/>
          <w:color w:val="auto"/>
        </w:rPr>
        <w:t xml:space="preserve"> lawsuit or any subsequently filed lawsuits.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the applicable regulatory exclusivity period and the litigation-related 30-month stay period ends),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301" w:lineRule="exact"/>
        <w:rPr>
          <w:sz w:val="20"/>
          <w:szCs w:val="20"/>
          <w:color w:val="auto"/>
        </w:rPr>
      </w:pPr>
    </w:p>
    <w:p>
      <w:pPr>
        <w:ind w:left="460" w:right="24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omega-3 fatty acid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117"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no less than 250 Kowa Pharmaceuticals America, Inc. sales representatives devote a substantial portion of their time to promoting Vascepa with our approximately 150 sales professionals, including sales representatives and their managers.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 Thus, even though we have received regulatory approval of Vascepa for the MARINE indication under a SPA agreement, our ANCHOR SPA agreement was rescinded and there is no assurance that the FDA will not rescind our REDUCE-IT SPA agreement.</w:t>
      </w:r>
    </w:p>
    <w:p>
      <w:pPr>
        <w:spacing w:after="0" w:line="17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 In September 2016, we announced that the DMC completed its review of the first pre-specified interim efficacy analysis and, consistent with previously stated expectations, recommended that the trial continue as planned without modification.</w:t>
      </w:r>
    </w:p>
    <w:p>
      <w:pPr>
        <w:spacing w:after="0" w:line="17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such as under the DCS Agreement with Eddingpharm, may be smaller than we anticipate.</w:t>
      </w:r>
    </w:p>
    <w:p>
      <w:pPr>
        <w:spacing w:after="0" w:line="62"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Vascepa outside the United States. For example,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69"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and in other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86"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False Claims Act or other theories of liability. Government may also seek to hold us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380" w:firstLine="913"/>
        <w:spacing w:after="0" w:line="286" w:lineRule="auto"/>
        <w:rPr>
          <w:sz w:val="20"/>
          <w:szCs w:val="20"/>
          <w:color w:val="auto"/>
        </w:rPr>
      </w:pPr>
      <w:r>
        <w:rPr>
          <w:rFonts w:ascii="Arial" w:cs="Arial" w:eastAsia="Arial" w:hAnsi="Arial"/>
          <w:sz w:val="17"/>
          <w:szCs w:val="17"/>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73"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on statin therapy.</w:t>
      </w:r>
    </w:p>
    <w:p>
      <w:pPr>
        <w:spacing w:after="0" w:line="154"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even though they reduced triglyceride levels and showed other favorable effects on parameters relevant to cardiovascular health in studied patients.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w:t>
      </w:r>
      <w:r>
        <w:rPr>
          <w:rFonts w:ascii="Arial" w:cs="Arial" w:eastAsia="Arial" w:hAnsi="Arial"/>
          <w:sz w:val="16"/>
          <w:szCs w:val="16"/>
          <w:i w:val="1"/>
          <w:iCs w:val="1"/>
          <w:color w:val="auto"/>
        </w:rPr>
        <w:t xml:space="preserve">JAMA </w:t>
      </w:r>
      <w:r>
        <w:rPr>
          <w:rFonts w:ascii="Arial" w:cs="Arial" w:eastAsia="Arial" w:hAnsi="Arial"/>
          <w:sz w:val="16"/>
          <w:szCs w:val="16"/>
          <w:color w:val="auto"/>
        </w:rPr>
        <w:t>meta-analysis involved the use of omega-3 supplements containing a mixture of EPA and DHA, and most were evaluated at relatively lower doses.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outcomes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7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6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150 mg/dL) and low HDL-C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 xml:space="preserve">Although we believe the results of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labeled approval of Vascepa or even call into question the currently understood efficacy and safety profile of Vascepa.</w:t>
      </w:r>
    </w:p>
    <w:p>
      <w:pPr>
        <w:spacing w:after="0" w:line="266"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b w:val="1"/>
          <w:bCs w:val="1"/>
          <w:i w:val="1"/>
          <w:iCs w:val="1"/>
          <w:color w:val="auto"/>
        </w:rPr>
        <w:t>*The prospective 80% interim efficacy and safety analysis of the REDUCE-IT cardiovascular outcomes trial may not be completed in the contemplated timeframe and may not demonstrate to the independent committee monitoring the study a sufficient benefit risk result to warrant the independent committee recommending stopping the study early for overwhelming efficacy. The independent monitoring committee may, at its discretion, also recommend that the study be stopped for safety or related concerns.</w:t>
      </w:r>
    </w:p>
    <w:p>
      <w:pPr>
        <w:spacing w:after="0" w:line="6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In September 2016, we announced that the DMC completed its review of the first pre-specified interim efficacy analysis upon reaching approximately 60% of the target aggregate number of cardiovascular events in accordance with the SPA agreement for our REDUCE-IT cardiovascular outcomes trial and, consistent with previously stated expectations, recommended that the trial continue as planned without modification. The second planned interim analysis of efficacy results will be triggered by the onset of approximately 80% of the target aggregate number of primary cardiovascular events in the study. Based on historical event rates, we anticipate that the onset of approximately 80% of events will occur in the first half of 2017, with the second pre-specified interim efficacy and safety analysis by the DMC expected in or about the third quarter of 2017. The interim efficacy analysis will be accompanied by an interim safety analysis by the DMC. It may actually take longer than anticipated for the DMC assessment of data for the interim analysis.</w:t>
      </w:r>
    </w:p>
    <w:p>
      <w:pPr>
        <w:spacing w:after="0" w:line="16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or about the fourth quarter of 2017. We do not expect the study to be stopped due to overwhelming efficacy at the next interim look.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due to low likelihood of obtaining a favorable result at completion. Despite no formal futility analysis or boundary being pre-specified in the protocol, it is within the purview of the DMC to weigh all available information and recommend study stoppage or continuation.</w:t>
      </w:r>
    </w:p>
    <w:p>
      <w:pPr>
        <w:spacing w:after="0" w:line="183"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Moreover, it is the DMC that will make the formal recommendation as to whether to stop the study early or to continue as planned. We are blinded to the interim analysis results and are informed by the DMC of the recommendation to stop the study or to continue as planned. The DMC may consider factors outside the pre-specified statistical analysis plan when assessing whether to recommend continuing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78"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274"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98"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53" w:lineRule="exact"/>
        <w:rPr>
          <w:rFonts w:ascii="Arial" w:cs="Arial" w:eastAsia="Arial" w:hAnsi="Arial"/>
          <w:sz w:val="16"/>
          <w:szCs w:val="16"/>
          <w:color w:val="auto"/>
        </w:rPr>
      </w:pPr>
    </w:p>
    <w:p>
      <w:pPr>
        <w:ind w:left="1480" w:right="6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297"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changed the way healthcare is financed by both governmental and private insurers. Among other cost-containment measures, PPACA established:</w:t>
      </w:r>
    </w:p>
    <w:p>
      <w:pPr>
        <w:spacing w:after="0" w:line="77"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products;</w:t>
      </w:r>
    </w:p>
    <w:p>
      <w:pPr>
        <w:spacing w:after="0" w:line="142" w:lineRule="exact"/>
        <w:rPr>
          <w:rFonts w:ascii="Arial" w:cs="Arial" w:eastAsia="Arial" w:hAnsi="Arial"/>
          <w:sz w:val="17"/>
          <w:szCs w:val="17"/>
          <w:color w:val="auto"/>
        </w:rPr>
      </w:pPr>
    </w:p>
    <w:p>
      <w:pPr>
        <w:ind w:left="1480" w:right="24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w:t>
      </w:r>
    </w:p>
    <w:p>
      <w:pPr>
        <w:spacing w:after="0" w:line="17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92"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460" w:right="440"/>
        <w:spacing w:after="0" w:line="375"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60" w:right="580"/>
        <w:spacing w:after="0" w:line="277"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key suppliers.</w:t>
      </w:r>
    </w:p>
    <w:p>
      <w:pPr>
        <w:spacing w:after="0" w:line="62"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rely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API of Vascepa, from a single supplier, Nisshin Pharma, Inc., or Nisshin, located in Japan. Nisshin was approved by the FDA as a Vascepa API supplier as part of our FDA marketing approval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third-party sources of supply.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While we have contractual freedom to source the API for Vascepa and have entered into supply agreements with multiple suppliers who also rely on other third-party suppliers of the key raw material to manufacture the API for Vascepa, Novasep, Nisshin and Chemport currently supply all of our API for Vascepa. Our strategy in adding API suppliers beyond Nisshin has been to expand manufacturing capacity and to mitigate the risk of reliance on any single supplier.</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Catalent Pharma Solutions, and Capsugel Plöermel SAS.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guarantee that we can contract with any future manufacturer on acceptable terms or that any such alternative supplier will not require capital investment from us in order for them to meet our requirements.</w:t>
      </w:r>
    </w:p>
    <w:p>
      <w:pPr>
        <w:spacing w:after="0" w:line="28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62"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273"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3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287"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requirements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third-party manufacturers to comply with applicable regulations, requirements, or guidelines could result in sanctions being imposed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88"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54"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are unable to comply, we may be subject to regulatory, civil actions or penalties which could significantly and adversely affect our business.</w:t>
      </w:r>
    </w:p>
    <w:p>
      <w:pPr>
        <w:spacing w:after="0" w:line="28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7" w:lineRule="exact"/>
        <w:rPr>
          <w:sz w:val="20"/>
          <w:szCs w:val="20"/>
          <w:color w:val="auto"/>
        </w:rPr>
      </w:pPr>
    </w:p>
    <w:p>
      <w:pPr>
        <w:ind w:left="460" w:right="20"/>
        <w:spacing w:after="0" w:line="312" w:lineRule="auto"/>
        <w:rPr>
          <w:sz w:val="20"/>
          <w:szCs w:val="20"/>
          <w:color w:val="auto"/>
        </w:rPr>
      </w:pPr>
      <w:r>
        <w:rPr>
          <w:rFonts w:ascii="Arial" w:cs="Arial" w:eastAsia="Arial" w:hAnsi="Arial"/>
          <w:sz w:val="16"/>
          <w:szCs w:val="16"/>
          <w:b w:val="1"/>
          <w:bCs w:val="1"/>
          <w:i w:val="1"/>
          <w:iCs w:val="1"/>
          <w:color w:val="auto"/>
        </w:rPr>
        <w:t>We are dependent upon our collaboration with Eddingpharm and others to commercialize Vascepa in certain regions outside of the United States, and if such third parties fail to successfully fulfill their obligations, or are ineffective in their commercialization of Vascepa, or if our collaborations are terminated, our plans to commercialize Vascepa outside of the United States may be adversely affected.</w:t>
      </w:r>
    </w:p>
    <w:p>
      <w:pPr>
        <w:spacing w:after="0" w:line="39"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7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18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We also have an agreement to register and commercialize Vascepa in countries within the Middle East and North Africa. Development in this region, as in China, is subject to similar third party risk.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49 patent applications in the United States that have been either issued or allowed and more than 30 additional patent applications are pending in the United States. Such 49 allowed and issued applications include the following:</w:t>
      </w:r>
    </w:p>
    <w:p>
      <w:pPr>
        <w:spacing w:after="0" w:line="52" w:lineRule="exact"/>
        <w:rPr>
          <w:sz w:val="20"/>
          <w:szCs w:val="20"/>
          <w:color w:val="auto"/>
        </w:rPr>
      </w:pPr>
    </w:p>
    <w:p>
      <w:pPr>
        <w:ind w:left="1480" w:right="40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37 U.S. patents covering the use of Vascepa in either the MARINE or anticipated ANCHOR indication that have terms that expire in 2030,</w:t>
      </w:r>
    </w:p>
    <w:p>
      <w:pPr>
        <w:spacing w:after="0" w:line="75" w:lineRule="exact"/>
        <w:rPr>
          <w:rFonts w:ascii="Arial" w:cs="Arial" w:eastAsia="Arial" w:hAnsi="Arial"/>
          <w:sz w:val="18"/>
          <w:szCs w:val="18"/>
          <w:color w:val="auto"/>
        </w:rPr>
      </w:pPr>
    </w:p>
    <w:p>
      <w:pPr>
        <w:ind w:left="1480" w:right="60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 additional patent covering a pharmaceutical composition comprised of EPA and a hydroxyl compound with a term that expires in 2034.</w:t>
      </w:r>
    </w:p>
    <w:p>
      <w:pPr>
        <w:spacing w:after="0" w:line="24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66"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4"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8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In January 2016, we issued financial and business guidance, including expected fiscal year 2016 total net revenue, which is based on estimates and the judgment of management. In August 2016, we updated this guidance based on new information. Because of the inherent nature of estimates, there could be significant differences between our estimates and the actual amount of product demand. If, for any reason, we are unable to realize our currently projected 2016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81"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were named as defendants in a class action lawsuit that could result in substantial costs and divert management’s attention.</w:t>
      </w:r>
    </w:p>
    <w:p>
      <w:pPr>
        <w:spacing w:after="0" w:line="62"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were named as defendants in a class action lawsuit that generally alleged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sought unspecified damages, interest, attorneys’ fees, and other costs.</w:t>
      </w:r>
    </w:p>
    <w:p>
      <w:pPr>
        <w:spacing w:after="0" w:line="16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We engaged in a vigorous defense of this lawsuit. On June 29, 2015, the court granted our first motion to dismiss the class action litigation without prejudice. The court held that the plaintiffs failed to state a claim upon which relief could be granted and plaintiffs were given 30 days to refile an amended complaint.</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On July 29, 2015, the plaintiffs filed an amended complaint and we again moved to dismiss. On April 26, 2016, the court granted a second motion to dismiss, again without prejudice, with leave for plaintiffs to file an amended complaint. On May 24, 2016, plaintiffs notified the court they would not file another amended complaint and on September 21, 2016, filed a brief in support of their appeal of the most recent dismissal to the Third Circuit Court of Appeals. We plan a vigorous defense to this appeal.</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are unable to predict the ultimate outcome of this matter at this time.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both"/>
        <w:ind w:right="120" w:firstLine="913"/>
        <w:spacing w:after="0" w:line="34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24"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 audit by the United States Internal Revenue Service (IRS) for the years 2012 to 2013.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right="340" w:firstLine="913"/>
        <w:spacing w:after="0" w:line="257" w:lineRule="auto"/>
        <w:rPr>
          <w:sz w:val="20"/>
          <w:szCs w:val="20"/>
          <w:color w:val="auto"/>
        </w:rPr>
      </w:pPr>
      <w:r>
        <w:rPr>
          <w:rFonts w:ascii="Arial" w:cs="Arial" w:eastAsia="Arial" w:hAnsi="Arial"/>
          <w:sz w:val="18"/>
          <w:szCs w:val="18"/>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95% of gross product sales for each of the nine months ended September 30, 2016 and 2015 and represented 95% of the gross accounts receivable balance as of September 30, 2016 and 2015.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have not yet reached profitability. For the fiscal years ended December 31, 2015, 2014, and 2013, we reported losses of approximately $149.1 million, $56.4 million, and $166.2 million, respectively, and we had an accumulated deficit as of December 31, 2015 of $1.1 billion. For the nine months ended September 30, 2016 and 2015, we reported losses of approximately $58.9 million and $127.2 million, respectively and we had an accumulated deficit as of September 30, 2016 of $1.2 billion.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jc w:val="both"/>
        <w:ind w:right="220" w:firstLine="913"/>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7"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level of demand for Vascepa, including due to changes in prescriber sentiment or period-to-period Distributor purchasing habits;</w:t>
      </w:r>
    </w:p>
    <w:p>
      <w:pPr>
        <w:spacing w:after="0" w:line="142" w:lineRule="exact"/>
        <w:rPr>
          <w:rFonts w:ascii="Arial" w:cs="Arial" w:eastAsia="Arial" w:hAnsi="Arial"/>
          <w:sz w:val="17"/>
          <w:szCs w:val="17"/>
          <w:color w:val="auto"/>
        </w:rPr>
      </w:pPr>
    </w:p>
    <w:p>
      <w:pPr>
        <w:ind w:left="1480" w:right="6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75" w:lineRule="exact"/>
        <w:rPr>
          <w:rFonts w:ascii="Arial" w:cs="Arial" w:eastAsia="Arial" w:hAnsi="Arial"/>
          <w:sz w:val="18"/>
          <w:szCs w:val="18"/>
          <w:color w:val="auto"/>
        </w:rPr>
      </w:pPr>
    </w:p>
    <w:p>
      <w:pPr>
        <w:ind w:left="1480" w:right="20" w:hanging="446"/>
        <w:spacing w:after="0" w:line="308"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and ability of Eddingpharm to development and commercialize Vascepa in the China Territory and other territories outside the United States, including obtaining necessary regulatory approvals and establishing marketing channels;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our pending FDA determination on regulatory exclusivity, shareholder litigation, regulatory matters and tax matters;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as a going concern and growing our business.</w:t>
      </w:r>
    </w:p>
    <w:p>
      <w:pPr>
        <w:spacing w:after="0" w:line="62"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$117.6 million as of September 30, 2016 will be sufficient to fund our projected operations for at least the next twelve months.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7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30" w:lineRule="exact"/>
        <w:rPr>
          <w:rFonts w:ascii="Arial" w:cs="Arial" w:eastAsia="Arial" w:hAnsi="Arial"/>
          <w:sz w:val="18"/>
          <w:szCs w:val="18"/>
          <w:color w:val="auto"/>
        </w:rPr>
      </w:pPr>
    </w:p>
    <w:p>
      <w:pPr>
        <w:ind w:left="1480" w:hanging="446"/>
        <w:spacing w:after="0" w:line="25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In January 2012, we issued $150 million in aggregate principal amount of 3.5% exchangeable senior notes due 2032, or the 2012 Notes, $16.2 million of which was subsequently repaid.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such that $15.1 million of 2012 Notes remains outstanding. In November 2015, we issued $31.3 million in aggregate principal amount of 3.5% exchangeable senior notes due 2032, or the 2015 Notes. In September 2016, we mandatorily exchanged the entirety of the 2014 Notes and 2015 Notes into 60,311,188 ADSs in accordance with their respective terms such that, currently, only the 2012 Notes remain outstanding. In the event of physical settlement, the remaining 2012 Notes would be exchangeable into a total of 1,714,270 ADSs.</w:t>
      </w:r>
    </w:p>
    <w:p>
      <w:pPr>
        <w:spacing w:after="0" w:line="19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As of November 1, 2016 we had 269,952,889 common shares outstanding including 268,067,924 shares held as ADSs and 1,884,965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460" w:right="20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8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6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73"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2014 or 2015. Our status as a PFIC is subject to change in 2016 and future years.</w:t>
      </w:r>
    </w:p>
    <w:p>
      <w:pPr>
        <w:spacing w:after="0" w:line="170"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152"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Our existing indebtedness, the 2012 Notes, consists of $15.1 million in aggregate principal amount of 3.5% exchangeable senior notes due 2032, with a provision for such notes to be put to us by the holders for repayment in cash on each of January 19, 2017, January 19, 2022 and January 19, 2027.</w:t>
      </w:r>
    </w:p>
    <w:p>
      <w:pPr>
        <w:spacing w:after="0" w:line="124"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76" w:lineRule="exact"/>
        <w:rPr>
          <w:sz w:val="20"/>
          <w:szCs w:val="20"/>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6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conditional exchange feature of the 2012 Notes, if triggered, may adversely affect our financial condition and operating results.</w:t>
      </w:r>
    </w:p>
    <w:p>
      <w:pPr>
        <w:spacing w:after="0" w:line="129"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outstanding 2012 Notes may be redeemed by us on or after January 19, 2017 and may be put back to us by the holders on each of January 19, 2017, 2022 and 2027 for cash equal to 100% of the principal amount of $15.1 million plus any accrued and unpaid interest. The 2012 Notes are exchangeable under certain circumstances into cash, ADSs, or a combination of cash and ADSs, at our election. Accordingly, the 2012 Notes represent a potential short-term claim on our liquid assets.</w:t>
      </w:r>
    </w:p>
    <w:p>
      <w:pPr>
        <w:spacing w:after="0" w:line="18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In the event the conditional exchange feature of the 2012 Notes is triggered, holders of the 2012 Notes will be entitled to exchange the 2012 Notes at any time during specified periods at their option. If one or more holders elect to exchange their 2012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2012 Notes, we could be required under applicable accounting rules to reclassify all or a portion of the outstanding principal of the 2012 Notes as a current rather than long-term liability, which would result in a material reduction of our net working capital. Further, we may seek to refinance the outstanding 2012 Notes under terms that may result in the issuance of additional debt, convertible debt and/or equity securities, the terms of which may not be viewed as favorable to us.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ind w:left="1480" w:hanging="446"/>
        <w:spacing w:after="0" w:line="264"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86" w:lineRule="exact"/>
        <w:rPr>
          <w:rFonts w:ascii="Arial" w:cs="Arial" w:eastAsia="Arial" w:hAnsi="Arial"/>
          <w:sz w:val="18"/>
          <w:szCs w:val="18"/>
          <w:color w:val="auto"/>
        </w:rPr>
      </w:pPr>
    </w:p>
    <w:p>
      <w:pPr>
        <w:ind w:left="1480" w:right="60" w:hanging="446"/>
        <w:spacing w:after="0" w:line="342" w:lineRule="auto"/>
        <w:tabs>
          <w:tab w:leader="none" w:pos="1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6"/>
          <w:szCs w:val="16"/>
          <w:color w:val="auto"/>
        </w:rPr>
      </w:pPr>
    </w:p>
    <w:p>
      <w:pPr>
        <w:ind w:left="1480" w:right="140" w:hanging="446"/>
        <w:spacing w:after="0" w:line="259"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480" w:right="20" w:hanging="446"/>
        <w:spacing w:after="0" w:line="25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91" w:lineRule="auto"/>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2" w:lineRule="exact"/>
        <w:rPr>
          <w:rFonts w:ascii="Arial" w:cs="Arial" w:eastAsia="Arial" w:hAnsi="Arial"/>
          <w:sz w:val="16"/>
          <w:szCs w:val="16"/>
          <w:color w:val="auto"/>
        </w:rPr>
      </w:pPr>
    </w:p>
    <w:p>
      <w:pPr>
        <w:ind w:left="1480" w:right="20" w:hanging="446"/>
        <w:spacing w:after="0" w:line="257"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93" w:lineRule="exact"/>
        <w:rPr>
          <w:rFonts w:ascii="Arial" w:cs="Arial" w:eastAsia="Arial" w:hAnsi="Arial"/>
          <w:sz w:val="18"/>
          <w:szCs w:val="18"/>
          <w:color w:val="auto"/>
        </w:rPr>
      </w:pPr>
    </w:p>
    <w:p>
      <w:pPr>
        <w:ind w:left="1480" w:right="40" w:hanging="446"/>
        <w:spacing w:after="0" w:line="276" w:lineRule="auto"/>
        <w:tabs>
          <w:tab w:leader="none" w:pos="1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40" w:type="dxa"/>
            <w:vAlign w:val="bottom"/>
            <w:gridSpan w:val="3"/>
          </w:tcPr>
          <w:p>
            <w:pPr>
              <w:ind w:left="300"/>
              <w:spacing w:after="0"/>
              <w:rPr>
                <w:sz w:val="20"/>
                <w:szCs w:val="20"/>
                <w:color w:val="auto"/>
              </w:rPr>
            </w:pPr>
            <w:r>
              <w:rPr>
                <w:rFonts w:ascii="Arial" w:cs="Arial" w:eastAsia="Arial" w:hAnsi="Arial"/>
                <w:sz w:val="18"/>
                <w:szCs w:val="18"/>
                <w:b w:val="1"/>
                <w:bCs w:val="1"/>
                <w:color w:val="auto"/>
                <w:w w:val="98"/>
              </w:rPr>
              <w:t>Unregistered Sales of Equity Securities and Use of Proceeds</w:t>
            </w: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18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5440" w:type="dxa"/>
            <w:vAlign w:val="bottom"/>
            <w:gridSpan w:val="3"/>
          </w:tcPr>
          <w:p>
            <w:pPr>
              <w:ind w:left="180"/>
              <w:spacing w:after="0"/>
              <w:rPr>
                <w:sz w:val="20"/>
                <w:szCs w:val="20"/>
                <w:color w:val="auto"/>
              </w:rPr>
            </w:pPr>
            <w:r>
              <w:rPr>
                <w:rFonts w:ascii="Arial" w:cs="Arial" w:eastAsia="Arial" w:hAnsi="Arial"/>
                <w:sz w:val="18"/>
                <w:szCs w:val="18"/>
                <w:color w:val="auto"/>
              </w:rPr>
              <w:t>Shares purchased in the third quarter of 2016 are as follows: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5440" w:type="dxa"/>
            <w:vAlign w:val="bottom"/>
            <w:gridSpan w:val="3"/>
            <w:vMerge w:val="restart"/>
          </w:tcPr>
          <w:p>
            <w:pPr>
              <w:ind w:left="640"/>
              <w:spacing w:after="0"/>
              <w:rPr>
                <w:sz w:val="20"/>
                <w:szCs w:val="20"/>
                <w:color w:val="auto"/>
              </w:rPr>
            </w:pPr>
            <w:r>
              <w:rPr>
                <w:rFonts w:ascii="Arial" w:cs="Arial" w:eastAsia="Arial" w:hAnsi="Arial"/>
                <w:sz w:val="14"/>
                <w:szCs w:val="14"/>
                <w:i w:val="1"/>
                <w:iCs w:val="1"/>
                <w:color w:val="auto"/>
              </w:rPr>
              <w:t>Period</w:t>
            </w:r>
          </w:p>
        </w:tc>
        <w:tc>
          <w:tcPr>
            <w:tcW w:w="580" w:type="dxa"/>
            <w:vAlign w:val="bottom"/>
          </w:tcPr>
          <w:p>
            <w:pPr>
              <w:spacing w:after="0"/>
              <w:rPr>
                <w:sz w:val="24"/>
                <w:szCs w:val="24"/>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b w:val="1"/>
                <w:bCs w:val="1"/>
                <w:color w:val="auto"/>
              </w:rPr>
              <w:t>Total Number of</w:t>
            </w:r>
          </w:p>
        </w:tc>
        <w:tc>
          <w:tcPr>
            <w:tcW w:w="9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440" w:type="dxa"/>
            <w:vAlign w:val="bottom"/>
            <w:gridSpan w:val="3"/>
            <w:vMerge w:val="continue"/>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2"/>
                <w:szCs w:val="12"/>
                <w:b w:val="1"/>
                <w:bCs w:val="1"/>
                <w:color w:val="auto"/>
              </w:rPr>
              <w:t>(1)</w:t>
            </w:r>
          </w:p>
        </w:tc>
        <w:tc>
          <w:tcPr>
            <w:tcW w:w="1980" w:type="dxa"/>
            <w:vAlign w:val="bottom"/>
            <w:gridSpan w:val="4"/>
          </w:tcPr>
          <w:p>
            <w:pPr>
              <w:ind w:left="960"/>
              <w:spacing w:after="0"/>
              <w:rPr>
                <w:sz w:val="20"/>
                <w:szCs w:val="20"/>
                <w:color w:val="auto"/>
              </w:rPr>
            </w:pPr>
            <w:r>
              <w:rPr>
                <w:rFonts w:ascii="Arial" w:cs="Arial" w:eastAsia="Arial" w:hAnsi="Arial"/>
                <w:sz w:val="14"/>
                <w:szCs w:val="14"/>
                <w:b w:val="1"/>
                <w:bCs w:val="1"/>
                <w:color w:val="auto"/>
              </w:rPr>
              <w:t>Paid per Share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31, 2016</w:t>
            </w:r>
          </w:p>
        </w:tc>
        <w:tc>
          <w:tcPr>
            <w:tcW w:w="580" w:type="dxa"/>
            <w:vAlign w:val="bottom"/>
            <w:vMerge w:val="continue"/>
            <w:shd w:val="clear" w:color="auto" w:fill="CCEEFF"/>
          </w:tcPr>
          <w:p>
            <w:pPr>
              <w:spacing w:after="0"/>
              <w:rPr>
                <w:sz w:val="18"/>
                <w:szCs w:val="18"/>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August 1 – 31, 2016</w:t>
            </w:r>
          </w:p>
        </w:tc>
        <w:tc>
          <w:tcPr>
            <w:tcW w:w="58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 2016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48,079</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440" w:type="dxa"/>
            <w:vAlign w:val="bottom"/>
            <w:gridSpan w:val="3"/>
          </w:tcPr>
          <w:p>
            <w:pPr>
              <w:ind w:left="64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48,079</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3"/>
            <w:vMerge w:val="restart"/>
          </w:tcPr>
          <w:p>
            <w:pPr>
              <w:ind w:left="5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10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1"/>
              </w:rPr>
              <w:t>Underwriting Agreement, dated as of August 11, 2016, among Amarin Corporation plc, Jefferies LLC and Citigroup Global Markets Inc., as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0"/>
              </w:rPr>
              <w:t>representatives of the underwriters named therein (incorporated herein by reference to Exhibit 1.1 to the Company’s Current Report on Form</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8-K filed August 12, 2016, File No. 000-21392)</w:t>
            </w:r>
          </w:p>
        </w:tc>
        <w:tc>
          <w:tcPr>
            <w:tcW w:w="0" w:type="dxa"/>
            <w:vAlign w:val="bottom"/>
          </w:tcPr>
          <w:p>
            <w:pPr>
              <w:spacing w:after="0"/>
              <w:rPr>
                <w:sz w:val="1"/>
                <w:szCs w:val="1"/>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2"/>
              </w:rPr>
              <w:t>Certification of President and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3"/>
              </w:rPr>
              <w:t>Certification of Senior Vice President and Chief Financial Officer (Principal Financial Officer and Principal Accounting Officer) pursuant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Section 302 of 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4"/>
              </w:rPr>
              <w:t>Certification of President and Chief Executive Officer (Principal Executive Officer) and Senior Vice President and Chief Financial Officer</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(Principal Financial Officer and Principal Accounting Officer) pursuant to Section 906 of Sarbanes-Oxley Act of 2002</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9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240" w:top="459" w:right="6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3, 2016</w:t>
            </w:r>
          </w:p>
        </w:tc>
        <w:tc>
          <w:tcPr>
            <w:tcW w:w="560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ind w:left="150"/>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ind w:left="150"/>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3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November 3, 2016</w:t>
            </w:r>
          </w:p>
        </w:tc>
        <w:tc>
          <w:tcPr>
            <w:tcW w:w="54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   Michael W. Kalb</w:t>
            </w:r>
          </w:p>
        </w:tc>
      </w:tr>
      <w:tr>
        <w:trPr>
          <w:trHeight w:val="195"/>
        </w:trPr>
        <w:tc>
          <w:tcPr>
            <w:tcW w:w="5960" w:type="dxa"/>
            <w:vAlign w:val="bottom"/>
          </w:tcPr>
          <w:p>
            <w:pPr>
              <w:spacing w:after="0"/>
              <w:rPr>
                <w:sz w:val="16"/>
                <w:szCs w:val="16"/>
                <w:color w:val="auto"/>
              </w:rPr>
            </w:pPr>
          </w:p>
        </w:tc>
        <w:tc>
          <w:tcPr>
            <w:tcW w:w="54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5"/>
              </w:rPr>
              <w:t>Michael W. Kalb</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color w:val="auto"/>
                <w:w w:val="92"/>
              </w:rPr>
              <w:t>Senior Vice President and Chief Financial Officer</w:t>
            </w:r>
          </w:p>
        </w:tc>
      </w:tr>
      <w:tr>
        <w:trPr>
          <w:trHeight w:val="230"/>
        </w:trPr>
        <w:tc>
          <w:tcPr>
            <w:tcW w:w="5960" w:type="dxa"/>
            <w:vAlign w:val="bottom"/>
          </w:tcPr>
          <w:p>
            <w:pPr>
              <w:spacing w:after="0"/>
              <w:rPr>
                <w:sz w:val="20"/>
                <w:szCs w:val="20"/>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92" w:lineRule="exact"/>
        <w:rPr>
          <w:sz w:val="20"/>
          <w:szCs w:val="20"/>
          <w:color w:val="auto"/>
        </w:rPr>
      </w:pPr>
    </w:p>
    <w:p>
      <w:pPr>
        <w:ind w:left="460" w:right="24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2016,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November 3, 2016</w:t>
            </w:r>
          </w:p>
        </w:tc>
        <w:tc>
          <w:tcPr>
            <w:tcW w:w="536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60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 Kalb</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November 3, 2016</w:t>
            </w:r>
          </w:p>
        </w:tc>
        <w:tc>
          <w:tcPr>
            <w:tcW w:w="5360" w:type="dxa"/>
            <w:vAlign w:val="bottom"/>
          </w:tcPr>
          <w:p>
            <w:pPr>
              <w:spacing w:after="0"/>
              <w:rPr>
                <w:sz w:val="20"/>
                <w:szCs w:val="20"/>
                <w:color w:val="auto"/>
              </w:rPr>
            </w:pPr>
            <w:r>
              <w:rPr>
                <w:rFonts w:ascii="Arial" w:cs="Arial" w:eastAsia="Arial" w:hAnsi="Arial"/>
                <w:sz w:val="18"/>
                <w:szCs w:val="18"/>
                <w:color w:val="auto"/>
              </w:rPr>
              <w:t>Michael W. Kalb</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lowerRoman"/>
      <w:start w:val="1"/>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lowerRoman"/>
      <w:start w:val="2"/>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lowerRoman"/>
      <w:start w:val="2"/>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4"/>
    </w:lvl>
  </w:abstractNum>
  <w:abstractNum w:abstractNumId="12">
    <w:nsid w:val="836C40E"/>
    <w:multiLevelType w:val="hybridMultilevel"/>
    <w:lvl w:ilvl="0">
      <w:lvlJc w:val="left"/>
      <w:lvlText w:val="(%1)"/>
      <w:numFmt w:val="decimal"/>
      <w:start w:val="5"/>
    </w:lvl>
  </w:abstractNum>
  <w:abstractNum w:abstractNumId="13">
    <w:nsid w:val="2901D82"/>
    <w:multiLevelType w:val="hybridMultilevel"/>
    <w:lvl w:ilvl="0">
      <w:lvlJc w:val="left"/>
      <w:lvlText w:val="(%1)"/>
      <w:numFmt w:val="decimal"/>
      <w:start w:val="6"/>
    </w:lvl>
  </w:abstractNum>
  <w:abstractNum w:abstractNumId="14">
    <w:nsid w:val="3A95F874"/>
    <w:multiLevelType w:val="hybridMultilevel"/>
    <w:lvl w:ilvl="0">
      <w:lvlJc w:val="left"/>
      <w:lvlText w:val="(%1)"/>
      <w:numFmt w:val="decimal"/>
      <w:start w:val="7"/>
    </w:lvl>
  </w:abstractNum>
  <w:abstractNum w:abstractNumId="15">
    <w:nsid w:val="8138641"/>
    <w:multiLevelType w:val="hybridMultilevel"/>
    <w:lvl w:ilvl="0">
      <w:lvlJc w:val="left"/>
      <w:lvlText w:val="(%1)"/>
      <w:numFmt w:val="decimal"/>
      <w:start w:val="8"/>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decimal"/>
      <w:start w:val="9"/>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2019-12-29T09:37:40Z</dcterms:created>
  <dcterms:modified xsi:type="dcterms:W3CDTF">2019-12-29T09:37:40Z</dcterms:modified>
</cp:coreProperties>
</file>