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45"/>
        </w:trPr>
        <w:tc>
          <w:tcPr>
            <w:tcW w:w="3480" w:type="dxa"/>
            <w:vAlign w:val="bottom"/>
            <w:gridSpan w:val="3"/>
          </w:tcPr>
          <w:p>
            <w:pPr>
              <w:ind w:left="1000"/>
              <w:spacing w:after="0"/>
              <w:rPr>
                <w:sz w:val="20"/>
                <w:szCs w:val="20"/>
                <w:color w:val="auto"/>
              </w:rPr>
            </w:pPr>
            <w:r>
              <w:rPr>
                <w:rFonts w:ascii="Arial" w:cs="Arial" w:eastAsia="Arial" w:hAnsi="Arial"/>
                <w:sz w:val="18"/>
                <w:szCs w:val="18"/>
                <w:b w:val="1"/>
                <w:bCs w:val="1"/>
                <w:color w:val="auto"/>
                <w:w w:val="91"/>
              </w:rPr>
              <w:t>Commission File No. 000-21392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-231140</wp:posOffset>
            </wp:positionV>
            <wp:extent cx="57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794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0"/>
              </w:rPr>
              <w:t>England and Wales</w:t>
            </w:r>
          </w:p>
        </w:tc>
        <w:tc>
          <w:tcPr>
            <w:tcW w:w="3000" w:type="dxa"/>
            <w:vAlign w:val="bottom"/>
          </w:tcPr>
          <w:p>
            <w:pPr>
              <w:jc w:val="center"/>
              <w:ind w:right="1561"/>
              <w:spacing w:after="0"/>
              <w:rPr>
                <w:sz w:val="20"/>
                <w:szCs w:val="20"/>
                <w:color w:val="auto"/>
              </w:rPr>
            </w:pPr>
            <w:r>
              <w:rPr>
                <w:rFonts w:ascii="Arial" w:cs="Arial" w:eastAsia="Arial" w:hAnsi="Arial"/>
                <w:sz w:val="18"/>
                <w:szCs w:val="18"/>
                <w:b w:val="1"/>
                <w:bCs w:val="1"/>
                <w:color w:val="auto"/>
                <w:w w:val="90"/>
              </w:rPr>
              <w:t>Not applicable</w:t>
            </w:r>
          </w:p>
        </w:tc>
      </w:tr>
      <w:tr>
        <w:trPr>
          <w:trHeight w:val="149"/>
        </w:trPr>
        <w:tc>
          <w:tcPr>
            <w:tcW w:w="7940" w:type="dxa"/>
            <w:vAlign w:val="bottom"/>
            <w:gridSpan w:val="3"/>
          </w:tcPr>
          <w:p>
            <w:pPr>
              <w:jc w:val="center"/>
              <w:ind w:right="23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00" w:type="dxa"/>
            <w:vAlign w:val="bottom"/>
          </w:tcPr>
          <w:p>
            <w:pPr>
              <w:jc w:val="center"/>
              <w:ind w:right="15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4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5"/>
              </w:rPr>
              <w:t>Incorporation or Organization)</w:t>
            </w:r>
          </w:p>
        </w:tc>
        <w:tc>
          <w:tcPr>
            <w:tcW w:w="3000" w:type="dxa"/>
            <w:vAlign w:val="bottom"/>
          </w:tcPr>
          <w:p>
            <w:pPr>
              <w:jc w:val="center"/>
              <w:ind w:right="1561"/>
              <w:spacing w:after="0"/>
              <w:rPr>
                <w:sz w:val="20"/>
                <w:szCs w:val="20"/>
                <w:color w:val="auto"/>
              </w:rPr>
            </w:pPr>
            <w:r>
              <w:rPr>
                <w:rFonts w:ascii="Arial" w:cs="Arial" w:eastAsia="Arial" w:hAnsi="Arial"/>
                <w:sz w:val="14"/>
                <w:szCs w:val="14"/>
                <w:b w:val="1"/>
                <w:bCs w:val="1"/>
                <w:color w:val="auto"/>
                <w:w w:val="94"/>
              </w:rPr>
              <w:t>Identification No.)</w:t>
            </w:r>
          </w:p>
        </w:tc>
      </w:tr>
      <w:tr>
        <w:trPr>
          <w:trHeight w:val="313"/>
        </w:trPr>
        <w:tc>
          <w:tcPr>
            <w:tcW w:w="794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0"/>
              </w:rPr>
              <w:t>2 Pembroke House, Upper Pembroke Street 28-32</w:t>
            </w:r>
          </w:p>
        </w:tc>
        <w:tc>
          <w:tcPr>
            <w:tcW w:w="3000" w:type="dxa"/>
            <w:vAlign w:val="bottom"/>
          </w:tcPr>
          <w:p>
            <w:pPr>
              <w:jc w:val="center"/>
              <w:ind w:right="1561"/>
              <w:spacing w:after="0"/>
              <w:rPr>
                <w:sz w:val="20"/>
                <w:szCs w:val="20"/>
                <w:color w:val="auto"/>
              </w:rPr>
            </w:pPr>
            <w:r>
              <w:rPr>
                <w:rFonts w:ascii="Arial" w:cs="Arial" w:eastAsia="Arial" w:hAnsi="Arial"/>
                <w:sz w:val="18"/>
                <w:szCs w:val="18"/>
                <w:b w:val="1"/>
                <w:bCs w:val="1"/>
                <w:color w:val="auto"/>
                <w:w w:val="94"/>
              </w:rPr>
              <w:t>Dublin 2, Ireland</w:t>
            </w:r>
          </w:p>
        </w:tc>
      </w:tr>
      <w:tr>
        <w:trPr>
          <w:trHeight w:val="186"/>
        </w:trPr>
        <w:tc>
          <w:tcPr>
            <w:tcW w:w="794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00" w:type="dxa"/>
            <w:vAlign w:val="bottom"/>
          </w:tcPr>
          <w:p>
            <w:pPr>
              <w:jc w:val="center"/>
              <w:ind w:right="1541"/>
              <w:spacing w:after="0"/>
              <w:rPr>
                <w:sz w:val="20"/>
                <w:szCs w:val="20"/>
                <w:color w:val="auto"/>
              </w:rPr>
            </w:pPr>
            <w:r>
              <w:rPr>
                <w:rFonts w:ascii="Arial" w:cs="Arial" w:eastAsia="Arial" w:hAnsi="Arial"/>
                <w:sz w:val="14"/>
                <w:szCs w:val="14"/>
                <w:b w:val="1"/>
                <w:bCs w:val="1"/>
                <w:color w:val="auto"/>
                <w:w w:val="95"/>
              </w:rPr>
              <w:t>(Zip Code)</w:t>
            </w:r>
          </w:p>
        </w:tc>
      </w:tr>
      <w:tr>
        <w:trPr>
          <w:trHeight w:val="270"/>
        </w:trPr>
        <w:tc>
          <w:tcPr>
            <w:tcW w:w="7940" w:type="dxa"/>
            <w:vAlign w:val="bottom"/>
            <w:gridSpan w:val="3"/>
          </w:tcPr>
          <w:p>
            <w:pPr>
              <w:ind w:left="3500"/>
              <w:spacing w:after="0"/>
              <w:rPr>
                <w:sz w:val="20"/>
                <w:szCs w:val="20"/>
                <w:color w:val="auto"/>
              </w:rPr>
            </w:pPr>
            <w:r>
              <w:rPr>
                <w:rFonts w:ascii="Arial" w:cs="Arial" w:eastAsia="Arial" w:hAnsi="Arial"/>
                <w:sz w:val="14"/>
                <w:szCs w:val="14"/>
                <w:b w:val="1"/>
                <w:bCs w:val="1"/>
                <w:color w:val="auto"/>
                <w:w w:val="91"/>
              </w:rPr>
              <w:t>Registrant’s telephone number, including area code: +353 (0) 1 6699 020</w:t>
            </w:r>
          </w:p>
        </w:tc>
        <w:tc>
          <w:tcPr>
            <w:tcW w:w="3000" w:type="dxa"/>
            <w:vAlign w:val="bottom"/>
          </w:tcPr>
          <w:p>
            <w:pPr>
              <w:spacing w:after="0"/>
              <w:rPr>
                <w:sz w:val="23"/>
                <w:szCs w:val="23"/>
                <w:color w:val="auto"/>
              </w:rPr>
            </w:pPr>
          </w:p>
        </w:tc>
      </w:tr>
      <w:tr>
        <w:trPr>
          <w:trHeight w:val="134"/>
        </w:trPr>
        <w:tc>
          <w:tcPr>
            <w:tcW w:w="4580" w:type="dxa"/>
            <w:vAlign w:val="bottom"/>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4080" w:type="dxa"/>
            <w:vAlign w:val="bottom"/>
            <w:gridSpan w:val="2"/>
          </w:tcPr>
          <w:p>
            <w:pPr>
              <w:spacing w:after="0"/>
              <w:rPr>
                <w:sz w:val="11"/>
                <w:szCs w:val="11"/>
                <w:color w:val="auto"/>
              </w:rPr>
            </w:pPr>
          </w:p>
        </w:tc>
      </w:tr>
      <w:tr>
        <w:trPr>
          <w:trHeight w:val="330"/>
        </w:trPr>
        <w:tc>
          <w:tcPr>
            <w:tcW w:w="10940" w:type="dxa"/>
            <w:vAlign w:val="bottom"/>
            <w:gridSpan w:val="4"/>
          </w:tcPr>
          <w:p>
            <w:pPr>
              <w:spacing w:after="0"/>
              <w:rPr>
                <w:sz w:val="20"/>
                <w:szCs w:val="20"/>
                <w:color w:val="auto"/>
              </w:rPr>
            </w:pPr>
            <w:r>
              <w:rPr>
                <w:rFonts w:ascii="Arial" w:cs="Arial" w:eastAsia="Arial" w:hAnsi="Arial"/>
                <w:sz w:val="18"/>
                <w:szCs w:val="18"/>
                <w:color w:val="auto"/>
                <w:w w:val="91"/>
              </w:rPr>
              <w:t>Indicate by check mark whether the registrant (1) has filed all reports required to be filed by Section 13 or 15(d) of the Securities Exchange Act of 1934</w:t>
            </w:r>
          </w:p>
        </w:tc>
      </w:tr>
      <w:tr>
        <w:trPr>
          <w:trHeight w:val="183"/>
        </w:trPr>
        <w:tc>
          <w:tcPr>
            <w:tcW w:w="10940" w:type="dxa"/>
            <w:vAlign w:val="bottom"/>
            <w:gridSpan w:val="4"/>
          </w:tcPr>
          <w:p>
            <w:pPr>
              <w:spacing w:after="0" w:line="183" w:lineRule="exact"/>
              <w:rPr>
                <w:sz w:val="20"/>
                <w:szCs w:val="20"/>
                <w:color w:val="auto"/>
              </w:rPr>
            </w:pPr>
            <w:r>
              <w:rPr>
                <w:rFonts w:ascii="Arial" w:cs="Arial" w:eastAsia="Arial" w:hAnsi="Arial"/>
                <w:sz w:val="18"/>
                <w:szCs w:val="18"/>
                <w:color w:val="auto"/>
                <w:w w:val="91"/>
              </w:rPr>
              <w:t>during the preceding 12 months (or for such shorter period that the registrant was required to file such reports), and (2) has been subject to such filing</w:t>
            </w:r>
          </w:p>
        </w:tc>
      </w:tr>
      <w:tr>
        <w:trPr>
          <w:trHeight w:val="283"/>
        </w:trPr>
        <w:tc>
          <w:tcPr>
            <w:tcW w:w="794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000" w:type="dxa"/>
            <w:vAlign w:val="bottom"/>
          </w:tcPr>
          <w:p>
            <w:pPr>
              <w:spacing w:after="0"/>
              <w:rPr>
                <w:sz w:val="24"/>
                <w:szCs w:val="24"/>
                <w:color w:val="auto"/>
              </w:rPr>
            </w:pPr>
          </w:p>
        </w:tc>
      </w:tr>
    </w:tbl>
    <w:p>
      <w:pPr>
        <w:spacing w:after="0" w:line="7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66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6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00" w:type="dxa"/>
            <w:vAlign w:val="bottom"/>
          </w:tcPr>
          <w:p>
            <w:pPr>
              <w:ind w:left="6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3180" w:type="dxa"/>
            <w:vAlign w:val="bottom"/>
          </w:tcPr>
          <w:p>
            <w:pPr>
              <w:ind w:left="66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6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8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270,792,058 common shares were outstanding as of July 31, 2017, including 270,341,777 shares held as American Depositary Shares (ADSs), each representing one Ordinary Share, 50 pence par value per share and 450,281 Ordinary Shares. In addition, 32,818,464 ordinary share equivalents were issuable in exchange for outstanding preferred shares as of July 31, 2017, for a total of 303,610,522 ordinary shares and ordinary share equivalents outstanding as of July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166370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r>
      <w:tr>
        <w:trPr>
          <w:trHeight w:val="291"/>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8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3300" w:type="dxa"/>
            <w:vAlign w:val="bottom"/>
            <w:gridSpan w:val="6"/>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4"/>
        </w:trPr>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20" w:type="dxa"/>
            <w:vAlign w:val="bottom"/>
            <w:gridSpan w:val="16"/>
          </w:tcPr>
          <w:p>
            <w:pPr>
              <w:spacing w:after="0"/>
              <w:rPr>
                <w:sz w:val="20"/>
                <w:szCs w:val="20"/>
                <w:color w:val="auto"/>
              </w:rPr>
            </w:pPr>
            <w:r>
              <w:rPr>
                <w:rFonts w:ascii="Arial" w:cs="Arial" w:eastAsia="Arial" w:hAnsi="Arial"/>
                <w:sz w:val="18"/>
                <w:szCs w:val="18"/>
                <w:color w:val="auto"/>
              </w:rPr>
              <w:t>Financial Statements (unaudited):</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140" w:type="dxa"/>
            <w:vAlign w:val="bottom"/>
            <w:tcBorders>
              <w:bottom w:val="single" w:sz="8" w:color="0000EE"/>
            </w:tcBorders>
            <w:gridSpan w:val="11"/>
          </w:tcPr>
          <w:p>
            <w:pPr>
              <w:spacing w:after="0" w:line="190"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2017 and December 31, 2016</w:t>
              </w:r>
            </w:hyperlink>
          </w:p>
        </w:tc>
        <w:tc>
          <w:tcPr>
            <w:tcW w:w="2880" w:type="dxa"/>
            <w:vAlign w:val="bottom"/>
            <w:gridSpan w:val="5"/>
          </w:tcPr>
          <w:p>
            <w:pPr>
              <w:spacing w:after="0"/>
              <w:rPr>
                <w:sz w:val="16"/>
                <w:szCs w:val="16"/>
                <w:color w:val="auto"/>
              </w:rPr>
            </w:pPr>
          </w:p>
        </w:tc>
        <w:tc>
          <w:tcPr>
            <w:tcW w:w="106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3</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6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six months ended June 30, 2017 and 2016</w:t>
              </w:r>
            </w:hyperlink>
          </w:p>
        </w:tc>
        <w:tc>
          <w:tcPr>
            <w:tcW w:w="1060" w:type="dxa"/>
            <w:vAlign w:val="bottom"/>
            <w:gridSpan w:val="2"/>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2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Changes in Stockholders’ Deficit for the six months ended June 30, 2017</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3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six months ended June 30, 2017 and 2016</w:t>
              </w:r>
            </w:hyperlink>
          </w:p>
        </w:tc>
        <w:tc>
          <w:tcPr>
            <w:tcW w:w="760" w:type="dxa"/>
            <w:vAlign w:val="bottom"/>
            <w:tcBorders>
              <w:top w:val="single" w:sz="8" w:color="0000EE"/>
            </w:tcBorders>
            <w:gridSpan w:val="2"/>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020" w:type="dxa"/>
            <w:vAlign w:val="bottom"/>
            <w:gridSpan w:val="9"/>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2560" w:type="dxa"/>
            <w:vAlign w:val="bottom"/>
            <w:gridSpan w:val="4"/>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020" w:type="dxa"/>
            <w:vAlign w:val="bottom"/>
            <w:gridSpan w:val="16"/>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4720" w:type="dxa"/>
            <w:vAlign w:val="bottom"/>
            <w:gridSpan w:val="8"/>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r>
      <w:tr>
        <w:trPr>
          <w:trHeight w:val="318"/>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10"/>
          </w:tcPr>
          <w:p>
            <w:pPr>
              <w:jc w:val="center"/>
              <w:ind w:right="3400"/>
              <w:spacing w:after="0"/>
              <w:rPr>
                <w:rFonts w:ascii="Arial" w:cs="Arial" w:eastAsia="Arial" w:hAnsi="Arial"/>
                <w:sz w:val="18"/>
                <w:szCs w:val="18"/>
                <w:b w:val="1"/>
                <w:bCs w:val="1"/>
                <w:color w:val="0000EE"/>
                <w:w w:val="96"/>
              </w:rPr>
            </w:pPr>
            <w:hyperlink w:anchor="page50">
              <w:r>
                <w:rPr>
                  <w:rFonts w:ascii="Arial" w:cs="Arial" w:eastAsia="Arial" w:hAnsi="Arial"/>
                  <w:sz w:val="18"/>
                  <w:szCs w:val="18"/>
                  <w:b w:val="1"/>
                  <w:bCs w:val="1"/>
                  <w:color w:val="0000EE"/>
                  <w:w w:val="96"/>
                </w:rPr>
                <w:t>PART II – Other Information</w:t>
              </w:r>
            </w:hyperlink>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Legal Proceedings</w:t>
              </w:r>
            </w:hyperlink>
          </w:p>
        </w:tc>
        <w:tc>
          <w:tcPr>
            <w:tcW w:w="2000" w:type="dxa"/>
            <w:vAlign w:val="bottom"/>
            <w:gridSpan w:val="3"/>
          </w:tcPr>
          <w:p>
            <w:pPr>
              <w:spacing w:after="0"/>
              <w:rPr>
                <w:sz w:val="24"/>
                <w:szCs w:val="24"/>
                <w:color w:val="auto"/>
              </w:rPr>
            </w:pPr>
          </w:p>
        </w:tc>
        <w:tc>
          <w:tcPr>
            <w:tcW w:w="2280" w:type="dxa"/>
            <w:vAlign w:val="bottom"/>
            <w:tcBorders>
              <w:top w:val="single" w:sz="8" w:color="0000EE"/>
            </w:tcBorders>
            <w:gridSpan w:val="3"/>
          </w:tcPr>
          <w:p>
            <w:pPr>
              <w:spacing w:after="0"/>
              <w:rPr>
                <w:sz w:val="24"/>
                <w:szCs w:val="24"/>
                <w:color w:val="auto"/>
              </w:rPr>
            </w:pPr>
          </w:p>
        </w:tc>
        <w:tc>
          <w:tcPr>
            <w:tcW w:w="3400" w:type="dxa"/>
            <w:vAlign w:val="bottom"/>
            <w:gridSpan w:val="7"/>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20" w:type="dxa"/>
            <w:vAlign w:val="bottom"/>
            <w:gridSpan w:val="16"/>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Risk Factors</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Exhibits</w:t>
              </w:r>
            </w:hyperlink>
          </w:p>
        </w:tc>
        <w:tc>
          <w:tcPr>
            <w:tcW w:w="8120" w:type="dxa"/>
            <w:vAlign w:val="bottom"/>
            <w:gridSpan w:val="14"/>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r>
      <w:tr>
        <w:trPr>
          <w:trHeight w:val="318"/>
        </w:trPr>
        <w:tc>
          <w:tcPr>
            <w:tcW w:w="1360" w:type="dxa"/>
            <w:vAlign w:val="bottom"/>
            <w:gridSpan w:val="2"/>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r>
        <w:trPr>
          <w:trHeight w:val="669"/>
        </w:trPr>
        <w:tc>
          <w:tcPr>
            <w:tcW w:w="1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620" w:type="dxa"/>
            <w:vAlign w:val="bottom"/>
            <w:gridSpan w:val="9"/>
          </w:tcPr>
          <w:p>
            <w:pPr>
              <w:ind w:left="43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2017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26"/>
        </w:trPr>
        <w:tc>
          <w:tcPr>
            <w:tcW w:w="7140" w:type="dxa"/>
            <w:vAlign w:val="bottom"/>
            <w:tcBorders>
              <w:bottom w:val="single" w:sz="8" w:color="CFF0FC"/>
            </w:tcBorders>
          </w:tcPr>
          <w:p>
            <w:pPr>
              <w:spacing w:after="0"/>
              <w:rPr>
                <w:sz w:val="2"/>
                <w:szCs w:val="2"/>
                <w:color w:val="auto"/>
              </w:rPr>
            </w:pPr>
          </w:p>
        </w:tc>
        <w:tc>
          <w:tcPr>
            <w:tcW w:w="7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85,464</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Restricted cash</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24,814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and other current assets</w:t>
            </w:r>
          </w:p>
        </w:tc>
        <w:tc>
          <w:tcPr>
            <w:tcW w:w="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Total current assets</w:t>
            </w:r>
          </w:p>
        </w:tc>
        <w:tc>
          <w:tcPr>
            <w:tcW w:w="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150,429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Property, plant and equipment, net</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Deferred tax assets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assets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Intangible asset, net</w:t>
            </w:r>
          </w:p>
        </w:tc>
        <w:tc>
          <w:tcPr>
            <w:tcW w:w="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170,185</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166,999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Liabilities: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16,455</w:t>
            </w:r>
          </w:p>
        </w:tc>
        <w:tc>
          <w:tcPr>
            <w:tcW w:w="280" w:type="dxa"/>
            <w:vAlign w:val="bottom"/>
          </w:tcPr>
          <w:p>
            <w:pPr>
              <w:spacing w:after="0"/>
              <w:rPr>
                <w:sz w:val="19"/>
                <w:szCs w:val="19"/>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6,062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Current portion of exchangeable senior notes, net of discount</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15,351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Current portion of long-term debt from royalty-bearing instrument</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Deferred revenue, current</w:t>
            </w:r>
          </w:p>
        </w:tc>
        <w:tc>
          <w:tcPr>
            <w:tcW w:w="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Total current liabilities</w:t>
            </w:r>
          </w:p>
        </w:tc>
        <w:tc>
          <w:tcPr>
            <w:tcW w:w="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260"/>
              <w:spacing w:after="0"/>
              <w:rPr>
                <w:sz w:val="20"/>
                <w:szCs w:val="20"/>
                <w:color w:val="auto"/>
              </w:rPr>
            </w:pPr>
            <w:r>
              <w:rPr>
                <w:rFonts w:ascii="Arial" w:cs="Arial" w:eastAsia="Arial" w:hAnsi="Arial"/>
                <w:sz w:val="18"/>
                <w:szCs w:val="18"/>
                <w:color w:val="auto"/>
              </w:rPr>
              <w:t>Long-Term Liabilities: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Exchangeable senior notes, net of discount</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28,884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Long-term debt from royalty-bearing instrument</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79,283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long-term</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long-term liabilities</w:t>
            </w:r>
          </w:p>
        </w:tc>
        <w:tc>
          <w:tcPr>
            <w:tcW w:w="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Total liabilities</w:t>
            </w:r>
          </w:p>
        </w:tc>
        <w:tc>
          <w:tcPr>
            <w:tcW w:w="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260"/>
              <w:spacing w:after="0"/>
              <w:rPr>
                <w:sz w:val="20"/>
                <w:szCs w:val="20"/>
                <w:color w:val="auto"/>
              </w:rPr>
            </w:pPr>
            <w:r>
              <w:rPr>
                <w:rFonts w:ascii="Arial" w:cs="Arial" w:eastAsia="Arial" w:hAnsi="Arial"/>
                <w:sz w:val="18"/>
                <w:szCs w:val="18"/>
                <w:color w:val="auto"/>
              </w:rPr>
              <w:t>Commitments and contingencies (Note 6)</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Stockholders’ Deficit:</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40" w:type="dxa"/>
            <w:vAlign w:val="bottom"/>
          </w:tcPr>
          <w:p>
            <w:pPr>
              <w:ind w:left="500"/>
              <w:spacing w:after="0"/>
              <w:rPr>
                <w:sz w:val="20"/>
                <w:szCs w:val="20"/>
                <w:color w:val="auto"/>
              </w:rPr>
            </w:pPr>
            <w:r>
              <w:rPr>
                <w:rFonts w:ascii="Arial" w:cs="Arial" w:eastAsia="Arial" w:hAnsi="Arial"/>
                <w:sz w:val="18"/>
                <w:szCs w:val="18"/>
                <w:color w:val="auto"/>
              </w:rPr>
              <w:t>Series A Convertible Preferred Stock, £0.05 par, unlimited authorized;</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640"/>
              <w:spacing w:after="0"/>
              <w:rPr>
                <w:sz w:val="20"/>
                <w:szCs w:val="20"/>
                <w:color w:val="auto"/>
              </w:rPr>
            </w:pPr>
            <w:r>
              <w:rPr>
                <w:rFonts w:ascii="Arial" w:cs="Arial" w:eastAsia="Arial" w:hAnsi="Arial"/>
                <w:sz w:val="18"/>
                <w:szCs w:val="18"/>
                <w:color w:val="auto"/>
              </w:rPr>
              <w:t>328,184,640 shares issued and outstanding as of June 30, 2017 and</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640"/>
              <w:spacing w:after="0"/>
              <w:rPr>
                <w:sz w:val="20"/>
                <w:szCs w:val="20"/>
                <w:color w:val="auto"/>
              </w:rPr>
            </w:pPr>
            <w:r>
              <w:rPr>
                <w:rFonts w:ascii="Arial" w:cs="Arial" w:eastAsia="Arial" w:hAnsi="Arial"/>
                <w:sz w:val="18"/>
                <w:szCs w:val="18"/>
                <w:color w:val="auto"/>
              </w:rPr>
              <w:t>December 31, 2016 (equivalent to 32,818,464 ordinary shares upon</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640"/>
              <w:spacing w:after="0"/>
              <w:rPr>
                <w:sz w:val="20"/>
                <w:szCs w:val="20"/>
                <w:color w:val="auto"/>
              </w:rPr>
            </w:pPr>
            <w:r>
              <w:rPr>
                <w:rFonts w:ascii="Arial" w:cs="Arial" w:eastAsia="Arial" w:hAnsi="Arial"/>
                <w:sz w:val="18"/>
                <w:szCs w:val="18"/>
                <w:color w:val="auto"/>
              </w:rPr>
              <w:t>future consolidation and redesignation at a 10:1 ratio)</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24,364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Common stock, £0.50 par, unlimited authorized; 272,401,857 issued, 270,792,058</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outstanding as of June 30, 2017; 270,183,201 issued, 269,363,696 outstanding</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as of December 31, 2016</w:t>
            </w: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208,556</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207,166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Additional paid-in capital</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970,797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964,914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Treasury stock; 1,609,799 shares as of June 30, 2017; 819,505 shares as of</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December 31, 2016</w:t>
            </w: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(3,902)</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Accumulated deficit</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(1,238,579)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(1,204,004)</w:t>
            </w:r>
          </w:p>
        </w:tc>
        <w:tc>
          <w:tcPr>
            <w:tcW w:w="0" w:type="dxa"/>
            <w:vAlign w:val="bottom"/>
          </w:tcPr>
          <w:p>
            <w:pPr>
              <w:spacing w:after="0"/>
              <w:rPr>
                <w:sz w:val="1"/>
                <w:szCs w:val="1"/>
                <w:color w:val="auto"/>
              </w:rPr>
            </w:pPr>
          </w:p>
        </w:tc>
      </w:tr>
      <w:tr>
        <w:trPr>
          <w:trHeight w:val="223"/>
        </w:trPr>
        <w:tc>
          <w:tcPr>
            <w:tcW w:w="714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Total stockholders’ deficit</w:t>
            </w:r>
          </w:p>
        </w:tc>
        <w:tc>
          <w:tcPr>
            <w:tcW w:w="7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(38,764)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740"/>
              <w:spacing w:after="0"/>
              <w:rPr>
                <w:sz w:val="20"/>
                <w:szCs w:val="20"/>
                <w:color w:val="auto"/>
              </w:rPr>
            </w:pPr>
            <w:r>
              <w:rPr>
                <w:rFonts w:ascii="Arial" w:cs="Arial" w:eastAsia="Arial" w:hAnsi="Arial"/>
                <w:sz w:val="18"/>
                <w:szCs w:val="18"/>
                <w:b w:val="1"/>
                <w:bCs w:val="1"/>
                <w:color w:val="auto"/>
              </w:rPr>
              <w:t>TOTAL LIABILITIES AND STOCKHOLDERS’ DEFICIT</w:t>
            </w:r>
          </w:p>
        </w:tc>
        <w:tc>
          <w:tcPr>
            <w:tcW w:w="7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170,185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Three months ended June 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80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 net</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44,948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58,122</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Licensing revenue</w:t>
            </w:r>
          </w:p>
        </w:tc>
        <w:tc>
          <w:tcPr>
            <w:tcW w:w="10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revenue, net</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45,241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58,654</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Cost of goods sold</w:t>
            </w:r>
          </w:p>
        </w:tc>
        <w:tc>
          <w:tcPr>
            <w:tcW w:w="10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15,757</w:t>
            </w:r>
          </w:p>
        </w:tc>
        <w:tc>
          <w:tcPr>
            <w:tcW w:w="10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0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33,840</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42,897</w:t>
            </w:r>
          </w:p>
        </w:tc>
        <w:tc>
          <w:tcPr>
            <w:tcW w:w="100" w:type="dxa"/>
            <w:vAlign w:val="bottom"/>
            <w:shd w:val="clear" w:color="auto" w:fill="CFF0FC"/>
          </w:tcPr>
          <w:p>
            <w:pPr>
              <w:spacing w:after="0"/>
              <w:rPr>
                <w:sz w:val="19"/>
                <w:szCs w:val="19"/>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54,086</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10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13,694</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26,308</w:t>
            </w:r>
          </w:p>
        </w:tc>
        <w:tc>
          <w:tcPr>
            <w:tcW w:w="10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45,239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80,394</w:t>
            </w:r>
          </w:p>
        </w:tc>
        <w:tc>
          <w:tcPr>
            <w:tcW w:w="100" w:type="dxa"/>
            <w:vAlign w:val="bottom"/>
            <w:shd w:val="clear" w:color="auto" w:fill="CFF0FC"/>
          </w:tcPr>
          <w:p>
            <w:pPr>
              <w:spacing w:after="0"/>
              <w:rPr>
                <w:sz w:val="19"/>
                <w:szCs w:val="19"/>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Operating loss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(11,399)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(37,497)</w:t>
            </w: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Gain on change in fair value of derivative liabilities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4,560</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Interest expense, net</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(2,315)</w:t>
            </w: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(4,696)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(11,202)</w:t>
            </w: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(303)</w:t>
            </w: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Loss from operations before taxes</w:t>
            </w:r>
          </w:p>
        </w:tc>
        <w:tc>
          <w:tcPr>
            <w:tcW w:w="10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(13,634)</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(44,442)</w:t>
            </w: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FF0FC"/>
          </w:tcPr>
          <w:p>
            <w:pPr>
              <w:spacing w:after="0"/>
              <w:rPr>
                <w:sz w:val="19"/>
                <w:szCs w:val="19"/>
                <w:color w:val="auto"/>
              </w:rPr>
            </w:pPr>
          </w:p>
        </w:tc>
      </w:tr>
      <w:tr>
        <w:trPr>
          <w:trHeight w:val="263"/>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0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(13,634)</w:t>
            </w:r>
          </w:p>
        </w:tc>
        <w:tc>
          <w:tcPr>
            <w:tcW w:w="2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(13,354)</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(34,575)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(43,125)</w:t>
            </w:r>
          </w:p>
        </w:tc>
        <w:tc>
          <w:tcPr>
            <w:tcW w:w="100" w:type="dxa"/>
            <w:vAlign w:val="bottom"/>
            <w:tcBorders>
              <w:bottom w:val="single" w:sz="8" w:color="CFF0FC"/>
            </w:tcBorders>
          </w:tcPr>
          <w:p>
            <w:pPr>
              <w:spacing w:after="0"/>
              <w:rPr>
                <w:sz w:val="22"/>
                <w:szCs w:val="22"/>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Loss per share:</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Basic</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(0.23)</w:t>
            </w: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(0.05)</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(0.07)</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(0.13)</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(0.23)</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270,725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184,471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270,445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184,262</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Diluted</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270,725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184,471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270,445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184,262</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Preferred</w:t>
            </w: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4"/>
                <w:szCs w:val="14"/>
                <w:color w:val="auto"/>
              </w:rPr>
            </w:pPr>
          </w:p>
        </w:tc>
        <w:tc>
          <w:tcPr>
            <w:tcW w:w="7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6"/>
              </w:rPr>
              <w:t>Preferred</w:t>
            </w:r>
          </w:p>
        </w:tc>
        <w:tc>
          <w:tcPr>
            <w:tcW w:w="20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Additional</w:t>
            </w: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Paid-in</w:t>
            </w:r>
          </w:p>
        </w:tc>
        <w:tc>
          <w:tcPr>
            <w:tcW w:w="8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780" w:type="dxa"/>
            <w:vAlign w:val="bottom"/>
          </w:tcPr>
          <w:p>
            <w:pPr>
              <w:jc w:val="right"/>
              <w:ind w:right="194"/>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Stock</w:t>
            </w:r>
          </w:p>
        </w:tc>
        <w:tc>
          <w:tcPr>
            <w:tcW w:w="6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2016</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328,184,640</w:t>
            </w: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270,183,201</w:t>
            </w:r>
          </w:p>
        </w:tc>
        <w:tc>
          <w:tcPr>
            <w:tcW w:w="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(819,505)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24,364</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$ 207,166</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$ 964,914</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(1,498)</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2"/>
              </w:rPr>
              <w:t>$ (1,204,004)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221,345</w:t>
            </w: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units</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1,997,311</w:t>
            </w:r>
          </w:p>
        </w:tc>
        <w:tc>
          <w:tcPr>
            <w:tcW w:w="1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(790,294)</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(1,284)</w:t>
            </w:r>
          </w:p>
        </w:tc>
        <w:tc>
          <w:tcPr>
            <w:tcW w:w="1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(2,404)</w:t>
            </w:r>
          </w:p>
        </w:tc>
        <w:tc>
          <w:tcPr>
            <w:tcW w:w="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Loss for the period</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(34,575)</w:t>
            </w: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(34,575)</w:t>
            </w:r>
          </w:p>
        </w:tc>
        <w:tc>
          <w:tcPr>
            <w:tcW w:w="0" w:type="dxa"/>
            <w:vAlign w:val="bottom"/>
          </w:tcPr>
          <w:p>
            <w:pPr>
              <w:spacing w:after="0"/>
              <w:rPr>
                <w:sz w:val="1"/>
                <w:szCs w:val="1"/>
                <w:color w:val="auto"/>
              </w:rPr>
            </w:pPr>
          </w:p>
        </w:tc>
      </w:tr>
      <w:tr>
        <w:trPr>
          <w:trHeight w:val="223"/>
        </w:trPr>
        <w:tc>
          <w:tcPr>
            <w:tcW w:w="2220" w:type="dxa"/>
            <w:vAlign w:val="bottom"/>
          </w:tcPr>
          <w:p>
            <w:pPr>
              <w:spacing w:after="0"/>
              <w:rPr>
                <w:sz w:val="20"/>
                <w:szCs w:val="20"/>
                <w:color w:val="auto"/>
              </w:rPr>
            </w:pPr>
            <w:r>
              <w:rPr>
                <w:rFonts w:ascii="Arial" w:cs="Arial" w:eastAsia="Arial" w:hAnsi="Arial"/>
                <w:sz w:val="18"/>
                <w:szCs w:val="18"/>
                <w:b w:val="1"/>
                <w:bCs w:val="1"/>
                <w:color w:val="auto"/>
              </w:rPr>
              <w:t>June 30, 2017</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328,184,640</w:t>
            </w:r>
          </w:p>
        </w:tc>
        <w:tc>
          <w:tcPr>
            <w:tcW w:w="1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272,401,857</w:t>
            </w: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(1,609,799</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24,364</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$ 208,556</w:t>
            </w: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$ 970,797</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 xml:space="preserve"> (1,238,579</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(38,764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205"/>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Net loss</w:t>
            </w:r>
          </w:p>
        </w:tc>
        <w:tc>
          <w:tcPr>
            <w:tcW w:w="2400" w:type="dxa"/>
            <w:vAlign w:val="bottom"/>
            <w:gridSpan w:val="2"/>
          </w:tcPr>
          <w:p>
            <w:pPr>
              <w:jc w:val="right"/>
              <w:ind w:right="77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(34,575)</w:t>
            </w: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(43,125)</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sale of fixed assets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debt discount and debt issuance costs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Amortization of intangible asset</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change in fair value of derivative liabilities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Changes in assets and liabilities: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(17,490)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(4,307)</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Prepaid and other current assets</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assets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Accrued interest payable</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(3,828)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Accounts payable and other current liabilities</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21,709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operating activities</w:t>
            </w:r>
          </w:p>
        </w:tc>
        <w:tc>
          <w:tcPr>
            <w:tcW w:w="14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(24,420)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(33,780)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Purchases of equipment</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64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14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exchangeable debt</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Payment of debt issuance costs</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Repurchase of exchangeable senior notes</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(15,107)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Taxes paid related to stock-based awards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(2,437)</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(used in) financing activities</w:t>
            </w:r>
          </w:p>
        </w:tc>
        <w:tc>
          <w:tcPr>
            <w:tcW w:w="14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(12,787)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(34,470)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4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98,251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106,961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4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85,464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72,491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during the year for:</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20" w:type="dxa"/>
            <w:vAlign w:val="bottom"/>
          </w:tcPr>
          <w:p>
            <w:pPr>
              <w:ind w:left="500"/>
              <w:spacing w:after="0"/>
              <w:rPr>
                <w:sz w:val="20"/>
                <w:szCs w:val="20"/>
                <w:color w:val="auto"/>
              </w:rPr>
            </w:pPr>
            <w:r>
              <w:rPr>
                <w:rFonts w:ascii="Arial" w:cs="Arial" w:eastAsia="Arial" w:hAnsi="Arial"/>
                <w:sz w:val="18"/>
                <w:szCs w:val="18"/>
                <w:color w:val="auto"/>
              </w:rPr>
              <w:t>Interest</w:t>
            </w:r>
          </w:p>
        </w:tc>
        <w:tc>
          <w:tcPr>
            <w:tcW w:w="1440" w:type="dxa"/>
            <w:vAlign w:val="bottom"/>
          </w:tcPr>
          <w:p>
            <w:pPr>
              <w:spacing w:after="0"/>
              <w:rPr>
                <w:sz w:val="23"/>
                <w:szCs w:val="23"/>
                <w:color w:val="auto"/>
              </w:rPr>
            </w:pP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7,546</w:t>
            </w:r>
          </w:p>
        </w:tc>
        <w:tc>
          <w:tcPr>
            <w:tcW w:w="160" w:type="dxa"/>
            <w:vAlign w:val="bottom"/>
          </w:tcPr>
          <w:p>
            <w:pPr>
              <w:spacing w:after="0"/>
              <w:rPr>
                <w:sz w:val="23"/>
                <w:szCs w:val="23"/>
                <w:color w:val="auto"/>
              </w:rPr>
            </w:pP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7,668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4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Income taxes</w:t>
            </w:r>
          </w:p>
        </w:tc>
        <w:tc>
          <w:tcPr>
            <w:tcW w:w="144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329" w:lineRule="exact"/>
        <w:rPr>
          <w:sz w:val="20"/>
          <w:szCs w:val="20"/>
          <w:color w:val="auto"/>
        </w:rPr>
      </w:pPr>
    </w:p>
    <w:p>
      <w:pPr>
        <w:ind w:left="520" w:right="7400" w:hanging="512"/>
        <w:spacing w:after="0" w:line="378" w:lineRule="auto"/>
        <w:tabs>
          <w:tab w:leader="none" w:pos="51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and Basis of Presentation </w:t>
      </w:r>
      <w:r>
        <w:rPr>
          <w:rFonts w:ascii="Arial" w:cs="Arial" w:eastAsia="Arial" w:hAnsi="Arial"/>
          <w:sz w:val="18"/>
          <w:szCs w:val="18"/>
          <w:b w:val="1"/>
          <w:bCs w:val="1"/>
          <w:i w:val="1"/>
          <w:iCs w:val="1"/>
          <w:u w:val="single" w:color="auto"/>
          <w:color w:val="auto"/>
        </w:rPr>
        <w:t>Nature of Business</w:t>
      </w:r>
    </w:p>
    <w:p>
      <w:pPr>
        <w:ind w:right="20"/>
        <w:spacing w:after="0" w:line="277" w:lineRule="auto"/>
        <w:rPr>
          <w:sz w:val="20"/>
          <w:szCs w:val="20"/>
          <w:color w:val="auto"/>
        </w:rPr>
      </w:pPr>
      <w:r>
        <w:rPr>
          <w:rFonts w:ascii="Arial" w:cs="Arial" w:eastAsia="Arial" w:hAnsi="Arial"/>
          <w:sz w:val="18"/>
          <w:szCs w:val="18"/>
          <w:color w:val="auto"/>
        </w:rPr>
        <w:t>Amarin Corporation plc (“Amarin” or the “Company”) is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Company’s lead product, Vascepa</w:t>
      </w:r>
      <w:r>
        <w:rPr>
          <w:rFonts w:ascii="Arial" w:cs="Arial" w:eastAsia="Arial" w:hAnsi="Arial"/>
          <w:sz w:val="13"/>
          <w:szCs w:val="13"/>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 mg/dL) hypertriglyceridemia. Vascepa is available in the United States by prescription only. In January 2013, the Company began selling and marketing 1-gram size Vascepa capsules in the United States, and in October 2016, introduced a smaller 0.5-gram size capsule. In August 2015, in addition to marketing Vascepa for severe hypertriglyceridemia, the Company commenced marketing Vascepa for use in adult patients with mixed dyslipidemia, as an adjunct to diet and an add-on to statin therapy in patients who despite statin therapy have high triglycerides (TGs </w:t>
      </w:r>
      <w:r>
        <w:rPr>
          <w:rFonts w:ascii="Arial" w:cs="Arial" w:eastAsia="Arial" w:hAnsi="Arial"/>
          <w:sz w:val="16"/>
          <w:szCs w:val="16"/>
          <w:u w:val="single" w:color="auto"/>
          <w:color w:val="auto"/>
        </w:rPr>
        <w:t>&gt;</w:t>
      </w:r>
      <w:r>
        <w:rPr>
          <w:rFonts w:ascii="Arial" w:cs="Arial" w:eastAsia="Arial" w:hAnsi="Arial"/>
          <w:sz w:val="16"/>
          <w:szCs w:val="16"/>
          <w:color w:val="auto"/>
        </w:rPr>
        <w:t>200 mg/dL and &lt;500 mg/dL), which the Company also refers to as persistently high triglycerides. This expanded promotion of Vascepa commenced pursuant to a federal court order and is continuing pursuant to an agreement among the Company, the FDA and the U.S. government. 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The Company markets Vascepa through its direct sales force of approximately 150 sales professionals, including sales representatives and their managers. In May 2014, Kowa Pharmaceuticals America, Inc. commenced co-promotion of Vascepa in accordance with a co-promotion agreement with the Company. Kowa Pharmaceuticals America, Inc. co-promotes Vascepa in conjunction with its promotion of its primary product, a branded statin for patients with high cholesterol. The Company operates in one business segment.</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is also developing Vascepa for FDA approval of potential additional indications for use. In particular, the Company is conducting a cardiovascular outcomes study of Vascepa, titled REDUCE-IT (Reduction of Cardiovascular Events with EPA—Intervention Trial). The REDUCE-IT study, which commenced in 2011 and completed patient enrollment and randomization of 8,175 individual patients in 2016, is designed to evaluate the efficacy of Vascepa in reducing major cardiovascular events in a high-risk patient population on statin therapy.</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condensed consolidated financial statements included herein have been prepared by the Company, without audit, in accordance with accounting principles generally accepted in the United States of America (the “U.S.” or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2016, or the 2016 Form 10-K, filed with the SEC. The balance sheet amounts at December 31, 2016 in this report were derived from the Company’s audited 2016 consolidated financial statements included in the 2016 Form 10-K.</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U.S. Generally Accepted Accounting Principles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six months ended June 30, 2017 and 2016 are not necessarily indicative of the results for the entire fiscal year or any future period. Certain numbers presented throughout this document may not add precisely to the totals provided due to rounding. Absolute and percentage changes are calculated using the underlying amounts in thousands.</w:t>
      </w:r>
    </w:p>
    <w:p>
      <w:pPr>
        <w:spacing w:after="0" w:line="16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7" w:name="page8"/>
    <w:bookmarkEnd w:id="7"/>
    <w:p>
      <w:pPr>
        <w:spacing w:after="0" w:line="269" w:lineRule="auto"/>
        <w:rPr>
          <w:sz w:val="20"/>
          <w:szCs w:val="20"/>
          <w:color w:val="auto"/>
        </w:rPr>
      </w:pPr>
      <w:r>
        <w:rPr>
          <w:rFonts w:ascii="Arial" w:cs="Arial" w:eastAsia="Arial" w:hAnsi="Arial"/>
          <w:sz w:val="17"/>
          <w:szCs w:val="17"/>
          <w:color w:val="auto"/>
        </w:rPr>
        <w:t>As of June 30, 2017, the Company had cash and cash equivalents of $85.5 million. The Company’s condensed consolidated balance sheets also include long-term debt from royalty-bearing instrument and exchangeable senior notes. In January 2017, the Company issued $30.0 million in aggregate principal amount of January 2017 3.5% exchangeable senior notes due 2047, or the 2017 Notes. The terms of the 2017 Notes are such that they may be redeemed by the Company for cash on or after January 19, 2021 and may be put back to the Company by the holders on January 19, 2022 for cash equal to 100% of the principal amount plus any accrued and unpaid interest. The 2017 Notes are exchangeable into ADSs at the option of holders at any time after issuance and prior to maturity and are exchangeable into ADSs at the option of the Company upon satisfaction of certain equity conditions. Accordingly, the exchangeable senior notes do not represent a short-term claim on the liquid assets of the Company as of June 30, 2017. The terms of the Company’s January 2012 3.5% exchangeable senior notes due 2032, or the 2012 Notes, which were repaid in full during the first quarter of 2017, allowed for repurchase in cash by the Company at the option of the holders on January 19, 2017, as well as redemption by the Company for cash of all or part of the 2012 Notes on or after January 19, 2017, both at a price equal to 100% of the principal amount of the 2012 Notes to be repurchased or redeemed, plus accrued and unpaid interest to, but excluding, the repurchase or redemption date. Accordingly, $15.1 million in principal amount of 2012 Notes represented a short-term claim on the liquid assets of the Company as of December 31, 2016.</w:t>
      </w:r>
    </w:p>
    <w:p>
      <w:pPr>
        <w:spacing w:after="0" w:line="18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believes its cash and cash equivalents will be sufficient to fund its projected operations through the results of the REDUCE-IT study, which we anticipate will be available in the second or third quarter of 2018. Depending on the level of cash generated from operations, additional capital may be required to sustain operations, fund debt obligations or expand promotion of Vascepa as contemplated following anticipated successful results of the REDUCE-IT study. The Company anticipates that quarterly net cash outflows in future periods will be variable.</w:t>
      </w:r>
    </w:p>
    <w:p>
      <w:pPr>
        <w:spacing w:after="0" w:line="276" w:lineRule="exact"/>
        <w:rPr>
          <w:sz w:val="20"/>
          <w:szCs w:val="20"/>
          <w:color w:val="auto"/>
        </w:rPr>
      </w:pPr>
    </w:p>
    <w:p>
      <w:pPr>
        <w:ind w:left="520" w:right="8480" w:hanging="512"/>
        <w:spacing w:after="0" w:line="453" w:lineRule="auto"/>
        <w:tabs>
          <w:tab w:leader="none" w:pos="515"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u w:val="single" w:color="auto"/>
          <w:color w:val="auto"/>
        </w:rPr>
        <w:t>Principles of Consolidation</w:t>
      </w:r>
    </w:p>
    <w:p>
      <w:pPr>
        <w:spacing w:after="0" w:line="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accounts and transactions have been eliminated in consolidation.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Accounting estimates are based on historical experience and other factors that are considered reasonable under the circumstances. Estimates are used in determining such items as provisions for sales returns, rebates and incentives, chargebacks, and other sales allowances; depreciable/amortizable lives; asset impairments; valuation allowance on deferred taxes; probabilities of achievement of performance conditions for certain equity awards; amounts recorded for licensing revenue; contingencies and accruals; and valuations of derivative and long-term debt instruments. Because of the uncertainties inherent in such estimates, actual results may differ from these estimates. Management periodically evaluates estimates used in the preparation of the condensed consolidated financial statements for continued reasonableness.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Use of Forecasted Financial Information in Accounting Estimates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use of forecasted financial information is inherent in many of the Company’s accounting estimates including, but not limited to, determining the estimated fair values of derivatives, debt instruments and intangible assets, evaluating the need for valuation allowances for deferred tax assets, and assessing the Company’s ability to continue as a going concern.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Patients are required to have a prescription in order to purchase Vascepa. In accordance with GAAP, the Company’s revenue recognition policy requires that:</w:t>
      </w:r>
    </w:p>
    <w:p>
      <w:pPr>
        <w:ind w:right="740" w:firstLine="8"/>
        <w:spacing w:after="0" w:line="261"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is persuasive evidence that an arrangement exists between the Company and the Distributor, (ii) delivery has occurred, (iii) collectability is reasonably assured and (iv) the price is fixed or determinable.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 w:name="page9"/>
    <w:bookmarkEnd w:id="8"/>
    <w:p>
      <w:pPr>
        <w:ind w:right="180"/>
        <w:spacing w:after="0" w:line="284" w:lineRule="auto"/>
        <w:rPr>
          <w:sz w:val="20"/>
          <w:szCs w:val="20"/>
          <w:color w:val="auto"/>
        </w:rPr>
      </w:pPr>
      <w:r>
        <w:rPr>
          <w:rFonts w:ascii="Arial" w:cs="Arial" w:eastAsia="Arial" w:hAnsi="Arial"/>
          <w:sz w:val="16"/>
          <w:szCs w:val="16"/>
          <w:color w:val="auto"/>
        </w:rPr>
        <w:t>The Company has contracts with its primary Distributors and delivery generally occurs when a Distributor receives Vascepa. The Company evaluates the creditworthiness of each of its Distributors to determine whether revenues can be recognized upon delivery, subject to satisfaction of the other requirements, or whether recognition is required to be delayed until receipt of payment. In order to conclude that the price is fixed or determinable, the Company must be able to (i) calculate its gross product revenues from the sales to Distributors and (ii) reasonably estimate its net product revenues. The Company calculates gross product revenues generally based on the wholesale acquisition cost that the Company charges its Distributors for Vascepa. The Company estimates its net product revenues by deducting from its gross product revenues (a) trade allowances, such as invoice discounts for prompt payment and distributor fees,</w:t>
      </w:r>
    </w:p>
    <w:p>
      <w:pPr>
        <w:spacing w:after="0" w:line="5" w:lineRule="exact"/>
        <w:rPr>
          <w:sz w:val="20"/>
          <w:szCs w:val="20"/>
          <w:color w:val="auto"/>
        </w:rPr>
      </w:pPr>
    </w:p>
    <w:p>
      <w:pPr>
        <w:ind w:right="180" w:firstLine="8"/>
        <w:spacing w:after="0" w:line="261"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government and private payor rebates, chargebacks and discounts, such as Medicaid reimbursements, (c) reserves for expected product returns and (d) estimated costs of incentives offered to certain indirect customers, including patients.</w:t>
      </w:r>
    </w:p>
    <w:p>
      <w:pPr>
        <w:spacing w:after="0" w:line="76" w:lineRule="exact"/>
        <w:rPr>
          <w:sz w:val="20"/>
          <w:szCs w:val="20"/>
          <w:color w:val="auto"/>
        </w:rPr>
      </w:pPr>
    </w:p>
    <w:p>
      <w:pPr>
        <w:ind w:left="520" w:right="80" w:firstLine="495"/>
        <w:spacing w:after="0" w:line="276" w:lineRule="auto"/>
        <w:rPr>
          <w:sz w:val="20"/>
          <w:szCs w:val="20"/>
          <w:color w:val="auto"/>
        </w:rPr>
      </w:pPr>
      <w:r>
        <w:rPr>
          <w:rFonts w:ascii="Arial" w:cs="Arial" w:eastAsia="Arial" w:hAnsi="Arial"/>
          <w:sz w:val="17"/>
          <w:szCs w:val="17"/>
          <w:i w:val="1"/>
          <w:iCs w:val="1"/>
          <w:color w:val="auto"/>
        </w:rPr>
        <w:t xml:space="preserve">Trade Allowances: </w:t>
      </w:r>
      <w:r>
        <w:rPr>
          <w:rFonts w:ascii="Arial" w:cs="Arial" w:eastAsia="Arial" w:hAnsi="Arial"/>
          <w:sz w:val="17"/>
          <w:szCs w:val="17"/>
          <w:color w:val="auto"/>
        </w:rPr>
        <w:t>The Company generally provides invoice discounts on Vascepa sales to its Distributors for prompt payment and pays fees</w:t>
      </w:r>
      <w:r>
        <w:rPr>
          <w:rFonts w:ascii="Arial" w:cs="Arial" w:eastAsia="Arial" w:hAnsi="Arial"/>
          <w:sz w:val="17"/>
          <w:szCs w:val="17"/>
          <w:i w:val="1"/>
          <w:iCs w:val="1"/>
          <w:color w:val="auto"/>
        </w:rPr>
        <w:t xml:space="preserve"> </w:t>
      </w:r>
      <w:r>
        <w:rPr>
          <w:rFonts w:ascii="Arial" w:cs="Arial" w:eastAsia="Arial" w:hAnsi="Arial"/>
          <w:sz w:val="17"/>
          <w:szCs w:val="17"/>
          <w:color w:val="auto"/>
        </w:rPr>
        <w:t>for distribution services, such as fees for certain data that Distributors provide to the Company. The payment terms for sales to Distributors generally include a 2% discount for prompt payment while the fees for distribution services are based on contractual rates agreed with the respective Distributors. Based on judgment and experience, the Company expects its Distributors to earn these discounts and fees, and deducts the full amount of these discounts and fees from its gross product revenues and accounts receivable at the time such revenues are recognized.</w:t>
      </w:r>
    </w:p>
    <w:p>
      <w:pPr>
        <w:spacing w:after="0" w:line="64" w:lineRule="exact"/>
        <w:rPr>
          <w:sz w:val="20"/>
          <w:szCs w:val="20"/>
          <w:color w:val="auto"/>
        </w:rPr>
      </w:pPr>
    </w:p>
    <w:p>
      <w:pPr>
        <w:ind w:left="520" w:right="20" w:firstLine="495"/>
        <w:spacing w:after="0" w:line="255" w:lineRule="auto"/>
        <w:rPr>
          <w:sz w:val="20"/>
          <w:szCs w:val="20"/>
          <w:color w:val="auto"/>
        </w:rPr>
      </w:pPr>
      <w:r>
        <w:rPr>
          <w:rFonts w:ascii="Arial" w:cs="Arial" w:eastAsia="Arial" w:hAnsi="Arial"/>
          <w:sz w:val="18"/>
          <w:szCs w:val="18"/>
          <w:i w:val="1"/>
          <w:iCs w:val="1"/>
          <w:color w:val="auto"/>
        </w:rPr>
        <w:t xml:space="preserve">Rebates, Chargebacks and Discounts: </w:t>
      </w:r>
      <w:r>
        <w:rPr>
          <w:rFonts w:ascii="Arial" w:cs="Arial" w:eastAsia="Arial" w:hAnsi="Arial"/>
          <w:sz w:val="18"/>
          <w:szCs w:val="18"/>
          <w:color w:val="auto"/>
        </w:rPr>
        <w:t>The Company contracts with Medicaid, other government agencies and various private organizations,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w:t>
      </w:r>
    </w:p>
    <w:p>
      <w:pPr>
        <w:spacing w:after="0" w:line="81" w:lineRule="exact"/>
        <w:rPr>
          <w:sz w:val="20"/>
          <w:szCs w:val="20"/>
          <w:color w:val="auto"/>
        </w:rPr>
      </w:pPr>
    </w:p>
    <w:p>
      <w:pPr>
        <w:ind w:left="520" w:right="100" w:firstLine="495"/>
        <w:spacing w:after="0" w:line="270"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The Company’s Distributors have the right to return unopened unprescribed Vascepa during the 18-month period beginning</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prior to the labeled expiration date and ending twelve months after the labeled expiration date. The expiration date for Vascepa is three years after it has been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w:t>
      </w:r>
    </w:p>
    <w:p>
      <w:pPr>
        <w:spacing w:after="0" w:line="70" w:lineRule="exact"/>
        <w:rPr>
          <w:sz w:val="20"/>
          <w:szCs w:val="20"/>
          <w:color w:val="auto"/>
        </w:rPr>
      </w:pPr>
    </w:p>
    <w:p>
      <w:pPr>
        <w:ind w:left="520" w:right="40" w:firstLine="495"/>
        <w:spacing w:after="0" w:line="271" w:lineRule="auto"/>
        <w:rPr>
          <w:sz w:val="20"/>
          <w:szCs w:val="20"/>
          <w:color w:val="auto"/>
        </w:rPr>
      </w:pPr>
      <w:r>
        <w:rPr>
          <w:rFonts w:ascii="Arial" w:cs="Arial" w:eastAsia="Arial" w:hAnsi="Arial"/>
          <w:sz w:val="17"/>
          <w:szCs w:val="17"/>
          <w:i w:val="1"/>
          <w:iCs w:val="1"/>
          <w:color w:val="auto"/>
        </w:rPr>
        <w:t xml:space="preserve">Other Incentives: </w:t>
      </w:r>
      <w:r>
        <w:rPr>
          <w:rFonts w:ascii="Arial" w:cs="Arial" w:eastAsia="Arial" w:hAnsi="Arial"/>
          <w:sz w:val="17"/>
          <w:szCs w:val="17"/>
          <w:color w:val="auto"/>
        </w:rPr>
        <w:t>Other incentives that the Company offers to indirect customers include co-pay mitigation rebates provided by the Company to</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and deducts these estimated amounts from its gross product revenues at the time the revenues are recognized. The Company adjusts its accruals for co-pay mitigation rebates based on actual redemption activity and estimates regarding the portion of issued co-pay mitigation rebates that it estimates will be redeemed.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activity in each of the net product revenue allowance and reserve categories described above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Trade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Rebates,</w:t>
            </w:r>
          </w:p>
        </w:tc>
        <w:tc>
          <w:tcPr>
            <w:tcW w:w="160" w:type="dxa"/>
            <w:vAlign w:val="bottom"/>
          </w:tcPr>
          <w:p>
            <w:pPr>
              <w:spacing w:after="0"/>
              <w:rPr>
                <w:sz w:val="14"/>
                <w:szCs w:val="14"/>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14"/>
                <w:szCs w:val="14"/>
                <w:color w:val="auto"/>
              </w:rPr>
            </w:pPr>
          </w:p>
        </w:tc>
        <w:tc>
          <w:tcPr>
            <w:tcW w:w="11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Allowances</w:t>
            </w:r>
          </w:p>
        </w:tc>
        <w:tc>
          <w:tcPr>
            <w:tcW w:w="10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and Discounts</w:t>
            </w:r>
          </w:p>
        </w:tc>
        <w:tc>
          <w:tcPr>
            <w:tcW w:w="16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Incentives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2016</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3,743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20,915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1,681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27,198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Provision related to current period sales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53,078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6,768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76,790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related to prior period sales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(841)</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Credits/payments made for current period sales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(5,496)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(34,771)</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(4,922)</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(45,210)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Credits/payments made for prior period sales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(3,107)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(16,722)</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(1,770)</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 as of June 30,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21,659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454"/>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Trade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Rebates,</w:t>
            </w:r>
          </w:p>
        </w:tc>
        <w:tc>
          <w:tcPr>
            <w:tcW w:w="160" w:type="dxa"/>
            <w:vAlign w:val="bottom"/>
          </w:tcPr>
          <w:p>
            <w:pPr>
              <w:spacing w:after="0"/>
              <w:rPr>
                <w:sz w:val="14"/>
                <w:szCs w:val="14"/>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14"/>
                <w:szCs w:val="14"/>
                <w:color w:val="auto"/>
              </w:rPr>
            </w:pPr>
          </w:p>
        </w:tc>
        <w:tc>
          <w:tcPr>
            <w:tcW w:w="11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Allowances</w:t>
            </w:r>
          </w:p>
        </w:tc>
        <w:tc>
          <w:tcPr>
            <w:tcW w:w="10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and Discounts</w:t>
            </w:r>
          </w:p>
        </w:tc>
        <w:tc>
          <w:tcPr>
            <w:tcW w:w="16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Incentives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2015</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4,296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9,881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1,084</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15,796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Provision related to current period sales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28,945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related to prior period sales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(466)</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Credits/payments made for current period sales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(6,415)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(10,750)</w:t>
            </w: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(2,910)</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(20,075)</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Credits/payments made for prior period sales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(4,180)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(8,497)</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(1,284)</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(14,187)</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 as of June 30, 2016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19,113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2,504</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below.</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Multiple-Element Arrangements and Licensing Revenue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When evaluating multiple-element arrangements, the Company identifies the deliverables included within the agreement and evaluates which deliverables represent separate units of accounting based on whether the delivered element has stand-alone value to the customer or if the arrangement includes a general right of return for delivered items.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consideration received is allocated between each of the separable elements in the arrangement using the relative selling price method. The selling price used for each separable element will be based on vendor specific objective evidence (“VSOE”) if available, third-party evidence if VSOE is not available, or estimated selling price if neither VSOE nor third-party evidence is available. Revenue is then recognized as each of the separable elements to which the revenue has been allocated is delivered.</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may receive up-front, non-refundable payments when licensing its intellectual property in conjunction with research, development and commercialization agreements. In determining the units of accounting, management evaluates whether the license has stand-alone value from the undelivered elements to the collaborative partner based 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 of the Company.</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When management believes the license to its intellectual property does not have stand-alone value from the other deliverables to be provided in the arrangement, the Company generally recognizes revenue attributable to the license over the Company’s contractual or estimated performance period. Any unrecognized portion of license revenue is classified within deferred revenue in the accompanying condensed consolidated balance sheets. When management believes the license to its intellectual property has stand-alone value, the Company recognizes revenue attributed to the license upon delivery. The periods over which revenue is recognized is subject to estimates by management and may change over the course of the agreement. Such a change could have a material impact on the amount of revenue the Company records in future periods.</w:t>
      </w:r>
    </w:p>
    <w:p>
      <w:pPr>
        <w:spacing w:after="0" w:line="28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Milestones</w:t>
      </w:r>
    </w:p>
    <w:p>
      <w:pPr>
        <w:spacing w:after="0" w:line="117"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Contingent consideration from activities that is earned upon the achievement of a substantive milestone is recognized in its entirety in the period in which the milestone is achieved. At the inception of each arrangement that includes milestone payments, the Company evaluates whether each milestone is substantive. This evaluation includes an assessment of whether: (a) the consideration is commensurate with either (1) the entity’s performance to achieve the milestone, or</w:t>
      </w: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enhancement of the value of the delivered item(s) as a result of a specific outcome resulting from the entity’s performance to achieve the milestone,</w:t>
      </w:r>
    </w:p>
    <w:p>
      <w:pPr>
        <w:spacing w:after="0" w:line="32" w:lineRule="exact"/>
        <w:rPr>
          <w:rFonts w:ascii="Arial" w:cs="Arial" w:eastAsia="Arial" w:hAnsi="Arial"/>
          <w:sz w:val="16"/>
          <w:szCs w:val="16"/>
          <w:color w:val="auto"/>
        </w:rPr>
      </w:pPr>
    </w:p>
    <w:p>
      <w:pPr>
        <w:ind w:right="100"/>
        <w:spacing w:after="0" w:line="254" w:lineRule="auto"/>
        <w:rPr>
          <w:rFonts w:ascii="Arial" w:cs="Arial" w:eastAsia="Arial" w:hAnsi="Arial"/>
          <w:sz w:val="16"/>
          <w:szCs w:val="16"/>
          <w:color w:val="auto"/>
        </w:rPr>
      </w:pPr>
      <w:r>
        <w:rPr>
          <w:rFonts w:ascii="Arial" w:cs="Arial" w:eastAsia="Arial" w:hAnsi="Arial"/>
          <w:sz w:val="18"/>
          <w:szCs w:val="18"/>
          <w:color w:val="auto"/>
        </w:rPr>
        <w:t>(b) the consideration relates solely to past performance and (c) the consideration is reasonable relative to all of the deliverables and payment terms within the arrangement. The Company evaluates factors such as the scientific, clinical, regulatory, commercial and other risks that must be overcome to achieve the respective milestone, the level of effort and investment required and whether the milestone consideration is reasonable relative to all deliverables and payment terms in the arrangement in making this assessment.</w:t>
      </w:r>
    </w:p>
    <w:p>
      <w:pPr>
        <w:spacing w:after="0" w:line="1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Note 9—Development, Commercialization and Supply Agreements for further information regarding licensing revenue and milestones primarily related to the Company’s multiple-element arrangement with Eddingpharm (Asia) Macao Commercial Offshore Limited.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i w:val="1"/>
          <w:iCs w:val="1"/>
          <w:u w:val="single" w:color="auto"/>
          <w:color w:val="auto"/>
        </w:rPr>
        <w:t>Distribution Costs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records distribution costs related to shipping product to its customers, primarily through the use of common carriers or external distribution services, in cost of goods sold.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Cash and Cash Equivalents and Restricted Cash</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credit losses.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of accounts receivable reserves on the gross trade accounts receivable balances as of June 30,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June 30, 2017</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trade accounts receivable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48,367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Trade allowances</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(10,527)</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(3,743)</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Chargebacks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37,475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Property, Plant and Equipment</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provides for depreciation and amortization using the straight-line method by charges to operations in amounts that depreciate the cost of the fixed asset over its estimated useful life. The estimated useful lives, by asset classification, are as follows:</w:t>
      </w:r>
    </w:p>
    <w:p>
      <w:pPr>
        <w:spacing w:after="0" w:line="176" w:lineRule="exact"/>
        <w:rPr>
          <w:sz w:val="20"/>
          <w:szCs w:val="20"/>
          <w:color w:val="auto"/>
        </w:rPr>
      </w:pPr>
    </w:p>
    <w:tbl>
      <w:tblPr>
        <w:tblLayout w:type="fixed"/>
        <w:tblInd w:w="1280" w:type="dxa"/>
        <w:tblCellMar>
          <w:top w:w="0" w:type="dxa"/>
          <w:left w:w="0" w:type="dxa"/>
          <w:bottom w:w="0" w:type="dxa"/>
          <w:right w:w="0" w:type="dxa"/>
        </w:tblCellMar>
      </w:tblPr>
      <w:tr>
        <w:trPr>
          <w:trHeight w:val="17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Asset Classification</w:t>
            </w: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89"/>
              </w:rPr>
              <w:t>Useful Lives</w:t>
            </w:r>
          </w:p>
        </w:tc>
      </w:tr>
      <w:tr>
        <w:trPr>
          <w:trHeight w:val="223"/>
        </w:trPr>
        <w:tc>
          <w:tcPr>
            <w:tcW w:w="5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80" w:type="dxa"/>
            <w:vAlign w:val="bottom"/>
            <w:tcBorders>
              <w:top w:val="single" w:sz="8" w:color="CFF0FC"/>
            </w:tcBorders>
            <w:shd w:val="clear" w:color="auto" w:fill="CFF0FC"/>
          </w:tcPr>
          <w:p>
            <w:pPr>
              <w:spacing w:after="0"/>
              <w:rPr>
                <w:sz w:val="19"/>
                <w:szCs w:val="19"/>
                <w:color w:val="auto"/>
              </w:rPr>
            </w:pPr>
          </w:p>
        </w:tc>
        <w:tc>
          <w:tcPr>
            <w:tcW w:w="3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3 - 5 years</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340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30"/>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Lesser of useful life or lease term</w:t>
            </w:r>
          </w:p>
        </w:tc>
      </w:tr>
    </w:tbl>
    <w:p>
      <w:pPr>
        <w:spacing w:after="0" w:line="229" w:lineRule="exact"/>
        <w:rPr>
          <w:sz w:val="20"/>
          <w:szCs w:val="20"/>
          <w:color w:val="auto"/>
        </w:rPr>
      </w:pPr>
    </w:p>
    <w:p>
      <w:pPr>
        <w:ind w:right="460" w:firstLine="518"/>
        <w:spacing w:after="0" w:line="381" w:lineRule="auto"/>
        <w:rPr>
          <w:sz w:val="20"/>
          <w:szCs w:val="20"/>
          <w:color w:val="auto"/>
        </w:rPr>
      </w:pPr>
      <w:r>
        <w:rPr>
          <w:rFonts w:ascii="Arial" w:cs="Arial" w:eastAsia="Arial" w:hAnsi="Arial"/>
          <w:sz w:val="15"/>
          <w:szCs w:val="15"/>
          <w:color w:val="auto"/>
        </w:rPr>
        <w:t>Upon retirement or sale of assets, the cost of the assets disposed and the related accumulated depreciation are removed from the condensed consolidated balance sheet and any resulting gain or loss is credited or expensed to operations. Repairs and maintenance costs are expensed as incurred.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u w:val="single" w:color="auto"/>
          <w:color w:val="auto"/>
        </w:rPr>
        <w:t>Long-Lived Asset Impairment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11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Intangible asset, net consists of a milestone payment paid to the former shareholders of Laxdale Limited related to the 2004 acquisition of the rights to Vascepa, which is the result of Vascepa receiving marketing approval for the first indication and is amortized over its estimated useful life on a straight-line basis. See Note 6—Commitments and Contingencies for further information regarding other obligations related to the acquisition of Laxdale Limited.</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Costs for Patent Litigation and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Costs for patent litigation or other legal proceedings are expensed as incurred and included in selling, general and administrative expenses.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charges selling, general and administrative costs to operations as incurred. Selling, general and administrative costs include salaries and benefits, stock-based compensation expense, and costs of programs and infrastructure necessary for the general conduct of the Company’s business, including those incurred as a result of the commercialization of Vascepa in the United States as well as co-promotion fees accrued under the agreement with Kowa Pharmaceuticals America, Inc.</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regularly assesses its ability to realize deferred tax assets. Changes in historical earnings performance and future earnings projections, among other factors, may cause the Company to adjust its valuation allowance on deferred tax assets, which would impact the Company’s income tax expense in the period in which it is determined that these factors have changed.</w:t>
      </w:r>
    </w:p>
    <w:p>
      <w:pPr>
        <w:spacing w:after="0" w:line="18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Excess tax benefits and deficiencies that arise upon vesting or exercise of share-based payments are recognized as an income tax benefit and expense, respectively, in the condensed consolidated statement of operations. Excess income tax benefits and deficiencies are classified in cash flows from operating activities and cash paid to taxing authorities arising from the withholding of shares from employees are classified as cash flows from financing activities.</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and its subsidiaries’ income tax returns are periodically examined by various tax authorities. The Company is currently under audit by the United States Internal Revenue Service (IRS) for the years 2013 to 2014. Although the outcome of tax</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2" w:name="page13"/>
    <w:bookmarkEnd w:id="12"/>
    <w:p>
      <w:pPr>
        <w:ind w:right="240"/>
        <w:spacing w:after="0" w:line="277" w:lineRule="auto"/>
        <w:rPr>
          <w:sz w:val="20"/>
          <w:szCs w:val="20"/>
          <w:color w:val="auto"/>
        </w:rPr>
      </w:pPr>
      <w:r>
        <w:rPr>
          <w:rFonts w:ascii="Arial" w:cs="Arial" w:eastAsia="Arial" w:hAnsi="Arial"/>
          <w:sz w:val="18"/>
          <w:szCs w:val="18"/>
          <w:color w:val="auto"/>
        </w:rPr>
        <w:t>audits is always uncertain and could result in significant cash tax payments, the Company does not believe the outcome of these audits will have a material adverse effect on its consolidated financial position or results of operations.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Derivative financial liabilities are recorded at fair value, with gains and losses arising for changes in fair value recognized in the condensed consolidated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Long-term debt redemption features are valued using probability-weighted models incorporating management estimates for potential change in control, and by determining the fair value of the debt with and without the change in control provision included.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 However, in certain periods in which there is a gain recorded pursuant to the change in fair value of the warrant derivative liability, for diluted net loss per share purposes, the impact of such gains is reversed and the treasury stock method is used to determine diluted net loss per share.</w:t>
      </w:r>
    </w:p>
    <w:p>
      <w:pPr>
        <w:spacing w:after="0" w:line="189"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1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calculation of net loss and the number of shares used to compute basic and diluted net loss per share for the three and six months ended June 30, 2017 and 2016 are as follows:</w:t>
      </w:r>
    </w:p>
    <w:p>
      <w:pPr>
        <w:spacing w:after="0" w:line="176" w:lineRule="exact"/>
        <w:rPr>
          <w:sz w:val="20"/>
          <w:szCs w:val="20"/>
          <w:color w:val="auto"/>
        </w:rPr>
      </w:pPr>
    </w:p>
    <w:tbl>
      <w:tblPr>
        <w:tblLayout w:type="fixed"/>
        <w:tblInd w:w="1180" w:type="dxa"/>
        <w:tblCellMar>
          <w:top w:w="0" w:type="dxa"/>
          <w:left w:w="0" w:type="dxa"/>
          <w:bottom w:w="0" w:type="dxa"/>
          <w:right w:w="0" w:type="dxa"/>
        </w:tblCellMar>
      </w:tblPr>
      <w:tr>
        <w:trPr>
          <w:trHeight w:val="171"/>
        </w:trPr>
        <w:tc>
          <w:tcPr>
            <w:tcW w:w="38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5"/>
              </w:rPr>
              <w:t>Three months ended June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56"/>
        </w:trPr>
        <w:tc>
          <w:tcPr>
            <w:tcW w:w="380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Net loss—basic and diluted</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8"/>
                <w:szCs w:val="18"/>
                <w:color w:val="auto"/>
                <w:w w:val="94"/>
              </w:rPr>
              <w:t>Weighted average shares outstanding—basic and</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270,725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184,471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270,445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184,262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share—basic and diluted</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(0.05)</w:t>
            </w:r>
          </w:p>
        </w:tc>
        <w:tc>
          <w:tcPr>
            <w:tcW w:w="3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(0.07)</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(0.13)</w:t>
            </w:r>
          </w:p>
        </w:tc>
        <w:tc>
          <w:tcPr>
            <w:tcW w:w="3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three and six months ended June 30, 2017 and 2016, the following potentially dilutive securities were not included in the computation of net loss per share because the effect would be anti-dilutive:</w:t>
      </w:r>
    </w:p>
    <w:p>
      <w:pPr>
        <w:spacing w:after="0" w:line="176" w:lineRule="exact"/>
        <w:rPr>
          <w:sz w:val="20"/>
          <w:szCs w:val="20"/>
          <w:color w:val="auto"/>
        </w:rPr>
      </w:pPr>
    </w:p>
    <w:tbl>
      <w:tblPr>
        <w:tblLayout w:type="fixed"/>
        <w:tblInd w:w="1200" w:type="dxa"/>
        <w:tblCellMar>
          <w:top w:w="0" w:type="dxa"/>
          <w:left w:w="0" w:type="dxa"/>
          <w:bottom w:w="0" w:type="dxa"/>
          <w:right w:w="0" w:type="dxa"/>
        </w:tblCellMar>
      </w:tblPr>
      <w:tr>
        <w:trPr>
          <w:trHeight w:val="171"/>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2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2380" w:type="dxa"/>
            <w:vAlign w:val="bottom"/>
            <w:gridSpan w:val="4"/>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040" w:type="dxa"/>
            <w:vAlign w:val="bottom"/>
            <w:gridSpan w:val="2"/>
            <w:vMerge w:val="continue"/>
          </w:tcPr>
          <w:p>
            <w:pPr>
              <w:spacing w:after="0"/>
              <w:rPr>
                <w:sz w:val="13"/>
                <w:szCs w:val="13"/>
                <w:color w:val="auto"/>
              </w:rPr>
            </w:pPr>
          </w:p>
        </w:tc>
        <w:tc>
          <w:tcPr>
            <w:tcW w:w="108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23,710</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20,641</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23,710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and restricted 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12,102</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10,361</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12,102</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Exchangeable senior notes (if converted)</w:t>
            </w:r>
          </w:p>
        </w:tc>
        <w:tc>
          <w:tcPr>
            <w:tcW w:w="1080" w:type="dxa"/>
            <w:vAlign w:val="bottom"/>
          </w:tcPr>
          <w:p>
            <w:pPr>
              <w:jc w:val="right"/>
              <w:spacing w:after="0"/>
              <w:rPr>
                <w:sz w:val="20"/>
                <w:szCs w:val="20"/>
                <w:color w:val="auto"/>
              </w:rPr>
            </w:pPr>
            <w:r>
              <w:rPr>
                <w:rFonts w:ascii="Arial" w:cs="Arial" w:eastAsia="Arial" w:hAnsi="Arial"/>
                <w:sz w:val="18"/>
                <w:szCs w:val="18"/>
                <w:color w:val="auto"/>
              </w:rPr>
              <w:t>7,716</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59,407</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7,716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59,407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(if converted)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32,818</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32,818</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32,818</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Debt instruments are initially recorded at fair value, with coupon interest and amortization of debt issuance discounts recognized in the condensed consolidated statement of operations as interest expense each period in which such instruments are outstanding. If the Company issues shares to discharge the liability, the debt obligation is derecognized and common stock and additional paid-in capital are recognized on the issuance of those shares.</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2012 Notes could be settled in any combination of ADSs or cash, at the Company’s discretion, upon conversion and were therefore accounted for in accordance with ASC 470-20. Under ASC 470-20, the fair value of the liability component of the 2012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spacing w:after="0" w:line="271" w:lineRule="auto"/>
        <w:rPr>
          <w:sz w:val="20"/>
          <w:szCs w:val="20"/>
          <w:color w:val="auto"/>
        </w:rPr>
      </w:pPr>
      <w:r>
        <w:rPr>
          <w:rFonts w:ascii="Arial" w:cs="Arial" w:eastAsia="Arial" w:hAnsi="Arial"/>
          <w:sz w:val="17"/>
          <w:szCs w:val="17"/>
          <w:color w:val="auto"/>
        </w:rPr>
        <w:t>Notes was determined and deducted from the initial proceeds to determine the proceeds allocated to the conversion option, which was recorded in equity. The difference between the initial fair value of the liability component and the amount repayable was fully amortized over the expected term of the instrument. The conversion feature in the 2012 Notes qualified for the exception from derivative accounting in accordance with ASC 815-40. The terms of the 2012 Notes also allowed for repurchase in cash by the Company at the option of the holders as well as redemption by the Company for cash at specified times. Consequently, in January 2017, holders of the 2012 Notes exercised their option to put approximately $15.0 million in aggregate principal amount of 2012 Notes to the Company for cash and, in March 2017, the Company redeemed the entirety of the remaining $0.1 million in aggregate principal amount of 2012 Notes, such that no 2012 Notes remained outstanding as of June 30, 2017. The carrying value of the conversion option will remain in equity hereafter as a result of the repayment in full of the related debt instrument.</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2017 Notes can only be settled in ADSs upon conversion and are therefore accounted for as part of the debt host. The terms of the 2017 Notes also allow for repurchase in cash by the Company at the option of the holders as well as redemption by the Company for cash at specified times. The conversion feature in the 2017 Notes qualifies for the exception from derivative accounting in accordance with ASC 815-40. The conversion feature in the 2017 Notes will continue to be evaluated on a quarterly basis to determine if it still receives an exception from derivative accounting in accordance with ASC 815-40. The 2017 Notes were recognized at par of $30.0 million. The Company also recognized a $1.2 million discount related to placement agent fees and offering expenses. This discount is being amortized through interest expense over the expected term of the 2017 Notes, through the first optional put date in January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Note 5—Debt for full discussion of the 2012 Notes and 2017 Notes.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Stock-based compensation cost is generally measured at the grant date, based on the fair value of the award, and is recognized as compensation expense over the requisite service period. For awards with performance conditions, if the achievement of the performance conditions is deemed probable, the Company recognizes compensation expense based on the fair value of the award over the estimated service period. The Company reassesses the probability of achievement of the performance conditions for such awards each reporting period.</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The Company’s top three customers accounted for 92% and 95% of gross product sales for the six months ended June 30, 2017 and 2016, respectively, and represented 86% and 94% of the gross accounts receivable balance as of June 30, 2017 and 2016, respectively. The Company has not experienced any write-offs of its accounts receivable.</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has contractual freedom to source the API for Vascepa and has entered into supply agreements with multiple suppliers. The Company’s supply of product for commercial sale and clinical trials is dependent upon relationships with third-party manufacturers and key suppliers.</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termination of the Company’s current supply chain or its failure to enter into new and similar agreements in a timely fashion, if needed, could have a material adverse effect on its business, condition (financial and other), prospects or results of operations.</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currently has manufacturing agreements with three FDA-approved commercial API manufacturers and encapsulators for Vascepa manufacturing. Each of these companies has qualified its manufacturing processes and is capable of manufacturing Vascepa. There can be no guarantee that these or other suppliers with which the Company may contract in the future to encapsulate API will remain qualified to manufacture the product to its specifications or that these and any future suppliers will have the manufacturing capacity to meet anticipated demand for Vascepa.</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1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All subsidiaries use the U.S. dollar as the functional currency. Monetary assets and liabilities denominated in a foreign currency are remeasured into U.S. dollars at period-end exchange rates. Gains and losses from the remeasurement are included in other income (expense), net in the condensed consolidated statements of operations. For transactions settled during the applicable period, gains and losses are included in other income (expense), net in the condensed consolidated statements of operations. Certain amounts payable pursuant to supply contracts are denominated in currencies other than the U.S. dollar.</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11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Company records debt issuance costs related to a recognized debt liability in the condensed consolidated balance sheet as a direct deduction from the carrying amount of that debt liability and amortizes such costs to interest expense using the effective interest method over the expected term of the related debt. Unamortized debt issuance costs related to the extinguishment of debt are expensed at the time the debt is extinguished and recorded in other income (expense), net in the condensed consolidated statements of operations.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following tables present information about the Company’s assets and liabilities as of June 30, 2017 and December 31, 2016 that are measured at fair value on a recurring basis and indicate the fair value hierarchy of the valuation techniques the Company utilized to determine such fair value: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gridSpan w:val="2"/>
            <w:vMerge w:val="restart"/>
          </w:tcPr>
          <w:p>
            <w:pPr>
              <w:ind w:left="580"/>
              <w:spacing w:after="0"/>
              <w:rPr>
                <w:sz w:val="20"/>
                <w:szCs w:val="20"/>
                <w:color w:val="auto"/>
              </w:rPr>
            </w:pPr>
            <w:r>
              <w:rPr>
                <w:rFonts w:ascii="Arial" w:cs="Arial" w:eastAsia="Arial" w:hAnsi="Arial"/>
                <w:sz w:val="14"/>
                <w:szCs w:val="14"/>
                <w:b w:val="1"/>
                <w:bCs w:val="1"/>
                <w:i w:val="1"/>
                <w:iCs w:val="1"/>
                <w:color w:val="auto"/>
              </w:rPr>
              <w:t>In thousands</w:t>
            </w:r>
          </w:p>
        </w:tc>
        <w:tc>
          <w:tcPr>
            <w:tcW w:w="1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center"/>
              <w:ind w:right="119"/>
              <w:spacing w:after="0"/>
              <w:rPr>
                <w:sz w:val="20"/>
                <w:szCs w:val="20"/>
                <w:color w:val="auto"/>
              </w:rPr>
            </w:pPr>
            <w:r>
              <w:rPr>
                <w:rFonts w:ascii="Arial" w:cs="Arial" w:eastAsia="Arial" w:hAnsi="Arial"/>
                <w:sz w:val="14"/>
                <w:szCs w:val="14"/>
                <w:b w:val="1"/>
                <w:bCs w:val="1"/>
                <w:color w:val="auto"/>
                <w:w w:val="92"/>
              </w:rPr>
              <w:t>June 30, 2017</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gridSpan w:val="2"/>
            <w:vMerge w:val="continue"/>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4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1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9,276</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9,276</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60" w:type="dxa"/>
            <w:vAlign w:val="bottom"/>
            <w:gridSpan w:val="2"/>
            <w:vMerge w:val="restart"/>
          </w:tcPr>
          <w:p>
            <w:pPr>
              <w:ind w:left="580"/>
              <w:spacing w:after="0"/>
              <w:rPr>
                <w:sz w:val="20"/>
                <w:szCs w:val="20"/>
                <w:color w:val="auto"/>
              </w:rPr>
            </w:pPr>
            <w:r>
              <w:rPr>
                <w:rFonts w:ascii="Arial" w:cs="Arial" w:eastAsia="Arial" w:hAnsi="Arial"/>
                <w:sz w:val="14"/>
                <w:szCs w:val="14"/>
                <w:b w:val="1"/>
                <w:bCs w:val="1"/>
                <w:i w:val="1"/>
                <w:iCs w:val="1"/>
                <w:color w:val="auto"/>
              </w:rPr>
              <w:t>In thousands</w:t>
            </w:r>
          </w:p>
        </w:tc>
        <w:tc>
          <w:tcPr>
            <w:tcW w:w="1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center"/>
              <w:ind w:right="119"/>
              <w:spacing w:after="0"/>
              <w:rPr>
                <w:sz w:val="20"/>
                <w:szCs w:val="20"/>
                <w:color w:val="auto"/>
              </w:rPr>
            </w:pPr>
            <w:r>
              <w:rPr>
                <w:rFonts w:ascii="Arial" w:cs="Arial" w:eastAsia="Arial" w:hAnsi="Arial"/>
                <w:sz w:val="14"/>
                <w:szCs w:val="14"/>
                <w:b w:val="1"/>
                <w:bCs w:val="1"/>
                <w:color w:val="auto"/>
                <w:w w:val="91"/>
              </w:rPr>
              <w:t>December 31, 2016</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60" w:type="dxa"/>
            <w:vAlign w:val="bottom"/>
            <w:gridSpan w:val="2"/>
            <w:vMerge w:val="continue"/>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4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1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14,238</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14,238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60" w:type="dxa"/>
            <w:vAlign w:val="bottom"/>
            <w:vMerge w:val="restart"/>
          </w:tcPr>
          <w:p>
            <w:pPr>
              <w:jc w:val="right"/>
              <w:ind w:right="30"/>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5" w:name="page16"/>
    <w:bookmarkEnd w:id="15"/>
    <w:p>
      <w:pPr>
        <w:ind w:right="540"/>
        <w:spacing w:after="0" w:line="308" w:lineRule="auto"/>
        <w:rPr>
          <w:sz w:val="20"/>
          <w:szCs w:val="20"/>
          <w:color w:val="auto"/>
        </w:rPr>
      </w:pPr>
      <w:r>
        <w:rPr>
          <w:rFonts w:ascii="Arial" w:cs="Arial" w:eastAsia="Arial" w:hAnsi="Arial"/>
          <w:sz w:val="17"/>
          <w:szCs w:val="17"/>
          <w:color w:val="auto"/>
        </w:rPr>
        <w:t>The carrying amounts of cash, cash equivalents, accounts payable and accrued liabilities approximate fair value because of their short-term nature. The carrying amounts and the estimated fair values of debt instruments as of June 30, 2017 and December 31, 2016 are as follows: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jc w:val="right"/>
              <w:ind w:right="697"/>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Carrying</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7"/>
              <w:spacing w:after="0" w:line="133" w:lineRule="exact"/>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57"/>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77"/>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57"/>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77"/>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long-term debt from royalty-bearing</w:t>
            </w:r>
          </w:p>
        </w:tc>
        <w:tc>
          <w:tcPr>
            <w:tcW w:w="6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instrument, net of accrued interest</w:t>
            </w:r>
          </w:p>
        </w:tc>
        <w:tc>
          <w:tcPr>
            <w:tcW w:w="8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8,437</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debt from royalty-bearing instrument</w:t>
            </w:r>
          </w:p>
        </w:tc>
        <w:tc>
          <w:tcPr>
            <w:tcW w:w="6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79,283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85,155</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 from royalty-bearing instrument</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94,648</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93,592</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2012 Notes</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2017 Notes</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28,884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estimated fair value of the long-term debt from royalty-bearing instrument pursuant to the December 2012 financing is calculated utilizing the same Level 3 inputs utilized in valuing the related derivative liability (see Derivative Liabilities below). The estimated fair value of the 2017 Notes is calculated based on Level 1 quoted bond prices or, in the absence of quoted bond prices, is calculated using a Level 3 binomial model. The carrying value of the 2012 Notes as of December 31, 2016 does not include a debt discount, as it had been fully amortized as non-cash interest expense over the expected term of the 2012 Notes, which was calculated to be a period of twenty-four months. During the first quarter of 2017, the Company repurchased $15.0 million in aggregate principal amount of 2012 Notes at the option of holders and redeemed the remaining $0.1 million in aggregate principal amount at the Company’s option, such that no 2012 Notes remained outstanding as of June 30, 2017. The carrying value of the 2017 Notes as of June 30, 2017 includes a debt discount of $1.1 million, which is being amortized as non-cash interest expense over the expected term of the 2017 Notes, through the first optional put date in January 2022. The change in the estimated fair values of these liabilities from December 31, 2016 to June 30, 2017 is largely related to financing activities and changes in the quoted bond prices.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Derivative Liabilities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Company’s December 2012 financing agreement with BioPharma Secured Debt Fund II Holdings Cayman LP (discussed in Note 5—Debt) contains a redemption feature whereby, upon a change of control, the Company would be required to repay $150.0 million, less any previously repaid amount.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 The difference between the two was determined to be the fair value of the embedded derivative. The fair value of this derivative liability is remeasured at each reporting period, with changes in fair value recognized in the condensed consolidated statement of operations. As of June 30, 2017, the fair value of the derivative was determined to be nil based on current assumptions, and the debt was valued by comparing debt issues of similar companies with (i) remaining terms of between 1.9 and 4.5 years, (ii) coupon rates of between 8.1% and 11.1% and (iii) market yields of between 8.1% and 17.5%. As of December 31, 2016, the fair value of the derivative was determined to be nil based on underlying assumptions, and the debt was valued by comparing debt issues of similar companies with (i) remaining terms of between 2.4 and 5.0 years, (ii) coupon rates of between 8.1% and 11.1% and (iii) market yields of between 11.9% and 18.4%. As such, the Company recognized no gain or loss on change in fair value of derivative liability for the six months ended June 30, 2017. As of June 30, 2016, the fair value of the derivative was determined to be $2.8 million and, as of December 31, 2015, the fair value of the derivative was determined to be $5.5 million. As such, the Company recognized a $2.7 million gain on change in fair value of derivative liability for the six months ended June 30, 2016.</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2014 Notes and 2015 Notes each contained a redemption feature whereby, upon occurrence of a change in control, the Company would have been required to repurchase the notes. The Company determined these redemption features to be embedded derivatives, requiring bifurcation in accordance with ASC 815. The derivatives were carried at fair value and were classified as Level 3 in the fair value hierarchy due to the use of significant unobservable inputs. The fair value of each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The fair value of these derivative liabilities was remeasured at each reporting period, with changes in fair value recognized in the condensed consolidated statement of operations. These derivative liabilities were derecognized in September 2016 and therefore no gain or loss on change in fair value of derivative liability was recognized for the six months ended June 30, 2017. As of June 30, 2016, the fair values of the derivatives related to the 2014 Notes and 2015 Notes were determined to be $0.6 million and $0.2 million, respectively, and, as of December 31, 2015, the fair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16" w:name="page17"/>
    <w:bookmarkEnd w:id="16"/>
    <w:p>
      <w:pPr>
        <w:ind w:right="20"/>
        <w:spacing w:after="0" w:line="264" w:lineRule="auto"/>
        <w:rPr>
          <w:sz w:val="20"/>
          <w:szCs w:val="20"/>
          <w:color w:val="auto"/>
        </w:rPr>
      </w:pPr>
      <w:r>
        <w:rPr>
          <w:rFonts w:ascii="Arial" w:cs="Arial" w:eastAsia="Arial" w:hAnsi="Arial"/>
          <w:sz w:val="18"/>
          <w:szCs w:val="18"/>
          <w:color w:val="auto"/>
        </w:rPr>
        <w:t>values of the derivatives related to the 2014 Notes and 2015 Notes were determined to be $2.1 million and $0.6 million, respectively. As such, the Company recognized a $1.5 million gain and $0.4 million gain on change in fair value of derivative liability for the 2014 Notes and 2015 Notes, respectively, for the six months ended June 30, 2016.</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changes in the assumptions used to value the derivative liabilities, including the probability of a change in control, could result in a material change to the carrying value of such liabilities.</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early adopted by the Company or adopted as of the specified effective date. The Company also considered the following recent accounting pronouncements which were not yet adopted as of June 30, 2017:</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May 2017, the FASB issued Accounting Standards Update (“ASU”) No. 2017-09, </w:t>
      </w:r>
      <w:r>
        <w:rPr>
          <w:rFonts w:ascii="Arial" w:cs="Arial" w:eastAsia="Arial" w:hAnsi="Arial"/>
          <w:sz w:val="17"/>
          <w:szCs w:val="17"/>
          <w:i w:val="1"/>
          <w:iCs w:val="1"/>
          <w:color w:val="auto"/>
        </w:rPr>
        <w:t>Compensation—Stock Compensation: Scope of Modification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The amendments in ASU No. 2017-09 provide guidance about which changes to the terms or conditions of a share-based payment award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an entity to apply modification accounting in Topic 718. The new guidance is effective for fiscal years beginning after December 15, 2017, including interim periods within those fiscal years, with early adoption permitted. The Company has evaluated the accounting, transition and disclosure requirements of these standards and does not expect them to have a material impact on the Company’s consolidated financial statements.</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which is intended to reduce diversity in practice regarding how certain cash receipts and cash payments related to eight specific issues are presented and classified in the statement of cash flows. 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requires that the statement of cash flows explain the change during the period in the total of cash, cash equivalents, and amounts generally described as restricted cash or restricted cash equivalents. For each of these ASUs, the new guidance is effective for fiscal years beginning after December 15, 2017, including interim periods within those fiscal years, with early adoption permitted. The Company has evaluated the accounting, transition and disclosure requirements of these standards and does not expect them to have a material impact on the Company’s consolidated financial statements.</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In March 2016, the FASB issued ASU No. 2016-08, </w:t>
      </w:r>
      <w:r>
        <w:rPr>
          <w:rFonts w:ascii="Arial" w:cs="Arial" w:eastAsia="Arial" w:hAnsi="Arial"/>
          <w:sz w:val="16"/>
          <w:szCs w:val="16"/>
          <w:i w:val="1"/>
          <w:iCs w:val="1"/>
          <w:color w:val="auto"/>
        </w:rPr>
        <w:t>Revenue from Contracts with Customers (Topic 606): Principal versus Agent Considerations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Gross versus Net)</w:t>
      </w:r>
      <w:r>
        <w:rPr>
          <w:rFonts w:ascii="Arial" w:cs="Arial" w:eastAsia="Arial" w:hAnsi="Arial"/>
          <w:sz w:val="16"/>
          <w:szCs w:val="16"/>
          <w:color w:val="auto"/>
        </w:rPr>
        <w:t>, which clarifies that an entity is a principal when it controls the specified good or service before that good or service is transferred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 customer, and is an agent when it does not control the specified good or service before it is transferred to the customer. The new guidance is intended to improve the operability and understandability of the implementation guidance on principal versus agent considerations. In April 2016, the FASB issued ASU No. 2016-10, </w:t>
      </w:r>
      <w:r>
        <w:rPr>
          <w:rFonts w:ascii="Arial" w:cs="Arial" w:eastAsia="Arial" w:hAnsi="Arial"/>
          <w:sz w:val="16"/>
          <w:szCs w:val="16"/>
          <w:i w:val="1"/>
          <w:iCs w:val="1"/>
          <w:color w:val="auto"/>
        </w:rPr>
        <w:t>Revenue from Contracts with Customers (Topic 606): Identifying Performance Obligations and Licensing</w:t>
      </w:r>
      <w:r>
        <w:rPr>
          <w:rFonts w:ascii="Arial" w:cs="Arial" w:eastAsia="Arial" w:hAnsi="Arial"/>
          <w:sz w:val="16"/>
          <w:szCs w:val="16"/>
          <w:color w:val="auto"/>
        </w:rPr>
        <w:t xml:space="preserve">, which clarifies the following two aspects of Topic 606: (a) identifying performance obligations; and (b) the licensing implementation guidance. Further, in May 2016, the FASB issued ASU No.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which provides clarifying guidance in certain narrow areas and adds some practical expedients. The amendments do not change the core principles of the guidance in Topic 606 and are effective for the Company’s fiscal year beginning January 1, 2018. Early application is permitted only as of annual reporting periods beginning after December 15, 2016, including interim reporting periods within that reporting period. The Company is currently evaluating the accounting, transition and disclosure requirements of these standards and cannot currently estimate the financial statement impact of adoption.</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The new guidance will require lessees to recognize a right-of-use asset and a lease liability for virtually all of their leases (other than leases that meet the definition of a short-term lease). The liability will be equal to the present value of lease payments. The asset will be based on the liability, subject to adjustment, such as for initial direct costs. Under the new guidance, lessor accounting is largely unchanged but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and therefore, will no longer be provided with a source of off-balance sheet financing. The new</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jc w:val="both"/>
        <w:ind w:right="40"/>
        <w:spacing w:after="0" w:line="264" w:lineRule="auto"/>
        <w:rPr>
          <w:sz w:val="20"/>
          <w:szCs w:val="20"/>
          <w:color w:val="auto"/>
        </w:rPr>
      </w:pPr>
      <w:r>
        <w:rPr>
          <w:rFonts w:ascii="Arial" w:cs="Arial" w:eastAsia="Arial" w:hAnsi="Arial"/>
          <w:sz w:val="18"/>
          <w:szCs w:val="18"/>
          <w:color w:val="auto"/>
        </w:rPr>
        <w:t>guidance is effective for fiscal years beginning after December 15, 2018, including interim periods within those fiscal years. Early adoption is permitted. The Company is currently evaluating the accounting, transition and disclosure requirements of the standard and cannot currently estimate the financial statement impact of adoption.</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Financial Liabilities. </w:t>
      </w:r>
      <w:r>
        <w:rPr>
          <w:rFonts w:ascii="Arial" w:cs="Arial" w:eastAsia="Arial" w:hAnsi="Arial"/>
          <w:sz w:val="16"/>
          <w:szCs w:val="16"/>
          <w:color w:val="auto"/>
        </w:rPr>
        <w:t>The new guidance is intended to improve the recognition and measurement of financial instruments by requiring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presentation of financial assets and financial liabilities by measurement category and form of financial asset (i.e., securities or loans and receivables) within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at amortized cost within the balance sheet, requiring public business entities to use the exit price notion when measuring the fair value of financial instruments for disclosure purposes, requiring equity investments (except those accounted for under the equity method of accounting, or those that result in consolidation of the investee) to be measured at fair value with changes in fair value recognized in net income, and requiring a reporting organization to present separately in other comprehensive income the portion of the total change in the fair value of a liability resulting from a change in the instrument-specific credit risk (also referred to as “own credit”) when the organization has elected to measure the liability at fair value in accordance with the fair value option for financial instruments, among others. The new guidance is effective for fiscal years beginning after December 15, 2017, including interim periods within those fiscal years. The new guidance permits early adoption of the own credit provision. The Company is currently evaluating the accounting, transition and disclosure requirements of the standard and cannot currently estimate the financial statement impact of adoption.</w:t>
      </w:r>
    </w:p>
    <w:p>
      <w:pPr>
        <w:spacing w:after="0" w:line="175" w:lineRule="exact"/>
        <w:rPr>
          <w:sz w:val="20"/>
          <w:szCs w:val="20"/>
          <w:color w:val="auto"/>
        </w:rPr>
      </w:pPr>
    </w:p>
    <w:p>
      <w:pPr>
        <w:jc w:val="both"/>
        <w:ind w:right="140"/>
        <w:spacing w:after="0" w:line="285"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will replace numerous requirements in U.S. GAAP, including industry-specific requirements. This guidance provides a five-step model to be applied to all contracts with customers, with an underlying principle that an entity will recognize revenue to depict the transfer of goods or services to customers at an amount that the entity expects to be entitled to in exchange for those goods or services. ASU No. 2014-09 requires extensive quantitative and qualitative disclosures covering the nature, amount, timing and uncertainty of revenue and cash flows arising from customer contracts, including disclosures on significant judgments made when applying the guidance.</w:t>
      </w:r>
    </w:p>
    <w:p>
      <w:pPr>
        <w:spacing w:after="0" w:line="2"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This guidance is effective for annual reporting periods beginning after December 15, 2017 and interim periods therein. Early adoption is permitted for reporting periods and interim periods therein, beginning after December 15, 2016. An entity can elect to apply the guidance under one of the following two methods: (i) retrospectively to each prior reporting period presented, referred to as the full retrospective method, or (ii) retrospectively with the cumulative effect of initially applying the standard recognized at the date of initial application in retained earnings, referred to as the modified retrospective method.</w:t>
      </w:r>
    </w:p>
    <w:p>
      <w:pPr>
        <w:spacing w:after="0" w:line="16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Company has substantially completed an initial impact assessment of the potential changes from adopting ASU No. 2014-09. The impact assessment consisted of a review of a representative sample of contracts, discussions with key stakeholders, and a cataloging of potential impacts on its financial statements, accounting policies, financial control, and operations. The Company anticipates that the adoption of ASU No. 2014-09 will not have a material impact on product revenue from distributors and may have an impact on contract revenues generated by its license agreements:</w:t>
      </w:r>
    </w:p>
    <w:p>
      <w:pPr>
        <w:spacing w:after="0" w:line="154" w:lineRule="exact"/>
        <w:rPr>
          <w:sz w:val="20"/>
          <w:szCs w:val="20"/>
          <w:color w:val="auto"/>
        </w:rPr>
      </w:pPr>
    </w:p>
    <w:p>
      <w:pPr>
        <w:ind w:left="1040" w:right="260" w:hanging="519"/>
        <w:spacing w:after="0" w:line="286"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the model for distinct licenses of functional intellectual property which may result in a timing difference of revenue recognition. Whereas revenue from these arrangements was previously recognized over a period of time pursuant to the multiple element arrangement guidance, revenue from these arrangements may now be recognized at a point in time under the new guidance.</w:t>
      </w:r>
    </w:p>
    <w:p>
      <w:pPr>
        <w:spacing w:after="0" w:line="57" w:lineRule="exact"/>
        <w:rPr>
          <w:rFonts w:ascii="Arial" w:cs="Arial" w:eastAsia="Arial" w:hAnsi="Arial"/>
          <w:sz w:val="17"/>
          <w:szCs w:val="17"/>
          <w:color w:val="auto"/>
        </w:rPr>
      </w:pPr>
    </w:p>
    <w:p>
      <w:pPr>
        <w:ind w:left="1040" w:right="20" w:hanging="519"/>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Assessments of milestone payments, which are linked to events that are in the Company’s control, will result in variable consideration that may be recognized at an earlier point in time under the new guidance, when it is probable that the milestone will be achieved without a significant future reversal of cumulative revenue expected.</w:t>
      </w:r>
    </w:p>
    <w:p>
      <w:pPr>
        <w:spacing w:after="0" w:line="18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Company has not yet completed its final review of the impact of this guidance; however, the Company anticipates applying the modified retrospective method when implementing this guidance. The Company plans to adopt the new standard effective January 1, 2018. The Company continues to monitor additional changes, modifications, clarifications or interpretations being undertaken by the FASB, which may impact its current conclusions.</w:t>
      </w:r>
    </w:p>
    <w:p>
      <w:pPr>
        <w:spacing w:after="0" w:line="147"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8" w:name="page19"/>
    <w:bookmarkEnd w:id="18"/>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consist of the historical acquisition cost of certain technology rights for Vascepa and have an estimated remaining useful life of 13.1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as of June 30, 2017 and December 31, 2016 is as follows: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June 30, 2017</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 rights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(3,175)</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capitalizes its purchases of saleable inventory of Vascepa from suppliers that have been qualified by the FDA. Inventories as of June 30, 2017 and December 31, 2016 consist of the following:</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7,345</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4,430</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10,099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inventory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Long-Term Debt from Royalty-Bearing Instrument—December 2012 Financing</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December 6, 2012, the Company entered into an agreement with BioPharma Secured Debt Fund II Holdings Cayman LP, or BioPharma. Under this agreement, the Company granted to BioPharma a security interest in future receivables associated with the Vascepa patent rights, in exchange for $100.0 million received at the closing of the agreement which occurred in December 2012. Under these terms, the Company continues to own all Vascepa intellectual property rights, however, such rights, as described below, could be used by BioPharma as collateral for repayment of the remaining unpaid balance under this agreement if the Company defaults on making required payments. In the agreement, the Company agreed to repay BioPharma up to $150.0 million with such repayment based on a portion of revenues and receivables generated from Vascepa.</w:t>
      </w:r>
    </w:p>
    <w:p>
      <w:pPr>
        <w:spacing w:after="0" w:line="17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As of June 30, 2017, the remaining amount to be repaid to BioPharma is $118.3 million. During the three and six months ended June 30, 2017, the Company made repayments under the agreement of $3.4 million and $7.3 million, respectively, to BioPharma and an additional $4.5 million is scheduled to be paid in August 2017 for the second quarter of 2017. All payments to date have been calculated based on the threshold limitation, as described below, as opposed to the contractual quarterly repayments scheduled through May 2017. Additional quarterly repayments are scheduled to be paid after May 2017, subject only to the threshold limitation. All such payments reduce the remainder of the $150.0 million in aggregate payments to BioPharma.</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These quarterly payments are subject to a quarterly threshold amount whereby, if a calculated threshold, based on quarterly Vascepa revenues, is not achieved, the quarterly payment payable in that quarter can, at the Company’s election, be reduced, with the reduction carried forward without interest for payment in a future period. The payment of any carried forward amount is subject to similarly calculated threshold repayment amounts based on Vascepa revenue levels.</w:t>
      </w:r>
    </w:p>
    <w:p>
      <w:pPr>
        <w:ind w:right="20"/>
        <w:spacing w:after="0" w:line="254" w:lineRule="auto"/>
        <w:rPr>
          <w:sz w:val="20"/>
          <w:szCs w:val="20"/>
          <w:color w:val="auto"/>
        </w:rPr>
      </w:pPr>
      <w:r>
        <w:rPr>
          <w:rFonts w:ascii="Arial" w:cs="Arial" w:eastAsia="Arial" w:hAnsi="Arial"/>
          <w:sz w:val="18"/>
          <w:szCs w:val="18"/>
          <w:color w:val="auto"/>
        </w:rPr>
        <w:t>Except upon a change of control in Amarin, the agreement does not expire until $150.0 million in aggregate has been repaid. Except in the event of the Company’s default, there is no compounding of interest and no scheduled cliff payment due under this agreement. Rather, payment will be made, subject to the threshold limitation, until $150.0 million in aggregate has been repaid, including payments made previously. The Company can prepay an amount equal to $150.0 million less any previously repaid amount.</w:t>
      </w:r>
    </w:p>
    <w:p>
      <w:pPr>
        <w:spacing w:after="0" w:line="19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currently estimates that its Vascepa revenue levels will not be high enough in each quarter to support repayment to BioPharma in accordance with the maximum quarterly amounts in the repayment schedule. For each quarterly period since the inception of the debt, revenues were below the contractual threshold amount such that cash payments were calculated for each period reflecting the optional reduction amount as opposed to the contractual threshold payment due for each quarterly period. In accordance with the agreement with BioPharma, quarterly differences between the calculated optional reduction amounts and the repayment schedule amounts are rescheduled for payment beginning in the second quarter of 2017. Any such deferred repayments will remain subject to continued application of the quarterly ceiling in amounts due established by the calculated threshold limitation based on quarterly Vascepa revenues. No additional interest expense or liability is incurred as a result of such deferred repayments. These estimates will be reevaluated each reporting period by the Company and adjusted if necessary, prospectively.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right="20"/>
        <w:spacing w:after="0" w:line="290" w:lineRule="auto"/>
        <w:rPr>
          <w:sz w:val="20"/>
          <w:szCs w:val="20"/>
          <w:color w:val="auto"/>
        </w:rPr>
      </w:pPr>
      <w:r>
        <w:rPr>
          <w:rFonts w:ascii="Arial" w:cs="Arial" w:eastAsia="Arial" w:hAnsi="Arial"/>
          <w:sz w:val="16"/>
          <w:szCs w:val="16"/>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condensed consolidated statement of operations and any changes in the assumptions used in measuring the fair value of the derivative liability could result in a material increase or decrease in its carrying value. Based on current assumptions underlying the valuation, the Company recognized no gain or loss on change in fair value of derivative liability during the six months ended June 30, 2017, as compared to a gain on change in fair value of derivative liability of $2.7 million during the six months ended June 30, 2016.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2017 and December 31, 2016, the carrying value of the BioPharma debt, net of the unamortized debt discount and issuance costs, was</w:t>
      </w:r>
    </w:p>
    <w:p>
      <w:pPr>
        <w:spacing w:after="0" w:line="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$94.6 million and $93.6 million, respectively. During the six months ended June 30, 2017, the Company recorded cash and non-cash interest expense of $3.2 million and $1.1 million, respectively, in connection with the BioPharma debt, compared to $3.4 million and $1.0 million, respectively, during the six months ended June 30, 2016. The Company will periodically evaluate the remaining term of the agreement and the effective interest rate is recalculated each period based on the Company’s most current estimate of repayment.</w:t>
      </w:r>
    </w:p>
    <w:p>
      <w:pPr>
        <w:spacing w:after="0" w:line="19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To secure the obligations under the agreement with BioPharma, the Company granted BioPharma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BioPharma may attempt to collect the maximum amount payable by the Company under this agreement (after deducting any payments the Company has already made).</w:t>
      </w:r>
    </w:p>
    <w:p>
      <w:pPr>
        <w:spacing w:after="0" w:line="1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the Purchase and Sale Agreement with BioPharma, the Company is restricted from paying dividends on its common shares, unless it has cash and cash equivalents in excess of a specified amount after such payment.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January 2012, May 2014, and November 2015 Exchangeable Senior Notes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2012, 2014 and 2015, the Company and its subsidiaries entered into a series of transactions pertaining to exchangeable notes. As of June 30, 2017, all debt issued in these transactions was exchanged or redeemed such that none remained outstanding.</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January 2012, the Company, through its wholly-owned subsidiary Corsicanto Designated Activity Company (formerly Corsicanto Limited) (“Corsicanto”), issued $150.0 million in principal amount of 3.5% exchangeable senior notes due 2032 (the “2012 Notes”), resulting in net proceeds of $144.3 million. In May 2014, the Company entered into separate, privately negotiated exchange agreements with certain holders of the 2012 Notes pursuant to which Corsicanto exchanged $118.7 million in aggregate principal amount of the existing 2012 Notes for $118.7 million in aggregate principal amount of new 3.5% May 2014 exchangeable senior notes due 2032 (the “2014 Notes”), following which $31.3 million in aggregate principal amount of the 2012 Notes remained outstanding with terms unchanged. In November 2015, the Company entered into a privately negotiated subscription agreement with one of its existing investors, pursuant to which the investor agreed to purchase approximately $31.3 million in aggregate principal amount of new 3.5% November 2015 exchangeable senior notes due 2032 (the “2015 Notes”) for approximately $27.5 million. Approximately $15.9 million of such proceeds were used to finance the repayment of $16.2 million in aggregate principal amount of the 2012 Notes, following which $15.1 million in aggregate principal amount of the 2012 Notes remained outstanding with terms unchanged. The 2012 Notes, 2014 Notes, and 2015 Notes are referred to collectively as the “Notes.”</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August 2016, Corsicanto gave notice to the holders of the 2014 Notes and 2015 Notes that certain equity conditions contained within the notes had been satisfied and exercised its option to mandatorily exchange $118.7 million of aggregate principal amount of 2014 Notes and $31.3 million of aggregate principal amount of 2015 Notes for equity with settlement in September 2016, such that all of the outstanding 2014 Notes and 2015 Notes were retired at that time. Consistent with the terms of the 2014 Notes and 2015 Notes, the final as-adjusted exchange rate was 402.0746 ADSs per $1,000 of principal amount, resulting in 47,739,925 ADSs and 12,571,263 ADSs being issued in exchange for the 2014 Notes and 2015 Notes, respectively. In total, the Company mandatorily exchanged $150.0 million in aggregate principal amount ($127.3 million in carrying value, net of unamortized debt discount and issuance costs) of outstanding 2014 Notes and 2015 Notes, resulting in the issuance of 60,311,188 ADSs and recognition of $40.1 million in common stock and $87.4 million in additional paid-in capital during the year ended December 31, 2016. Included within this $87.4 million is $0.8 million of accrued but unpaid interest as of the exchange date deemed satisfied and discharged in full upon delivery of the ADSs consistent with the terms of the notes and ASC 470-20, less $0.7 million of transaction costs.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terms of the 2012 Notes allowed for repurchase in cash by the Company at the option of the holders on each of January 19, 2017, January 19, 2022, and January 19, 2027, as well as redemption by the Company for cash of all or part of the 2012 Notes on or after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jc w:val="both"/>
        <w:ind w:right="20"/>
        <w:spacing w:after="0" w:line="279" w:lineRule="auto"/>
        <w:rPr>
          <w:sz w:val="20"/>
          <w:szCs w:val="20"/>
          <w:color w:val="auto"/>
        </w:rPr>
      </w:pPr>
      <w:r>
        <w:rPr>
          <w:rFonts w:ascii="Arial" w:cs="Arial" w:eastAsia="Arial" w:hAnsi="Arial"/>
          <w:sz w:val="17"/>
          <w:szCs w:val="17"/>
          <w:color w:val="auto"/>
        </w:rPr>
        <w:t>January 19, 2017, both at a price equal to 100% of the principal amount of the 2012 Notes to be repurchased or redeemed, plus accrued and unpaid interest to, but excluding, the repurchase or redemption date. Consequently, in January 2017, holders of the 2012 Notes exercised their option to put approximately $15.0 million in aggregate principal amount of 2012 Notes to the Company for cash and, in March 2017, the Company redeemed the entirety of the remaining $0.1 million in aggregate principal amount of 2012 Notes, such that no 2012 Notes remained outstanding as of June 30, 2017.</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2012 Notes were exchangeable under certain circumstances into cash, ADSs, or a combination of cash and ADSs, at the Company’s election. At the time of issuance, the Company calculated the fair value of the liability component of the 2012 Notes to be $126.2 million and the excess of the principal amount of the debt over the liability component of $23.8 million was allocated to the conversion option, resulting in a discount on the debt and corresponding increase in equity as a result of the cash settlement feature. The Company also recorded a debt discount to reflect the value of the underwriter’s discounts and offering costs. The debt discount from underwriter’s discounts and offering costs was allocated to the equity and liability components of the 2012 Notes in proportion to the proceeds allocated to each component. The $23.8 million equity component allocated to the conversion option was reduced by the portion of offering costs allocated to the equity component, $10.1 million upon extinguishment of the 2012 Notes as part of the 2014 Notes exchange and $1.3 million upon extinguishment of the 2012 Notes as part of the 2015 Notes issuance, such that $11.5 million remained in equity as of both June 30, 2017 and December 31, 2016. The conversion option was not remeasured each reporting period as it continued to meet the criteria for equity classification, and will remain in equity hereafter as a result of the repayment in full of the related debt instrument during the first quarter of 2017.</w:t>
      </w:r>
    </w:p>
    <w:p>
      <w:pPr>
        <w:spacing w:after="0" w:line="16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portion of the debt discount from underwriter’s discounts and offering costs allocated to the liability component as well as the discount created from allocating proceeds to the conversion option were amortized as interest expense over the estimated life of the 2012 Notes of twenty-four months. Such discounts were fully amortized prior to 2016. The carrying value of the 2012 Notes was nil and $15.1 million as of June 30, 2017 and December 31, 2016, respectively, included within current portion of exchangeable senior notes, net of discount, due to the holders’ January 19, 2017 optional put date.</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2014 Notes were recorded at fair value of $90.8 million representing a $27.9 million discount to par. In addition, the Company recognized a discount of $2.5 million in underwriter’s fees and offering costs. The 2015 Notes were recorded at fair value of $27.5 million representing a $3.8 million discount to par. In addition, the Company recognized a discount of $0.1 million in offering costs. These discounts were amortized as interest expense over the expected terms of the 2014 Notes and 2015 Notes, which was expected to be through the first optional put date in January 2019 for each. The carrying value of the 2014 Notes and 2015 Notes was nil as of June 30, 2017 and December 31, 2016.</w:t>
      </w:r>
    </w:p>
    <w:p>
      <w:pPr>
        <w:spacing w:after="0" w:line="18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2014 Notes and 2015 Notes contained a provision that if a fundamental change (as defined in the 2014 Notes and 2015 Notes) had occurred prior to the notes being exchanged, holders may have required the Company to repurchase all or part of their notes for cash at a fundamental change repurchase price equal to 100% of the aggregate principal amount of the 2014 Notes and 2015 Notes to be repurchased, plus accrued and unpaid interest to, but not including, the fundamental change repurchase date. The Company determined that these fundamental change redemption features represented embedded derivatives requiring bifurcation from the respective debt liabilities and allocated $3.5 million of the $90.8 million fair value of the 2014 Notes and $0.5 million of the $27.5 million fair value of the 2015 Notes to derivative liabilities. The fair value of these derivative liabilities was remeasured at each reporting period, with changes in fair value recognized in the statement of operations. During the six months ended June 30, 2016, the Company recognized a $1.5 million gain and a $0.4 million gain on the change in fair value of the redemption features of the 2014 Notes and 2015 Notes, respectively.</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Notes had a stated interest rate of 3.5% per year, payable semiannually in arrears on January 15 and July 15 of each year. During the six months ended June 30, 2016, the Company recognized aggregate interest expense of $6.9 million related to the Notes, of which $4.0 million represents non-cash interest and $2.9 million represents contractual coupon interest. During the six months ended June 30, 2017, the Company recognized cash interest expense of less than $0.1 million related to the Notes. As of June 30, 2017 and December 31, 2016, the Company had total accrued interest on the Notes of nil and $0.2 million, respectively, which is included in current portion of exchangeable senior notes, net of discount. The Company made the contractual interest payments due on the Notes during the six months ended June 30, 2017 and 2016 of $0.3 million and $2.5 million, respectively.</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January 2017 Exchangeable Senior Notes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January 20, 2017, the Company and Corsicanto II Designated Activity Company (“Corsicanto II”), a designated activity company formed under the laws of Ireland and a wholly owned subsidiary of the Company, entered into separate, privately negotiated purchase agreements with certain investors pursuant to which Corsicanto II issued and sold $30.0 million in aggregate principal amount of 3.5% exchangeable senior notes due 2047 (the “2017 Notes”) at an issue price of 100%. The net proceeds from the offering were $28.8 million after deducting placement agent fees and offering expenses payable by the Company. The offering of the 2017 Notes closed on January 25, 2017. Corsicanto II has no assets, operations, revenues or cash flows other than those related to the issuance, administration and repayment of the 2017 Notes.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ind w:right="220"/>
        <w:spacing w:after="0" w:line="302" w:lineRule="auto"/>
        <w:rPr>
          <w:sz w:val="20"/>
          <w:szCs w:val="20"/>
          <w:color w:val="auto"/>
        </w:rPr>
      </w:pPr>
      <w:r>
        <w:rPr>
          <w:rFonts w:ascii="Arial" w:cs="Arial" w:eastAsia="Arial" w:hAnsi="Arial"/>
          <w:sz w:val="16"/>
          <w:szCs w:val="16"/>
          <w:color w:val="auto"/>
        </w:rPr>
        <w:t>The 2017 Notes were issued pursuant to an Indenture (the “Indenture”) entered into by the Company, Corsicanto II and Wilmington Trust, National Association, as trustee (the “Trustee”). The 2017 Notes are the senior unsecured obligations of Corsicanto II and are guaranteed by the Company. The 2017 Notes bear interest at a rate of 3.5% per annum from, and including, January 25, 2017, payable semi-annually in arrears on January 15 and July 15 of each year, beginning on July 15, 2017 and ending upon the 2017 Notes’ maturity date of January 15, 2047, unless earlier repurchased, redeemed or exchanged.</w:t>
      </w:r>
    </w:p>
    <w:p>
      <w:pPr>
        <w:spacing w:after="0" w:line="15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At any time after the issuance of the 2017 Notes and prior to the close of business on the second business day immediately preceding January 15, 2047, holders may exchange their 2017 Notes for ADSs at their option and at the exchange rate described below. If prior to January 19, 2021, a make-whole fundamental change (as defined in the Indenture) occurs and a holder elects to exchange its 2017 Notes in connection with such make-whole fundamental change, such holder may be entitled to an increase in the exchange rate as described in the Indenture.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initial exchange rate is 257.2016 ADSs per $1,000 principal amount of the 2017 Notes (equivalent to an initial exchange price of approximately $3.89 per ADS (the “Exchange Price”)), subject to adjustment in certain circumstances. The initial exchange price for the 2017 Notes represents a premium of approximately 35% over the last reported sale price of $2.88 per share of the Company’s ADSs on The NASDAQ Global Market on January 19, 2017. Upon exchange, the 2017 Notes are to be settled in ADSs. The exchange rate is subject to adjustment from time to time upon the occurrence of certain events, including, but not limited to, the payment of cash dividends. In the event of physical settlement, the 2017 Notes would be exchangeable into a total of 7,716,048 ADSs. Based on the closing price of the Company’s stock as of June 30, 2017, the value of the shares if converted on that date would exceed the principal amount of the 2017 Notes by $1.1 million.</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Prior to January 19, 2021, Corsicanto II may not redeem the 2017 Notes at its option other than in connection with certain changes in the tax law of a relevant taxing jurisdiction that results in additional amounts (as defined in the Indenture) becoming due with respect to payments and/or deliveries on the 2017 Notes. On or after January 19, 2021, Corsicanto II may redeem for cash all or a portion of the 2017 Notes at a redemption price of 100% of the aggregate principal amount of the 2017 Notes to be redeemed, plus accrued and unpaid interest to, but not including, the redemption date. If a Fundamental Change (as defined in the Indenture) occurs, holders may require Corsicanto II to repurchase all or part of their 2017 Notes for cash at a Fundamental Change repurchase price equal to 100% of the aggregate principal amount of the 2017 Notes to be repurchased, plus accrued and unpaid interest to, but not including, the Fundamental Change repurchase date. In addition, holders of the 2017 Notes may require Corsicanto II to repurchase all or any portion of the 2017 Notes on January 19, 2022 for cash at a price equal to 100% of the aggregate principal amount of the 2017 Notes to be repurchased, plus accrued and unpaid interest to, but not including, the repurchase date.</w:t>
      </w:r>
    </w:p>
    <w:p>
      <w:pPr>
        <w:spacing w:after="0" w:line="18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Corsicanto II may elect at its option to cause all or any portion of the 2017 Notes to be mandatorily exchanged in whole or in part at any time prior to the close of business on the business day preceding January 15, 2047 if the Daily VWAP (as defined in the Indenture) equals or exceeds 130% of the Exchange Price then in effect (which quotient equals approximately $5.05 on the date hereof) for at least 20 VWAP Trading Days (as defined in the Indenture) in any 30 consecutive VWAP Trading Day period. Corsicanto II may only exercise its optional exchange rights upon satisfaction of specified equity conditions, including that the ADSs issuable upon exchange of the 2017 Notes be eligible for resale without registration by non-affiliates and listed on The NASDAQ Global Market, its related exchanges or the New York Stock Exchange. If Corsicanto II elects to exercise its optional exchange rights on or prior to January 19, 2021, each holder whose 2017 Notes are exchanged may upon exchange receive a specified number of additional ADSs as set forth in the Indenture.</w:t>
      </w:r>
    </w:p>
    <w:p>
      <w:pPr>
        <w:spacing w:after="0" w:line="1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Indenture contains customary terms and covenants and events of default. If an event of default (other than certain events of bankruptcy, insolvency or reorganization involving Corsicanto II) occurs and is continuing, the Trustee by notice to Corsicanto II, or the holders of at least 25% in principal amount of the outstanding 2017 Notes by notice to Corsicanto II and the Trustee, may declare 100% of the principal of and accrued and unpaid interest, if any, on all of the 2017 Notes to be due and payable. Upon such a declaration of acceleration, such principal and accrued and unpaid interest, if any, will be due and payable immediately. Upon the occurrence of certain events of bankruptcy, insolvency or reorganization involving Corsicanto II, 100% of the principal of and accrued and unpaid interest, if any, on all of the 2017 Notes will become due and payable automatically. Notwithstanding the foregoing, the Indenture will provide that, to the extent Corsicanto II elects and for up to 360 days, the sole remedy for an event of default relating to certain failures by Corsicanto II or the Company, as the case may be, to comply with certain reporting covenants in the Indenture consists exclusively of the right to receive additional interest on the 2017 Notes.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Corsicanto II has agreed to use its commercially reasonable efforts to procure the listing of the 2017 Notes on the Global Exchange Market operated under the supervision of the Irish Stock Exchange (or on another recognized stock exchange for the purposes of Section 64 of the Taxes Consolidation Act 1997 of Ireland and within the meaning of Section 1005 ITA 2007 of the United Kingdom) prior to July 15, 2017, which will be the first interest payment date for the 2017 Notes.</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2017 Notes were recorded at par of $30.0 million. In addition, the Company recorded a discount of $1.2 million in placement agent fees and offering expenses. Such costs are presented as a direct deduction from the debt liability on the condensed consolidated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320"/>
        <w:spacing w:after="0" w:line="277" w:lineRule="auto"/>
        <w:rPr>
          <w:sz w:val="20"/>
          <w:szCs w:val="20"/>
          <w:color w:val="auto"/>
        </w:rPr>
      </w:pPr>
      <w:r>
        <w:rPr>
          <w:rFonts w:ascii="Arial" w:cs="Arial" w:eastAsia="Arial" w:hAnsi="Arial"/>
          <w:sz w:val="18"/>
          <w:szCs w:val="18"/>
          <w:color w:val="auto"/>
        </w:rPr>
        <w:t>balance sheet. This discount is being amortized as interest expense over the estimated life of the 2017 Notes, through the first optional put date in January 2022. As of June 30, 2017, the carrying value of the 2017 Notes, net of unamortized discount, was $28.9 million.</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Because the conversion option in the 2017 Notes receives an exception from derivative accounting and only requires gross physical settlement in shares, the embedded option does not require separate accounting and is therefore accounted for as part of the debt host at amortized cost. In addition, the Company determined that the fundamental change redemption feature is clearly and closely related to the debt host in accordance with ASC 815-15 and therefore does not require bifurcation.</w:t>
      </w:r>
    </w:p>
    <w:p>
      <w:pPr>
        <w:spacing w:after="0" w:line="18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During the six months ended June 30, 2017, the Company recognized interest expense of $0.5 million related to the 2017 Notes, of which $0.1 million represents non-cash interest and $0.5 million represents contractual coupon interest. As of June 30, 2017, the Company had accrued interest of $0.5 million related to the 2017 Notes, which is presented as current portion of exchangeable senior notes, net of discount, on the condensed consolidated balance sheet.</w:t>
      </w:r>
    </w:p>
    <w:p>
      <w:pPr>
        <w:spacing w:after="0" w:line="251"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Litigation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ordinary course of business, the Company is from time to time involved in lawsuits, claims, investigations, proceedings, and threats of litigation relating to intellectual property, commercial arrangements and other matters. “Item 3. Legal Proceedings” of the Company’s Annual Report on Form 10-K for the fiscal year ended December 31, 2016 and “Item 1. Legal Proceedings” of the Company’s Quarterly Report on Form 10-Q for the quarter ended March 31, 2017 include discussions of the Company’s current legal proceedings. There have been no material changes to those disclosures as of the date of this filing, other than as set forth below.</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On May 23, 2017, the Third Circuit Court of Appeals affirmed the May 26, 2016 judgment of the U.S. District Court for the District of New Jersey in connection with the district court’s grant of the Company’s motion to dismiss the putative consolidated class action lawsuit captioned </w:t>
      </w:r>
      <w:r>
        <w:rPr>
          <w:rFonts w:ascii="Arial" w:cs="Arial" w:eastAsia="Arial" w:hAnsi="Arial"/>
          <w:sz w:val="18"/>
          <w:szCs w:val="18"/>
          <w:i w:val="1"/>
          <w:iCs w:val="1"/>
          <w:color w:val="auto"/>
        </w:rPr>
        <w:t>In re Amarin</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Corporation plc, Securities Litigation</w:t>
      </w:r>
      <w:r>
        <w:rPr>
          <w:rFonts w:ascii="Arial" w:cs="Arial" w:eastAsia="Arial" w:hAnsi="Arial"/>
          <w:sz w:val="18"/>
          <w:szCs w:val="18"/>
          <w:color w:val="auto"/>
        </w:rPr>
        <w:t>, No. 3:13-cv-06663 (D.N.J. Nov. 1, 2013). Plaintiffs sought a rehearing and</w:t>
      </w:r>
      <w:r>
        <w:rPr>
          <w:rFonts w:ascii="Arial" w:cs="Arial" w:eastAsia="Arial" w:hAnsi="Arial"/>
          <w:sz w:val="18"/>
          <w:szCs w:val="18"/>
          <w:i w:val="1"/>
          <w:iCs w:val="1"/>
          <w:color w:val="auto"/>
        </w:rPr>
        <w:t xml:space="preserve"> en banc </w:t>
      </w:r>
      <w:r>
        <w:rPr>
          <w:rFonts w:ascii="Arial" w:cs="Arial" w:eastAsia="Arial" w:hAnsi="Arial"/>
          <w:sz w:val="18"/>
          <w:szCs w:val="18"/>
          <w:color w:val="auto"/>
        </w:rPr>
        <w:t>review of such affirmation,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were denied.</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11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 as detailed below.</w:t>
      </w:r>
    </w:p>
    <w:p>
      <w:pPr>
        <w:spacing w:after="0" w:line="12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entered into its initial Vascepa API supply agreement with Nisshin Pharma, Inc. (“Nisshin”) in 2010. In 2011, the Company entered into agreements with two additional suppliers, Chemport, Inc. (“Chemport”) and BASF (formerly Equateq Limited), for the supply of API. In 2012, the Company agreed to terms with a fourth API supplier, a consortium of companies led by Slanmhor Pharmaceutical, Inc. (“Slanmhor”). The API supply agreement with BASF terminated in February 2014. In July 2014, the Company terminated the supply agreement with Slanmhor and subsequently, in June 2015, entered into a new supply agreement with Finorga SAS (“Novasep”). These agreements included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 as described below.</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Nisshin, Chemport and Novasep are currently the three manufacturers from which the Company purchases API. As of June 30, 2017, the Company has no royalty, milestone or minimum purchase commitments with Nisshin.</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Chemport was approved by the FDA to manufacture API for commercial sale in April 2013 and the Company began purchasing commercial supply from Chemport in 2013. The agreement with Chemport contains a provision requiring the Company to pay Chemport a certain cash remedy for any shortfall in the minimum purchase obligations. The Company began purchasing commercial supply from Novasep in 2015. API manufactured by Novasep was previously approved by the FDA in July 2014. The 2015 supply agreement with Novasep contains a provision requiring the Company to pay Novasep a certain cash remedy for any shortfall in the minimum purchase obligations. The Company continues to meet its contractual purchase obligations.</w:t>
      </w:r>
    </w:p>
    <w:p>
      <w:pPr>
        <w:spacing w:after="0" w:line="15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Under the 2004 share repurchase agreement with Laxdale Limited (“Laxdale”) upon receipt of marketing approval in Europe for the first indication for Vascepa (or first indication of any product containing Amarin Neuroscience Limited intellectual property acquired from Laxdale in 2004), the Company must make an aggregate stock or cash payment to the former shareholders of Laxdale (at the sole option of each of the sellers) of £7.5 million (approximately $9.8 million as of June 30, 2017). Also under the Laxdale agreement, upon receipt of a marketing approval in the United States or Europe for a further indication of Vascepa (or further indication of any other product using Amarin Neuroscience Limited intellectual property), the Company must make an aggregate stock or cash payment (at the sole option of each of the sellers) of £5 million (approximately $6.5 million as of June 30, 2017) for each of the two potential market approvals (i.e. £10 million maximum, or approximately $13.0 million as of June 30, 2017).</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The Company has no provision for any of the obligations above since the amounts are either not probable or able to be estimated as of June 30, 2017.</w:t>
      </w:r>
    </w:p>
    <w:p>
      <w:pPr>
        <w:spacing w:after="0" w:line="341" w:lineRule="exact"/>
        <w:rPr>
          <w:sz w:val="20"/>
          <w:szCs w:val="20"/>
          <w:color w:val="auto"/>
        </w:rPr>
      </w:pPr>
    </w:p>
    <w:p>
      <w:pPr>
        <w:ind w:left="520" w:right="9780" w:hanging="512"/>
        <w:spacing w:after="0" w:line="425" w:lineRule="auto"/>
        <w:tabs>
          <w:tab w:leader="none" w:pos="515"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i w:val="1"/>
          <w:iCs w:val="1"/>
          <w:u w:val="single" w:color="auto"/>
          <w:color w:val="auto"/>
        </w:rPr>
        <w:t>Preferred Stock</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March 5, 2015, the Company entered into a subscription agreement with four institutional investors (the “Purchasers”), including both existing and new investors, for the private placement of 352,150,790 restricted American Depositary Shares, each representing one (1) share of Amarin’s Series A Convertible Preference Shares, par value £0.05 per share, in the capital of the Company (“Series A Preference Shares”), resulting in gross proceeds to the Company of $52.8 million. The closing of the private placement occurred on March 30, 2015.</w:t>
      </w:r>
    </w:p>
    <w:p>
      <w:pPr>
        <w:spacing w:after="0" w:line="18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For each restricted American Depositary Share, the Purchasers paid a negotiated price of $0.15 (equating to $1.50 on an as-if-converted-to-ordinary-shares basis), resulting in $52.8 million in aggregate gross proceeds to the Company, before deducting estimated offering expenses of approximately $0.7 million. The net proceeds are reflected as preferred stock in the accompanying condensed consolidated balance sheets.</w:t>
      </w:r>
    </w:p>
    <w:p>
      <w:pPr>
        <w:spacing w:after="0" w:line="16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Each ten (10) Series A Preference Shares may be consolidated and redesignated as one (1) ordinary share, par value £0.50 per share, in the capital of the Company, each ordinary share to be represented by American Depositary Shares (“ADSs”), provided that consolidation will be prohibited if, as a result, the holder of such Series A Preference Shares and its affiliates would beneficially own more than 4.99% of the total number of Amarin ordinary shares or ADSs outstanding following such redesignation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are eligible for sale under Rule 144, following the expiration of the one-year holding requirement under Rule 144. In 2015, at the request of the holders, a portion of the Series A Preference Shares were consolidated and redesignated, resulting in the issuance of 6,283,333 ADSs such that a maximum of 32,818,464 ordinary shares remain issuable upon future consolidation and redesignation of the remaining Series A Preference Shares as of June 30, 2017, inclusive of the shares issued in July 2015 as discussed below, subject to certain adjustments for dilutive events.</w:t>
      </w:r>
    </w:p>
    <w:p>
      <w:pPr>
        <w:spacing w:after="0" w:line="18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w:t>
      </w:r>
    </w:p>
    <w:p>
      <w:pPr>
        <w:ind w:right="340"/>
        <w:spacing w:after="0" w:line="261" w:lineRule="auto"/>
        <w:rPr>
          <w:sz w:val="20"/>
          <w:szCs w:val="20"/>
          <w:color w:val="auto"/>
        </w:rPr>
      </w:pPr>
      <w:r>
        <w:rPr>
          <w:rFonts w:ascii="Arial" w:cs="Arial" w:eastAsia="Arial" w:hAnsi="Arial"/>
          <w:sz w:val="18"/>
          <w:szCs w:val="18"/>
          <w:color w:val="auto"/>
        </w:rPr>
        <w:t>(75%) of the then outstanding Series A Preference Shares, alter or change adversely the powers, preferences or rights attaching to the Series A Preference Shares or enter into any agreement with respect to the foregoing.</w:t>
      </w:r>
    </w:p>
    <w:p>
      <w:pPr>
        <w:spacing w:after="0" w:line="1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pacing w:after="0" w:line="18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restricted American Depositary Shares and Series A Preference Shares were sold in a transaction exempt from the registration requirements under the Securities Act of 1933, as amended (the “Securities Act”). The Company filed a registration statement with the SEC covering the resale of the restricted American Depositary Shares and the ADSs representing ordinary shares created by the consolidation and redesignation of the Series A Preference Shares (the “Registrable Securities”) on April 9, 2015, which was declared effective by the SEC on May 1,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w:t>
      </w:r>
    </w:p>
    <w:p>
      <w:pPr>
        <w:spacing w:after="0" w:line="5" w:lineRule="exact"/>
        <w:rPr>
          <w:sz w:val="20"/>
          <w:szCs w:val="20"/>
          <w:color w:val="auto"/>
        </w:rPr>
      </w:pPr>
    </w:p>
    <w:p>
      <w:pPr>
        <w:ind w:right="240" w:firstLine="8"/>
        <w:spacing w:after="0" w:line="261" w:lineRule="auto"/>
        <w:tabs>
          <w:tab w:leader="none" w:pos="2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March 11, 2017 or (b) the date on which all Registrable Securities held by Purchasers may be sold or transferred in compliance with Rule 144 under the Securities Act, without any volume or manner of sale restrictions.</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Series A Preference Shares contain a contingent beneficial conversion feature (“BCF”) because they contain a conversion feature at a fixed rate that was in-the-money when issued. The BCF was recorded in the quarter ended June 30, 2015 as a result of the related Form S-3 Registration Statement being declared effective, which represents the resolution of the contingency to convert the Series A Preference Shares. The BCF was recognized in stockholders’ deficit and was measured by allocating a portion of the proceeds equal to the intrinsic value of that feature to additional paid-in capital. The effective purchase price of the ordinary shares into which the preferred shares are convertible was $1.50, which was used to compute the intrinsic value. The intrinsic value was calculated as the difference between the effective purchase price of the ordinary shares and the market value ($2.39 per share) on the date the preferred shares were issued, multiplied by the number of shares into which the preferred shares are convertible. The BCF resulting from the issuance of the Series A Preference Shares was determined to be $31.3 million. The BCF was recorded as a non-cash dividend 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right="160"/>
        <w:spacing w:after="0" w:line="277" w:lineRule="auto"/>
        <w:rPr>
          <w:sz w:val="20"/>
          <w:szCs w:val="20"/>
          <w:color w:val="auto"/>
        </w:rPr>
      </w:pPr>
      <w:r>
        <w:rPr>
          <w:rFonts w:ascii="Arial" w:cs="Arial" w:eastAsia="Arial" w:hAnsi="Arial"/>
          <w:sz w:val="18"/>
          <w:szCs w:val="18"/>
          <w:color w:val="auto"/>
        </w:rPr>
        <w:t>preferred shareholders through accumulated deficit, and was therefore reflected as an adjustment to net loss applicable to common shareholders for earnings per common share purposes in accordance with GAAP for the year ended December 31, 2015.</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March 30, 2015, in connection with the closing of the private placement, and pursuant to a pre-existing contractual right to participate in certain private placement transactions effected by the Company, the Company entered into a separate subscription agreement with an existing investor, Sofinnova Venture Partners VII L.P. (Sofinnova), for the purchase of an additional $5.8 million of restricted American Depositary Shares, each representing one (1) share of the Company’s Series A Preference Shares, at the same price per share and otherwise on substantially the same terms as the initial private placement (the “Second Private Placement”). In accordance with applicable marketplace rules of the NASDAQ Stock Market, the consummation of the Second Private Placement was conditioned upon approval by the Company’s shareholders at a future meeting of the Company’s shareholders. Such approval was received at the Company’s Annual General Meeting of Shareholders on July 6, 2015 and as a result, the closing of the Second Private Placement occurred on July 10, 2015. The Company issued 38,867,180 restricted ADSs, each representing one Series A Preference Share, which may be consolidated and redesignated from time to time up to a maximum of 3,886,718 ordinary shares, each ordinary share to be represented by one ADS. For each restricted ADS, Sofinnova paid a negotiated price of $0.15 (equating to $1.50 on an as-if-converted-to-ordinary-shares basis) resulting in gross proceeds to the Company of $5.8 million. At the time of the transaction, Dr. James Healy was a member of the Company’s Board and a managing general partner of Sofinnova Management VII, L.L.C., which is the general partner of Sofinnova. Dr. Healy resigned as Director of the Company’s Board effective December 20, 2016.</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filed another registration statement with the SEC covering the resale of these restricted American Depositary Shares and the ADSs representing ordinary shares created by the consolidation and redesignation of the Series A Preference Shares (the “Sofinnova Registrable Securities”) on July 24, 2015, which was declared effective by the SEC on August 7,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 (a) July 10, 2017 or (b) the date on which all Sofinnova Registrable Securities held by Sofinnova may be sold or transferred in compliance with Rule 144 under the Securities Act, without any volume or manner of sale restrictions.</w:t>
      </w:r>
    </w:p>
    <w:p>
      <w:pPr>
        <w:spacing w:after="0" w:line="18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existence of this preferred stock purchase option was determined to be a derivative liability effective March 5, 2015, the date on which the private placement was initially subscribed. The fair value of this liability was calculated using a Black-Scholes model and was determined to be $0.9 million at inception and was charged to accumulated deficit as a deemed non-cash dividend to Sofinnova. The liability was then marked to fair value as of March 30, 2015, the date on which the Company executed a subscription agreement with Sofinnova, resulting in a charge of $0.9 million through gain (loss) on change in fair value of derivatives. The liability of $1.8 million was reclassified to permanent equity (additional paid-in capital) on such date. Subsequent to approval of the Second Private Placement at the Company’s Annual General Meeting of Shareholders in July 2015, the Company recorded the remaining value of the BCF related to this share issuance as a non-cash dividend to preferred shareholders through accumulated deficit. The value of the BCF was determined on the same basis as the first private placement and amounted to $3.4 million less $1.8 million previously recorded for the preferred stock purchase option for a net non-cash charge of $1.6 million in the year ended December 31, 2015.</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117"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As of June 30, 2017, there were an aggregate of 23,710,305 stock options and 12,102,429 restricted stock units (“RSUs”) outstanding, representing approximately 7% and 4%, respectively, of outstanding shares (including common and preferred shares) on a fully diluted basis.</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six months ended June 30, 2017 and 2016, the Company issued 221,345 and 83,020 shares, respectively, as a result of the exercise of stock options, resulting in gross and net proceeds of $0.4 million during the six months ended June 30, 2017 and $0.1 million during the six months ended June 30, 2016.</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May 15, 2017, the Company granted a total of 91,504 RSUs and 131,575 stock options to members of the Company’s Board of Directors under the Amarin Corporation plc Stock Incentive Plan (the “2011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Also on May 15, 2017, the Company granted a total of 2,310,000 RSUs to employees under the 2011 Plan that vest over three years commencing after anticipated REDUCE-IT results upon the achievement of certain regulatory and sales performance conditions associated with the REDUCE-IT clinical trial and subsequent revenue growth.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right="40"/>
        <w:spacing w:after="0" w:line="259" w:lineRule="auto"/>
        <w:rPr>
          <w:sz w:val="20"/>
          <w:szCs w:val="20"/>
          <w:color w:val="auto"/>
        </w:rPr>
      </w:pPr>
      <w:r>
        <w:rPr>
          <w:rFonts w:ascii="Arial" w:cs="Arial" w:eastAsia="Arial" w:hAnsi="Arial"/>
          <w:sz w:val="18"/>
          <w:szCs w:val="18"/>
          <w:color w:val="auto"/>
        </w:rPr>
        <w:t>On February 1, 2017, the Company granted a total of 1,575,000 RSUs and 2,642,500 stock options to employees under the 2011 Plan. The RSUs vest annually over a three-year period and the stock options vest over a four-year period. The issuance of 989,000 of these RSUs was contingent upon shareholder approval to increase the aggregate number of shares authorized for issuance under the 2011 Plan, which was obtained at the Company’s Annual General Meeting of Shareholders held on May 15, 2017.</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July 11, 2016, the Company granted a total of 148,403 RSUs and 208,340 stock options to members of the Company’s Board of Directors under the 2011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February 1, 2016, the Company granted a total of 1,607,500 RSUs and 2,442,000 stock options to employees under the 2011 Plan. The RSUs vest annually over a three-year period and the stock options vest monthly over a four-year period. During the six months ended June 30, 2017, the Company issued 494,885 common shares related to the vesting of these RSUs, of which 191,899 shares were retained as treasury shares as settlement of employee tax obligations.</w:t>
      </w:r>
    </w:p>
    <w:p>
      <w:pPr>
        <w:spacing w:after="0" w:line="291"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March 31, 2014, the Company entered into a Co-Promotion Agreement (the “Agreement”) with Kowa Pharmaceuticals America, Inc. related to the commercialization of Vascepa</w:t>
      </w:r>
      <w:r>
        <w:rPr>
          <w:rFonts w:ascii="Arial" w:cs="Arial" w:eastAsia="Arial" w:hAnsi="Arial"/>
          <w:sz w:val="13"/>
          <w:szCs w:val="13"/>
          <w:color w:val="auto"/>
        </w:rPr>
        <w:t>®</w:t>
      </w:r>
      <w:r>
        <w:rPr>
          <w:rFonts w:ascii="Arial" w:cs="Arial" w:eastAsia="Arial" w:hAnsi="Arial"/>
          <w:sz w:val="16"/>
          <w:szCs w:val="16"/>
          <w:color w:val="auto"/>
        </w:rPr>
        <w:t xml:space="preserve"> (icosapent ethyl) capsules in the United States. Under the terms of the Agreement, Amarin granted to Kowa Pharmaceuticals America, Inc. the right to be the sole co-promoter, together with the Company, of Vascepa in the United States during the term. The initial term of the Agreement extends through 2018. The Agreement was amended on July 25, 2017 to reflect evolving promotional needs, including refinement of target lists.</w:t>
      </w:r>
    </w:p>
    <w:p>
      <w:pPr>
        <w:spacing w:after="0" w:line="15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During the term, Kowa Pharmaceuticals America, Inc. and Amarin have agreed to use commercially reasonable efforts to promote, detail and optimize sales of Vascepa in the United States. The performance requirements include a negotiated minimum number of details to be delivered by each party in the first and second position, and the use of a negotiated number of minimum sales representatives from each party. Kowa Pharmaceuticals America, Inc. has agreed to bear the costs incurred for its sales force associated with the commercialization of Vascepa and to pay for certain incremental costs associated with the use of its sales force, such as sample costs and costs for promotional and marketing materials. Amarin will continue to recognize all revenue from sales of Vascepa and will use commercially reasonable efforts to maintain a minimum amount of inventory of Vascepa for use in the United States.</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exchange for Kowa Pharmaceuticals America, Inc.’s co-promotional services, Kowa Pharmaceuticals America, Inc. is entitled to a quarterly co-promotion fee based on aggregate Vascepa gross margin that varies during the term. The percentage of aggregate Vascepa gross margin earned by Kowa Pharmaceuticals America, Inc. is scheduled, as amended, to be approximately eighteen percent (18%) in 2017, partially offset by certain other refinements. During 2018, which is the last year of the Agreement, as amended, the Company anticipates incurring expense for both the annual co-promotion fee, which in 2018 will again be calculated as a percentage of Vascepa gross margin at a modestly higher rate than in 2017, plus accrual for co-promotion tail payments. Assuming Kowa Pharmaceuticals America, Inc. fulfills its obligations in accordance with the terms of the Agreement, as amended, upon expiration of the Agreement, Kowa Pharmaceuticals America, Inc. is eligible to receive up to three years of co-promotion tail payments equal to declining percentages of the co-promotion fee earned in the final year of the Agreement.</w:t>
      </w:r>
    </w:p>
    <w:p>
      <w:pPr>
        <w:spacing w:after="0" w:line="1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June 30, 2017 and December 31, 2016, the Company had a net accrual of $12.3 million and $2.5 million, respectively, to Kowa Pharmaceuticals America, Inc. representing co-promotion fees accrued for three quarters and one quarter, respectively, under the agreement with Kowa Pharmaceuticals America, Inc., net of reimbursable amounts incurred for samples and other marketing expenses. Under the terms of the Agreement, as amended, the Company anticipates paying the co-promotion fees quarterly going forward without multiple quarters being accrued without payment.</w:t>
      </w:r>
    </w:p>
    <w:p>
      <w:pPr>
        <w:spacing w:after="0" w:line="276"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Commercialization and Supply Agreements</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February 26, 2015, the Company entered into a Development, Commercialization and Supply Agreement (the “DCS Agreement”) with Eddingpharm (Asia) Macao Commercial Offshore Limited (“Eddingpharm”) related to the development and commercialization of Vascepa in Mainland China, Hong Kong, Macau and Taiwan, or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ongoing REDUCE-IT clinical trials of Vascepa.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ind w:right="20"/>
        <w:spacing w:after="0" w:line="257" w:lineRule="auto"/>
        <w:rPr>
          <w:sz w:val="20"/>
          <w:szCs w:val="20"/>
          <w:color w:val="auto"/>
        </w:rPr>
      </w:pPr>
      <w:r>
        <w:rPr>
          <w:rFonts w:ascii="Arial" w:cs="Arial" w:eastAsia="Arial" w:hAnsi="Arial"/>
          <w:sz w:val="18"/>
          <w:szCs w:val="18"/>
          <w:color w:val="auto"/>
        </w:rPr>
        <w:t>Under the DCS Agreement, Eddingpharm will be solely responsible for development and commercialization activities in the China Territory and associated expenses. The Company will provide development assistance and be responsible for supplying finished and later bulk drug product at defined prices under negotiated terms. The Company will retain all Vascepa manufacturing rights. Eddingpharm has agreed to certain restrictions regarding the commercialization of competitive products globally and the Company has agreed to certain restrictions regarding the commercialization of competitive products in the China Territory.</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will be paid by Eddingpharm to the extent such costs are incurred in connection with the negotiated development plan or otherwise incurred by Eddingpharm. Eddingpharm will be responsible for preparing and filing regulatory applications in all countries of the China Territory at Eddingpharm’s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Upon closing of the DCS Agreement, the Company received a non-refundable $15.0 million up-front payment, which it will recognize as revenue over the estimated period in which the Company is required to provide initial and on-going regulatory and development support and clinical supply for obtaining regulatory approvals in the China Territory and through the estimated period in which the Company is required to provide commercial supply, which is currently estimated to be a period of approximately 16 years. In March 2016, Eddingpharm submitted its clinical trial application (“CTA”) with respect to the MARINE indication for Vascepa to the Chinese regulatory authority. Following the CTA submission, the Company received a non-refundable $1.0 million milestone payment, which it will recognize as revenue over the estimated period in which the Company is required to provide on-going development support needed to support the successful approval for a new drug application, which is currently estimated to be a period of approximately four years. In March 2017, the CTA was approved by the Chinese regulatory authority, and Eddingpharm expects to initiate clinical trials by the end of 2017.</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$1.0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 The Company recognizes contingent consideration from activities that is earned upon the achievement of a substantive milestone in the period in which the milestone is achieved.</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March 2016, the Company entered into an agreement with Biologix FZCo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payments based on product sales at an agreed-upon transfer price, which represents a percentage of gross selling price, subject to a minimum floor price.</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Licensing and deferred revenues currently consist of revenue attributable to receipt of up-front, non-refundable payments and milestone payments primarily related to the Eddingpharm and Biologix agreements. Up-front and milestone payments under such agreements are typically recognized as licensing revenue over the estimated period in which the Company is required to provide regulatory and development support and clinical and commercial supply pursuant to the agreements. During the six months ended June 30, 2017 and 2016, the Company recognized $0.6 million and $0.5 million of up-front and milestone payments as licensing</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revenue, respectively, and recorded $14.8 million and $15.1 million as deferred revenue as of June 30, 2017 and December 31, 2016, respectively.</w:t>
      </w:r>
    </w:p>
    <w:p>
      <w:pPr>
        <w:spacing w:after="0" w:line="341"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Company has evaluated subsequent events from June 30, 2017 through the date of the issuance of these condensed consolidated financial statements.</w:t>
      </w:r>
    </w:p>
    <w:p>
      <w:pPr>
        <w:spacing w:after="0" w:line="24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80"/>
          </w:cols>
          <w:pgMar w:left="240" w:top="341" w:right="579" w:bottom="1440" w:gutter="0" w:footer="0" w:header="0"/>
        </w:sectPr>
      </w:pPr>
    </w:p>
    <w:bookmarkStart w:id="28" w:name="page29"/>
    <w:bookmarkEnd w:id="28"/>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2016 and below under Part II, Item IA, “Risk Factors”.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Our lead product, Vascepa</w:t>
      </w:r>
      <w:r>
        <w:rPr>
          <w:rFonts w:ascii="Arial" w:cs="Arial" w:eastAsia="Arial" w:hAnsi="Arial"/>
          <w:sz w:val="13"/>
          <w:szCs w:val="13"/>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 mg/dL) hypertriglyceridemia. This FDA-approved indication for Vascepa, known as the MARINE indication, is based primarily on the successful results from the MARINE study of Vascepa in this approved patient population. In considering this approval, FDA also reviewed the successful results from our study of Vascepa in patients with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200 mg/dL and &lt;500 mg/dL) who are also on statin therapy for elevated low-density lipoprotein cholesterol, or LDL-C, levels which condition we refer to as mixed dyslipidemia or persistently high triglycerides. This study is known as the ANCHOR study. Safety data from both the MARINE and ANCHOR studies are reflected in FDA-approved labeling for Vascepa. In January 2013, we began selling and marketing Vascepa in the United States based on the FDA-approved MARINE indication. In August 2015, we also began communicating promotional information beyond the MARINE indication to healthcare professionals in the United States based on the federal court declaration described below. In March 2016, we reached agreement with the FDA and U.S. government under which they agreed to be bound by the terms of the August 2015 judicial declaration. Vascepa is available in the United States by prescription only.</w:t>
      </w:r>
    </w:p>
    <w:p>
      <w:pPr>
        <w:spacing w:after="0" w:line="169"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We market Vascepa in the United States through our direct sales force of approximately 150 sales professionals, including sales representatives and their managers. In March 2014, we entered into a co-promotion agreement in the United States with Kowa Pharmaceuticals America, Inc. under which Kowa Pharmaceuticals America, Inc. began to co-promote Vascepa in conjunction with its promotion of its primary product, a branded statin for patients with high cholesterol, commencing in May 2014.</w:t>
      </w:r>
    </w:p>
    <w:p>
      <w:pPr>
        <w:spacing w:after="0" w:line="193"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In February 2015, we entered into an exclusive agreement with Eddingpharm (Asia) Macao Commercial Offshore Limited, or Eddingpharm, to develop and commercialize Vascepa capsules in Mainland China, Hong Kong, Macau and Taiwan, or the China Territory. In March 2016, we entered into an agreement with Biologix FZCo, or Biologix, to register and commercialize Vascepa in countries within the Middle East and North Africa. We continue to assess other partnership opportunities for licensing Vascepa to partners outside of the United States.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ind w:right="40" w:firstLine="518"/>
        <w:spacing w:after="0" w:line="253" w:lineRule="auto"/>
        <w:rPr>
          <w:sz w:val="20"/>
          <w:szCs w:val="20"/>
          <w:color w:val="auto"/>
        </w:rPr>
      </w:pPr>
      <w:r>
        <w:rPr>
          <w:rFonts w:ascii="Arial" w:cs="Arial" w:eastAsia="Arial" w:hAnsi="Arial"/>
          <w:sz w:val="18"/>
          <w:szCs w:val="18"/>
          <w:color w:val="auto"/>
        </w:rPr>
        <w:t xml:space="preserve">Triglycerides are the main constituent of body fat in humans. Hypertriglyceridemia refers to a condition in which patients have high levels of triglycerides in the bloodstream. It is estimated that over 75 million adults in the United States have elevated triglyceride levels (TG </w:t>
      </w:r>
      <w:r>
        <w:rPr>
          <w:rFonts w:ascii="Arial" w:cs="Arial" w:eastAsia="Arial" w:hAnsi="Arial"/>
          <w:sz w:val="18"/>
          <w:szCs w:val="18"/>
          <w:u w:val="single" w:color="auto"/>
          <w:color w:val="auto"/>
        </w:rPr>
        <w:t>&gt;</w:t>
      </w:r>
      <w:r>
        <w:rPr>
          <w:rFonts w:ascii="Arial" w:cs="Arial" w:eastAsia="Arial" w:hAnsi="Arial"/>
          <w:sz w:val="18"/>
          <w:szCs w:val="18"/>
          <w:color w:val="auto"/>
        </w:rPr>
        <w:t xml:space="preserve">150 mg/dL), approximately 40 million adults in the United States have high triglyceride levels (TG </w:t>
      </w:r>
      <w:r>
        <w:rPr>
          <w:rFonts w:ascii="Arial" w:cs="Arial" w:eastAsia="Arial" w:hAnsi="Arial"/>
          <w:sz w:val="18"/>
          <w:szCs w:val="18"/>
          <w:u w:val="single" w:color="auto"/>
          <w:color w:val="auto"/>
        </w:rPr>
        <w:t>&gt;</w:t>
      </w:r>
      <w:r>
        <w:rPr>
          <w:rFonts w:ascii="Arial" w:cs="Arial" w:eastAsia="Arial" w:hAnsi="Arial"/>
          <w:sz w:val="18"/>
          <w:szCs w:val="18"/>
          <w:color w:val="auto"/>
        </w:rPr>
        <w:t xml:space="preserve">200 mg/dL), and approximately 4.0 million people in the United States have severely high triglyceride levels (TG </w:t>
      </w:r>
      <w:r>
        <w:rPr>
          <w:rFonts w:ascii="Arial" w:cs="Arial" w:eastAsia="Arial" w:hAnsi="Arial"/>
          <w:sz w:val="18"/>
          <w:szCs w:val="18"/>
          <w:u w:val="single" w:color="auto"/>
          <w:color w:val="auto"/>
        </w:rPr>
        <w:t>&gt;</w:t>
      </w:r>
      <w:r>
        <w:rPr>
          <w:rFonts w:ascii="Arial" w:cs="Arial" w:eastAsia="Arial" w:hAnsi="Arial"/>
          <w:sz w:val="18"/>
          <w:szCs w:val="18"/>
          <w:color w:val="auto"/>
        </w:rPr>
        <w:t xml:space="preserve">500 mg/dL), commonly known as very high triglyceride levels. Many patients with high triglyceride levels also have diabetes and other lipid level abnormalities such as high cholesterol. The patient condition of having more than one lipid level abnormality is referred to as mixed dyslipidemia. According to </w:t>
      </w:r>
      <w:r>
        <w:rPr>
          <w:rFonts w:ascii="Arial" w:cs="Arial" w:eastAsia="Arial" w:hAnsi="Arial"/>
          <w:sz w:val="18"/>
          <w:szCs w:val="18"/>
          <w:i w:val="1"/>
          <w:iCs w:val="1"/>
          <w:color w:val="auto"/>
        </w:rPr>
        <w:t>The American Heart Association Scientific Statement on Triglycerides and Cardiovascular Disease</w:t>
      </w:r>
      <w:r>
        <w:rPr>
          <w:rFonts w:ascii="Arial" w:cs="Arial" w:eastAsia="Arial" w:hAnsi="Arial"/>
          <w:sz w:val="18"/>
          <w:szCs w:val="18"/>
          <w:color w:val="auto"/>
        </w:rPr>
        <w:t xml:space="preserve"> (2011), triglycerides provide important information as a marker associated with the risk for 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9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are currently focused on completing the ongoing REDUCE-IT (Reduction of Cardiovascular Events with EPA—Intervention Trial) cardiovascular outcomes study of Vascepa, which we started in December 2011. REDUCE-IT, a multinational, prospective, randomized, double-blind, placebo-controlled study, is the first prospective cardiovascular outcomes study of any drug in a population of patients who, despite stable statin therapy, have elevated triglyceride levels. Based on the results of REDUCE-IT, we plan to seek additional indicated uses for Vascepa. In REDUCE-IT, cardiovascular event rates for patients on stable statin therapy plus four (4) grams per day of Vascepa will be compared to cardiovascular event rates for patients on stable statin therapy plus placebo. In 2016, we completed patient enrollment and randomization of 8,175 individual patients into the REDUCE-IT study, exceeding the 8,000 patients targeted for the trial.</w:t>
      </w:r>
    </w:p>
    <w:p>
      <w:pPr>
        <w:spacing w:after="0" w:line="18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 REDUCE-IT study is designed to be completed after reaching 1,612 aggregate primary cardiovascular events. Based on projected event rates, we estimate the onset of the target aggregate number of cardiovascular events to be reached in early 2018 with study results then expected to be available and published in the second or third quarter of 2018. In addition, since its inception in 2011, our REDUCE-IT special protocol assessment (SPA) agreement with the FDA has provided for periodic safety reviews and an interim efficacy and safety analysis by the study’s independent data monitoring committee (DMC) at approximately 60% of the target aggregate number of primary cardiovascular events. 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DMC at approximately 80% of the target aggregate number of primary cardiovascular events. The periodic safety reviews and interim efficacy and safety analyses are conducted confidentially by the study’s DMC. We remain blinded to all data from the study. Since patient enrollment commenced in 2011, more than 30,000 patient years of study experience have been accumulated in the REDUCE-IT study. Following each periodic review of safety data to date, the DMC has communicated to us that we should continue the study as planned.</w:t>
      </w:r>
    </w:p>
    <w:p>
      <w:pPr>
        <w:spacing w:after="0" w:line="18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In March 2016, we announced that the onset of approximately 60% of the target aggregate number of primary cardiovascular events had triggered preparation for the first pre-specified interim analysis of efficacy and safety results. Such analysis included the first review of unblinded efficacy data by the independent DMC. The DMC completed its review of the interim analysis in September 2016 and, consistent with previously stated expectations, recommended that the trial continue as planned without modification. In March 2017, we announced that the onset of approximately 80% of the target aggregate number of primary cardiovascular events has triggered preparation for a pre-specified interim efficacy and safety analysis by the study’s independent DMC. We currently expect the independent interim analysis to be conducted before the end of the third calendar quarter of 2017. As is typical, the statistical threshold for defining overwhelming efficacy on the primary endpoint at interim analyses is considerably higher than the threshold for defining statistical significance at the end of the study. In addition, we have requested the DMC to not recommend stopping the study early based only upon the achievement of statistical significance for the primary endpoint, but to ensure that supportive trends of benefit are also consistently observed in certain secondary endpoints and subpopulations before recommending that the study be stopped early for overwhelming efficacy. This is the same approach we asked the DMC to employ in connection with the REDUCE-IT study 60% interim analysis. It is our expectation that the 80% interim analysis will also result in a recommendation by the DMC to continue the trial.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ind w:right="140" w:firstLine="518"/>
        <w:spacing w:after="0" w:line="271" w:lineRule="auto"/>
        <w:rPr>
          <w:sz w:val="20"/>
          <w:szCs w:val="20"/>
          <w:color w:val="auto"/>
        </w:rPr>
      </w:pPr>
      <w:r>
        <w:rPr>
          <w:rFonts w:ascii="Arial" w:cs="Arial" w:eastAsia="Arial" w:hAnsi="Arial"/>
          <w:sz w:val="17"/>
          <w:szCs w:val="17"/>
          <w:color w:val="auto"/>
        </w:rPr>
        <w:t>In the successful Phase 3 MARINE and ANCHOR clinical trials, Vascepa was studied at a daily dose of 2 grams and 4 grams. We sought approval of Vascepa at the more efficacious 4-gram dose for use in each patient population. These trials demonstrated favorable results in their respective patient populations, particularly with the 4-gram dose of Vascepa,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79"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In April 2015, we received a Complete Response Letter, or CRL, from the FDA in response to our supplemental new drug application, or sNDA, that sought approval of Vascepa for use in patients with mixed dyslipidemia, based on the successful ANCHOR study. The CRL followed an October 2013 rescission by the FDA of a special protocol assessment, or SPA, agreement and three failed attempts by us to appeal that rescission at FDA. The FDA has acknowledged the success of the ANCHOR study, which met all primary and secondary endpoints. However, FDA determined that there were insufficient data to conclude that drug-induced changes in serum triglycerides could be recognized by the FDA as a valid surrogate for reducing cardiovascular risk in the ANCHOR population for the purpose of regulatory approval of a drug targeted at a triglyceride-lowering indication in this population. The FDA has acknowledged that the standard of proof required by the FDA for approval of a new drug indication is higher than that generally used to inform patient treatment guidelines and that used by physicians in clinical practice. The FDA did not determine that the drug-induced effects of Vascepa, which go beyond triglyceride-lowering, would not actually reduce cardiovascular risk in this population and the FDA has encouraged us to complete the REDUCE-IT outcomes study. Based on our communications with the FDA, we expect that final positive results from the REDUCE-IT outcomes study will be required for label expansion for Vascepa.</w:t>
      </w:r>
    </w:p>
    <w:p>
      <w:pPr>
        <w:spacing w:after="0" w:line="183"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In May 2015, we and a group of independent physicians filed a lawsuit in federal court to permit us to promote to healthcare professionals the use of Vascepa in patients with mixed dyslipidemia so long as the promotion is truthful and non-misleading. This use reflects recognized medical practice but is not covered by current FDA-approved labeling for the drug. Historically, FDA has considered promotion of drug uses not covered by FDA-approved labelling to be illegal off-label promotion, even if such promotion is truthful and non-misleading. In August 2015, we were granted preliminary relief in the form of a declaratory judgment in this lawsuit. The court declaration permits us to promote to healthcare professionals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 In August 2015, we began to communicate promotional information beyond the MARINE indication to healthcare professionals in the United States as permitted by this court declaration and in March 2016, the parties obtained court approval of negotiated settlement terms under which the FDA and the U.S. government agreed to be bound by the court’s conclusions from the August 2015 declaration that we may engage in truthful and non-misleading speech promoting the off-label use of Vascepa and that certain statements and disclosures that we proposed to make to healthcare professionals were truthful and non-misleading. 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Commercialization – United States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commenced the commercial launch of 1-gram size Vascepa capsules in the United States in January 2013. We commenced sales and shipments of Vascepa at that time to our network of U.S.-based wholesalers. We currently market Vascepa in the United States through our direct sales force of approximately 150 sales professionals, including sales representatives and their managers. Commencing in May 2014, in addition to Vascepa promotion by our sales representatives, Kowa Pharmaceuticals America, Inc. began co-promoting Vascepa in conjunction with its promotion of its primary product, a branded statin for patients with high cholesterol. We also employ various marketing personnel to support our commercialization of Vascepa. In October 2016, in addition to the original 1-gram capsule size for Vascepa, we introduced a smaller 0.5-gram capsule size, the first and only 0.5-gram prescription omega-3 alternative available on the market, for the subset of patients who prefer a smaller capsule. The FDA-approved dosing for Vascepa continues to be 4 grams per day, and we expect that the majority of patients taking Vascepa will continue to be prescribed the 1-gram size Vascepa capsule. We also expect that the majority of new patients will be prescribed the 1-gram size Vascepa capsule.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firstLine="518"/>
        <w:spacing w:after="0" w:line="285" w:lineRule="auto"/>
        <w:rPr>
          <w:sz w:val="20"/>
          <w:szCs w:val="20"/>
          <w:color w:val="auto"/>
        </w:rPr>
      </w:pPr>
      <w:r>
        <w:rPr>
          <w:rFonts w:ascii="Arial" w:cs="Arial" w:eastAsia="Arial" w:hAnsi="Arial"/>
          <w:sz w:val="16"/>
          <w:szCs w:val="16"/>
          <w:color w:val="auto"/>
        </w:rPr>
        <w:t>Under our co-promotion agreement with Kowa Pharmaceuticals America, Inc., both parties have agreed to use commercially reasonable efforts to promote, detail and optimize sales of Vascepa in the United States and have agreed to specific performance requirements detailed in the related agreement. The performance requirements include a negotiated minimum number of sales details to be delivered by each party in the first and second position, the use of a negotiated number of minimum sales representatives from each party, and the achievement of minimum levels of Vascepa revenue in 2015 and beyond. First position refers to when a sales representative’s primary purpose in detailing is related to Vascepa, while second position refers to when a sales representative’s primary purpose in detailing is to promote another product, but they also devote time in the same sales call to promote Vascepa. Kowa Pharmaceuticals America, Inc. has also agreed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 Inc.’s co-promotional services, Kowa Pharmaceuticals America, Inc. is entitled to a quarterly co-promotion fee based on a percentage of aggregate Vascepa gross margin that varies during the term. The percentage of aggregate Vascepa gross margin earned by Kowa Pharmaceuticals America, Inc. is scheduled, as amended, to be approximately eighteen percent (18%) in 2017, partially offset by certain other refinements. During 2018, which is the last year of the agreement, as amended, we anticipate incurring expense for both the annual co-promotion fee, which in 2018 will again be calculated as a percentage of Vascepa gross margin at a modestly higher rate than in 2017, plus accrual for co-promotion tail payments. Assuming Kowa Pharmaceuticals America, Inc. fulfills its obligations in accordance with the terms of the agreement, as amended, upon expiration of the agreement, Kowa Pharmaceuticals America, Inc. is eligible to receive up to three years of co-promotion tail payments equal to declining percentages of the co-promotion fee earned in the final year of the agreement.</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Based on monthly compilations of data provided by a third party, Symphony Health Solutions, the estimated number of normalized total Vascepa prescriptions for the three months ended June 30, 2017 was approximately 344,000 compared to 305,000 and 230,000 in the three months ended March 31, 2017 and June 30, 2016, respectively. According to data from another third party, IMS Health, the estimated number of normalized total Vascepa prescriptions for the three months ended June 30, 2017 was approximately 372,000 compared to 335,000 and 245,000 in the three months ended March 31, 2017 and June 30, 2016, respectively. 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 During 2016, predominantly in the second quarter, wholesaler inventory levels increased based on estimated days of inventory on hand. In addition, regional stocking of Vascepa expanded at certain retail pharmacies, likely due to higher volume sales of Vascepa.</w:t>
      </w:r>
    </w:p>
    <w:p>
      <w:pPr>
        <w:spacing w:after="0" w:line="18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data reported above is based on information made available to us from third-party resources and may be subject to adjustment and may overstate or understate actual prescriptions.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We believe investors should consider our results over several quarters, or longer, before making an assessment about potential future performance.</w:t>
      </w:r>
    </w:p>
    <w:p>
      <w:pPr>
        <w:spacing w:after="0" w:line="17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commercialization of pharmaceutical products is a complex undertaking, and our ability to effectively and profitably commercialize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Factors—Risks Related to the Commercialization and Development of Vascepa.”</w:t>
      </w:r>
    </w:p>
    <w:p>
      <w:pPr>
        <w:spacing w:after="0" w:line="18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In August 2015, we and our co-promotion partner began communicating promotional information beyond MARINE clinical trial data to targeted healthcare professionals. Such qualified communications are being made pursuant to the August 2015 federal district court declaration and related March 2016 settlement allowing truthful and non-misleading promotion of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i w:val="1"/>
          <w:iCs w:val="1"/>
          <w:color w:val="auto"/>
        </w:rPr>
        <w:t>Commercialization – Outside the United States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February 2015, we announced an exclusive agreement with Eddingpharm to develop and commercialize Vascepa capsules in what we refer to as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China Territory, consisting of the territories of Mainland China, Hong Kong, Macau and Taiwan, for uses that are currently commercialized and under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development by us in the United States based on the MARINE, ANCHOR and ongoing REDUCE-IT clinical trials of Vascepa. Under the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Eddingpharm is responsible for development and commercialization activities in the China Territory and associated expenses. We will provide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assistance and be responsible for supplying the product. Terms of the agreement include up-front and milestone payments to us of up to $169.0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including a non-refundable $15.0 million up-front payment received at closing, a non-refundable milestone payment of $1.0 million received upon successful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submission of a clinical trial application with respect to the MARINE indication for Vascepa to the Chinese regulatory authority in March 2016, and future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regulatory and sales-based milestone payments of up to an additional $153.0 million. The regulatory milestone events relate to the submission and approval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applications to the applicable regulatory authority, such as a clinical trial application, clinical trial exemption, or import drug license application.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to be received upon achievement of the regulatory milestone events relate to the submission and approval for three indications, and range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to $15.0 million for a total of $33.0 million. The sales-based milestone events occur when annual aggregate net sales of Vascepa in the territory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equals or exceeds certain specified thresholds, and range from $5.0 million to $50.0 million for a total of $120.0 million. Eddingpharm will also pay us tiered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double-digit percentage royalties on net sales of Vascepa in the China Territory escalating to the high teens. We will supply finished product to Eddingpharm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negotiated terms.</w:t>
      </w:r>
    </w:p>
    <w:p>
      <w:pPr>
        <w:spacing w:after="0" w:line="21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March 2016, we entered into an agreement with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Upon closing of the agreement, we received a non-refundable up-front payment, which will be recognized as revenue over 10 years commencing upon first marketing approval of Vascepa in the territory. We are entitled to receive payments based on product sales at an agreed-upon transfer price, which represents a percentage of gross selling price, subject to a minimum floor price.</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continue to assess other partnership opportunities for licensing Vascepa to partners outside of the United States.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REDUCE-IT is the first prospective cardiovascular outcomes study of any drug in a population of patients who, despite stable statin therapy, have elevated triglyceride levels. REDUCE-IT is a multinational, prospective, randomized, double-blind, placebo-controlled study designed to assess the cumulative effect on the rate of cardiovascular events for patients treated with Vascepa as an add-on to statin therapy compared to the corresponding rate of cardiovascular events for patients treated with placebo on top of statin therapy. REDUCE-IT is not designed to demonstrate that lowering triglycerides alone in the study population is sufficient to lower the rate of major adverse cardiovascular events compared to placebo. Rather, it is designed to test the hypothesis that the clinical effects of Vascepa, including its impact on triglyceride lowering, are effective in lowering the rate of major adverse cardiovascular events compared to placebo in patients who despite statin therapy have risk factors for cardiovascular disease, including elevated triglyceride levels. Based on the results of REDUCE-IT, we may seek additional indications for Vascepa beyond the indications studied in the ANCHOR or MARINE trials.</w:t>
      </w:r>
    </w:p>
    <w:p>
      <w:pPr>
        <w:spacing w:after="0" w:line="166"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In 2016, we completed patient enrollment and randomization of 8,175 individual patients into the REDUCE-IT study, exceeding the 8,000 patients targeted for the trial.</w:t>
      </w:r>
    </w:p>
    <w:p>
      <w:pPr>
        <w:spacing w:after="0" w:line="170"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Completion of the REDUCE-IT study is designed to occur after reaching an aggregate number of cardiovascular events. Based on projected event rates, we estimate the onset of the target aggregate number of cardiovascular events to be reached in early 2018 with study results then expected to be available in the second or third quarter of 2018. In addition, since its inception in 2011, our REDUCE-IT SPA agreement with the FDA has provided for periodic safety reviews and an interim efficacy and safety analysis by the independent DMC at approximately 60% of the target aggregate number of primary cardiovascular events. 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DMC at approximately 80% of the target aggregate number of primary cardiovascular events.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ind w:firstLine="518"/>
        <w:spacing w:after="0" w:line="286" w:lineRule="auto"/>
        <w:rPr>
          <w:sz w:val="20"/>
          <w:szCs w:val="20"/>
          <w:color w:val="auto"/>
        </w:rPr>
      </w:pPr>
      <w:r>
        <w:rPr>
          <w:rFonts w:ascii="Arial" w:cs="Arial" w:eastAsia="Arial" w:hAnsi="Arial"/>
          <w:sz w:val="16"/>
          <w:szCs w:val="16"/>
          <w:color w:val="auto"/>
        </w:rPr>
        <w:t>In March 2016, we announced that the onset of approximately 60% of the target aggregate number of primary cardiovascular events had triggered preparation for the first pre-specified interim analysis of efficacy and safety results. Such analysis included the first review of unblinded efficacy data by the independent DMC. The DMC completed its review of the interim analysis in September 2016 and, consistent with previously stated expectations, recommended that the trial continue as planned without modification. In March 2017, we announced that the onset of approximately 80% of the target aggregate number of primary cardiovascular events has triggered preparation for a pre-specified interim efficacy and safety analysis by the study’s independent DMC. We currently expect the independent interim analysis to be conducted before the end of the third calendar quarter of 2017. As is typical, the statistical threshold for defining overwhelming efficacy on the primary endpoint at interim analyses is considerably higher than the threshold for defining statistical significance at the end of the study. In addition, we have requested the DMC to not recommend stopping the study early based only upon the achievement of statistical significance for the primary endpoint, but to ensure that supportive trends of benefit are also consistently observed in certain secondary endpoints and subpopulations before recommending that the study be stopped early for overwhelming efficacy. This is the same approach we asked the DMC to employ in connection with the REDUCE-IT study 60% interim analysis. It is our expectation that the 80% interim analysis will also result in a recommendation by the DMC to continue the trial. By design, it is most common for cardiovascular outcomes studies not to be stopped upon an interim look. We remain blinded to all data from the study. Unless overwhelming efficacy and safety is declared by the DMC at an interim look or the study is halted due to a patient safety concern, Amarin personnel will remain blinded to the efficacy and safety data from the REDUCE-IT study until the study is complete.</w:t>
      </w:r>
    </w:p>
    <w:p>
      <w:pPr>
        <w:spacing w:after="0" w:line="172"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Since patient enrollment commenced in 2011, more than 30,000 patient years of study experience have been accumulated in REDUCE-IT. The DMC has reviewed unblinded safety data on a quarterly basis since 2013 and, after each such review of unblinded safety data to date, the DMC has recommended to us that the study be continued as planned.</w:t>
      </w:r>
    </w:p>
    <w:p>
      <w:pPr>
        <w:spacing w:after="0" w:line="181"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Our scientific rationale for the REDUCE-IT study is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 levels correlates with reduced cardiovascular risk. Our scientific rationale for the REDUCE-IT study is also supported by research on the putative cardioprotective effects of EPA as presented in scientific literature. It is possible that the effects of EPA may be due not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 Supply</w:t>
      </w:r>
    </w:p>
    <w:p>
      <w:pPr>
        <w:spacing w:after="0" w:line="117"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Prior to 2015, all of our active pharmaceutical ingredient, or API, that has been utilized in product sold was manufactured by two suppliers: Nisshin Pharma, Inc., or Nisshin, and Chemport, Inc., or Chemport. During 2015, we began purchasing API from a third supplier, Finorga SAS, or Novasep.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Financial Position</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We believe that our cash and cash equivalents of $85.5 million as of June 30, 2017 will be sufficient to fund our projected operations through results of the REDUCE-IT study, which we anticipate will be available in the second or third quarter of 2018. Depending on the level of cash generated from operations, additional capital may be required to sustain operations, fund debt obligations or expand promotion of Vascepa as contemplated following anticipated successful results of the REDUCE-IT study. We anticipate that quarterly net cash outflows in future periods will be variable.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i w:val="1"/>
          <w:iCs w:val="1"/>
          <w:color w:val="auto"/>
        </w:rPr>
        <w:t>Product Revenue, net</w:t>
      </w:r>
      <w:r>
        <w:rPr>
          <w:rFonts w:ascii="Arial" w:cs="Arial" w:eastAsia="Arial" w:hAnsi="Arial"/>
          <w:sz w:val="16"/>
          <w:szCs w:val="16"/>
          <w:color w:val="auto"/>
        </w:rPr>
        <w:t>. All of our product revenue is derived from product sales of 1-gram and 0.5-gram size capsules of Vascepa, net of allowances,</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discounts, incentives, rebates, chargebacks and returns.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We commenced our commercial launch of 1-gram size Vascepa capsules in the United States in January 2013, and introduced a smaller 0.5-gram size capsule in October 2016. In accordance with U.S. Generally Accepted Accounting Principles, or GAAP, during 2013, before we had the ability to reliably estimate returns of Vascepa from our Distributors, revenue was recognized based on the resale of Vascepa for the purposes of filling patient prescriptions, and not based on our sales to such Distributors. In 2014, we concluded that we had developed sufficient history such that we can reliably estimate returns and as a result, began to recognize revenue based on sales to our Distributors.</w:t>
      </w:r>
    </w:p>
    <w:p>
      <w:pPr>
        <w:spacing w:after="0" w:line="166"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i w:val="1"/>
          <w:iCs w:val="1"/>
          <w:color w:val="auto"/>
        </w:rPr>
        <w:t>Licensing revenue</w:t>
      </w:r>
      <w:r>
        <w:rPr>
          <w:rFonts w:ascii="Arial" w:cs="Arial" w:eastAsia="Arial" w:hAnsi="Arial"/>
          <w:sz w:val="18"/>
          <w:szCs w:val="18"/>
          <w:color w:val="auto"/>
        </w:rPr>
        <w:t>. Licensing revenue currently consists of revenue attributable to receipt of up-front, non-refundable payments and milestone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related to license and distribution agreements for Vascepa outside the United States. Up-front and milestone payments under such agreements are typically recognized as licensing revenue over the estimated period in which we are required to provide regulatory and development support and clinical and commercial supply pursuant to the agreements.</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includes the cost of API for Vascepa on which revenue was recognized during the period,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w:t>
      </w:r>
    </w:p>
    <w:p>
      <w:pPr>
        <w:spacing w:after="0" w:line="18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consists primarily of salaries and other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stock-based compensation expense, for personnel in our sales, marketing, executive, business development, finance and information technology functions, as well as co-promotion fees accrued under the agreement with Kowa Pharmaceuticals America, Inc. Other costs primarily include facility costs and professional fees for accounting, consulting and legal services.</w:t>
      </w:r>
    </w:p>
    <w:p>
      <w:pPr>
        <w:spacing w:after="0" w:line="18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i w:val="1"/>
          <w:iCs w:val="1"/>
          <w:color w:val="auto"/>
        </w:rPr>
        <w:t>Research and Development Expense</w:t>
      </w:r>
      <w:r>
        <w:rPr>
          <w:rFonts w:ascii="Arial" w:cs="Arial" w:eastAsia="Arial" w:hAnsi="Arial"/>
          <w:sz w:val="16"/>
          <w:szCs w:val="16"/>
          <w:color w:val="auto"/>
        </w:rPr>
        <w:t>. Research and development expense consists primarily of fees paid to professional service providers in</w:t>
      </w:r>
      <w:r>
        <w:rPr>
          <w:rFonts w:ascii="Arial" w:cs="Arial" w:eastAsia="Arial" w:hAnsi="Arial"/>
          <w:sz w:val="16"/>
          <w:szCs w:val="16"/>
          <w:i w:val="1"/>
          <w:iCs w:val="1"/>
          <w:color w:val="auto"/>
        </w:rPr>
        <w:t xml:space="preserve"> </w:t>
      </w:r>
      <w:r>
        <w:rPr>
          <w:rFonts w:ascii="Arial" w:cs="Arial" w:eastAsia="Arial" w:hAnsi="Arial"/>
          <w:sz w:val="16"/>
          <w:szCs w:val="16"/>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as well as costs of product supply received from suppliers when such receipt by us is prior to regulatory approval of the supplier. We expense research and development costs as incurred.</w:t>
      </w:r>
    </w:p>
    <w:p>
      <w:pPr>
        <w:spacing w:after="0" w:line="16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i w:val="1"/>
          <w:iCs w:val="1"/>
          <w:color w:val="auto"/>
        </w:rPr>
        <w:t>Gain on Change in Fair Value of Derivative Liabilities</w:t>
      </w:r>
      <w:r>
        <w:rPr>
          <w:rFonts w:ascii="Arial" w:cs="Arial" w:eastAsia="Arial" w:hAnsi="Arial"/>
          <w:sz w:val="18"/>
          <w:szCs w:val="18"/>
          <w:color w:val="auto"/>
        </w:rPr>
        <w:t>. Gain on change in fair value of derivative liabilities is comprised of: (i) the change in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derivative liability related to the change in control provision associated with the December 2012 financing with BioPharma Secured Debt Fund II Holdings Cayman LP, or BioPharma, and (ii) the change in fair value of the derivative liabilities related to the change in control provisions associated with the May 2014 and November 2015 exchangeable senior notes.</w:t>
      </w:r>
    </w:p>
    <w:p>
      <w:pPr>
        <w:spacing w:after="0" w:line="18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i w:val="1"/>
          <w:iCs w:val="1"/>
          <w:color w:val="auto"/>
        </w:rPr>
        <w:t>Interest and Other Income (Expense), Net</w:t>
      </w:r>
      <w:r>
        <w:rPr>
          <w:rFonts w:ascii="Arial" w:cs="Arial" w:eastAsia="Arial" w:hAnsi="Arial"/>
          <w:sz w:val="17"/>
          <w:szCs w:val="17"/>
          <w:color w:val="auto"/>
        </w:rPr>
        <w:t>. Interest expense consists of interest incurred under lease obligations, interest incurred under our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2012 financing arrangement with BioPharma and interest incurred under our 3.5% exchangeable notes. Interest expense under our BioPharma financing arrangement is calculated based on an estimated repayment schedule. Interest expense under our exchangeable notes includes the amortization of the conversion option related to our exchangeable debt, the amortization of the related debt discounts and debt obligation coupon interest. Interest expense under our BioPharma financing arrangement is calculated based on an estimated repayment schedule. Interest income consists of interest earned on our cash and cash equivalents. Other interest (expense), net, consists primarily of foreign exchange losses and gains.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is based on our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 summary of our significant accounting policies is contained in Note 2 to our condensed consolidated financial statements included elsewhere in this Quarterly Report on Form 10-Q. We believe the following critical accounting policies affect our more significant judgments and estimates used in the preparation of our consolidated financial statements.</w:t>
      </w:r>
    </w:p>
    <w:p>
      <w:pPr>
        <w:spacing w:after="0" w:line="182"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—We sell Vascepa principally to a limited number of Distributors, that in turn resell Vascepa to retail pharmacies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resell it to patients and healthcare providers. In accordance with GAAP, our revenue recognition policy requires that: (i) there is persuasive evidence that an arrangement exists between us and the Distributor, (ii) delivery has occurred, (iii) collectability is reasonably assured and (iv) the price is fixed or determinable.</w:t>
      </w:r>
    </w:p>
    <w:p>
      <w:pPr>
        <w:spacing w:after="0" w:line="18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We began recognizing revenue from the sale of Vascepa following our commercial launch in the United States in January 2013. Prior to 2013, we recognized no revenue from Vascepa sales. We sell Vascepa to Distributors. In accordance with GAAP, during 2013, before we had the ability to reliably estimate returns of Vascepa from our Distributors, revenue was recognized based on the resale of Vascepa for the purposes of filling patient prescriptions, and not based on our sales to such Distributors. In 2014, we concluded that we had developed sufficient history such that we can reliably estimate returns and as a result, began to recognize revenue based on sales to our Distributors. Consequently, we recognized net product revenue of $79.3 million and $58.1 million based on sales to Distributors during the six months ended June 30, 2017 and 2016, respectively.</w:t>
      </w:r>
    </w:p>
    <w:p>
      <w:pPr>
        <w:spacing w:after="0" w:line="178"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have written contracts with our Distributors, and delivery occurs when a Distributor receives Vascepa. We evaluate the creditworthiness of each of our Distributors to determine whether revenues can be recognized upon delivery, subject to satisfaction of the other requirements, or whether recognition is required to be delayed until receipt of payment. In order to conclude that the price is fixed or determinable, we must be able to (i) calculate our gross product revenues from the sales to Distributors and (ii) reasonably estimate our net product revenues. We calculate gross product revenues based on the wholesale acquisition cost that we charge our Distributors for Vascepa. We estimate our net product revenues by deducting from our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 The gross to net deductions are estimated based on available actual information, historical data, known trends, and levels of inventory in the distribution channel. We rely on resale data provided by our Distributors as well as prescription data provided by Symphony Health Solutions and IMS Health in estimating the level of inventory held in the distribution channel. A hypothetical 5% change in estimated aggregate bottles of channel inventory would result in a change of less than 1% in net product revenues reported during each of the six months ended June 30, 2017 and 2016.</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When evaluating multiple-element arrangements, we identify the deliverables included within the agreement and evaluate which deliverables represent separate units of accounting based on whether the delivered element has stand-alone value to the collaborator or if the arrangement includes a general right of return for delivered items. We may receive up-front, non-refundable payments when licensing our intellectual property in conjunction with research and development agreements. In determining the units of accounting, we evaluate whether the license has stand-alone value from the undelivered elements to the collaborative partner based 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independently.</w:t>
      </w:r>
    </w:p>
    <w:p>
      <w:pPr>
        <w:spacing w:after="0" w:line="189"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When we believe a license to our intellectual property does not have stand-alone value from the other deliverables to be provided in the arrangement, we generally recognize revenue attributable to the license over the contractual or estimated performance period. Any unrecognized portion of license revenue is classified within deferred revenue in the accompanying consolidated balance sheets. When we believe a license to our intellectual property has stand-alone value, we recognize revenue attributed to the license upon delivery. The periods over which revenue is recognized is subject to estimates and may change over the course of the agreement. Such a change could have a material impact on the amount of revenue we record in future periods.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6" w:name="page37"/>
    <w:bookmarkEnd w:id="36"/>
    <w:p>
      <w:pPr>
        <w:ind w:firstLine="518"/>
        <w:spacing w:after="0" w:line="287" w:lineRule="auto"/>
        <w:rPr>
          <w:sz w:val="20"/>
          <w:szCs w:val="20"/>
          <w:color w:val="auto"/>
        </w:rPr>
      </w:pPr>
      <w:r>
        <w:rPr>
          <w:rFonts w:ascii="Arial" w:cs="Arial" w:eastAsia="Arial" w:hAnsi="Arial"/>
          <w:sz w:val="16"/>
          <w:szCs w:val="16"/>
          <w:i w:val="1"/>
          <w:iCs w:val="1"/>
          <w:color w:val="auto"/>
        </w:rPr>
        <w:t>Derivative Financial Liabilities</w:t>
      </w:r>
      <w:r>
        <w:rPr>
          <w:rFonts w:ascii="Arial" w:cs="Arial" w:eastAsia="Arial" w:hAnsi="Arial"/>
          <w:sz w:val="16"/>
          <w:szCs w:val="16"/>
          <w:color w:val="auto"/>
        </w:rPr>
        <w:t>—Derivative financial liabilities are initially recorded at fair value. They are subsequently held at fair value, with gains</w:t>
      </w:r>
      <w:r>
        <w:rPr>
          <w:rFonts w:ascii="Arial" w:cs="Arial" w:eastAsia="Arial" w:hAnsi="Arial"/>
          <w:sz w:val="16"/>
          <w:szCs w:val="16"/>
          <w:i w:val="1"/>
          <w:iCs w:val="1"/>
          <w:color w:val="auto"/>
        </w:rPr>
        <w:t xml:space="preserve"> </w:t>
      </w:r>
      <w:r>
        <w:rPr>
          <w:rFonts w:ascii="Arial" w:cs="Arial" w:eastAsia="Arial" w:hAnsi="Arial"/>
          <w:sz w:val="16"/>
          <w:szCs w:val="16"/>
          <w:color w:val="auto"/>
        </w:rPr>
        <w:t>and losses arising for changes in fair value recognized in the statement of operations. The fair value of derivative financial liabilities is determined using various valuation techniques. We use our judgment to select a variety of methods and make assumptions that are mainly based on market conditions existing at each balance sheet date, which include our projections for future estimated revenues, management estimates of the probability of a change in control occurring, and the terms of debt issues of similar companies. Fluctuations in the assumptions used in the valuation model would result in adjustments to the fair value of the derivative liabilities reflected on our balance sheet and, therefore, our statement of operations. If we issue shares to discharge the liability, the derivative financial liability is derecognized and common stock and additional paid-in capital are recognized on the issuance of those shares. For options and warrants treated as derivative financial liabilities, at settlement date the carrying value of the options and warrants are transferred to equity. The cash proceeds received from shareholders for additional shares are recorded in common stock and additional paid-in capital. We have recorded financial derivatives related to the change in control provision associated with our December 2012 royalty-bearing debt financing and the change in control provisions associated with our May 2014 and November 2015 exchangeable senior notes (both derecognized upon exchange of the debt hosts into equity during the third quarter of 2016).</w:t>
      </w:r>
    </w:p>
    <w:p>
      <w:pPr>
        <w:spacing w:after="0" w:line="173"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i w:val="1"/>
          <w:iCs w:val="1"/>
          <w:color w:val="auto"/>
        </w:rPr>
        <w:t>Inventory</w:t>
      </w:r>
      <w:r>
        <w:rPr>
          <w:rFonts w:ascii="Arial" w:cs="Arial" w:eastAsia="Arial" w:hAnsi="Arial"/>
          <w:sz w:val="16"/>
          <w:szCs w:val="16"/>
          <w:color w:val="auto"/>
        </w:rPr>
        <w:t>—We capitalize purchases of saleable inventory of Vascepa from suppliers that have been qualified by the FDA. During the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presented, the API purchased for Vascepa was sourced from three API suppliers. If we add a new API supplier, all Vascepa API purchased from such supplier is included as a component of research and development expense until the new API supplier is approved. Upon sNDA approval of each additional supplier, we capitalize subsequent Vascepa API purchases from such supplier as inventory. We state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An allowance is established when management determines that certain inventories may not be saleable. If inventory cost exceeds expected net realizable value due to obsolescence, damage, quantities in excess of expected demand, changes in price levels or other causes, then we will reduce the carrying value of such inventory to net realizable value and recognize the difference as a component of cost of goods sold in the period in which it occurs. We expense inventory identified for use as marketing samples when they are packaged. The average cost reflects the actual purchase price of Vascepa API. Additionally, the determination of the classification of our inventory requires the use of estimates in order to determine the portion of inventories anticipated to be utilized within twelve months of the balance sheet date.</w:t>
      </w:r>
    </w:p>
    <w:p>
      <w:pPr>
        <w:spacing w:after="0" w:line="173"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—Deferred tax assets and liabilities are recognized for the future tax consequences of differences between the carrying amounts and tax</w:t>
      </w:r>
      <w:r>
        <w:rPr>
          <w:rFonts w:ascii="Arial" w:cs="Arial" w:eastAsia="Arial" w:hAnsi="Arial"/>
          <w:sz w:val="17"/>
          <w:szCs w:val="17"/>
          <w:i w:val="1"/>
          <w:iCs w:val="1"/>
          <w:color w:val="auto"/>
        </w:rPr>
        <w:t xml:space="preserve"> </w:t>
      </w:r>
      <w:r>
        <w:rPr>
          <w:rFonts w:ascii="Arial" w:cs="Arial" w:eastAsia="Arial" w:hAnsi="Arial"/>
          <w:sz w:val="17"/>
          <w:szCs w:val="17"/>
          <w:color w:val="auto"/>
        </w:rPr>
        <w:t>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66"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us in our tax filings or positions is more likely than not to be realized, assuming that the matter in question will be decided based on its technical merits. Our policy is to record interest and penalties in the provision for income taxes.</w:t>
      </w:r>
    </w:p>
    <w:p>
      <w:pPr>
        <w:spacing w:after="0" w:line="187"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We assess our ability to realize deferred tax assets at each reporting period. The realization of deferred tax assets depends on generating future taxable income during the periods in which the tax benefits are deductible or creditable. We have historically generated annual positive taxable income in the United States. When making our assessment about the realization of our U.S. deferred tax assets at June 30, 2017, we considered all available evidence, placing particular weight on evidence that could be objectively verified. The evidence considered included the (i) historical profitability of our U.S. operations,</w:t>
      </w:r>
    </w:p>
    <w:p>
      <w:pPr>
        <w:spacing w:after="0" w:line="2" w:lineRule="exact"/>
        <w:rPr>
          <w:sz w:val="20"/>
          <w:szCs w:val="20"/>
          <w:color w:val="auto"/>
        </w:rPr>
      </w:pPr>
    </w:p>
    <w:p>
      <w:pPr>
        <w:ind w:right="40" w:firstLine="8"/>
        <w:spacing w:after="0" w:line="269" w:lineRule="auto"/>
        <w:tabs>
          <w:tab w:leader="none" w:pos="265" w:val="left"/>
        </w:tabs>
        <w:numPr>
          <w:ilvl w:val="0"/>
          <w:numId w:val="18"/>
        </w:numPr>
        <w:rPr>
          <w:rFonts w:ascii="Arial" w:cs="Arial" w:eastAsia="Arial" w:hAnsi="Arial"/>
          <w:sz w:val="17"/>
          <w:szCs w:val="17"/>
          <w:color w:val="auto"/>
        </w:rPr>
      </w:pPr>
      <w:r>
        <w:rPr>
          <w:rFonts w:ascii="Arial" w:cs="Arial" w:eastAsia="Arial" w:hAnsi="Arial"/>
          <w:sz w:val="17"/>
          <w:szCs w:val="17"/>
          <w:color w:val="auto"/>
        </w:rPr>
        <w:t>sources of future taxable income, giving weight to sources according to the extent to which they can be objectively verified, and (iii) the risks to our business related to the commercialization and development of Vascepa. Based on our assessment, we concluded that the recorded net U.S. deferred tax assets of $11.1 million are more likely than not to be realizable as of June 30, 2017. The majority of our deferred tax assets are held outside of the United States, for which we have established a full valuation allowance. Changes in historical earnings performance and future earnings projections, among other factors, may cause us to adjust our valuation allowance on deferred tax assets, which would impact our income tax expense in the period in which we determine that these factors have changed. In the event sufficient taxable income is not generated in future periods, additional valuation allowances could be required relating to these U.S. deferred tax assets.</w:t>
      </w:r>
    </w:p>
    <w:p>
      <w:pPr>
        <w:spacing w:after="0" w:line="18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Excess tax benefits and deficiencies that arise upon vesting or exercise of share-based payments are recognized as an income tax benefit and expense, respectively, in the condensed consolidated statement of operations.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FASB, and are early adopted by us or adopted as of the specified effective date. We considered the following recent accounting pronouncements which were not yet adopted as of June 30, 2017:</w:t>
      </w:r>
    </w:p>
    <w:p>
      <w:pPr>
        <w:spacing w:after="0" w:line="124"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Scope of Modification Accounting</w:t>
      </w:r>
      <w:r>
        <w:rPr>
          <w:rFonts w:ascii="Arial" w:cs="Arial" w:eastAsia="Arial" w:hAnsi="Arial"/>
          <w:sz w:val="18"/>
          <w:szCs w:val="18"/>
          <w:color w:val="auto"/>
        </w:rPr>
        <w:t>. The amendments in ASU No. 2017-09 provide guidance about which changes to the terms or conditions of a share-based payment award require an entity to apply modification accounting in Topic 718. The new guidance is effective for fiscal years beginning after December 15, 2017, including interim periods within those fiscal years, with early adoption permitted. We have evaluated the accounting, transition and disclosure requirements of these standards and do not expect them to have a material impact on our consolidated financial statements.</w:t>
      </w:r>
    </w:p>
    <w:p>
      <w:pPr>
        <w:spacing w:after="0" w:line="188" w:lineRule="exact"/>
        <w:rPr>
          <w:sz w:val="20"/>
          <w:szCs w:val="20"/>
          <w:color w:val="auto"/>
        </w:rPr>
      </w:pPr>
    </w:p>
    <w:p>
      <w:pPr>
        <w:ind w:right="360" w:firstLine="518"/>
        <w:spacing w:after="0" w:line="291"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w:t>
      </w:r>
      <w:r>
        <w:rPr>
          <w:rFonts w:ascii="Arial" w:cs="Arial" w:eastAsia="Arial" w:hAnsi="Arial"/>
          <w:sz w:val="16"/>
          <w:szCs w:val="16"/>
          <w:color w:val="auto"/>
        </w:rPr>
        <w:t>, which is intended to reduce diversity in practice regarding how certain cash receipts and cash payments related to eight specific issues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presented and classified in the statement of cash flows. In November 2016, the FASB issued ASU No. 2016-18, </w:t>
      </w:r>
      <w:r>
        <w:rPr>
          <w:rFonts w:ascii="Arial" w:cs="Arial" w:eastAsia="Arial" w:hAnsi="Arial"/>
          <w:sz w:val="16"/>
          <w:szCs w:val="16"/>
          <w:i w:val="1"/>
          <w:iCs w:val="1"/>
          <w:color w:val="auto"/>
        </w:rPr>
        <w:t>Statement of Cash Flows (Topic 230):</w:t>
      </w:r>
      <w:r>
        <w:rPr>
          <w:rFonts w:ascii="Arial" w:cs="Arial" w:eastAsia="Arial" w:hAnsi="Arial"/>
          <w:sz w:val="16"/>
          <w:szCs w:val="16"/>
          <w:color w:val="auto"/>
        </w:rPr>
        <w:t xml:space="preserve"> </w:t>
      </w:r>
      <w:r>
        <w:rPr>
          <w:rFonts w:ascii="Arial" w:cs="Arial" w:eastAsia="Arial" w:hAnsi="Arial"/>
          <w:sz w:val="16"/>
          <w:szCs w:val="16"/>
          <w:i w:val="1"/>
          <w:iCs w:val="1"/>
          <w:color w:val="auto"/>
        </w:rPr>
        <w:t>Restricted Cash</w:t>
      </w:r>
      <w:r>
        <w:rPr>
          <w:rFonts w:ascii="Arial" w:cs="Arial" w:eastAsia="Arial" w:hAnsi="Arial"/>
          <w:sz w:val="16"/>
          <w:szCs w:val="16"/>
          <w:color w:val="auto"/>
        </w:rPr>
        <w:t>, which requires that the statement of cash flows explain the change during the period in the total of cash, cash equivalents, and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described as restricted cash or restricted cash equivalents. For each of these ASUs, the new guidance is effective for fiscal years beginning after December 15, 2017, including interim periods within those fiscal years, with early adoption permitted. We have evaluated the accounting, transition and disclosure requirements of these standards and do not expect them to have a material impact on our consolidated financial statements.</w:t>
      </w:r>
    </w:p>
    <w:p>
      <w:pPr>
        <w:spacing w:after="0" w:line="167"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 xml:space="preserve">In March 2016, the FASB issued ASU No. 2016-08, </w:t>
      </w:r>
      <w:r>
        <w:rPr>
          <w:rFonts w:ascii="Arial" w:cs="Arial" w:eastAsia="Arial" w:hAnsi="Arial"/>
          <w:sz w:val="16"/>
          <w:szCs w:val="16"/>
          <w:i w:val="1"/>
          <w:iCs w:val="1"/>
          <w:color w:val="auto"/>
        </w:rPr>
        <w:t>Revenue from Contracts with Customers (Topic 606): Principal versus Agent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 Revenue Gross versus Net)</w:t>
      </w:r>
      <w:r>
        <w:rPr>
          <w:rFonts w:ascii="Arial" w:cs="Arial" w:eastAsia="Arial" w:hAnsi="Arial"/>
          <w:sz w:val="16"/>
          <w:szCs w:val="16"/>
          <w:color w:val="auto"/>
        </w:rPr>
        <w:t>, which clarifies that an entity is a principal when it controls the specified good or service before that good or service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transferred to the customer, and is an agent when it does not control the specified good or service before it is transferred to the customer. The new guidance is intended to improve the operability and understandability of the implementation guidance on principal versus agent considerations. In April 2016, the FASB issued ASU No. 2016-10, </w:t>
      </w:r>
      <w:r>
        <w:rPr>
          <w:rFonts w:ascii="Arial" w:cs="Arial" w:eastAsia="Arial" w:hAnsi="Arial"/>
          <w:sz w:val="16"/>
          <w:szCs w:val="16"/>
          <w:i w:val="1"/>
          <w:iCs w:val="1"/>
          <w:color w:val="auto"/>
        </w:rPr>
        <w:t>Revenue from Contracts with Customers (Topic 606): Identifying Performance Obligations and Licensing</w:t>
      </w:r>
      <w:r>
        <w:rPr>
          <w:rFonts w:ascii="Arial" w:cs="Arial" w:eastAsia="Arial" w:hAnsi="Arial"/>
          <w:sz w:val="16"/>
          <w:szCs w:val="16"/>
          <w:color w:val="auto"/>
        </w:rPr>
        <w:t xml:space="preserve">, which clarifies the following two aspects of Topic 606: (a) identifying performance obligations; and (b) the licensing implementation guidance. Further, in May 2016, the FASB issued ASU No.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which provides clarifying guidance in certain narrow areas and adds some practical expedients. The amendments do not change the core principles of the guidance in Topic 606 and are effective for our fiscal year beginning January 1, 2018. Early application is permitted only as of annual reporting periods beginning after December 15, 2016, including interim reporting periods within that reporting period. We are currently evaluating the accounting, transition and disclosure requirements of these standards and cannot currently estimate the financial statement impact of adoption.</w:t>
      </w:r>
    </w:p>
    <w:p>
      <w:pPr>
        <w:spacing w:after="0" w:line="173"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new guidance will require lessees to recognize a right-of-use asset and a lease liability for virtually all of their leases (other than leases that meet the definition of a short-term lease). The liability will be equal to the present value of lease payments. The asset will be based on the liability, subject to adjustment, such as for initial direct costs. Under the new guidance, lessor accounting is largely unchanged but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and therefore, will no longer be provided with a source of off-balance sheet financing. The new guidance is effective for fiscal years beginning after December 15, 2018, including interim periods within those fiscal years. Early adoption is permitted. We are currently evaluating the accounting, transition and disclosure requirements of the standard and cannot currently estimate the financial statement impact of adoption.</w:t>
      </w:r>
    </w:p>
    <w:p>
      <w:pPr>
        <w:spacing w:after="0" w:line="166"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The new guidance is intended to improve the recognition and measurement of financial instruments by requiring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presentation of financial assets and financial liabilities by measurement category and form of financial asset (i.e., securities or loans and receivables) within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at amortized cost within the balance sheet, requiring public business entities to use the exit price notion when measuring the fair value of financial instruments for disclosure purposes, requiring equity investments (except those accounted for under the equity method of accounting, or those that result in consolidation of the investee) to be measured at fair value with changes in fair value recognized in net income, and requiring a reporting organization to present separately in other comprehensive income the portion of the total change in the fair value of a liability resulting from a change in the instrument-specific credit risk (also referred to as “own credit”) when the organization has elected to measure the liability at fair value in accordance with the fair value option for financial instruments, among others. The new guidance is effective for fiscal years beginning after December 15, 2017, including interim periods within those fiscal years. The new</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8" w:name="page39"/>
    <w:bookmarkEnd w:id="38"/>
    <w:p>
      <w:pPr>
        <w:ind w:right="620"/>
        <w:spacing w:after="0" w:line="277" w:lineRule="auto"/>
        <w:rPr>
          <w:sz w:val="20"/>
          <w:szCs w:val="20"/>
          <w:color w:val="auto"/>
        </w:rPr>
      </w:pPr>
      <w:r>
        <w:rPr>
          <w:rFonts w:ascii="Arial" w:cs="Arial" w:eastAsia="Arial" w:hAnsi="Arial"/>
          <w:sz w:val="18"/>
          <w:szCs w:val="18"/>
          <w:color w:val="auto"/>
        </w:rPr>
        <w:t>guidance permits early adoption of the own credit provision. We are currently evaluating the accounting, transition and disclosure requirements of the standard and cannot currently estimate the financial statement impact of adoption.</w:t>
      </w:r>
    </w:p>
    <w:p>
      <w:pPr>
        <w:spacing w:after="0" w:line="170" w:lineRule="exact"/>
        <w:rPr>
          <w:sz w:val="20"/>
          <w:szCs w:val="20"/>
          <w:color w:val="auto"/>
        </w:rPr>
      </w:pPr>
    </w:p>
    <w:p>
      <w:pPr>
        <w:ind w:right="60" w:firstLine="518"/>
        <w:spacing w:after="0" w:line="253" w:lineRule="auto"/>
        <w:rPr>
          <w:sz w:val="20"/>
          <w:szCs w:val="20"/>
          <w:color w:val="auto"/>
        </w:rPr>
      </w:pPr>
      <w:r>
        <w:rPr>
          <w:rFonts w:ascii="Arial" w:cs="Arial" w:eastAsia="Arial" w:hAnsi="Arial"/>
          <w:sz w:val="18"/>
          <w:szCs w:val="18"/>
          <w:color w:val="auto"/>
        </w:rPr>
        <w:t>In May 2014, the FASB issued ASU No. 2014-09, Revenue from Contracts with Customers (Topic 606), which will replace numerous requirements in U.S. GAAP, including industry-specific requirements. This guidance provides a five-step model to be applied to all contracts with customers, with an underlying principle that an entity will recognize revenue to depict the transfer of goods or services to customers at an amount that the entity expects to be entitled to in exchange for those goods or services. ASU No. 2014-09 requires extensive quantitative and qualitative disclosures covering the nature, amount, timing and uncertainty of revenue and cash flows arising from customer contracts, including disclosures on significant judgments made when applying the guidance. This guidance is effective for annual reporting periods beginning after December 15, 2017 and interim periods therein. Early adoption is permitted for reporting periods and interim periods therein, beginning after December 15, 2016. An entity can elect to apply the guidance under one of the following two methods: (i) retrospectively to each prior reporting period presented, referred to as the full retrospective method, or (ii) retrospectively with the cumulative effect of initially applying the standard recognized at the date of initial application in retained earnings, referred to as the modified retrospective method.</w:t>
      </w:r>
    </w:p>
    <w:p>
      <w:pPr>
        <w:spacing w:after="0" w:line="195"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color w:val="auto"/>
        </w:rPr>
        <w:t>We have substantially completed an initial impact assessment of the potential changes from adopting ASU No. 2014-09. The impact assessment consisted of a review of a representative sample of contracts, discussions with key stakeholders, and a cataloging of potential impacts on its financial statements, accounting policies, financial control, and operations. We anticipate that the adoption of ASU No. 2014-09 will not have a material impact on product revenue from distributors and may have an impact on contract revenues generated by our license agreements:</w:t>
      </w:r>
    </w:p>
    <w:p>
      <w:pPr>
        <w:spacing w:after="0" w:line="171" w:lineRule="exact"/>
        <w:rPr>
          <w:sz w:val="20"/>
          <w:szCs w:val="20"/>
          <w:color w:val="auto"/>
        </w:rPr>
      </w:pPr>
    </w:p>
    <w:p>
      <w:pPr>
        <w:ind w:left="1040" w:right="300" w:hanging="519"/>
        <w:spacing w:after="0" w:line="286"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the model for distinct licenses of functional intellectual property which may result in a timing difference of revenue recognition. Whereas revenue from these arrangements was previously recognized over a period of time pursuant to the multiple element arrangement guidance, revenue from these arrangements may now be recognized at a point in time under the new guidance.</w:t>
      </w:r>
    </w:p>
    <w:p>
      <w:pPr>
        <w:spacing w:after="0" w:line="57" w:lineRule="exact"/>
        <w:rPr>
          <w:rFonts w:ascii="Arial" w:cs="Arial" w:eastAsia="Arial" w:hAnsi="Arial"/>
          <w:sz w:val="17"/>
          <w:szCs w:val="17"/>
          <w:color w:val="auto"/>
        </w:rPr>
      </w:pPr>
    </w:p>
    <w:p>
      <w:pPr>
        <w:ind w:left="1040" w:right="44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Assessments of milestone payments, which are linked to events that are in our control, will result in variable consideration that may be recognized at an earlier point in time under the new guidance, when it is probable that the milestone will be achieved without a significant future reversal of cumulative revenue expected.</w:t>
      </w:r>
    </w:p>
    <w:p>
      <w:pPr>
        <w:spacing w:after="0" w:line="18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We have not yet completed our final review of the impact of this guidance; however, we anticipate applying the modified retrospective method when implementing this guidance. We plan to adopt the new standard effective January 1, 2018. We continue to monitor additional changes, modifications, clarifications or interpretations being undertaken by the FASB, which may impact our current conclusions.</w:t>
      </w:r>
    </w:p>
    <w:p>
      <w:pPr>
        <w:spacing w:after="0" w:line="1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believe that the impact of other recently issued but not yet adopted accounting pronouncements will not have a material impact on our consolidated financial position, results of operations, and cash flows, or do not apply to our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2017 and June 30, 2016</w:t>
      </w:r>
    </w:p>
    <w:p>
      <w:pPr>
        <w:spacing w:after="0" w:line="117"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We recorded net product revenue of $44.9 million and $32.8 million during the three months ended June 30, 2017 and 2016,</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an increase of $12.1 million, or 37%. This increase in revenue was driven primarily by an increase in estimated normalized total Vascepa prescriptions. Based on data provided by Symphony Health Solutions and IMS Health, estimated normalized total Vascepa prescriptions increased by approximately 114,000 and 127,000, respectively, over the three months ended June 30, 2016, representing growth of 50% and 52%, respectively. As reported previously, an increase in wholesaler inventory levels resulted in a net overall increase in product revenue of approximately $2.9 million to $3.2 million during the second quarter of 2016 calculated based on estimated days of Vascepa sales on hand. During the second quarter of 2017, the level of inventories held by our Distributors decreased modestly calculated on the same basis. We believe that changes in channel inventory at these independent wholesalers and retail pharmacies are common and are impacted by numerous factors, including holiday timing and recent order trends. We also believe, based on information available to us, that channel inventory levels at the end of the second quarters of 2017 and 2016 are within ordinary ranges. The increase in net product revenue driven by the increase in estimated normalized total Vascepa prescriptions was partially offset by a slightly lower net average selling price for Vascepa during the three months ended June 30, 2017 driven primarily by a higher proportion of revenues derived for Vascepa prescriptions filled by patients covered by Medicare insurance, the rebate levels for which are on average higher than rebates under commercial managed care insurance plans.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ind w:right="20" w:firstLine="518"/>
        <w:spacing w:after="0" w:line="255" w:lineRule="auto"/>
        <w:rPr>
          <w:sz w:val="20"/>
          <w:szCs w:val="20"/>
          <w:color w:val="auto"/>
        </w:rPr>
      </w:pPr>
      <w:r>
        <w:rPr>
          <w:rFonts w:ascii="Arial" w:cs="Arial" w:eastAsia="Arial" w:hAnsi="Arial"/>
          <w:sz w:val="18"/>
          <w:szCs w:val="18"/>
          <w:color w:val="auto"/>
        </w:rPr>
        <w:t>All of our product revenue in the three months ended June 30, 2017 and 2016 was derived from product sales of Vascepa, net of allowances, discounts, incentives, rebates, chargebacks and returns. Included in 2017 net product revenue are sales of 0.5-gram size Vascepa capsules, which were introduced in October 2016, for the subset of patients who prefer a smaller capsule. Sales of Vascepa 0.5-gram size capsules have not been significant to date. The FDA-approved dosing for Vascepa continues to be 4 grams per day and we expect that the majority of patients taking Vascepa will continue to be prescribed the 1-gram size Vascepa capsules. We also expect that the majority of new patients will be prescribed the 1-gram size Vascepa capsule. Timing of shipments to wholesalers, as used for revenue recognition, and timing of prescriptions as estimated by third-party sources such as Symphony Health Solutions and IMS Health may differ from period to period.</w:t>
      </w:r>
    </w:p>
    <w:p>
      <w:pPr>
        <w:spacing w:after="0" w:line="189"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During the quarters ended June 30, 2017 and 2016,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quarters ended June 30, 2017 and 2016 was up to $70 per 30-day prescription filled and also included up to $140 per 90-day prescription filled during the second quarter of 2017.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7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i w:val="1"/>
          <w:iCs w:val="1"/>
          <w:color w:val="auto"/>
        </w:rPr>
        <w:t>Licensing Revenue</w:t>
      </w:r>
      <w:r>
        <w:rPr>
          <w:rFonts w:ascii="Arial" w:cs="Arial" w:eastAsia="Arial" w:hAnsi="Arial"/>
          <w:sz w:val="17"/>
          <w:szCs w:val="17"/>
          <w:color w:val="auto"/>
        </w:rPr>
        <w:t>. Licensing revenue during the three months ended June 30, 2017 and 2016 was $0.3 million in each period. Licensing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relates to the amortization of a $15.0 million up-front payment received in February 2015 and a $1.0 million milestone payment achieved in March 2016, both associated with a Vascepa licensing agreement for the China Territory. The up-front and milestone payments are being recognized over the estimated period in which we are required to provide regulatory and development support and clinical and commercial supply under the agreement. The amount of licensing revenue recorded may be variable from period to period based on changes in estimates of the timing and level of support required. We do not anticipate significant revenues related to the Biologix agreement in 2017.</w:t>
      </w:r>
    </w:p>
    <w:p>
      <w:pPr>
        <w:spacing w:after="0" w:line="178"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June 30, 2017 and 2016 was $11.4 million and $8.9 million, respectively,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$2.5 million, or 29%.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API included in the calculation of the average cost of goods sold during the quarters ended June 30, 2017 and 2016 was sourced from three API suppliers. The contracted cost of supply from our initial API supplier was higher than the contracted cost from our other API suppliers. In the future, we anticipate making continued purchases from this initial supplier and to make additional lower unit cost purchases of Vascepa API from other API suppliers, with the amount of such purchases dependent on the rate of our revenue growth. The average cost may be variable from period to period depending upon the timing and quantity of API purchased from each supplier.</w:t>
      </w:r>
    </w:p>
    <w:p>
      <w:pPr>
        <w:spacing w:after="0" w:line="188"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Our gross margin on product sales for the three months ended June 30, 2017 and 2016 was 75% and 73%, respectively. This improvement was primarily driven by lower unit cost API purchases.</w:t>
      </w:r>
    </w:p>
    <w:p>
      <w:pPr>
        <w:spacing w:after="0" w:line="170"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for the three months ended June 30, 2017 and 2016 was</w:t>
      </w:r>
      <w:r>
        <w:rPr>
          <w:rFonts w:ascii="Arial" w:cs="Arial" w:eastAsia="Arial" w:hAnsi="Arial"/>
          <w:sz w:val="18"/>
          <w:szCs w:val="18"/>
          <w:i w:val="1"/>
          <w:iCs w:val="1"/>
          <w:color w:val="auto"/>
        </w:rPr>
        <w:t xml:space="preserve"> </w:t>
      </w:r>
      <w:r>
        <w:rPr>
          <w:rFonts w:ascii="Arial" w:cs="Arial" w:eastAsia="Arial" w:hAnsi="Arial"/>
          <w:sz w:val="18"/>
          <w:szCs w:val="18"/>
          <w:color w:val="auto"/>
        </w:rPr>
        <w:t>$31.5 million and $26.1 million, respectively, an increase of $5.5 million, or 21%. Selling, general and administrative expenses for the three months ended June 30, 2017 and 2016 are summarized in the table below:</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4"/>
                <w:szCs w:val="14"/>
                <w:color w:val="auto"/>
              </w:rPr>
            </w:pPr>
          </w:p>
        </w:tc>
        <w:tc>
          <w:tcPr>
            <w:tcW w:w="232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56"/>
        </w:trPr>
        <w:tc>
          <w:tcPr>
            <w:tcW w:w="5460" w:type="dxa"/>
            <w:vAlign w:val="bottom"/>
            <w:tcBorders>
              <w:bottom w:val="single" w:sz="8" w:color="CFF0FC"/>
            </w:tcBorders>
            <w:vMerge w:val="continue"/>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 (1)</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Co-promotion fees (2)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(3)</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right="100" w:hanging="512"/>
        <w:spacing w:after="0" w:line="257"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Selling, general and administrative expense, excluding co-promotion fees and non-cash compensation charges for stock compensation and warrants, for the three months ended June 30, 2017 and 2016 was $23.9 million and $18.6 million, respectively, an increase of $5.3 million, or 28%. The increase is due primarily to increased promotional activities and increased legal costs, which are subject to quarterly variability. We currently estimate that the level of our selling, general and administrative expenses in the second half of 2017 will approximate the level of such costs in the first half of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ind w:left="520" w:right="60" w:hanging="512"/>
        <w:spacing w:after="0" w:line="253"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Co-promotion fees accrued under our agreement with Kowa Pharmaceuticals America, Inc. for the three months ended June 30, 2017 and 2016 were $4.6 million in each period. In 2017, we and Kowa Pharmaceuticals America, Inc. amended the contract for the remaining contract term as it relates to the percentage of aggregate Vascepa gross margin earned by Kowa Pharmaceuticals America, Inc. and certain other refinements, among others. As a result, while gross margin on product sales increased, the co-promote fee remained relatively flat for the second quarter of 2017 as compared to the prior year period.</w:t>
      </w:r>
    </w:p>
    <w:p>
      <w:pPr>
        <w:spacing w:after="0" w:line="3" w:lineRule="exact"/>
        <w:rPr>
          <w:rFonts w:ascii="Arial" w:cs="Arial" w:eastAsia="Arial" w:hAnsi="Arial"/>
          <w:sz w:val="18"/>
          <w:szCs w:val="18"/>
          <w:color w:val="auto"/>
        </w:rPr>
      </w:pPr>
    </w:p>
    <w:p>
      <w:pPr>
        <w:ind w:left="520" w:right="220" w:hanging="512"/>
        <w:spacing w:after="0" w:line="261"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Non-cash stock-based compensation expense for the three months ended June 30, 2017 and 2016 was $3.1 million and $2.9 million, respectively, an increase of $0.2 million, or 6%.</w:t>
      </w:r>
    </w:p>
    <w:p>
      <w:pPr>
        <w:spacing w:after="0" w:line="184"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three months ended June 30, 2017 and 2016 was $13.7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$12.6 million, respectively, an increase of $1.1 million, or 9%. Research and development expenses for the three months ended June 30, 2017 and 2016 are summarized in the table below:</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2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56"/>
        </w:trPr>
        <w:tc>
          <w:tcPr>
            <w:tcW w:w="5200" w:type="dxa"/>
            <w:vAlign w:val="bottom"/>
            <w:tcBorders>
              <w:bottom w:val="single" w:sz="8" w:color="CFF0FC"/>
            </w:tcBorders>
            <w:vMerge w:val="continue"/>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REDUCE-IT study (1)</w:t>
            </w: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Internal staffing, overhead and other (3)</w:t>
            </w:r>
          </w:p>
        </w:tc>
        <w:tc>
          <w:tcPr>
            <w:tcW w:w="5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2,557</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w w:val="97"/>
              </w:rPr>
              <w:t>Research and development expense, excluding non-cash expense</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13,136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(4)</w:t>
            </w:r>
          </w:p>
        </w:tc>
        <w:tc>
          <w:tcPr>
            <w:tcW w:w="5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5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13,694</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The increase in research and development expenses for the quarter ended June 30, 2017, as compared to the prior year period, is primarily due to quarterly variability in costs related to the REDUCE-IT study.</w:t>
      </w:r>
    </w:p>
    <w:p>
      <w:pPr>
        <w:spacing w:after="0" w:line="62" w:lineRule="exact"/>
        <w:rPr>
          <w:sz w:val="20"/>
          <w:szCs w:val="20"/>
          <w:color w:val="auto"/>
        </w:rPr>
      </w:pPr>
    </w:p>
    <w:p>
      <w:pPr>
        <w:ind w:left="520" w:right="20" w:hanging="512"/>
        <w:spacing w:after="0" w:line="282" w:lineRule="auto"/>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December 2011, we announced commencement of patient dosing in our cardiovascular outcomes study of Vascepa, titled REDUCE-IT, which is designed to evaluate the efficacy of Vascepa, including its impact on triglyceride lowering and its other clinical effects, in reducing major adverse cardiovascular events compared to placebo in patients who despite statin therapy have risk factors for cardiovascular disease, including elevated triglyceride levels. In 2016, we completed patient enrollment and randomization of 8,175 individual patients into the REDUCE-IT study, exceeding the 8,000 patients targeted for the trial. The study duration is dependent on the rate of clinical events in the study, which rate may be affected by the epidemiology of the patients enrolled in the study and the length of time that the enrolled patients are followed.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For the three months ended June 30, 2017 and 2016, we incurred expenses through our CRO in connection with this trial of approximately $9.2 million and $7.5 million, respectively. Inclusive of CTM costs, the combined CRO and CTM costs during the three months ended June 30, 2017 and 2016 for REDUCE-IT were approximately $10.4 million and $8.7 million, respectively. The increase in expenses in 2017 as compared to 2016 is primarily the result of timing variability for REDUCE-IT costs. We expense costs for CTM when allocated to clinical research. The aggregate cost of this outcomes study will depend on the rate of clinical events in the study. We currently estimate that we will incur $30 million to $40 million in annual costs through study completion and the rate at which we incur such costs will vary from quarter to quarter. The study is designed to be completed after reaching 1,612 aggregate primary cardiovascular events. Based on projected event rates, we estimate the onset of the target aggregate number of cardiovascular events to be reached in early 2018 with study results then expected to be available and published in the second or third quarter of 2018. We anticipate that our costs for this outcomes study will continue to represent the most significant component of our research and development expenditures.</w:t>
      </w:r>
    </w:p>
    <w:p>
      <w:pPr>
        <w:spacing w:after="0" w:line="12" w:lineRule="exact"/>
        <w:rPr>
          <w:rFonts w:ascii="Arial" w:cs="Arial" w:eastAsia="Arial" w:hAnsi="Arial"/>
          <w:sz w:val="16"/>
          <w:szCs w:val="16"/>
          <w:color w:val="auto"/>
        </w:rPr>
      </w:pPr>
    </w:p>
    <w:p>
      <w:pPr>
        <w:ind w:left="520" w:hanging="512"/>
        <w:spacing w:after="0" w:line="250"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regulatory filing fees in each of the quarters ended June 30, 2017 and 2016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1"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w:t>
      </w:r>
    </w:p>
    <w:p>
      <w:pPr>
        <w:spacing w:after="0" w:line="1" w:lineRule="exact"/>
        <w:rPr>
          <w:rFonts w:ascii="Arial" w:cs="Arial" w:eastAsia="Arial" w:hAnsi="Arial"/>
          <w:sz w:val="18"/>
          <w:szCs w:val="18"/>
          <w:color w:val="auto"/>
        </w:rPr>
      </w:pPr>
    </w:p>
    <w:p>
      <w:pPr>
        <w:ind w:left="520" w:right="320" w:hanging="512"/>
        <w:spacing w:after="0" w:line="261"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84"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i w:val="1"/>
          <w:iCs w:val="1"/>
          <w:color w:val="auto"/>
        </w:rPr>
        <w:t>Gain on Change in Fair Value of Derivative Liabilities</w:t>
      </w:r>
      <w:r>
        <w:rPr>
          <w:rFonts w:ascii="Arial" w:cs="Arial" w:eastAsia="Arial" w:hAnsi="Arial"/>
          <w:sz w:val="18"/>
          <w:szCs w:val="18"/>
          <w:color w:val="auto"/>
        </w:rPr>
        <w:t>. Gain on change in fair value of derivative liabilities for the three months ended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was nil versus a gain of $5.8 million in the prior year period. Gain on change in fair value of derivative liabilities for the three months ended June 30, 2017 and 2016 is comprised of (i) the change in fair value of the derivative liability related to the change in control provision associated with the December 2012 BioPharma financing, and (ii) the change in fair value of the derivative liabilities related to the change in control provisions associated with the May 2014 and November 2015 exchangeable senior notes.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ind w:right="60" w:firstLine="518"/>
        <w:spacing w:after="0" w:line="270" w:lineRule="auto"/>
        <w:rPr>
          <w:sz w:val="20"/>
          <w:szCs w:val="20"/>
          <w:color w:val="auto"/>
        </w:rPr>
      </w:pPr>
      <w:r>
        <w:rPr>
          <w:rFonts w:ascii="Arial" w:cs="Arial" w:eastAsia="Arial" w:hAnsi="Arial"/>
          <w:sz w:val="17"/>
          <w:szCs w:val="17"/>
          <w:color w:val="auto"/>
        </w:rPr>
        <w:t>Our December 2012 financing agreement with BioPharma contains a redemption feature whereby, upon a change of control, we would be required to repay $150.0 million, less any previously repaid amount, which net remaining unpaid amount as of June 30, 2017 was $118.3 million. Unless this early redemption feature is triggered, the remaining amount, without additional interest accumulation, is anticipated to be paid based on the royalty provisions of the agreement.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No gain or loss on change in fair value of derivative liability was recognized for the three months ended June 30, 2017 as the fair value of the derivative was determined to be nil based on underlying assumptions as of both March 31, 2017 and June 30, 2017. As of March 31, 2016, the fair value of the derivative was determined to be $5.9 million, and as of June 30, 2016, the fair value of the derivative was determined to be $2.8 million. As such, we recognized a $3.1 million gain on change in fair value of derivative liability for the three months ended June 30, 2016.</w:t>
      </w:r>
    </w:p>
    <w:p>
      <w:pPr>
        <w:spacing w:after="0" w:line="17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Our 3.5% May 2014 exchangeable senior notes due 2032, or 2014 Notes, contained a redemption feature whereby, upon occurrence of a change in control, we would have been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In September 2016, we exercised our optional exchange rights upon satisfaction of specified equity conditions set forth in the 2014 Notes indenture to mandatorily exchange the 2014 Notes into ADSs (see Note 5—Debt). As such, the related derivative liability was derecognized at that time and therefore no gain or loss on change in fair value of derivative liability was recognized for the three months ended June 30, 2017. As of March 31, 2016, the fair value of the derivative was determined to be $2.8 million, and as of June 30, 2016, the fair value of the derivative was determined to be $0.6 million. As such, we recognized a $2.2 million gain on change in fair value of derivative liability for the three months ended June 30, 2016.</w:t>
      </w:r>
    </w:p>
    <w:p>
      <w:pPr>
        <w:spacing w:after="0" w:line="182"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Our 3.5% November 2015 exchangeable senior notes due 2032, or 2015 Notes, contained the same redemption feature as the 2014 Notes and the related derivative liability was calculated utilizing the same methodology. In September 2016, we exercised our optional exchange rights upon satisfaction of specified equity conditions consistent with the terms of the 2015 Notes to mandatorily exchange the 2015 Notes into ADSs (see Note 5—Debt). As such, the related derivative liability was derecognized at that time and therefore no gain or loss on change in fair value of derivative liability was recognized for the three months ended June 30, 2017. As of March 31, 2016, the fair value of the derivative was determined to be $0.7 million and as of June 30, 2016, the fair value of the derivative was determined to be $0.2 million. As such, we recognized a $0.6 million gain on change in fair value of derivative liability for the three months ended June 30, 2016.</w:t>
      </w:r>
    </w:p>
    <w:p>
      <w:pPr>
        <w:spacing w:after="0" w:line="189"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The change in fair value of the derivative liability related to the BioPharma financing agreement is largely related to our projections for future estimated revenues, management estimates of the probability of a change in control occurring, and the terms of debt issues of similar companies. The change in fair value of the derivative liabilities related to the 2014 Notes and 2015 Notes was largely related to changes in quoted bond prices. Any changes in the assumptions used to value the derivative liabilities could result in a material change to the carrying value of such liabilities.</w:t>
      </w:r>
    </w:p>
    <w:p>
      <w:pPr>
        <w:spacing w:after="0" w:line="171" w:lineRule="exact"/>
        <w:rPr>
          <w:sz w:val="20"/>
          <w:szCs w:val="20"/>
          <w:color w:val="auto"/>
        </w:rPr>
      </w:pPr>
    </w:p>
    <w:p>
      <w:pPr>
        <w:ind w:right="540" w:firstLine="518"/>
        <w:spacing w:after="0" w:line="342"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Net interest expense for the three months ended June 30, 2017 and 2016 was $2.3 million and $5.6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$3.3 million, or 59%. Net interest expense for the three months ended June 30, 2017 and 2016 is summarized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gridSpan w:val="3"/>
            <w:vMerge w:val="restart"/>
          </w:tcPr>
          <w:p>
            <w:pPr>
              <w:ind w:left="940"/>
              <w:spacing w:after="0"/>
              <w:rPr>
                <w:sz w:val="20"/>
                <w:szCs w:val="20"/>
                <w:color w:val="auto"/>
              </w:rPr>
            </w:pPr>
            <w:r>
              <w:rPr>
                <w:rFonts w:ascii="Arial" w:cs="Arial" w:eastAsia="Arial" w:hAnsi="Arial"/>
                <w:sz w:val="14"/>
                <w:szCs w:val="14"/>
                <w:b w:val="1"/>
                <w:bCs w:val="1"/>
                <w:i w:val="1"/>
                <w:iCs w:val="1"/>
                <w:color w:val="auto"/>
              </w:rPr>
              <w:t>In thousands</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 June 30,</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2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5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Exchangeable senior notes (1):</w:t>
            </w:r>
          </w:p>
        </w:tc>
        <w:tc>
          <w:tcPr>
            <w:tcW w:w="6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Amortization of debt discounts</w:t>
            </w: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2,048</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Contractual coupon interest</w:t>
            </w:r>
          </w:p>
        </w:tc>
        <w:tc>
          <w:tcPr>
            <w:tcW w:w="6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80" w:type="dxa"/>
            <w:vAlign w:val="bottom"/>
            <w:shd w:val="clear" w:color="auto" w:fill="CFF0FC"/>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gridSpan w:val="3"/>
          </w:tcPr>
          <w:p>
            <w:pPr>
              <w:ind w:left="940"/>
              <w:spacing w:after="0"/>
              <w:rPr>
                <w:sz w:val="20"/>
                <w:szCs w:val="20"/>
                <w:color w:val="auto"/>
              </w:rPr>
            </w:pPr>
            <w:r>
              <w:rPr>
                <w:rFonts w:ascii="Arial" w:cs="Arial" w:eastAsia="Arial" w:hAnsi="Arial"/>
                <w:sz w:val="18"/>
                <w:szCs w:val="18"/>
                <w:color w:val="auto"/>
              </w:rPr>
              <w:t>Total exchangeable senior notes interest expense</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 from royalty-bearing instrument (2):</w:t>
            </w: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Cash interest</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Non-cash interest</w:t>
            </w:r>
          </w:p>
        </w:tc>
        <w:tc>
          <w:tcPr>
            <w:tcW w:w="6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FF0FC"/>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gridSpan w:val="3"/>
          </w:tcPr>
          <w:p>
            <w:pPr>
              <w:ind w:left="940"/>
              <w:spacing w:after="0"/>
              <w:rPr>
                <w:sz w:val="20"/>
                <w:szCs w:val="20"/>
                <w:color w:val="auto"/>
              </w:rPr>
            </w:pPr>
            <w:r>
              <w:rPr>
                <w:rFonts w:ascii="Arial" w:cs="Arial" w:eastAsia="Arial" w:hAnsi="Arial"/>
                <w:sz w:val="18"/>
                <w:szCs w:val="18"/>
                <w:color w:val="auto"/>
              </w:rPr>
              <w:t>Total long-term debt from royalty-bearing instrument interest expense</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6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gridSpan w:val="3"/>
          </w:tcPr>
          <w:p>
            <w:pPr>
              <w:ind w:left="940"/>
              <w:spacing w:after="0"/>
              <w:rPr>
                <w:sz w:val="20"/>
                <w:szCs w:val="20"/>
                <w:color w:val="auto"/>
              </w:rPr>
            </w:pPr>
            <w:r>
              <w:rPr>
                <w:rFonts w:ascii="Arial" w:cs="Arial" w:eastAsia="Arial" w:hAnsi="Arial"/>
                <w:sz w:val="18"/>
                <w:szCs w:val="18"/>
                <w:color w:val="auto"/>
              </w:rPr>
              <w:t>Total interest expense</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5,698</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 (3)</w:t>
            </w: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gridSpan w:val="3"/>
          </w:tcPr>
          <w:p>
            <w:pPr>
              <w:ind w:left="940"/>
              <w:spacing w:after="0"/>
              <w:rPr>
                <w:sz w:val="20"/>
                <w:szCs w:val="20"/>
                <w:color w:val="auto"/>
              </w:rPr>
            </w:pPr>
            <w:r>
              <w:rPr>
                <w:rFonts w:ascii="Arial" w:cs="Arial" w:eastAsia="Arial" w:hAnsi="Arial"/>
                <w:sz w:val="18"/>
                <w:szCs w:val="18"/>
                <w:color w:val="auto"/>
              </w:rPr>
              <w:t>Total interest expense, net</w:t>
            </w:r>
          </w:p>
        </w:tc>
        <w:tc>
          <w:tcPr>
            <w:tcW w:w="6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5,616</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40" w:type="dxa"/>
            <w:vAlign w:val="bottom"/>
            <w:tcBorders>
              <w:bottom w:val="single" w:sz="8" w:color="auto"/>
            </w:tcBorders>
            <w:gridSpan w:val="2"/>
          </w:tcPr>
          <w:p>
            <w:pPr>
              <w:spacing w:after="0"/>
              <w:rPr>
                <w:sz w:val="10"/>
                <w:szCs w:val="10"/>
                <w:color w:val="auto"/>
              </w:rPr>
            </w:pPr>
          </w:p>
        </w:tc>
        <w:tc>
          <w:tcPr>
            <w:tcW w:w="5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6"/>
        </w:trPr>
        <w:tc>
          <w:tcPr>
            <w:tcW w:w="6620" w:type="dxa"/>
            <w:vAlign w:val="bottom"/>
            <w:gridSpan w:val="3"/>
          </w:tcPr>
          <w:p>
            <w:pPr>
              <w:ind w:left="5620"/>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42" w:name="page43"/>
    <w:bookmarkEnd w:id="42"/>
    <w:p>
      <w:pPr>
        <w:jc w:val="both"/>
        <w:ind w:left="520" w:right="140" w:hanging="512"/>
        <w:spacing w:after="0" w:line="271"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Cash and non-cash interest expense related to the exchangeable senior notes for the three months ended June 30, 2017 and 2016 was $0.3 million and $3.5 million, respectively. The decrease in cash and non-cash interest expense is the result of the decrease in principal amount of exchangeable senior notes from $165.1 million outstanding as of June 30, 2016 to $30.0 million outstanding as of June 30, 2017.</w:t>
      </w:r>
    </w:p>
    <w:p>
      <w:pPr>
        <w:ind w:left="520" w:right="120" w:hanging="512"/>
        <w:spacing w:after="0" w:line="281"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Cash and non-cash interest expense related to the BioPharma royalty-bearing instrument for the three months ended June 30, 2017 and 2016 was $2.1 million and $2.2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3" w:lineRule="exact"/>
        <w:rPr>
          <w:rFonts w:ascii="Arial" w:cs="Arial" w:eastAsia="Arial" w:hAnsi="Arial"/>
          <w:sz w:val="16"/>
          <w:szCs w:val="16"/>
          <w:color w:val="auto"/>
        </w:rPr>
      </w:pPr>
    </w:p>
    <w:p>
      <w:pPr>
        <w:ind w:left="520" w:right="60" w:hanging="512"/>
        <w:spacing w:after="0" w:line="261"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income for the three months ended June 30, 2017 and 2016 was $0.1 million in each period. Interest income represents income earned on cash balances.</w:t>
      </w:r>
    </w:p>
    <w:p>
      <w:pPr>
        <w:spacing w:after="0" w:line="184" w:lineRule="exact"/>
        <w:rPr>
          <w:sz w:val="20"/>
          <w:szCs w:val="20"/>
          <w:color w:val="auto"/>
        </w:rPr>
      </w:pPr>
    </w:p>
    <w:p>
      <w:pPr>
        <w:ind w:right="600" w:firstLine="518"/>
        <w:spacing w:after="0" w:line="342"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(expense), net, for the three months ended June 30, 2017 and 2016 was income of $0.1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$0.2 million, respectively. Other income (expense), net, primarily consists of losses and gains on foreign exchange transactions.</w:t>
      </w:r>
    </w:p>
    <w:p>
      <w:pPr>
        <w:spacing w:after="0" w:line="124"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Benefit from Income Taxes</w:t>
      </w:r>
      <w:r>
        <w:rPr>
          <w:rFonts w:ascii="Arial" w:cs="Arial" w:eastAsia="Arial" w:hAnsi="Arial"/>
          <w:sz w:val="18"/>
          <w:szCs w:val="18"/>
          <w:color w:val="auto"/>
        </w:rPr>
        <w:t>. Benefit from income taxes for the three months ended June 30, 2017 and 2016 was nil and $1.0 million, respectively. In</w:t>
      </w:r>
      <w:r>
        <w:rPr>
          <w:rFonts w:ascii="Arial" w:cs="Arial" w:eastAsia="Arial" w:hAnsi="Arial"/>
          <w:sz w:val="18"/>
          <w:szCs w:val="18"/>
          <w:i w:val="1"/>
          <w:iCs w:val="1"/>
          <w:color w:val="auto"/>
        </w:rPr>
        <w:t xml:space="preserve"> </w:t>
      </w:r>
      <w:r>
        <w:rPr>
          <w:rFonts w:ascii="Arial" w:cs="Arial" w:eastAsia="Arial" w:hAnsi="Arial"/>
          <w:sz w:val="18"/>
          <w:szCs w:val="18"/>
          <w:color w:val="auto"/>
        </w:rPr>
        <w:t>applying the estimated annual effective tax rate approach prescribed under ASC 740-270 and based on present evidence and conclusions around the realizability of deferred tax assets, we determined that any tax benefit related to the pretax losses generated during the second quarter of 2017 is neither more likely than not to be realized in the current year nor realizable as a deferred tax asset at the end of the year. Therefore, the appropriate amount of income tax benefit to recognize during the three months ended June 30, 2017 is zero. The benefit recognized during the three months ended June 30, 2016 related entirely to the U.S. subsidiary operations. We are profitable in the United States as a result of intercompany transactions between our U.S. subsidiary and our other companies.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2017 and June 30, 2016</w:t>
      </w:r>
    </w:p>
    <w:p>
      <w:pPr>
        <w:spacing w:after="0" w:line="11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i w:val="1"/>
          <w:iCs w:val="1"/>
          <w:color w:val="auto"/>
        </w:rPr>
        <w:t xml:space="preserve">Product Revenue, net. </w:t>
      </w:r>
      <w:r>
        <w:rPr>
          <w:rFonts w:ascii="Arial" w:cs="Arial" w:eastAsia="Arial" w:hAnsi="Arial"/>
          <w:sz w:val="17"/>
          <w:szCs w:val="17"/>
          <w:color w:val="auto"/>
        </w:rPr>
        <w:t>We recorded net product revenue of $79.3 million and $58.1 million during the six months ended June 30, 2017 and 2016,</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an increase of $21.2 million, or 36%. This increase in revenue was driven primarily by an increase in estimated normalized total Vascepa prescriptions. Based on data provided by Symphony Health Solutions and IMS Health, estimated normalized total Vascepa prescriptions increased by approximately 218,000 and 250,000, respectively, over the six months ended June 30, 2016, representing growth of 51% and 55%, respectively. During the six months ended June 30, 2017, overall wholesaler inventory levels decreased from year-end 2016 levels calculated based on estimated days of Vascepa sales on hand. Consequently, we estimate that this decrease in wholesaler inventory levels adversely impacted net product revenue by approximately $2.0 million to $2.3 million for the first half of 2017. During the six months ended June 30, 2016, an increase in wholesaler inventory levels resulted in a net overall increase in product revenue of approximately $1.5 million to $1.8 million calculated based on estimated days of Vascepa sales on hand. We believe that changes in channel inventory at these independent wholesalers and retail pharmacies are common and are impacted by numerous factors, including holiday timing and recent order trends. We also believe, based on information available to us, that channel inventory levels at the end of the first halves of 2017 and 2016 are within ordinary ranges.</w:t>
      </w:r>
    </w:p>
    <w:p>
      <w:pPr>
        <w:spacing w:after="0" w:line="183"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All of our product revenue in the six months ended June 30, 2017 and 2016 was derived from product sales of Vascepa, net of allowances, discounts, incentives, rebates, chargebacks and returns. Included in 2017 net product revenue are sales of 0.5-gram size Vascepa capsules, which were introduced in October 2016, for the subset of patients who prefer a smaller capsule. Sales of Vascepa 0.5-gram size capsules have not been significant to date. The FDA-approved dosing for Vascepa continues to be 4 grams per day and we expect that the majority of patients taking Vascepa will continue to be prescribed the 1-gram size Vascepa capsules. We also expect that the majority of new patients will be prescribed the 1-gram size Vascepa capsule. Timing of shipments to wholesalers, as used for revenue recognition, and timing of prescriptions as estimated by third-party sources such as Symphony Health Solutions and IMS Health may differ from period to period.</w:t>
      </w:r>
    </w:p>
    <w:p>
      <w:pPr>
        <w:spacing w:after="0" w:line="178"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During the six months ended June 30, 2017 and 2016,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six months ended June 30, 2017 and 2016 was up to $70 per 30-day prescription filled and, beginning in March 2017, included up to $140 per 90-day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7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ind w:left="520"/>
        <w:spacing w:after="0"/>
        <w:rPr>
          <w:sz w:val="20"/>
          <w:szCs w:val="20"/>
          <w:color w:val="auto"/>
        </w:rPr>
      </w:pPr>
      <w:r>
        <w:rPr>
          <w:rFonts w:ascii="Arial" w:cs="Arial" w:eastAsia="Arial" w:hAnsi="Arial"/>
          <w:sz w:val="17"/>
          <w:szCs w:val="17"/>
          <w:i w:val="1"/>
          <w:iCs w:val="1"/>
          <w:color w:val="auto"/>
        </w:rPr>
        <w:t>Licensing Revenue</w:t>
      </w:r>
      <w:r>
        <w:rPr>
          <w:rFonts w:ascii="Arial" w:cs="Arial" w:eastAsia="Arial" w:hAnsi="Arial"/>
          <w:sz w:val="17"/>
          <w:szCs w:val="17"/>
          <w:color w:val="auto"/>
        </w:rPr>
        <w:t>. Licensing revenue during the six months ended June 30, 2017 and 2016 was $0.6 million and $0.5 million, respectively, an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increase of $0.1 million, or 10%. Licensing revenue relates to the amortization of a $15.0 million up-front payment received in February 2015 and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 million milestone payment achieved in March 2016, both associated with a Vascepa licensing agreement for the China Territory. The up-front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milestone payments are being recognized over the estimated period in which we are required to provide regulatory and development support and clinical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supply under the agreement. The amount of licensing revenue recorded may be variable from period to period based on changes in estimates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level of support required. We do not anticipate significant revenues related to the Biologix agreement in 2017.</w:t>
      </w:r>
    </w:p>
    <w:p>
      <w:pPr>
        <w:spacing w:after="0" w:line="211"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six months ended June 30, 2017 and 2016 was $19.6 million and $15.8 million, respectively,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$3.8 million, or 24%.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API included in the calculation of the average cost of goods sold during the six months ended June 30, 2017 and 2016 was sourced from three API suppliers. The contracted cost of supply from our initial API supplier was higher than the contracted cost from our other API suppliers. In the future, we anticipate making continued purchases from this initial supplier and to make additional lower unit cost purchases of Vascepa API from other API suppliers, with the amount of such purchases dependent on the rate of our revenue growth. The average cost may be variable from period to period depending upon the timing and quantity of API purchased from each supplier.</w:t>
      </w:r>
    </w:p>
    <w:p>
      <w:pPr>
        <w:spacing w:after="0" w:line="188"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Our gross margin on product sales for the six months ended June 30, 2017 and 2016 was 75% and 73%, respectively. This improvement was primarily driven by lower unit cost API purchases.</w:t>
      </w:r>
    </w:p>
    <w:p>
      <w:pPr>
        <w:spacing w:after="0" w:line="170"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for the six months ended June 30, 2017 and 2016 was $65.7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$54.1 million, respectively, an increase of $11.6 million, or 22%. Selling, general and administrative expenses for the six months ended June 30, 2017 and 2016 are summarized in the table below:</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228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460" w:type="dxa"/>
            <w:vAlign w:val="bottom"/>
            <w:vMerge w:val="continue"/>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Selling, general and administrative expense (1)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50,020</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40,260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Co-promotion fees (2)</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9,801</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Non-cash stock-based compensation expense (3)</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selling, general and administrative expense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65,716</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54,086</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right="140" w:hanging="512"/>
        <w:spacing w:after="0" w:line="286" w:lineRule="auto"/>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Selling, general and administrative expense, excluding co-promotion fees and non-cash compensation charges for stock compensation and warrants, for the six months ended June 30, 2017 and 2016 was $50.0 million and $40.3 million, respectively, an increase of $9.8 million, or 24%. The increase is due primarily to increased promotional activities and increased legal costs, which are subject to quarterly variability. We currently estimate that the level of our selling, general and administrative expenses in the second half of 2017 will approximate the level of such costs in the first half of 2017.</w:t>
      </w:r>
    </w:p>
    <w:p>
      <w:pPr>
        <w:spacing w:after="0" w:line="1" w:lineRule="exact"/>
        <w:rPr>
          <w:rFonts w:ascii="Arial" w:cs="Arial" w:eastAsia="Arial" w:hAnsi="Arial"/>
          <w:sz w:val="16"/>
          <w:szCs w:val="16"/>
          <w:color w:val="auto"/>
        </w:rPr>
      </w:pPr>
    </w:p>
    <w:p>
      <w:pPr>
        <w:ind w:left="520" w:hanging="512"/>
        <w:spacing w:after="0"/>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Co-promotion fees accrued under our agreement with Kowa Pharmaceuticals America, Inc. for the six months ended June 30, 2017 and 2016 were</w:t>
      </w:r>
    </w:p>
    <w:p>
      <w:pPr>
        <w:spacing w:after="0" w:line="32" w:lineRule="exact"/>
        <w:rPr>
          <w:rFonts w:ascii="Arial" w:cs="Arial" w:eastAsia="Arial" w:hAnsi="Arial"/>
          <w:sz w:val="16"/>
          <w:szCs w:val="16"/>
          <w:color w:val="auto"/>
        </w:rPr>
      </w:pPr>
    </w:p>
    <w:p>
      <w:pPr>
        <w:ind w:left="520" w:right="20"/>
        <w:spacing w:after="0" w:line="265" w:lineRule="auto"/>
        <w:rPr>
          <w:rFonts w:ascii="Arial" w:cs="Arial" w:eastAsia="Arial" w:hAnsi="Arial"/>
          <w:sz w:val="16"/>
          <w:szCs w:val="16"/>
          <w:color w:val="auto"/>
        </w:rPr>
      </w:pPr>
      <w:r>
        <w:rPr>
          <w:rFonts w:ascii="Arial" w:cs="Arial" w:eastAsia="Arial" w:hAnsi="Arial"/>
          <w:sz w:val="17"/>
          <w:szCs w:val="17"/>
          <w:color w:val="auto"/>
        </w:rPr>
        <w:t>$9.8 million and $8.0 million, respectively, an increase of $1.8 million, or 22%. The increase is due primarily to an increase in gross margin on product sales in the first half of 2017 compared to the same period of 2016, offset as a result of amended contract terms in 2017 related to the percentage of aggregate Vascepa gross margin earned by Kowa Pharmaceuticals America, Inc. and certain other refinements.</w:t>
      </w:r>
    </w:p>
    <w:p>
      <w:pPr>
        <w:ind w:left="520" w:right="400" w:hanging="512"/>
        <w:spacing w:after="0" w:line="26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Non-cash stock-based compensation expense for the six months ended June 30, 2017 and 2016 was $5.9 million and $5.8 million, respectively, an increase of $0.1 million, or 2%.</w:t>
      </w:r>
    </w:p>
    <w:p>
      <w:pPr>
        <w:spacing w:after="0" w:line="184" w:lineRule="exact"/>
        <w:rPr>
          <w:sz w:val="20"/>
          <w:szCs w:val="20"/>
          <w:color w:val="auto"/>
        </w:rPr>
      </w:pPr>
    </w:p>
    <w:p>
      <w:pPr>
        <w:jc w:val="both"/>
        <w:ind w:right="420" w:firstLine="518"/>
        <w:spacing w:after="0" w:line="264"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six months ended June 30, 2017 and 2016 was $24.5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$26.3 million, respectively, a decrease of $1.8 million, or 7%. Research and development expenses for the six months ended June 30, 2017 and 2016 are summarized in the table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gridSpan w:val="2"/>
            <w:vMerge w:val="restart"/>
          </w:tcPr>
          <w:p>
            <w:pPr>
              <w:ind w:left="1400"/>
              <w:spacing w:after="0"/>
              <w:rPr>
                <w:sz w:val="20"/>
                <w:szCs w:val="20"/>
                <w:color w:val="auto"/>
              </w:rPr>
            </w:pPr>
            <w:r>
              <w:rPr>
                <w:rFonts w:ascii="Arial" w:cs="Arial" w:eastAsia="Arial" w:hAnsi="Arial"/>
                <w:sz w:val="14"/>
                <w:szCs w:val="14"/>
                <w:b w:val="1"/>
                <w:bCs w:val="1"/>
                <w:i w:val="1"/>
                <w:iCs w:val="1"/>
                <w:color w:val="auto"/>
              </w:rPr>
              <w:t>In thousands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REDUCE-IT study (1)</w:t>
            </w:r>
          </w:p>
        </w:tc>
        <w:tc>
          <w:tcPr>
            <w:tcW w:w="5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18,128</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18,072</w:t>
            </w:r>
          </w:p>
        </w:tc>
        <w:tc>
          <w:tcPr>
            <w:tcW w:w="80" w:type="dxa"/>
            <w:vAlign w:val="bottom"/>
            <w:tcBorders>
              <w:top w:val="single" w:sz="8" w:color="CFF0FC"/>
            </w:tcBorders>
            <w:shd w:val="clear" w:color="auto" w:fill="CFF0FC"/>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1,297</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Internal staffing, overhead and other (3)</w:t>
            </w:r>
          </w:p>
        </w:tc>
        <w:tc>
          <w:tcPr>
            <w:tcW w:w="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4,972</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5,754</w:t>
            </w:r>
          </w:p>
        </w:tc>
        <w:tc>
          <w:tcPr>
            <w:tcW w:w="80" w:type="dxa"/>
            <w:vAlign w:val="bottom"/>
            <w:shd w:val="clear" w:color="auto" w:fill="CFF0FC"/>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ind w:left="1400"/>
              <w:spacing w:after="0"/>
              <w:rPr>
                <w:sz w:val="20"/>
                <w:szCs w:val="20"/>
                <w:color w:val="auto"/>
              </w:rPr>
            </w:pPr>
            <w:r>
              <w:rPr>
                <w:rFonts w:ascii="Arial" w:cs="Arial" w:eastAsia="Arial" w:hAnsi="Arial"/>
                <w:sz w:val="18"/>
                <w:szCs w:val="18"/>
                <w:color w:val="auto"/>
                <w:w w:val="97"/>
              </w:rPr>
              <w:t>Research and development expense, excluding non-cash expense</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25,123</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(4)</w:t>
            </w:r>
          </w:p>
        </w:tc>
        <w:tc>
          <w:tcPr>
            <w:tcW w:w="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80" w:type="dxa"/>
            <w:vAlign w:val="bottom"/>
            <w:shd w:val="clear" w:color="auto" w:fill="CFF0FC"/>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ind w:left="1400"/>
              <w:spacing w:after="0"/>
              <w:rPr>
                <w:sz w:val="20"/>
                <w:szCs w:val="20"/>
                <w:color w:val="auto"/>
              </w:rPr>
            </w:pPr>
            <w:r>
              <w:rPr>
                <w:rFonts w:ascii="Arial" w:cs="Arial" w:eastAsia="Arial" w:hAnsi="Arial"/>
                <w:sz w:val="18"/>
                <w:szCs w:val="18"/>
                <w:color w:val="auto"/>
              </w:rPr>
              <w:t>Total research and development expense</w:t>
            </w:r>
          </w:p>
        </w:tc>
        <w:tc>
          <w:tcPr>
            <w:tcW w:w="56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24,517</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26,308</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jc w:val="right"/>
              <w:ind w:right="730"/>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2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0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44" w:name="page45"/>
    <w:bookmarkEnd w:id="44"/>
    <w:p>
      <w:pPr>
        <w:ind w:right="140" w:firstLine="518"/>
        <w:spacing w:after="0" w:line="277" w:lineRule="auto"/>
        <w:rPr>
          <w:sz w:val="20"/>
          <w:szCs w:val="20"/>
          <w:color w:val="auto"/>
        </w:rPr>
      </w:pPr>
      <w:r>
        <w:rPr>
          <w:rFonts w:ascii="Arial" w:cs="Arial" w:eastAsia="Arial" w:hAnsi="Arial"/>
          <w:sz w:val="18"/>
          <w:szCs w:val="18"/>
          <w:color w:val="auto"/>
        </w:rPr>
        <w:t>The decrease in research and development expenses for the six months ended June 30, 2017, as compared to the prior year period, is primarily due to timing of REDUCE-IT and related costs.</w:t>
      </w:r>
    </w:p>
    <w:p>
      <w:pPr>
        <w:spacing w:after="0" w:line="62" w:lineRule="exact"/>
        <w:rPr>
          <w:sz w:val="20"/>
          <w:szCs w:val="20"/>
          <w:color w:val="auto"/>
        </w:rPr>
      </w:pPr>
    </w:p>
    <w:p>
      <w:pPr>
        <w:ind w:left="520" w:right="20" w:hanging="512"/>
        <w:spacing w:after="0" w:line="266"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December 2011, we announced commencement of patient dosing in our cardiovascular outcomes study of Vascepa, titled REDUCE-IT, which is designed to evaluate the efficacy of Vascepa, including its impact on triglyceride lowering and its other clinical effects, in reducing major adverse cardiovascular events compared to placebo in patients who despite statin therapy have risk factors for cardiovascular disease, including elevated triglyceride levels. In 2016, we completed patient enrollment and randomization of 8,175 individual patients into the REDUCE-IT study, exceeding the 8,000 patients targeted for the trial. The study duration is dependent on the rate of clinical events in the study, which rate may be affected by the epidemiology of the patients enrolled in the study and the length of time that the enrolled patients are followed.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For the six months ended June 30, 2017 and 2016, we incurred expenses through our CRO in connection with this trial of approximately $15.8 million and $15.1 million, respectively. Inclusive of CTM costs, the combined CRO and CTM costs during the six months ended June 30, 2017 and 2016 for REDUCE-IT were approximately $18.1 million in each period. The increase in expenses in 2017 as compared to 2016 is primarily the result of timing variability for REDUCE-IT costs. We expense costs for CTM when allocated to clinical research. The aggregate cost of this outcomes study will depend on the rate of clinical events in the study. We currently estimate that we will incur $30 million to $40 million in annual costs through study completion and the rate at which we incur such costs will vary from quarter to quarter. The study is designed to be completed after reaching 1,612 aggregate primary cardiovascular events. Based on projected event rates, we estimate the onset of the target aggregate number of cardiovascular events to be reached in early 2018 with study results then expected to be available and published in the second or third quarter of 2018. We anticipate that our costs for this outcomes study will continue to represent the most significant component of our research and development expenditures.</w:t>
      </w:r>
    </w:p>
    <w:p>
      <w:pPr>
        <w:spacing w:after="0" w:line="4" w:lineRule="exact"/>
        <w:rPr>
          <w:rFonts w:ascii="Arial" w:cs="Arial" w:eastAsia="Arial" w:hAnsi="Arial"/>
          <w:sz w:val="17"/>
          <w:szCs w:val="17"/>
          <w:color w:val="auto"/>
        </w:rPr>
      </w:pPr>
    </w:p>
    <w:p>
      <w:pPr>
        <w:ind w:left="520" w:right="360" w:hanging="512"/>
        <w:spacing w:after="0" w:line="250"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regulatory filing fees in each of the six months ended June 30, 2017 and 2016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1" w:lineRule="exact"/>
        <w:rPr>
          <w:rFonts w:ascii="Arial" w:cs="Arial" w:eastAsia="Arial" w:hAnsi="Arial"/>
          <w:sz w:val="18"/>
          <w:szCs w:val="18"/>
          <w:color w:val="auto"/>
        </w:rPr>
      </w:pPr>
    </w:p>
    <w:p>
      <w:pPr>
        <w:ind w:left="520" w:right="160" w:hanging="512"/>
        <w:spacing w:after="0" w:line="250"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w:t>
      </w:r>
    </w:p>
    <w:p>
      <w:pPr>
        <w:spacing w:after="0" w:line="1" w:lineRule="exact"/>
        <w:rPr>
          <w:rFonts w:ascii="Arial" w:cs="Arial" w:eastAsia="Arial" w:hAnsi="Arial"/>
          <w:sz w:val="18"/>
          <w:szCs w:val="18"/>
          <w:color w:val="auto"/>
        </w:rPr>
      </w:pPr>
    </w:p>
    <w:p>
      <w:pPr>
        <w:ind w:left="520" w:right="300" w:hanging="512"/>
        <w:spacing w:after="0" w:line="26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84"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Gain on Change in Fair Value of Derivative Liabilities</w:t>
      </w:r>
      <w:r>
        <w:rPr>
          <w:rFonts w:ascii="Arial" w:cs="Arial" w:eastAsia="Arial" w:hAnsi="Arial"/>
          <w:sz w:val="18"/>
          <w:szCs w:val="18"/>
          <w:color w:val="auto"/>
        </w:rPr>
        <w:t>. Gain on change in fair value of derivative liabilities for the six months ended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was nil versus a gain of $4.6 million in the prior year period. Gain on change in fair value of derivative liabilities for the six months ended June 30, 2017 and 2016 is comprised of (i) the change in fair value of the derivative liability related to the change in control provision associated with the December 2012 BioPharma financing, and (ii) the change in fair value of the derivative liabilities related to the change in control provisions associated with the May 2014 and November 2015 exchangeable senior notes.</w:t>
      </w:r>
    </w:p>
    <w:p>
      <w:pPr>
        <w:spacing w:after="0" w:line="18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Our December 2012 financing agreement with BioPharma contains a redemption feature whereby, upon a change of control, we would be required to repay $150.0 million, less any previously repaid amount, which net remaining unpaid amount as of June 30, 2017 was $118.3 million. Unless this early redemption feature is triggered, the remaining amount, without additional interest accumulation, is anticipated to be paid based on the royalty provisions of the agreement.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No gain or loss on change in fair value of derivative liability was recognized for the six months ended June 30, 2017 as the fair value of the derivative was determined to be nil based on underlying assumptions as of both December 31, 2016 and June 30, 2017. As of December 31, 2015, the fair value of the derivative was determined to be $5.5 million, and as of June 30, 2016, the fair value of the derivative was determined to be $2.8 million. As such, we recognized a $2.7 million gain on change in fair value of derivative liability for the six months ended June 30, 2016.</w:t>
      </w:r>
    </w:p>
    <w:p>
      <w:pPr>
        <w:spacing w:after="0" w:line="178"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Our 3.5% May 2014 exchangeable senior notes due 2032, or 2014 Notes, contained a redemption feature whereby, upon occurrence of a change in control, we would have been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In September 2016, we exercised our optional exchange rights upon satisfaction of specified equity conditions set forth in the 2014 Notes indenture to mandatorily exchange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45" w:name="page46"/>
    <w:bookmarkEnd w:id="45"/>
    <w:p>
      <w:pPr>
        <w:ind w:right="140"/>
        <w:spacing w:after="0" w:line="259" w:lineRule="auto"/>
        <w:rPr>
          <w:sz w:val="20"/>
          <w:szCs w:val="20"/>
          <w:color w:val="auto"/>
        </w:rPr>
      </w:pPr>
      <w:r>
        <w:rPr>
          <w:rFonts w:ascii="Arial" w:cs="Arial" w:eastAsia="Arial" w:hAnsi="Arial"/>
          <w:sz w:val="18"/>
          <w:szCs w:val="18"/>
          <w:color w:val="auto"/>
        </w:rPr>
        <w:t>2014 Notes into ADSs (see Note 5—Debt). As such, the related derivative liability was derecognized at that time and therefore no gain or loss on change in fair value of derivative liability was recognized for the six months ended June 30, 2017. As of December 31, 2015, the fair value of the derivative was determined to be $2.1 million, and as of June 30, 2016, the fair value of the derivative was determined to be $0.6 million. As such, we recognized a $1.5 million gain on change in fair value of derivative liability for the six months ended June 30, 2016.</w:t>
      </w:r>
    </w:p>
    <w:p>
      <w:pPr>
        <w:spacing w:after="0" w:line="18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3.5% November 2015 exchangeable senior notes due 2032, or 2015 Notes, contained the same redemption feature as the 2014 Notes and the related derivative liability was calculated utilizing the same methodology. In September 2016, we exercised our optional exchange rights upon satisfaction of specified equity conditions consistent with the terms of the 2015 Notes to mandatorily exchange the 2015 Notes into ADSs (see Note 5—Debt). As such, the related derivative liability was derecognized at that time and therefore no gain or loss on change in fair value of derivative liability was recognized for the six months ended June 30, 2017. As of December 31, 2015, the fair value of the derivative was determined to be $0.6 million and as of June 30, 2016, the fair value of the derivative was determined to be $0.2 million. As such, we recognized a $0.4 million gain on change in fair value of derivative liability for the six months ended June 30, 2016.</w:t>
      </w:r>
    </w:p>
    <w:p>
      <w:pPr>
        <w:spacing w:after="0" w:line="189"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 change in fair value of the derivative liability related to the BioPharma financing agreement is largely related to our projections for future estimated revenues, management estimates of the probability of a change in control occurring, and the terms of debt issues of similar companies. The change in fair value of the derivative liabilities related to the 2014 Notes and 2015 Notes was largely related to changes in quoted bond prices. Any changes in the assumptions used to value the derivative liabilities could result in a material change to the carrying value of such liabilities.</w:t>
      </w:r>
    </w:p>
    <w:p>
      <w:pPr>
        <w:spacing w:after="0" w:line="171" w:lineRule="exact"/>
        <w:rPr>
          <w:sz w:val="20"/>
          <w:szCs w:val="20"/>
          <w:color w:val="auto"/>
        </w:rPr>
      </w:pPr>
    </w:p>
    <w:p>
      <w:pPr>
        <w:ind w:right="520" w:firstLine="518"/>
        <w:spacing w:after="0" w:line="342"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Net interest expense for the six months ended June 30, 2017 and 2016 was $4.7 million and $11.2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$6.5 million, or 58%. Net interest expense for the six months ended June 30, 2017 and 2016 is summarized in the table below:</w:t>
      </w:r>
    </w:p>
    <w:p>
      <w:pPr>
        <w:spacing w:after="0" w:line="197"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6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Exchangeable senior notes (1):</w:t>
            </w:r>
          </w:p>
        </w:tc>
        <w:tc>
          <w:tcPr>
            <w:tcW w:w="5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Amortization of debt discounts</w:t>
            </w: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Contractual coupon interest</w:t>
            </w:r>
          </w:p>
        </w:tc>
        <w:tc>
          <w:tcPr>
            <w:tcW w:w="5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 exchangeable senior notes interest expense</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from royalty-bearing instrument (2):</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Cash interest</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interest</w:t>
            </w:r>
          </w:p>
        </w:tc>
        <w:tc>
          <w:tcPr>
            <w:tcW w:w="5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 long-term debt from royalty-bearing instrument interest expense</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5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 interest expense</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4,871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(3)</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(175)</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 interest expense, net</w:t>
            </w:r>
          </w:p>
        </w:tc>
        <w:tc>
          <w:tcPr>
            <w:tcW w:w="5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20" w:right="60" w:hanging="512"/>
        <w:spacing w:after="0" w:line="271"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Cash and non-cash interest expense related to the exchangeable senior notes for the six months ended June 30, 2017 and 2016 was $0.6 million and $6.9 million, respectively. The decrease in cash and non-cash interest expense is the result of the decrease in principal amount of exchangeable senior notes from $165.1 million outstanding as of June 30, 2016 to $30.0 million outstanding as of June 30, 2017.</w:t>
      </w:r>
    </w:p>
    <w:p>
      <w:pPr>
        <w:ind w:left="520" w:right="200" w:hanging="512"/>
        <w:spacing w:after="0" w:line="281" w:lineRule="auto"/>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Cash and non-cash interest expense related to the BioPharma royalty-bearing instrument for the six months ended June 30, 2017 and 2016 was $4.3 million and $4.4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3" w:lineRule="exact"/>
        <w:rPr>
          <w:rFonts w:ascii="Arial" w:cs="Arial" w:eastAsia="Arial" w:hAnsi="Arial"/>
          <w:sz w:val="16"/>
          <w:szCs w:val="16"/>
          <w:color w:val="auto"/>
        </w:rPr>
      </w:pPr>
    </w:p>
    <w:p>
      <w:pPr>
        <w:ind w:left="520" w:right="160" w:hanging="512"/>
        <w:spacing w:after="0" w:line="261"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income for the six months ended June 30, 2017 and 2016 was $0.2 million and $0.1 million, respectively. Interest income represents income earned on cash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-1391285</wp:posOffset>
            </wp:positionV>
            <wp:extent cx="9690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4" w:lineRule="exact"/>
        <w:rPr>
          <w:sz w:val="20"/>
          <w:szCs w:val="20"/>
          <w:color w:val="auto"/>
        </w:rPr>
      </w:pPr>
    </w:p>
    <w:p>
      <w:pPr>
        <w:ind w:right="60" w:firstLine="518"/>
        <w:spacing w:after="0" w:line="308" w:lineRule="auto"/>
        <w:rPr>
          <w:sz w:val="20"/>
          <w:szCs w:val="20"/>
          <w:color w:val="auto"/>
        </w:rPr>
      </w:pPr>
      <w:r>
        <w:rPr>
          <w:rFonts w:ascii="Arial" w:cs="Arial" w:eastAsia="Arial" w:hAnsi="Arial"/>
          <w:sz w:val="17"/>
          <w:szCs w:val="17"/>
          <w:i w:val="1"/>
          <w:iCs w:val="1"/>
          <w:color w:val="auto"/>
        </w:rPr>
        <w:t>Other Income (Expense), net</w:t>
      </w:r>
      <w:r>
        <w:rPr>
          <w:rFonts w:ascii="Arial" w:cs="Arial" w:eastAsia="Arial" w:hAnsi="Arial"/>
          <w:sz w:val="17"/>
          <w:szCs w:val="17"/>
          <w:color w:val="auto"/>
        </w:rPr>
        <w:t>. Other income (expense), net, for the six months ended June 30, 2017 and 2016 was income of $0.1 million and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of $0.3 million, respectively. Other income (expense), net, primarily consists of losses and gains on foreign exchange transactions.</w:t>
      </w:r>
    </w:p>
    <w:p>
      <w:pPr>
        <w:spacing w:after="0" w:line="147" w:lineRule="exact"/>
        <w:rPr>
          <w:sz w:val="20"/>
          <w:szCs w:val="20"/>
          <w:color w:val="auto"/>
        </w:rPr>
      </w:pPr>
    </w:p>
    <w:p>
      <w:pPr>
        <w:ind w:right="400" w:firstLine="476"/>
        <w:spacing w:after="0" w:line="277" w:lineRule="auto"/>
        <w:rPr>
          <w:sz w:val="20"/>
          <w:szCs w:val="20"/>
          <w:color w:val="auto"/>
        </w:rPr>
      </w:pPr>
      <w:r>
        <w:rPr>
          <w:rFonts w:ascii="Arial" w:cs="Arial" w:eastAsia="Arial" w:hAnsi="Arial"/>
          <w:sz w:val="18"/>
          <w:szCs w:val="18"/>
          <w:i w:val="1"/>
          <w:iCs w:val="1"/>
          <w:color w:val="auto"/>
        </w:rPr>
        <w:t>Benefit from Income Taxes</w:t>
      </w:r>
      <w:r>
        <w:rPr>
          <w:rFonts w:ascii="Arial" w:cs="Arial" w:eastAsia="Arial" w:hAnsi="Arial"/>
          <w:sz w:val="18"/>
          <w:szCs w:val="18"/>
          <w:color w:val="auto"/>
        </w:rPr>
        <w:t>. Benefit from income taxes for the six months ended June 30, 2017 and 2016 was nil and $1.3 million, respectively. In</w:t>
      </w:r>
      <w:r>
        <w:rPr>
          <w:rFonts w:ascii="Arial" w:cs="Arial" w:eastAsia="Arial" w:hAnsi="Arial"/>
          <w:sz w:val="18"/>
          <w:szCs w:val="18"/>
          <w:i w:val="1"/>
          <w:iCs w:val="1"/>
          <w:color w:val="auto"/>
        </w:rPr>
        <w:t xml:space="preserve"> </w:t>
      </w:r>
      <w:r>
        <w:rPr>
          <w:rFonts w:ascii="Arial" w:cs="Arial" w:eastAsia="Arial" w:hAnsi="Arial"/>
          <w:sz w:val="18"/>
          <w:szCs w:val="18"/>
          <w:color w:val="auto"/>
        </w:rPr>
        <w:t>applying the estimated annual effective tax rate approach prescribed under ASC 740-270 and based on present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6" w:name="page47"/>
    <w:bookmarkEnd w:id="46"/>
    <w:p>
      <w:pPr>
        <w:ind w:right="200"/>
        <w:spacing w:after="0" w:line="291" w:lineRule="auto"/>
        <w:rPr>
          <w:sz w:val="20"/>
          <w:szCs w:val="20"/>
          <w:color w:val="auto"/>
        </w:rPr>
      </w:pPr>
      <w:r>
        <w:rPr>
          <w:rFonts w:ascii="Arial" w:cs="Arial" w:eastAsia="Arial" w:hAnsi="Arial"/>
          <w:sz w:val="16"/>
          <w:szCs w:val="16"/>
          <w:color w:val="auto"/>
        </w:rPr>
        <w:t>evidence and conclusions around the realizability of deferred tax assets, we determined that any tax benefit related to the pretax losses generated during the six months ended June 30, 2017 is neither more likely than not to be realized in the current year nor realizable as a deferred tax asset at the end of the</w:t>
      </w:r>
    </w:p>
    <w:p>
      <w:pPr>
        <w:ind w:right="60"/>
        <w:spacing w:after="0" w:line="255" w:lineRule="auto"/>
        <w:rPr>
          <w:sz w:val="20"/>
          <w:szCs w:val="20"/>
          <w:color w:val="auto"/>
        </w:rPr>
      </w:pPr>
      <w:r>
        <w:rPr>
          <w:rFonts w:ascii="Arial" w:cs="Arial" w:eastAsia="Arial" w:hAnsi="Arial"/>
          <w:sz w:val="18"/>
          <w:szCs w:val="18"/>
          <w:color w:val="auto"/>
        </w:rPr>
        <w:t>year. Therefore, the appropriate amount of income tax benefit to recognize during the six months ended June 30, 2017 is zero. The benefit recognized during the six months ended June 30, 2016 related entirely to the U.S. subsidiary operations. We are profitable in the United States as a result of intercompany transactions between our U.S. subsidiary and our other companies.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40" w:firstLine="518"/>
        <w:spacing w:after="0" w:line="312" w:lineRule="auto"/>
        <w:rPr>
          <w:sz w:val="20"/>
          <w:szCs w:val="20"/>
          <w:color w:val="auto"/>
        </w:rPr>
      </w:pPr>
      <w:r>
        <w:rPr>
          <w:rFonts w:ascii="Arial" w:cs="Arial" w:eastAsia="Arial" w:hAnsi="Arial"/>
          <w:sz w:val="16"/>
          <w:szCs w:val="16"/>
          <w:color w:val="auto"/>
        </w:rPr>
        <w:t>Our sources of liquidity as of June 30, 2017 include cash and cash equivalents of $85.5 million. Our projected uses of cash include commercialization of Vascepa, the continued funding of the REDUCE-IT cardiovascular outcomes study, working capital and other general corporate activities. Our cash flows from operating, investing and financing activities, as reflected in the condensed consolidated statements of cash flows, are summarized in the following table:</w:t>
      </w:r>
    </w:p>
    <w:p>
      <w:pPr>
        <w:spacing w:after="0" w:line="15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1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56"/>
        </w:trPr>
        <w:tc>
          <w:tcPr>
            <w:tcW w:w="4100" w:type="dxa"/>
            <w:vAlign w:val="bottom"/>
            <w:tcBorders>
              <w:bottom w:val="single" w:sz="8" w:color="CFF0FC"/>
            </w:tcBorders>
            <w:vMerge w:val="continue"/>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Cash (used in) provided by:</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6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1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Decrease in cash and cash equivalents</w:t>
            </w:r>
          </w:p>
        </w:tc>
        <w:tc>
          <w:tcPr>
            <w:tcW w:w="13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vMerge w:val="continue"/>
            <w:shd w:val="clear" w:color="auto" w:fill="CFF0FC"/>
          </w:tcPr>
          <w:p>
            <w:pPr>
              <w:spacing w:after="0"/>
              <w:rPr>
                <w:sz w:val="19"/>
                <w:szCs w:val="19"/>
                <w:color w:val="auto"/>
              </w:rPr>
            </w:pPr>
          </w:p>
        </w:tc>
        <w:tc>
          <w:tcPr>
            <w:tcW w:w="13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Net cash used in operating activities during the six months ended June 30, 2017 compared to the same period in 2016 decreased primarily as a result of increased collections due to higher revenues, which resulted in decreased net loss. Increased sales and marketing spending in the first half of 2017 in support of expanded Vascepa promotion was more than offset by higher collections from product sales.</w:t>
      </w:r>
    </w:p>
    <w:p>
      <w:pPr>
        <w:spacing w:after="0" w:line="181"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 December 2012, we entered into a financing agreement with BioPharma. Under this agreement, we granted to BioPharma a security interest in future receivables and all related rights to Vascepa, in exchange for $100.0 million received at the closing of the agreement which closing occurred in December 2012. We have agreed to repay BioPharma up to $150.0 million of future revenue and receivables. As of June 30, 2017, the net remaining amount to be repaid to BioPharma is $118.3 million. To date, our revenues have been below the contractual threshold amount such that each payment made has reflected the calculated optional reduction amount as opposed to the contractual threshold payments for each quarterly period. As of June 30, 2017, there are no quarterly contractual threshold payments remaining, such that the maximum amount payable is subject only to the calculated threshold limitation based on quarterly Vascepa revenues. In accordance with the agreement with BioPharma, quarterly differences between the calculated optional reduction amounts and the contractual threshold amounts were rescheduled for payment beginning in the second quarter of 2017 and any such deferred payments will remain subject to continued application of the quarterly ceiling in amounts due established by the calculated threshold for royalty based on quarterly Vascepa revenues. No additional interest expense or liability is incurred as a result of such deferred repayments. The agreement does not expire until $150.0 million in aggregate has been repaid. We can prepay an amount equal to $150.0 million less any previously repaid amount.</w:t>
      </w:r>
    </w:p>
    <w:p>
      <w:pPr>
        <w:spacing w:after="0" w:line="173"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In January 2017, we, through our wholly-owned subsidiary Corsicanto II Designated Activity Company, or Corsicanto II, a private designated activity company incorporated under the laws of Ireland, entered into separate, privately negotiated purchase agreements with certain investors pursuant to which we issued and sold $30.0 million in aggregate principal amount of 3.5% exchangeable senior notes due 2047, or the 2017 Notes. The net proceeds we received from the January 2017 offering were approximately $28.8 million, after deducting placement agent fees and estimated offering expenses.</w:t>
      </w:r>
    </w:p>
    <w:p>
      <w:pPr>
        <w:spacing w:after="0" w:line="154"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The 2017 Notes were issued pursuant to an indenture dated as of January 25, 2017, by and among Corsicanto II, us as guarantor, and Wilmington Trust, National Association, as trustee. The 2017 Notes are the senior unsecured obligations of the Issuer and are guaranteed by us. The 2017 Notes bear interest at a rate of 3.5% per annum from, and including, January 25, 2017, payable semi-annually in arrears on January 15 and July 15 of each year, beginning on July 15, 2017. The 2017 Notes will mature on January 15, 2047, unless earlier repurchased, redeemed or exchanged. On or after January 19, 2021, we may redeem for cash all or a portion of the 2017 Notes at a redemption price of 100% of the aggregate principal amount of the 2017 Notes to be redeemed, plus accrued and unpaid interest. On January 19, 2022, holders of the 2017 Notes may require that we repurchase in cash all or any portion of the 2017 Notes at a price equal to 100% of the aggregate principal amount of the 2017 Notes to be repurchased, plus accrued and unpaid interest. At any time prior to January 15, 2047, the holders may exchange their 2017 Notes for ADSs at their option, and we may mandatorily exchange the 2017 Notes if the price of our shares trades above 130% of the exchange price then in effect for 20 VWAP trading days in any 30 consecutive VWAP trading day period (as defined in the indenture). The initial exchange rate for such conversion is 257.2016 ADSs per $1,000 principal amount of the 2017 Notes (equivalent to an initial exchange price of approximately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7" w:name="page48"/>
    <w:bookmarkEnd w:id="47"/>
    <w:p>
      <w:pPr>
        <w:ind w:right="60"/>
        <w:spacing w:after="0" w:line="277" w:lineRule="auto"/>
        <w:rPr>
          <w:sz w:val="20"/>
          <w:szCs w:val="20"/>
          <w:color w:val="auto"/>
        </w:rPr>
      </w:pPr>
      <w:r>
        <w:rPr>
          <w:rFonts w:ascii="Arial" w:cs="Arial" w:eastAsia="Arial" w:hAnsi="Arial"/>
          <w:sz w:val="18"/>
          <w:szCs w:val="18"/>
          <w:color w:val="auto"/>
        </w:rPr>
        <w:t>$3.89 per ADS), subject to adjustment upon the occurrence of certain events, including the payment of cash dividends. Upon exchange, the 2017 Notes are to be settled in ADSs.</w:t>
      </w:r>
    </w:p>
    <w:p>
      <w:pPr>
        <w:spacing w:after="0" w:line="170"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As of June 30, 2017, we had cash and cash equivalents of $85.5 million, a decrease of $12.8 million from December 31, 2016. The decrease is primarily due to net cash used in operating activities in support of the commercialization of Vascepa and funding of REDUCE-IT, substantially offset by accounts receivable collections and the net effect of financing activities related to the repayment of the 2012 Notes and issuance of the 2017 Notes. We have incurred annual operating losses since our inception and, as a result, we had an accumulated deficit of $1.2 billion as of June 30, 2017. We believe that our net cash flow from operations in 2017, excluding financings and debt issuance, interest, royalties and R&amp;D costs, the majority of which are associated with REDUCE-IT, will be positive for 2017. On this basis, we have been cash flow positive for the six months ended June 30, 2017. We anticipate that quarterly net cash outflows in future periods will continue to be variable as a result of the timing of certain items, including our purchases of API and payments to our Vascepa co-promotion partner. We believe that our cash and cash equivalents will be sufficient to fund our projected operations through the results of the REDUCE-IT study, which we anticipate will be available in the second or third quarter of 2018. Depending on the level of cash generated from operations, additional capital may be required to sustain operations, fund debt obligations or expand promotion of Vascepa as contemplated based on anticipated successful results of the REDUCE-IT study.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We have Vascepa API supply agreements with three independent companies from which we purchase qualified API supply: Nisshin, Chemport, and Finorga SAS, or Novasep. We also have encapsulation agreements with three FDA-approved commercial API encapsulators for Vascepa manufacturing: Patheon, Inc. (formerly Banner Pharmacaps), Catalent Pharma Solutions, and Capsugel Plöermel SAS, LLC, or Capsugel. Our agreements with Chemport, Novasep, and Capsugel contain minimum annual purchase levels to enable us to maintain certain supply exclusivity and also contain a provision that any shortfall in the minimum purchase commitments is payable through certain cash remedies. Each supplier is required to meet certain performance obligations and the agreements may be terminated by us in the event of non-performance.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operating lease costs consisting of leases for facilities in Dublin, Ireland and Bedminster, NJ, offset by sublease rental income.</w:t>
      </w:r>
    </w:p>
    <w:p>
      <w:pPr>
        <w:spacing w:after="0" w:line="225"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Under the terms of the agreement with BioPharma, we agreed to repay up to $150.0 million of future revenue and receivables. As of June 30, 2017, the net remaining amount to be repaid to BioPharma is $118.3 million. To date, our revenues have been below the contractual threshold amount such that each payment made has reflected the calculated optional reduction amount as opposed to the contractual threshold payments for each quarterly period. As of June 30, 2017, there are no quarterly contractual threshold payments remaining, such that the maximum amount payable is subject only to the calculated threshold limitation based on quarterly Vascepa revenues. In accordance with the agreement with BioPharma, quarterly differences between the calculated optional reduction amounts and the contractual threshold amounts were rescheduled for payment beginning in the second quarter of 2017 and any such deferred payments will remain subject to continued application of the quarterly ceiling in amounts due established by the calculated threshold based on quarterly Vascepa revenues. No additional interest expense or liability is incurred as a result of such deferred repayments and no cliff payment of the remaining balance is due except in the event of Company default or Company change of control. The agreement does not expire until $150.0 million in aggregate has been repaid. We can prepay an amount equal to $150.0 million less any previously repaid amount.</w:t>
      </w:r>
    </w:p>
    <w:p>
      <w:pPr>
        <w:spacing w:after="0" w:line="169"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We have scheduled interest payments due under the terms of the 2017 Notes, assuming that they remain outstanding through January 19, 2022 and have not been exchanged for ADSs.</w:t>
      </w:r>
    </w:p>
    <w:p>
      <w:pPr>
        <w:spacing w:after="0" w:line="170" w:lineRule="exact"/>
        <w:rPr>
          <w:sz w:val="20"/>
          <w:szCs w:val="20"/>
          <w:color w:val="auto"/>
        </w:rPr>
      </w:pPr>
    </w:p>
    <w:p>
      <w:pPr>
        <w:ind w:right="120" w:firstLine="518"/>
        <w:spacing w:after="0" w:line="288" w:lineRule="auto"/>
        <w:rPr>
          <w:sz w:val="20"/>
          <w:szCs w:val="20"/>
          <w:color w:val="auto"/>
        </w:rPr>
      </w:pPr>
      <w:r>
        <w:rPr>
          <w:rFonts w:ascii="Arial" w:cs="Arial" w:eastAsia="Arial" w:hAnsi="Arial"/>
          <w:sz w:val="16"/>
          <w:szCs w:val="16"/>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payment of $11.6 million as a component of other long-term assets. This long-term asset is being amortized over the estimated useful life of the intellectual property we acquired from Laxdale and we recognized amortization expense of $0.3 million in each of the six months ended June 30, 2017 and 2016. Also under the Laxdale agreement, upon receipt of marketing approval in Europe for the first indication for Vascepa (or first indication of any product containing Amarin Neuroscience Limited intellectual property acquired from Laxdale in 2004), we must make an aggregate stock or cash payment to the former shareholders of Laxdale (at the sole option of each of the sellers) of £7.5 million (approximately $9.8 million as of June 30, 2017). Additionally, upon receipt of a marketing approval in the United States or Europe for a further indication of Vascepa (or further indication of any other product using Amarin Neuroscience Limited intellectual property), we must make an aggregate stock or cash payment (at the sole option of each of the sellers) of £5 million (approximately $6.5 million as of June 30, 2017) for each of the two potential market approvals (i.e. £10 million maximum, or approximately $13.0 million as of June 30, 2017).</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ind w:right="720" w:firstLine="518"/>
        <w:spacing w:after="0" w:line="277" w:lineRule="auto"/>
        <w:rPr>
          <w:sz w:val="20"/>
          <w:szCs w:val="20"/>
          <w:color w:val="auto"/>
        </w:rPr>
      </w:pPr>
      <w:r>
        <w:rPr>
          <w:rFonts w:ascii="Arial" w:cs="Arial" w:eastAsia="Arial" w:hAnsi="Arial"/>
          <w:sz w:val="18"/>
          <w:szCs w:val="18"/>
          <w:color w:val="auto"/>
        </w:rPr>
        <w:t>We do not enter into financial instruments for trading or speculative purposes. As of June 30, 2017, we had no outstanding forward exchange contracts.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There have been no material changes with respect to the information appearing in PART II, Item 7A “Quantitative and Qualitative Disclosures about Market Risk” of our Annual Report on Form 10-K filed with the Securities and Exchange Commission on March 1, 2017.</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7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As of June 30, 2017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has concluded, based upon the evaluation described above that, as of June 30, 2017, our disclosure controls and procedures were effective at the reasonable assurance level.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quarter ended June 30, 2017, there have been no changes in our internal control over financial reporting, as such term is defined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Rules 13a-15(f) and 15(d)-15(f) promulgated under the Exchange Act, that have materially affected, or are reasonably likely to materially affect, our internal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control over financial reporting.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on Form 10-K for the fiscal year ended December 31, 2016 and “Item 1. Legal Proceedings” of our Quarterly Report on Form 10-Q for the quarter ended March 31, 2017 include discussions of our current legal proceedings. There have been no material changes to those disclosures as of the date of this filing, other than as set forth below.</w:t>
      </w:r>
    </w:p>
    <w:p>
      <w:pPr>
        <w:spacing w:after="0" w:line="15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On May 23, 2017, the Third Circuit Court of Appeals affirmed the May 26, 2016 judgment of the U.S. District Court for the District of New Jersey in connection with the district court’s grant of our motion to dismiss the putative consolidated class action lawsuit captioned </w:t>
      </w:r>
      <w:r>
        <w:rPr>
          <w:rFonts w:ascii="Arial" w:cs="Arial" w:eastAsia="Arial" w:hAnsi="Arial"/>
          <w:sz w:val="18"/>
          <w:szCs w:val="18"/>
          <w:i w:val="1"/>
          <w:iCs w:val="1"/>
          <w:color w:val="auto"/>
        </w:rPr>
        <w:t>In re Amarin Corporation plc,</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Litigation</w:t>
      </w:r>
      <w:r>
        <w:rPr>
          <w:rFonts w:ascii="Arial" w:cs="Arial" w:eastAsia="Arial" w:hAnsi="Arial"/>
          <w:sz w:val="18"/>
          <w:szCs w:val="18"/>
          <w:color w:val="auto"/>
        </w:rPr>
        <w:t>, No. 3:13-cv-06663 (D.N.J. Nov. 1, 2013). Plaintiffs sought a rehearing and</w:t>
      </w:r>
      <w:r>
        <w:rPr>
          <w:rFonts w:ascii="Arial" w:cs="Arial" w:eastAsia="Arial" w:hAnsi="Arial"/>
          <w:sz w:val="18"/>
          <w:szCs w:val="18"/>
          <w:i w:val="1"/>
          <w:iCs w:val="1"/>
          <w:color w:val="auto"/>
        </w:rPr>
        <w:t xml:space="preserve"> en banc </w:t>
      </w:r>
      <w:r>
        <w:rPr>
          <w:rFonts w:ascii="Arial" w:cs="Arial" w:eastAsia="Arial" w:hAnsi="Arial"/>
          <w:sz w:val="18"/>
          <w:szCs w:val="18"/>
          <w:color w:val="auto"/>
        </w:rPr>
        <w:t>review of such affirmation, each of which were</w:t>
      </w:r>
      <w:r>
        <w:rPr>
          <w:rFonts w:ascii="Arial" w:cs="Arial" w:eastAsia="Arial" w:hAnsi="Arial"/>
          <w:sz w:val="18"/>
          <w:szCs w:val="18"/>
          <w:i w:val="1"/>
          <w:iCs w:val="1"/>
          <w:color w:val="auto"/>
        </w:rPr>
        <w:t xml:space="preserve"> </w:t>
      </w:r>
      <w:r>
        <w:rPr>
          <w:rFonts w:ascii="Arial" w:cs="Arial" w:eastAsia="Arial" w:hAnsi="Arial"/>
          <w:sz w:val="18"/>
          <w:szCs w:val="18"/>
          <w:color w:val="auto"/>
        </w:rPr>
        <w:t>denied.</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9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10-K for the year ended December 31, 2016 filed with the SEC on March 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substantially dependent upon sales of Vascepa in the United States.</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As a result of our reliance on a single product,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and our primary focus on the U.S. market in the near-term, much of our near-term results and value as a company depends on our ability to execute our commercial strategy for Vascepa in the United States. If commercialization efforts for Vascepa are not successful, our business will be materially and adversely affected.</w:t>
      </w:r>
    </w:p>
    <w:p>
      <w:pPr>
        <w:spacing w:after="0" w:line="18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Even if we are able to successfully develop Vascepa outside the United States or develop additional products from our research and development efforts, the development time cycle for products typically takes several years. This restricts our ability to respond to adverse business conditions for Vascepa. If we are not successful with development,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301" w:lineRule="exact"/>
        <w:rPr>
          <w:sz w:val="20"/>
          <w:szCs w:val="20"/>
          <w:color w:val="auto"/>
        </w:rPr>
      </w:pPr>
    </w:p>
    <w:p>
      <w:pPr>
        <w:ind w:left="260" w:right="80"/>
        <w:spacing w:after="0" w:line="277" w:lineRule="auto"/>
        <w:rPr>
          <w:sz w:val="20"/>
          <w:szCs w:val="20"/>
          <w:color w:val="auto"/>
        </w:rPr>
      </w:pPr>
      <w:r>
        <w:rPr>
          <w:rFonts w:ascii="Arial" w:cs="Arial" w:eastAsia="Arial" w:hAnsi="Arial"/>
          <w:sz w:val="18"/>
          <w:szCs w:val="18"/>
          <w:b w:val="1"/>
          <w:bCs w:val="1"/>
          <w:i w:val="1"/>
          <w:iCs w:val="1"/>
          <w:color w:val="auto"/>
        </w:rPr>
        <w:t>The uncertain effect of Vascepa on its ultimate targeted clinical benefit makes it more difficult to achieve a level of market acceptance by physicians, patients, healthcare payors and others in the medical community necessary for commercial success.</w:t>
      </w:r>
    </w:p>
    <w:p>
      <w:pPr>
        <w:spacing w:after="0" w:line="62"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 xml:space="preserve">In January 2013, we launched Vascepa based on the U.S. Food and Drug Administration, or FDA, approval of our MARINE indication,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500 mg/dL) hypertriglyceridemia. Approximately 4.0 million people in the United States have severely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500 mg/dL), commonly known as very high triglyceride levels. Guidelines for the management of very high triglyceride levels suggest that reducing triglyceride levels is the primary goal in patients to reduce the risk of acute pancreatitis. A secondary goal for this patient population is to reduce cardiovascular risk. The effect of Vascepa on cardiovascular mortality and morbidity, or the risk for pancreatitis, in patients with hypertriglyceridemia has not been determined and our FDA-approved labeling and promotional efforts state these facts.</w:t>
      </w:r>
    </w:p>
    <w:p>
      <w:pPr>
        <w:spacing w:after="0" w:line="16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 xml:space="preserve">In August 2015, based on a federal court order, we also began communicating promotional information beyond the MARINE indication to healthcare professionals in the United States for the treatment of patients with high (TG </w:t>
      </w:r>
      <w:r>
        <w:rPr>
          <w:rFonts w:ascii="Arial" w:cs="Arial" w:eastAsia="Arial" w:hAnsi="Arial"/>
          <w:sz w:val="18"/>
          <w:szCs w:val="18"/>
          <w:u w:val="single" w:color="auto"/>
          <w:color w:val="auto"/>
        </w:rPr>
        <w:t>&gt;</w:t>
      </w:r>
      <w:r>
        <w:rPr>
          <w:rFonts w:ascii="Arial" w:cs="Arial" w:eastAsia="Arial" w:hAnsi="Arial"/>
          <w:sz w:val="18"/>
          <w:szCs w:val="18"/>
          <w:color w:val="auto"/>
        </w:rPr>
        <w:t>200 mg/dL and &lt;500 mg/dL) triglyceride levels who are also on statin therapy for elevated low-density lipoprotein cholesterol, or LDL-C, levels, based on results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50" w:name="page51"/>
    <w:bookmarkEnd w:id="50"/>
    <w:p>
      <w:pPr>
        <w:spacing w:after="0" w:line="255" w:lineRule="auto"/>
        <w:rPr>
          <w:sz w:val="20"/>
          <w:szCs w:val="20"/>
          <w:color w:val="auto"/>
        </w:rPr>
      </w:pPr>
      <w:r>
        <w:rPr>
          <w:rFonts w:ascii="Arial" w:cs="Arial" w:eastAsia="Arial" w:hAnsi="Arial"/>
          <w:sz w:val="18"/>
          <w:szCs w:val="18"/>
          <w:color w:val="auto"/>
        </w:rPr>
        <w:t xml:space="preserve">from the ANCHOR study of Vascepa. It is estimated that approximately 40 million adults in the United States have high triglyceride levels (TG </w:t>
      </w:r>
      <w:r>
        <w:rPr>
          <w:rFonts w:ascii="Arial" w:cs="Arial" w:eastAsia="Arial" w:hAnsi="Arial"/>
          <w:sz w:val="18"/>
          <w:szCs w:val="18"/>
          <w:u w:val="single" w:color="auto"/>
          <w:color w:val="auto"/>
        </w:rPr>
        <w:t>&gt;</w:t>
      </w:r>
      <w:r>
        <w:rPr>
          <w:rFonts w:ascii="Arial" w:cs="Arial" w:eastAsia="Arial" w:hAnsi="Arial"/>
          <w:sz w:val="18"/>
          <w:szCs w:val="18"/>
          <w:color w:val="auto"/>
        </w:rPr>
        <w:t>200 mg/dL), and many patients with high triglycerides also have other lipid level abnormalities such as high cholesterol and are on statin therapy. FDA did not approve Vascepa for use in this population due to the uncertain effect of pharmaceutically induced triglyceride reduction in this patient population on cardiovascular risk reduction, the ultimate targeted clinical benefit. Our promotional efforts disclose this fact and what we view as truthful and non-misleading information on the current state of research on both triglyceride reduction and the active pharmaceutical ingredient, or API, in Vascepa, EPA, as each relate to the potential of Vascepa to reduce cardiovascular risk.</w:t>
      </w:r>
    </w:p>
    <w:p>
      <w:pPr>
        <w:spacing w:after="0" w:line="193" w:lineRule="exact"/>
        <w:rPr>
          <w:sz w:val="20"/>
          <w:szCs w:val="20"/>
          <w:color w:val="auto"/>
        </w:rPr>
      </w:pPr>
    </w:p>
    <w:p>
      <w:pPr>
        <w:jc w:val="both"/>
        <w:ind w:right="100" w:firstLine="518"/>
        <w:spacing w:after="0" w:line="259" w:lineRule="auto"/>
        <w:rPr>
          <w:sz w:val="20"/>
          <w:szCs w:val="20"/>
          <w:color w:val="auto"/>
        </w:rPr>
      </w:pPr>
      <w:r>
        <w:rPr>
          <w:rFonts w:ascii="Arial" w:cs="Arial" w:eastAsia="Arial" w:hAnsi="Arial"/>
          <w:sz w:val="18"/>
          <w:szCs w:val="18"/>
          <w:color w:val="auto"/>
        </w:rPr>
        <w:t>The uncertainties around the ultimate clinical benefit of Vascepa make it more difficult for Vascepa to gain market acceptance by physicians, patients, healthcare payors and others in the medical community. If Vascepa does not achieve an adequate level of acceptance, we may not generate product revenues sufficient to become profitable. The degree of market acceptance of Vascepa for the MARINE indication and in ANCHOR patients and any future approved indications will depend on a number of factors, including:</w:t>
      </w:r>
    </w:p>
    <w:p>
      <w:pPr>
        <w:spacing w:after="0" w:line="79"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perceived efficacy, safety and potential advantages of Vascepa, as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scope, effectiveness and strength of product education, marketing and distribution support, including our sales and marketing team;</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continually promote Vascepa in the United States outside of FDA-approved labeling and the related perception thereof;</w:t>
      </w:r>
    </w:p>
    <w:p>
      <w:pPr>
        <w:spacing w:after="0" w:line="128" w:lineRule="exact"/>
        <w:rPr>
          <w:rFonts w:ascii="Arial" w:cs="Arial" w:eastAsia="Arial" w:hAnsi="Arial"/>
          <w:sz w:val="17"/>
          <w:szCs w:val="17"/>
          <w:color w:val="auto"/>
        </w:rPr>
      </w:pPr>
    </w:p>
    <w:p>
      <w:pPr>
        <w:ind w:left="1040" w:right="2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sufficient third-party coverage or reimbursement for on-label use, and for permitted off-label use, the third-party coverage or reimbursement for which was not addressed in the scope of the August 2015 court declaration; and</w:t>
      </w:r>
    </w:p>
    <w:p>
      <w:pPr>
        <w:spacing w:after="0" w:line="62"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current and planned commercialization efforts may not be successful in increasing sales of Vascepa.</w:t>
      </w:r>
    </w:p>
    <w:p>
      <w:pPr>
        <w:spacing w:after="0" w:line="11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Since late 2013, our sales team has consisted of approximately 150 sales professionals, including sales representatives and their managers. This sales team promotes Vascepa to a limited group of physicians and other healthcare professionals in select geographies in the United States. This sales team is not large enough to call upon all physicians. In January 2013, when we initially began selling Vascepa in the United States through our own then newly established sales and marketing teams and through a newly established third-party commercial distribution infrastructure, our sales team was larger. In October 2013, following an FDA advisory committee recommendation against approval for the ANCHOR indication, we implemented a plan to reduce our workforce and our team of sales professionals by half.</w:t>
      </w:r>
    </w:p>
    <w:p>
      <w:pPr>
        <w:spacing w:after="0" w:line="193"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In May 2014, we began co-promoting Vascepa in the United States with Kowa Pharmaceuticals America, Inc. under a co-promotion agreement we entered into in March 2014. Under the agreement, Kowa Pharmaceuticals America, Inc. co-promotes Vascepa in conjunction with its promotion of its primary product, a branded statin for patients with high cholesterol, along with our approximately 150 sales professionals, including sales representatives and their managers, based on a plan designed to focus on select sales territories that we believe have demonstrated the greatest potential for Vascepa sales growth and increase both the number of sales targets reached and the frequency of sales calls on existing sales targets. However, the commercialization of pharmaceutical products is a complex undertaking, and we have very limited experience as a company operating in this area and co-promoting a pharmaceutical product with a partner. In addition, if the results of the REDUCE-IT outcomes study are successful, we plan to expand our promotion of Vascepa, including increasing the size of our team. We will need to overcome challenges associated with rapidly hiring and training personnel and managing larger teams of people. Furthermore, our agreement with Kowa Pharmaceuticals America, Inc. is designed such that their co-promotion of Vascepa ceases after 2018. If we do not extend this co-promotion agreement, enter into a co-promotion agreement with an equally capable company or hire equally capable sales representatives, our sales may be negatively impacted by the end of co-promotion under this agreement.</w:t>
      </w:r>
    </w:p>
    <w:p>
      <w:pPr>
        <w:spacing w:after="0" w:line="173"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Outside of the United States, we have expanded our commercialization activities through partnering arrangements in certain territories. In February 2015, we entered into a Development, Commercialization and Supply Agreement (the “DCS Agreement”) with Eddingpharm (Asia) Macao Commercial Offshore Limited (“Eddingpharm”) related to the development and commercialization of Vascepa in Mainland China, Hong Kong, Macau and Taiwan, or the China Territory. Under the DCS Agreement, Eddingpharm is solely responsible for development and commercialization activities in the China Territory and associated expenses. Additionally,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ind w:right="60"/>
        <w:spacing w:after="0" w:line="264" w:lineRule="auto"/>
        <w:rPr>
          <w:sz w:val="20"/>
          <w:szCs w:val="20"/>
          <w:color w:val="auto"/>
        </w:rPr>
      </w:pPr>
      <w:r>
        <w:rPr>
          <w:rFonts w:ascii="Arial" w:cs="Arial" w:eastAsia="Arial" w:hAnsi="Arial"/>
          <w:sz w:val="18"/>
          <w:szCs w:val="18"/>
          <w:color w:val="auto"/>
        </w:rPr>
        <w:t>Eddingpharm is required to conduct clinical trials in the China Territory to secure regulatory approval. Significant commercialization of Vascepa in the China Territory is several years away, if at all. If Eddingpharm is not able to effectively develop and commercialize Vascepa in the China Territory, we may not be able to generate revenue from the DCS Agreement resulting from the sale of Vascepa in the China Territory.</w:t>
      </w:r>
    </w:p>
    <w:p>
      <w:pPr>
        <w:spacing w:after="0" w:line="18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have limited experience working with partners outside the United States, such as Eddingpharm, to develop and market our products in non-U.S. jurisdictions. In order for Eddingpharm, or us,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Eddingpharm to obtain approval for Vascepa in non-U.S. jurisdictions in a timely manner may limit the commercial success of Vascepa and our ability to grow our revenues.</w:t>
      </w:r>
    </w:p>
    <w:p>
      <w:pPr>
        <w:spacing w:after="0" w:line="193"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In March 2016, we entered into an agreement with Biologix FZCo (“Biologix”), a company incorporated under the laws of United Arab Emirates,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Commercialization across the region, as in China, is several years away in most jurisdictions and subject to similar risks. We continue to assess other partnership opportunities for licensing Vascepa to partners outside of the United States.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Factors related to building and managing a sales and marketing organization that can inhibit our efforts to successfully commercialize Vascepa include:</w:t>
      </w:r>
    </w:p>
    <w:p>
      <w:pPr>
        <w:spacing w:after="0" w:line="140"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117" w:lineRule="exact"/>
        <w:rPr>
          <w:rFonts w:ascii="Arial" w:cs="Arial" w:eastAsia="Arial" w:hAnsi="Arial"/>
          <w:sz w:val="18"/>
          <w:szCs w:val="18"/>
          <w:color w:val="auto"/>
        </w:rPr>
      </w:pPr>
    </w:p>
    <w:p>
      <w:pPr>
        <w:jc w:val="both"/>
        <w:ind w:left="1040" w:right="480" w:hanging="519"/>
        <w:spacing w:after="0" w:line="286"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inability to adequately train our sales and marketing personnel, in particular as it relates to various healthcare regulatory requirements applicable to the marketing and sale of pharmaceutical products and the court declaration that we believe enables us to expand marketing efforts for Vascepa, and our inability to adequately monitor compliance with these requirements;</w:t>
      </w:r>
    </w:p>
    <w:p>
      <w:pPr>
        <w:spacing w:after="0" w:line="57"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inability by us or our partners to obtain regulatory and marketing approval or establish marketing channels in foreign jurisdictions;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225"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expect final positive results from the REDUCE-IT outcomes study will be required for FDA-approved label expansion for Vascepa.</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January 2013, we have marketed Vascepa for use in the FDA-approved MARINE indication in the United States.</w:t>
      </w:r>
    </w:p>
    <w:p>
      <w:pPr>
        <w:spacing w:after="0" w:line="22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In April 2015, we received a Complete Response Letter, or CRL, from the FDA on our supplemental new drug application, or sNDA, that sought approval for the use of Vascepa in patients with high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 xml:space="preserve"> 200 mg/dL and &lt;500 mg/dL) who are also on statin therapy, which we refer to as the ANCHOR indication. In regulatory communications, the FDA acknowledged that the results of the ANCHOR trial as we presented them to FDA were valid and truthful in that, for example, Vascepa reduced triglyceride levels compared to placebo in patients treated in the ANCHOR study. The clinical rationale for reducing serum triglycerides with Vascepa and modifying other lipid/lipoprotein parameters shown in ANCHOR among statin-treated patients with triglycerides 200-499 mg/dL is to reduce cardiovascular risk. In not approving our ANCHOR sNDA, the FDA concluded that, for regulatory approval purposes, there were insufficient data to support a drug-induced change in serum triglycerides as a surrogate for reducing cardiovascular risk in the ANCHOR population. The FDA did not determine that the drug-induced effects of Vascepa, which go beyond triglyceride-lowering, would not actually reduce cardiovascular risk in this population.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ind w:firstLine="518"/>
        <w:spacing w:after="0" w:line="289" w:lineRule="auto"/>
        <w:rPr>
          <w:sz w:val="20"/>
          <w:szCs w:val="20"/>
          <w:color w:val="auto"/>
        </w:rPr>
      </w:pPr>
      <w:r>
        <w:rPr>
          <w:rFonts w:ascii="Arial" w:cs="Arial" w:eastAsia="Arial" w:hAnsi="Arial"/>
          <w:sz w:val="16"/>
          <w:szCs w:val="16"/>
          <w:color w:val="auto"/>
        </w:rPr>
        <w:t>In August 2015, based on a federal court order, we began communicating promotional information beyond the MARINE indication to healthcare professionals in the United States through use of a set of qualified statements that reflect the state of research related to the use of Vascepa in the ANCHOR population and the supportive but not conclusive research on the use of Vascepa to reduce cardiovascular risk in this population. In March 2016, we settled the litigation related to this court order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An FDA-approved indication for this patient population has not been granted. If new clinical information is demonstrated which changes what we understand today to be truthful and non-misleading, our promotion of Vascepa will need to be modified to ensure that our promotion remains truthful and non-misleading. Our ability to reach full potential in the commercialization of Vascepa in the United States is dependent upon marketing claims associated with Vascepa that are granted with the approval of an indication statement by the FDA.</w:t>
      </w:r>
    </w:p>
    <w:p>
      <w:pPr>
        <w:spacing w:after="0" w:line="16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Based on our communications with the FDA, we expect that final positive results from the REDUCE-IT outcomes study will be required for FDA approval of a new indication or other label expansion for Vascepa. Any delay in obtaining, or an inability to obtain, further expansion of our marketing approval rights with an FDA approval could prevent us from growing revenue at all or greater than our current pace and could therefore have a material adverse effect on our operations and financial condition, including our ability to reach profitability. Even if we obtain additional regulatory approvals for Vascepa, the timing or scope of any approvals may prohibit or reduce our ability to commercialize the product successfully. For example, if the approval process for any expanded indication takes too long, we may miss market opportunities and give other companies the ability to develop competing products or establish market dominance. If the FDA does not approve any expanded indication at all, it could have a material impact on our future results of operations and financial condition. Additionally, the terms of any approvals beyond the approval received from the FDA in July 2012 for the MARINE indication may prove to not have the scope or breadth needed for us to successfully commercialize Vascepa or become profitable.</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off-label promotion of Vascepa could subject us to additional regulatory scrutiny and present unforeseen risks.</w:t>
      </w:r>
    </w:p>
    <w:p>
      <w:pPr>
        <w:spacing w:after="0" w:line="117"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color w:val="auto"/>
        </w:rPr>
        <w:t>The Federal Food, Drug, and Cosmetic Act, or FDCA, has been interpreted by the FDA to make it illegal for pharmaceutical companies to promote their FDA approved products for uses that have not been approved by the FDA. Companies that market drugs for off-label uses or indications have been subject to related costly litigation, criminal penalties and civil liability under the FDCA and the False Claims Act.</w:t>
      </w:r>
    </w:p>
    <w:p>
      <w:pPr>
        <w:spacing w:after="0" w:line="166"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 xml:space="preserve">In May 2015, we and a group of independent physicians filed a lawsuit against the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reflects recognized medical practice but was not approved by the FDA and is thus not covered by current FDA-approved labeling for the drug. Promotion of an off-label use is considered by the FDA to be illegal under the FDCA. The lawsuit, captioned </w:t>
      </w:r>
      <w:r>
        <w:rPr>
          <w:rFonts w:ascii="Arial" w:cs="Arial" w:eastAsia="Arial" w:hAnsi="Arial"/>
          <w:sz w:val="17"/>
          <w:szCs w:val="17"/>
          <w:i w:val="1"/>
          <w:iCs w:val="1"/>
          <w:color w:val="auto"/>
        </w:rPr>
        <w:t>Amarin Pharma, Inc., et al. v. Food &amp; Drug Administration, et al.</w:t>
      </w:r>
      <w:r>
        <w:rPr>
          <w:rFonts w:ascii="Arial" w:cs="Arial" w:eastAsia="Arial" w:hAnsi="Arial"/>
          <w:sz w:val="17"/>
          <w:szCs w:val="17"/>
          <w:color w:val="auto"/>
        </w:rPr>
        <w:t>, 119 F. Supp. 3d 196 (S.D.N.Y. 2015), was filed in the United States District Court for the Southern District of New York. In the 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FDA opposed this lawsuit but did not dispute the veracity of the subject ANCHOR clinical trial data, the safety data from which is already in FDA-approved labeling of Vascepa, or the peer-reviewed research related to Vascepa and the potential for cardiovascular risk reduction.</w:t>
      </w:r>
    </w:p>
    <w:p>
      <w:pPr>
        <w:spacing w:after="0" w:line="180"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In connection with this litigation, the FDA sent a detailed letter to us on June 5, 2015 that confirmed the validity of the ANCHOR trial results. The letter also sought to clarify how, in the FDA’s view, applicable law and FDA policies apply to the communications proposed in our complaint. The FDA stated in this letter that it did not have concerns with much of the information we proposed to communicate and provided us with guidance on the FDA’s view of lawful, but limited paths for the dissemination and communication to healthcare professionals of the effects of Vascepa demonstrated in the ANCHOR clinical trial and use of peer-reviewed scientific publications in the context of appropriate disclaimers.</w:t>
      </w:r>
    </w:p>
    <w:p>
      <w:pPr>
        <w:spacing w:after="0" w:line="173"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FDA did not appeal the court’s ruling. In March 2016, we settled this litigation under terms by which the FDA and the U.S. government agreed to be bound by the conclusions from the federal court order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ind w:right="620"/>
        <w:spacing w:after="0" w:line="277" w:lineRule="auto"/>
        <w:rPr>
          <w:sz w:val="20"/>
          <w:szCs w:val="20"/>
          <w:color w:val="auto"/>
        </w:rPr>
      </w:pPr>
      <w:r>
        <w:rPr>
          <w:rFonts w:ascii="Arial" w:cs="Arial" w:eastAsia="Arial" w:hAnsi="Arial"/>
          <w:sz w:val="18"/>
          <w:szCs w:val="18"/>
          <w:color w:val="auto"/>
        </w:rPr>
        <w:t>that we may engage in truthful and non-misleading speech promoting the off-label use of Vascepa and that certain statements and disclosures that we proposed to make to healthcare professionals were truthful and non-misleading.</w:t>
      </w:r>
    </w:p>
    <w:p>
      <w:pPr>
        <w:spacing w:after="0" w:line="170"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 Based on our communications with the FDA, we expect that final positive results from the REDUCE-IT outcomes study will be required for label expansion for Vascepa.</w:t>
      </w:r>
    </w:p>
    <w:p>
      <w:pPr>
        <w:spacing w:after="0" w:line="18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Even though we have the benefit of a final settlement in this litigation, our promotion is still subject to a high, perhaps abnormally high, degree of scrutiny to ensure that our promotion remains within the scope covered by the settlement. For example, under the settlement, we remain responsible for ensuring our speech is truthful and non-misleading. Data arising from studies of drug products are complex, such as the many trials that we believe show supportive but not conclusive research on the potential connection between the effects of EPA, the active ingredient in Vascepa, and cardiovascular risk reduction (e.g., the JELIS trial of a highly-pure EPA product in Japan and the ongoing REDUCE-IT study of Vascepa). We, the FDA and other interested parties may not agree on the truthfulness and non-misleading nature of our promotional materials with respect to the outcome of these trials. Federal and state governments may also seek to find other means to prevent our promotion of unapproved truthful and non-misleading information about Vascepa. 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any of which could adversely affect our ability to operate our business and our results of operations.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4" w:name="page55"/>
    <w:bookmarkEnd w:id="54"/>
    <w:p>
      <w:pPr>
        <w:ind w:left="26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78"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competitors both in the United States and Europe include large, well-established pharmaceutical companies, specialty pharmaceutical sales and marketing companies, and specialized cardiovascular treatment companies. GlaxoSmithKline plc, which currently sells Lovaza</w:t>
      </w:r>
      <w:r>
        <w:rPr>
          <w:rFonts w:ascii="Arial" w:cs="Arial" w:eastAsia="Arial" w:hAnsi="Arial"/>
          <w:sz w:val="14"/>
          <w:szCs w:val="14"/>
          <w:color w:val="auto"/>
        </w:rPr>
        <w:t>®</w:t>
      </w:r>
      <w:r>
        <w:rPr>
          <w:rFonts w:ascii="Arial" w:cs="Arial" w:eastAsia="Arial" w:hAnsi="Arial"/>
          <w:sz w:val="17"/>
          <w:szCs w:val="17"/>
          <w:color w:val="auto"/>
        </w:rPr>
        <w:t>, a prescription-only omega-3 fatty acid indicated for patients with severe hypertriglyceridemia was approved by FDA in 2004 and has been on the market in the United States since 2005. As described below, multiple generic versions of Lovaza are now available in the United States. Other large companies with competitive products include AbbVie, Inc., which currently sells Tricor</w:t>
      </w:r>
      <w:r>
        <w:rPr>
          <w:rFonts w:ascii="Arial" w:cs="Arial" w:eastAsia="Arial" w:hAnsi="Arial"/>
          <w:sz w:val="14"/>
          <w:szCs w:val="14"/>
          <w:color w:val="auto"/>
        </w:rPr>
        <w:t>®</w:t>
      </w:r>
      <w:r>
        <w:rPr>
          <w:rFonts w:ascii="Arial" w:cs="Arial" w:eastAsia="Arial" w:hAnsi="Arial"/>
          <w:sz w:val="17"/>
          <w:szCs w:val="17"/>
          <w:color w:val="auto"/>
        </w:rPr>
        <w:t xml:space="preserve"> and Trilipix</w:t>
      </w:r>
      <w:r>
        <w:rPr>
          <w:rFonts w:ascii="Arial" w:cs="Arial" w:eastAsia="Arial" w:hAnsi="Arial"/>
          <w:sz w:val="14"/>
          <w:szCs w:val="14"/>
          <w:color w:val="auto"/>
        </w:rPr>
        <w:t>®</w:t>
      </w:r>
      <w:r>
        <w:rPr>
          <w:rFonts w:ascii="Arial" w:cs="Arial" w:eastAsia="Arial" w:hAnsi="Arial"/>
          <w:sz w:val="17"/>
          <w:szCs w:val="17"/>
          <w:color w:val="auto"/>
        </w:rPr>
        <w:t xml:space="preserve"> for the treatment of severe hypertriglyceridemia and Niaspan</w:t>
      </w:r>
      <w:r>
        <w:rPr>
          <w:rFonts w:ascii="Arial" w:cs="Arial" w:eastAsia="Arial" w:hAnsi="Arial"/>
          <w:sz w:val="14"/>
          <w:szCs w:val="14"/>
          <w:color w:val="auto"/>
        </w:rPr>
        <w:t>®</w:t>
      </w:r>
      <w:r>
        <w:rPr>
          <w:rFonts w:ascii="Arial" w:cs="Arial" w:eastAsia="Arial" w:hAnsi="Arial"/>
          <w:sz w:val="17"/>
          <w:szCs w:val="17"/>
          <w:color w:val="auto"/>
        </w:rPr>
        <w:t>, which is primarily used to raise HDL-C but is also used to lower triglycerides. Generic versions of Tricor, Trilipix, and Niaspan are also now available in the United States. In addition, in May 2014, Epanova</w:t>
      </w:r>
      <w:r>
        <w:rPr>
          <w:rFonts w:ascii="Arial" w:cs="Arial" w:eastAsia="Arial" w:hAnsi="Arial"/>
          <w:sz w:val="14"/>
          <w:szCs w:val="14"/>
          <w:color w:val="auto"/>
        </w:rPr>
        <w:t>®</w:t>
      </w:r>
      <w:r>
        <w:rPr>
          <w:rFonts w:ascii="Arial" w:cs="Arial" w:eastAsia="Arial" w:hAnsi="Arial"/>
          <w:sz w:val="17"/>
          <w:szCs w:val="17"/>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Also, in April 2014, Omtryg, another omega-3-acid fatty acid composition developed by Trygg Pharma AS, received FDA approval for severe hypertriglyceridemia. Neither Epanova nor Omtryg have been commercially launched, but could launch at any time. Each of these competitors, other than potentially Trygg, has greater resources than we do, including financial, product development, marketing, personnel and other resources.</w:t>
      </w:r>
    </w:p>
    <w:p>
      <w:pPr>
        <w:spacing w:after="0" w:line="180"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Results of pending low dose omega-3 cardiovascular outcomes studies may negatively affect sales of Vascepa. For example, in 2018, results of both VITamin D and OmegA-3 TriaL (VITAL) and A Study of Cardiovascular Events iN Diabetes (ASCEND) trials are expected to be released. VITAL is an NIH funded randomized double-blind, placebo-controlled, 2x2 factorial trial of 2000 IU per day of vitamin D3 and 1 gram per day of omega-3 fatty acid supplementation (Lovaza) for the primary prevention of cancer and cardiovascular disease in a nationwide USA cohort of 25,874 adults not selected for elevated cardiovascular or cancer risk. ASCEND is a British Heart Foundation funded 2x2 factorial design, randomized study to assess whether aspirin 100 mg daily versus placebo and separately, omega-3 fatty acids 1 gram daily versus placebo, reduce the risk of cardiovascular events in a nationwide UK cohort of over 15,000 individuals with diabetes who do not have atherosclerotic cardiovascular disease. Positive results due to the omega-3 component from one or both trials may influence greater utilization of 1 gram daily of dietary supplements in a broad low cardiovascular risk population and in patients with diabetes and may potentially cause an update of AHA recommendation for 1 gram per day of EPA and DHA based on trial results. Also, AstraZeneca is currently conducting a long-term outcomes study to assess STatin Residual Risk Reduction With EpaNova in HiGh Cardiovascular Risk PatienTs With Hypertriglyceridemia (STRENGTH). The study is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for approximately 3-5 years as determined when the number of major adverse cardiovascular event outcomes is reached. The STRENGTH study estimated completion date is in November 2019, but it could be stopped earlier if, for example, it generates an overwhelming efficacy result.</w:t>
      </w:r>
    </w:p>
    <w:p>
      <w:pPr>
        <w:spacing w:after="0" w:line="183"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Currently, seven manufacturers have launched generic versions of Lovaza. In April 2014, Teva Pharmaceuticals USA Inc., or Teva, launched a generic version of Lovaza after winning its patent litigation against Pronova BioPharma Norge AS, now owned by BASF, which owns such patent rights. In June 2014 and September 2014, Par Pharmaceutical Inc., or Par, and Apotex Inc., or Apotex, respectively, received FDA approval of their respective versions of generic Lovaza. Par launched a generic version of Lovaza in July 2014. In March 2011, Pronova/BASF entered into an agreement with Apotex to settle its patent litigation in the United States related to Lovaza. Pursuant to the terms of the settlement agreement, Apotex launched a generic version of Lovaza in January 2015. Prasco Labs launched a generic version of Lovaza in March 2015 and AvKARE, Inc., or AvKARE, launched its version in May 2015. AvKARE supplies government agencies and does not participate in the commercial marketplace. Amneal Pharmaceuticals launched a generic version of Lovaza in January 2016. In December 2016, Golden State Medical Supply launched a generic version of Lovaza. Like AvKARE, Golden State Medical Supply only supplies products to government agencies and does not participate in the commercial marketplace.</w:t>
      </w:r>
    </w:p>
    <w:p>
      <w:pPr>
        <w:spacing w:after="0" w:line="16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In addition, we are aware of other pharmaceutical companies that are developing products that, if approved and marketed, would compete with Vascepa. We understand that Acasti Pharma, or Acasti, a subsidiary of Neptune Technologies &amp; Bioresources Inc., announced in December 2015 that it intends to pursue a regulatory pathway under section 505(b)(2) of the FDCA for its omega-3 prescription drug candidate, CaPre</w:t>
      </w:r>
      <w:r>
        <w:rPr>
          <w:rFonts w:ascii="Arial" w:cs="Arial" w:eastAsia="Arial" w:hAnsi="Arial"/>
          <w:sz w:val="15"/>
          <w:szCs w:val="15"/>
          <w:color w:val="auto"/>
        </w:rPr>
        <w:t>®</w:t>
      </w:r>
      <w:r>
        <w:rPr>
          <w:rFonts w:ascii="Arial" w:cs="Arial" w:eastAsia="Arial" w:hAnsi="Arial"/>
          <w:sz w:val="18"/>
          <w:szCs w:val="18"/>
          <w:color w:val="auto"/>
        </w:rPr>
        <w:t>, derived from krill oil, for the treatment of hypertriglyceridemia. In September 2016, Acasti</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5" w:name="page56"/>
    <w:bookmarkEnd w:id="55"/>
    <w:p>
      <w:pPr>
        <w:jc w:val="both"/>
        <w:ind w:right="60"/>
        <w:spacing w:after="0" w:line="285" w:lineRule="auto"/>
        <w:rPr>
          <w:sz w:val="20"/>
          <w:szCs w:val="20"/>
          <w:color w:val="auto"/>
        </w:rPr>
      </w:pPr>
      <w:r>
        <w:rPr>
          <w:rFonts w:ascii="Arial" w:cs="Arial" w:eastAsia="Arial" w:hAnsi="Arial"/>
          <w:sz w:val="16"/>
          <w:szCs w:val="16"/>
          <w:color w:val="auto"/>
        </w:rPr>
        <w:t>announced positive results from its pivotal bioavailability bridging study comparing CaPre to Lovaza, establishing a scientific bridge between the two that is expected to support the feasibility of a 505(b)(2) regulatory pathway. Acasti intends to complete long-term toxicity studies in the next 6-9 months and follow these with a Phase 3 clinical program to assess the safety and efficacy of CaPre in patients with very high (≥500 mg/dL) triglycerides. We believe Sancilio &amp; Company, or Sancilio, is also developing potential treatments for hypertriglyceridemia based on omega-3 fatty acids. To our knowledge, Sancilio is pursuing a regulatory pathway under section 505(b)(2) of the FDCA for its product and submitted an Investigational New Drug Application, or IND, in July 2015.</w:t>
      </w:r>
    </w:p>
    <w:p>
      <w:pPr>
        <w:spacing w:after="0" w:line="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Sancilio completed two pharmacokinetic studies and Phase 2 bioavailability studies (FASTR I&amp;II), with one comparing SC401 to Lovaza. We expect the company or a potential partner to initiate a pivotal clinical Phase 3 study as the next step in development.</w:t>
      </w:r>
    </w:p>
    <w:p>
      <w:pPr>
        <w:spacing w:after="0" w:line="184"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In addition, we are aware that Matinas BioPharma, Inc. is developing an omega-3-based therapeutic for the treatment of severe hypertriglyceridemia and mixed dyslipidemia. Matinas BioPharma, Inc. has filed an IND with the FDA to conduct a human study in the treatment of severe hypertriglyceridemia. Akcea Therapeutics/Ionis Pharmaceuticals (formerly Isis Pharmaceuticals), or Akcea/Ionis, announced favorable Phase 3 results of volanesorsen (formerly ISIS-APOCIII</w:t>
      </w:r>
      <w:r>
        <w:rPr>
          <w:rFonts w:ascii="Arial" w:cs="Arial" w:eastAsia="Arial" w:hAnsi="Arial"/>
          <w:sz w:val="13"/>
          <w:szCs w:val="13"/>
          <w:color w:val="auto"/>
        </w:rPr>
        <w:t>Rx</w:t>
      </w:r>
      <w:r>
        <w:rPr>
          <w:rFonts w:ascii="Arial" w:cs="Arial" w:eastAsia="Arial" w:hAnsi="Arial"/>
          <w:sz w:val="16"/>
          <w:szCs w:val="16"/>
          <w:color w:val="auto"/>
        </w:rPr>
        <w:t>), a drug candidate administered through weekly subcutaneous injections, in patients with severe hypertriglyceridemia (COMPASS trial) and in patients with familial chylomicronemia syndrome (FCS) (APPROACH trial). Phase 3 trials are currently ongoing studying volanesorsen in patients with FCS and familial partial lipodystrophy (FPL) with data expected in 2017 and 2019. In January 2017, Akcea/Ionis announced a strategic collaboration and option agreement with Novartis whereby Novartis will help develop (including funding cardiovascular outcomes studies) and commercialize products emerging from this collaboration, including volanesorsen. Madrigal Pharmaceuticals has ongoing Phase 2 trials of MGL-3196 in patients with heterozygous familial hypercholesterolemia (HeFH) and in patients with Non-Alcoholic Steatohepatitis (NASH). Finally, Gemphire Therapeutics announced favorable results from a Phase 2 trial to evaluate the safety and efficacy of gemcabene, an oral, once-daily pill, in the treatment of patients with homozygous familial hypercholesterolemia (HoFH) on stable lipid-lowering therapy. The novel mechanism of action of gemcabene may support multiple indications including a potential severe triglyceride reduction. Three Phase 2b trials of gemcabene are ongoing in patients with HoFH on stable lipid-lowering therapy, in patients with severe hypertriglyceridemia, and in patients with hypercholesterolemia on a high-intensity stable statin therapy with or without ezetimibe.</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Generic company competitors are seeking FDA approval of generic versions of Vascepa and we are now engaged in related patent litigation.</w:t>
      </w:r>
    </w:p>
    <w:p>
      <w:pPr>
        <w:spacing w:after="0" w:line="140"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FDCA, as amended by the Drug Price Competition and Patent Term Restoration Act of 1984, as amended, or the Hatch-Waxman Amendments, permits the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78"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claim Vascepa.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87"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The paragraph IV notice is required to contain a detailed factual and legal statement explaining the basis for the applicant’s opinion that the proposed product does not infringe our patents, that our patents are invalid, or both. After receipt of a valid notice, we would have the option of bringing a patent infringement suit in federal district court against any generic company seeking approval for its product within 45 days from the date of receipt of each notice. If such a suit is commenced within this 45-day period, we will be entitled to receive a 30 month stay on FDA’s ability to give final approval to any of the proposed products that reference Vascepa that begins on the date we receive the paragraph IV notice. The stay may be shortened or lengthened if either party fails to cooperate in the litigation and it may be terminated if the court decides the case in less than 30 months. If the litigation is resolved in favor of the applicant before the expiration of the 30-month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9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the first half of 2014, we received six paragraph IV notices notifying us of accepted ANDAs to Vascepa under the Hatch-Waxman Amendments. These ANDAs were submitted and accepted by FDA under the regulatory scheme adopted under the Hatch-Waxman Amendments based on the FDA’s determination that we were entitled to three, and not five-year exclusivity. As a result, from the first half of 2014 until June 2015, we were engaged in costly litigation with the ANDA applicants to protect our patent rights.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6" w:name="page57"/>
    <w:bookmarkEnd w:id="56"/>
    <w:p>
      <w:pPr>
        <w:ind w:right="140" w:firstLine="518"/>
        <w:spacing w:after="0" w:line="264" w:lineRule="auto"/>
        <w:rPr>
          <w:sz w:val="20"/>
          <w:szCs w:val="20"/>
          <w:color w:val="auto"/>
        </w:rPr>
      </w:pPr>
      <w:r>
        <w:rPr>
          <w:rFonts w:ascii="Arial" w:cs="Arial" w:eastAsia="Arial" w:hAnsi="Arial"/>
          <w:sz w:val="18"/>
          <w:szCs w:val="18"/>
          <w:color w:val="auto"/>
        </w:rPr>
        <w:t>Based on the May 28, 2015, District of Columbia court order granting our motion for summary judgment in the NCE litigation, on June 26, 2015, the parties to the related Vascepa patent litigation that followed acceptance by FDA of ANDAs to Vascepa based on a three-year regulatory exclusivity determination, agreed to a full stay of proceeding in that patent litigation.</w:t>
      </w:r>
    </w:p>
    <w:p>
      <w:pPr>
        <w:spacing w:after="0" w:line="18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Following the May 28, 2015 District of Columbia court order setting aside FDA’s denial of NCE exclusivity for Vascepa, FDA notified the ANDA filers that FDA had changed the status of their ANDAs to submitted, but no longer accepted, and notified ANDA filers that FDA had ceased review of the pending ANDAs. In rescinding acceptance of the ANDAs, the statutory basis for the patent litigation (accepted ANDAs) no longer existed. Thus, on July 24, 2015, we moved to dismiss the pending patent infringement lawsuits against each of the Vascepa ANDA applicants in the U.S. District Court for the District of New Jersey.</w:t>
      </w:r>
    </w:p>
    <w:p>
      <w:pPr>
        <w:spacing w:after="0" w:line="188"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On January 22, 2016, the U.S. District Court for the District of New Jersey granted our motion to dismiss all patent infringement litigation related to the 2014 acceptance by the FDA of ANDAs to Vascepa. An appeal of the court’s dismissal was filed by one ANDA filer and, after FDA’s May 2016 grant of Vascepa NCE exclusivity, that appeal was withdrawn by the ANDA filer. This dismissal and terminated appeal ended this patent litigation related to Vascepa.</w:t>
      </w:r>
    </w:p>
    <w:p>
      <w:pPr>
        <w:spacing w:after="0" w:line="14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On May 31, 2016, in a reversal that FDA and we view as consistent with the court’s May 28, 2015 summary judgment motion, FDA determined that Vascepa is eligible for five-year, NCE marketing exclusivity. This determination provides Vascepa with the benefits of NCE exclusivity afforded by statute. NCE exclusivity for Vascepa runs from its date of FDA approval on July 26, 2012 and extends until July 26, 2017. The statutory 30-month stay triggered by patent litigation following generic application submissions permitted on July 26, 2016 would continue until January 26, 2020, seven-and-a-half years from FDA approval, unless such patent litigation was resolved against us sooner.</w:t>
      </w:r>
    </w:p>
    <w:p>
      <w:pPr>
        <w:spacing w:after="0" w:line="188"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It is possible that FDA’s NCE determination could be challenged by interested parties. If challenged, we plan to vigorously support FDA’s determination. Any such challenge could have a negative impact on our company and create uncertainty around the continued benefits associated with a five-year exclusivity status.</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September and October 2016, we received paragraph IV certification notices from four companies contending to varying degrees that certain of our patents are invalid, unenforceable and/or will not be infringed by the manufacture, use, sale or offer for sale of a generic form of Vascepa as described in those companies’ ANDAs. These certifications were expected given the eligibility for submission of ANDAs under the NCE regulatory structure, after the expiration of four years from the July 2012 approval of Vascepa.</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filed patent infringement lawsuits against three of these four ANDA applicants. In October 2016, Amarin filed a lawsuit against Roxane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Laboratories, Inc. and related parties (collectively, “Roxane”) in the U.S. District Court for the District of Nevada. The case against Roxane is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captioned </w:t>
      </w:r>
      <w:r>
        <w:rPr>
          <w:rFonts w:ascii="Arial" w:cs="Arial" w:eastAsia="Arial" w:hAnsi="Arial"/>
          <w:sz w:val="17"/>
          <w:szCs w:val="17"/>
          <w:i w:val="1"/>
          <w:iCs w:val="1"/>
          <w:color w:val="auto"/>
        </w:rPr>
        <w:t>Amarin Pharma, Inc. et al. v. Roxane Laboratories, Inc. et al.</w:t>
      </w:r>
      <w:r>
        <w:rPr>
          <w:rFonts w:ascii="Arial" w:cs="Arial" w:eastAsia="Arial" w:hAnsi="Arial"/>
          <w:sz w:val="17"/>
          <w:szCs w:val="17"/>
          <w:color w:val="auto"/>
        </w:rPr>
        <w:t>, Civ. A. No. 2:16-cv-02525 (D. Nev.). In November 2016, Amarin filed a lawsuit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against Dr. Reddy’s Laboratories, Inc. and Dr. Reddy’s Laboratories, Ltd. (collectively, “DRL”) in the U.S. District Court for the District of Nevada. The case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against DRL is captioned </w:t>
      </w:r>
      <w:r>
        <w:rPr>
          <w:rFonts w:ascii="Arial" w:cs="Arial" w:eastAsia="Arial" w:hAnsi="Arial"/>
          <w:sz w:val="17"/>
          <w:szCs w:val="17"/>
          <w:i w:val="1"/>
          <w:iCs w:val="1"/>
          <w:color w:val="auto"/>
        </w:rPr>
        <w:t>Amarin Pharma, Inc. et al. v. Dr. Reddy’s Laboratories, Inc. et al</w:t>
      </w:r>
      <w:r>
        <w:rPr>
          <w:rFonts w:ascii="Arial" w:cs="Arial" w:eastAsia="Arial" w:hAnsi="Arial"/>
          <w:sz w:val="17"/>
          <w:szCs w:val="17"/>
          <w:color w:val="auto"/>
        </w:rPr>
        <w:t>., Civ. A. No. 2:16-cv-02562 (D. Nev.). In November 2016,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Amarin filed a lawsuit against Teva Pharmaceuticals USA, Inc. and Teva Pharmaceuticals Industries Limited (collectively, “Teva”) in the U.S. District Court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the District of Nevada. The case against Teva is captioned </w:t>
      </w:r>
      <w:r>
        <w:rPr>
          <w:rFonts w:ascii="Arial" w:cs="Arial" w:eastAsia="Arial" w:hAnsi="Arial"/>
          <w:sz w:val="17"/>
          <w:szCs w:val="17"/>
          <w:i w:val="1"/>
          <w:iCs w:val="1"/>
          <w:color w:val="auto"/>
        </w:rPr>
        <w:t>Amarin Pharma, Inc. et al. v. Teva Pharmaceuticals USA, Inc. et al</w:t>
      </w:r>
      <w:r>
        <w:rPr>
          <w:rFonts w:ascii="Arial" w:cs="Arial" w:eastAsia="Arial" w:hAnsi="Arial"/>
          <w:sz w:val="17"/>
          <w:szCs w:val="17"/>
          <w:color w:val="auto"/>
        </w:rPr>
        <w:t>., Civ. A. No. 2:16-cv-</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02658. In all three lawsuits, we are seeking, among other remedies, an order enjoining each defendant from marketing generic versions of Vascepa before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last to expire of the asserted patents in 2030. The three lawsuits have been consolidated for pretrial proceedings, and are in their early stages. As a result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statutory stay associated with the filing of these lawsuits under the Hatch-Waxman Act, the FDA cannot grant final approval to Roxane, DRL, or Teva’s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respective ANDA before January 2020, unless there is an earlier court decision holding that the subject patents are not infringed and/or are invalid.</w:t>
      </w:r>
    </w:p>
    <w:p>
      <w:pPr>
        <w:spacing w:after="0" w:line="222"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fourth ANDA applicant referenced above is Apotex Inc. (“Apotex”), which sent Amarin a paragraph IV certification notice in September 2016. The notice reflected that Apotex made a paragraph IV notice as to some, but not all, of the patents listed in the Orange Book for Vascepa. Because Apotex did not make a paragraph IV certification as to all listed patents, Apotex cannot market a generic version of Vascepa before the last to expire of the patents for which Apotex did not make a paragraph IV certification, which is in 2030. At a later date, Apotex may elect to amend its ANDA in order to make a paragraph IV certification as to additional listed patents. If and when Apotex does make such an amendment, it would be required to send Amarin an additional paragraph IV certification notice, and Amarin would then have the ability to file a lawsuit against Apotex pursuant to the Hatch-Waxman Act.</w:t>
      </w:r>
    </w:p>
    <w:p>
      <w:pPr>
        <w:spacing w:after="0" w:line="165"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 xml:space="preserve">We intend to vigorously enforce our intellectual property rights relating to Vascepa, but we cannot predict the outcome of the </w:t>
      </w:r>
      <w:r>
        <w:rPr>
          <w:rFonts w:ascii="Arial" w:cs="Arial" w:eastAsia="Arial" w:hAnsi="Arial"/>
          <w:sz w:val="18"/>
          <w:szCs w:val="18"/>
          <w:i w:val="1"/>
          <w:iCs w:val="1"/>
          <w:color w:val="auto"/>
        </w:rPr>
        <w:t>Roxane, DRL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Teva </w:t>
      </w:r>
      <w:r>
        <w:rPr>
          <w:rFonts w:ascii="Arial" w:cs="Arial" w:eastAsia="Arial" w:hAnsi="Arial"/>
          <w:sz w:val="18"/>
          <w:szCs w:val="18"/>
          <w:color w:val="auto"/>
        </w:rPr>
        <w:t>lawsuits or any subsequently filed lawsuits.</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If an ANDA filer is ultimately successful in patent litigation against us, it meets the requirements for a generic version of Vascepa to the satisfaction of the FDA under its ANDA (after the applicable regulatory exclusivity period and the litigation-related 30-month stay period ends), and is able to supply the product in significant commercial quantities, the generic company could introduce a generic version of Vascepa. Such a market entry would likely limit our U.S. sales, which would have an adverse impact 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ind w:right="200"/>
        <w:spacing w:after="0" w:line="342" w:lineRule="auto"/>
        <w:rPr>
          <w:sz w:val="20"/>
          <w:szCs w:val="20"/>
          <w:color w:val="auto"/>
        </w:rPr>
      </w:pPr>
      <w:r>
        <w:rPr>
          <w:rFonts w:ascii="Arial" w:cs="Arial" w:eastAsia="Arial" w:hAnsi="Arial"/>
          <w:sz w:val="16"/>
          <w:szCs w:val="16"/>
          <w:color w:val="auto"/>
        </w:rPr>
        <w:t>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232" w:lineRule="exact"/>
        <w:rPr>
          <w:sz w:val="20"/>
          <w:szCs w:val="20"/>
          <w:color w:val="auto"/>
        </w:rPr>
      </w:pPr>
    </w:p>
    <w:p>
      <w:pPr>
        <w:ind w:left="260" w:right="600"/>
        <w:spacing w:after="0" w:line="277" w:lineRule="auto"/>
        <w:rPr>
          <w:sz w:val="20"/>
          <w:szCs w:val="20"/>
          <w:color w:val="auto"/>
        </w:rPr>
      </w:pPr>
      <w:r>
        <w:rPr>
          <w:rFonts w:ascii="Arial" w:cs="Arial" w:eastAsia="Arial" w:hAnsi="Arial"/>
          <w:sz w:val="18"/>
          <w:szCs w:val="18"/>
          <w:b w:val="1"/>
          <w:bCs w:val="1"/>
          <w:i w:val="1"/>
          <w:iCs w:val="1"/>
          <w:color w:val="auto"/>
        </w:rPr>
        <w:t>Vascepa’s five-year, new chemical entity, or NCE, regulatory exclusivity from the FDA and related 30-month stay that is scheduled to expire in January 2020 could be challenged by companies seeking to make generic versions of Vascepa.</w:t>
      </w:r>
    </w:p>
    <w:p>
      <w:pPr>
        <w:spacing w:after="0" w:line="62"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timelines and conditions under the abbreviated new drug application, or ANDA, process that permit the start of patent litigation and allow the FDA to approve generic versions of brand name drugs like Vascepa differ based on whether a drug receives three-year, or five-year, new chemical entity, or NCE, marketing exclusivity. In May 2016, after significant litigation, FDA determined that Vascepa is eligible for NCE marketing exclusivity. Accordingly, a related 30-month stay is currently in place and is scheduled to continue until January 26, 2020, seven-and-a-half years from FDA approval of Vascepa, unless related patent litigation is resolved against us sooner.</w:t>
      </w:r>
    </w:p>
    <w:p>
      <w:pPr>
        <w:spacing w:after="0" w:line="18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FDA typically makes a determination on marketing exclusivity in connection with an NDA approval of a drug for a new indication. FDA marketing exclusivity is separate from, and in addition to, patent protection, trade secrets and manufacturing barriers to entry which also help protect Vascepa against generic competition.</w:t>
      </w:r>
    </w:p>
    <w:p>
      <w:pPr>
        <w:spacing w:after="0" w:line="18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five-year NCE marketing exclusivity to Vascepa and granted three-year marketing exclusivity. Under applicable regulations, such three-year exclusivity would have extended through July 25, 2015 and would have been supplemented by a 30-month stay triggered by patent litigation that would have extended into September 2016, unless such patent litigation was resolved against us sooner.</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NCE marketing exclusivity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this case, Amarin, as a pioneer drug company, is afforded the benefit of a 30-month stay against the launch of such a competitive product that extends from the end of the five-year exclusivity period. A pioneer company could also be afforded extensions to the stay under applicable regulations, including a six-month pediatric exclusivity extension or a judicial extension if applicable requirements are met. A drug sponsor could also gain a form of marketing exclusivity under the Hatch-Waxman Amendments if such company can, under certain circumstances, complete a human clinical trial process and obtain regulatory approval of its product.</w:t>
      </w:r>
    </w:p>
    <w:p>
      <w:pPr>
        <w:spacing w:after="0" w:line="189"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contrast,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such as an approval sought based on positive REDUCE-IT outcomes study results. 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FDA from approving an NDA that relies only on its own data to support the change or innovation.</w:t>
      </w:r>
    </w:p>
    <w:p>
      <w:pPr>
        <w:spacing w:after="0" w:line="17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On February 27, 2014, we sued the FDA in the U.S. District Court for the District of Columbia to challenge the agency’s denial of five-year NCE exclusivity for Vascepa, based on our reading of the relevant statute, our view of FDA’s inconsistency with its past actions in this area and the retroactive effect of what we believe is a new policy at FDA as it relates to our situation. On May 28, 2015, the court granted our motion for summary judgment. The decision vacated the FDA’s denial of our claim for such exclusivity and remanded to the FDA for proceedings consistent with the decision. On July 22, 2015, Watson Laboratories Inc., the purported first Vascepa ANDA filer, sought to intervene and appeal the court’s decision. We and FDA opposed this intervention effort. The applicable courts denied Watson the relief sought and appeal periods have expired.</w:t>
      </w:r>
    </w:p>
    <w:p>
      <w:pPr>
        <w:spacing w:after="0" w:line="178" w:lineRule="exact"/>
        <w:rPr>
          <w:sz w:val="20"/>
          <w:szCs w:val="20"/>
          <w:color w:val="auto"/>
        </w:rPr>
      </w:pPr>
    </w:p>
    <w:p>
      <w:pPr>
        <w:jc w:val="both"/>
        <w:ind w:right="160" w:firstLine="518"/>
        <w:spacing w:after="0" w:line="259" w:lineRule="auto"/>
        <w:rPr>
          <w:sz w:val="20"/>
          <w:szCs w:val="20"/>
          <w:color w:val="auto"/>
        </w:rPr>
      </w:pPr>
      <w:r>
        <w:rPr>
          <w:rFonts w:ascii="Arial" w:cs="Arial" w:eastAsia="Arial" w:hAnsi="Arial"/>
          <w:sz w:val="18"/>
          <w:szCs w:val="18"/>
          <w:color w:val="auto"/>
        </w:rPr>
        <w:t>On May 31, 2016, in a reversal that FDA and we view as consistent with the court’s May 28, 2015 summary judgment motion, FDA determined that Vascepa is eligible for five-year, NCE marketing exclusivity. This determination provides Vascepa with the benefits of NCE exclusivity afforded by statute. NCE exclusivity for Vascepa runs from its date of FDA approval on July 26, 2012 and extends until July 26, 2017. The statutory 30-month stay triggered by patent litigation following generic application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ind w:right="80"/>
        <w:spacing w:after="0" w:line="277" w:lineRule="auto"/>
        <w:rPr>
          <w:sz w:val="20"/>
          <w:szCs w:val="20"/>
          <w:color w:val="auto"/>
        </w:rPr>
      </w:pPr>
      <w:r>
        <w:rPr>
          <w:rFonts w:ascii="Arial" w:cs="Arial" w:eastAsia="Arial" w:hAnsi="Arial"/>
          <w:sz w:val="18"/>
          <w:szCs w:val="18"/>
          <w:color w:val="auto"/>
        </w:rPr>
        <w:t>submissions permitted on July 26, 2016 would continue until January 26, 2020, seven-and-a-half years from FDA approval, unless such patent litigation was resolved against us sooner.</w:t>
      </w:r>
    </w:p>
    <w:p>
      <w:pPr>
        <w:spacing w:after="0" w:line="17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It is possible that FDA’s NCE determination could be challenged by interested parties. If challenged, we plan to vigorously support FDA’s determination. Any such challenge could have a negative impact on our company and create uncertainty around the continued benefits associated with a five-year, NCE exclusivity status.</w:t>
      </w:r>
    </w:p>
    <w:p>
      <w:pPr>
        <w:spacing w:after="0" w:line="289" w:lineRule="exact"/>
        <w:rPr>
          <w:sz w:val="20"/>
          <w:szCs w:val="20"/>
          <w:color w:val="auto"/>
        </w:rPr>
      </w:pPr>
    </w:p>
    <w:p>
      <w:pPr>
        <w:ind w:left="300" w:right="380"/>
        <w:spacing w:after="0" w:line="308" w:lineRule="auto"/>
        <w:rPr>
          <w:sz w:val="20"/>
          <w:szCs w:val="20"/>
          <w:color w:val="auto"/>
        </w:rPr>
      </w:pPr>
      <w:r>
        <w:rPr>
          <w:rFonts w:ascii="Arial" w:cs="Arial" w:eastAsia="Arial" w:hAnsi="Arial"/>
          <w:sz w:val="17"/>
          <w:szCs w:val="17"/>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38"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Our only product, Vascepa, is a prescription-only omega-3 fatty acid in ethyl ester form. Mixtures of omega-3 fatty acids in triglyceride form are naturally occurring substances contained in various foods, including fatty fish. Omega-3 fatty acids are also marketed by others as non-prescription dietary supplements. We cannot be sure physicians will view the pharmaceutical grade purity and tested efficacy and safety of Vascepa as having a superior therapeutic profile to untested and largely unregulated omega-3 fatty acid dietary supplements. In addition, the FDA has not yet enforced what we view as illegal drug claims made by certain omega-3 fatty acid supplement manufacturers to the extent we believe appropriate under applicable law and regulations, for example, claims that such supplements reduce triglyceride levels. Also, for more than a decade now,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As a result of our First Amendment litigation and settlement, we may now make this claim to healthcare professionals subject to certain qualifications. These factors enable dietary supplements to effectively compete with Vascepa. 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While Vascepa is highly price-competitive for patients generally, and in particular when covered by insurance—cheaper in many cases—either of these outcomes may adversely impact our results of operations by limiting how we price our product and limiting the revenue we receive from the sale of Vascepa due to reduced market acceptance.</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successful in our Vascepa co-promotion effort with Kowa Pharmaceuticals America, Inc.</w:t>
      </w:r>
    </w:p>
    <w:p>
      <w:pPr>
        <w:spacing w:after="0" w:line="11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March 2014, we entered into a co-promotion agreement with Kowa Pharmaceuticals America, Inc. to co-promote Vascepa in the United States under which Kowa Pharmaceuticals America, Inc. co-promotes Vascepa in conjunction with its promotion of its primary product, a branded statin for patients with high cholesterol, along with our approximately 150 sales professionals, including sales representatives and their managers. Co-promotion under the agreement commenced in May 2014 based on a plan designed to substantially increase both the number of sales targets reached and the frequency of sales calls on existing sales targets. While our agreement provides for minimum performance criteria, we have little control over Kowa Pharmaceuticals America, Inc., and it may fail to devote the necessary resources and attention to promote Vascepa effectively. If that were to occur for an extended period of time, depending on Vascepa revenues, we may have to curtail the continued development of Vascepa for approval for additional indications or increase our planned expenditures and undertake additional development or commercialization activities at our own expense. Or, we may seek to terminate the agreement and search for another commercialization partner.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commercial value to us of current and sought marketing rights may be smaller than we anticipate.</w:t>
      </w:r>
    </w:p>
    <w:p>
      <w:pPr>
        <w:spacing w:after="0" w:line="117"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There can be no assurance as to the adequacy for commercial success of the scope and breadth of the marketing rights we currently have or, if approved, an indication based on a successful outcome of the REDUCE-IT study.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the number of actual patients with conditions within the scope of our marketing efforts may be smaller than we anticipate. If any such marketing right or approved indication is narrower than we anticipate, the market potential for our product would suffer.</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9" w:name="page60"/>
    <w:bookmarkEnd w:id="59"/>
    <w:p>
      <w:pPr>
        <w:ind w:left="260" w:right="40"/>
        <w:spacing w:after="0" w:line="277" w:lineRule="auto"/>
        <w:rPr>
          <w:sz w:val="20"/>
          <w:szCs w:val="20"/>
          <w:color w:val="auto"/>
        </w:rPr>
      </w:pPr>
      <w:r>
        <w:rPr>
          <w:rFonts w:ascii="Arial" w:cs="Arial" w:eastAsia="Arial" w:hAnsi="Arial"/>
          <w:sz w:val="18"/>
          <w:szCs w:val="18"/>
          <w:b w:val="1"/>
          <w:bCs w:val="1"/>
          <w:i w:val="1"/>
          <w:iCs w:val="1"/>
          <w:color w:val="auto"/>
        </w:rPr>
        <w:t>Our special protocol assessment, or SPA, agreement for ANCHOR was rescinded and our SPA agreement for REDUCE-IT is not a guarantee of FDA approval of Vascepa for the proposed REDUCE-IT indication.</w:t>
      </w:r>
    </w:p>
    <w:p>
      <w:pPr>
        <w:spacing w:after="0" w:line="62"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 SPA agreement with the FDA. In each case, the FDA agreed that, based on the information we submitted to the agency, the design and planned analysis of the trial is adequate to support use of the conducted study as the primary basis for approval with respect to effectiveness. A SPA agreement is not a guarantee of approval.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The FDA reserves the right of final determinations for approval based on its review of the entire data presented in a marketing application.</w:t>
      </w:r>
    </w:p>
    <w:p>
      <w:pPr>
        <w:spacing w:after="0" w:line="179"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In October 2013, the FDA notified us that it rescinded the ANCHOR study SPA agreement because the FDA determined that a substantial scientific issue essential to determining the effectiveness of Vascepa in the studied population was identified after testing began. In April 2015, we received a CRL from the FDA stating that the FDA determined not to approve label expansion reflecting the ANCHOR clinical trial efficacy data at this time.</w:t>
      </w:r>
    </w:p>
    <w:p>
      <w:pPr>
        <w:spacing w:after="0" w:line="147"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Thus, even though we have received regulatory approval of Vascepa for the MARINE indication under a SPA agreement, our ANCHOR SPA agreement was rescinded. There is no assurance that the FDA will not rescind our REDUCE-IT SPA agreement.</w:t>
      </w:r>
    </w:p>
    <w:p>
      <w:pPr>
        <w:spacing w:after="0" w:line="170"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independent data monitoring committee (DMC) at approximately 80% of the target aggregate number of primary cardiovascular events. In this amended REDUCE-IT SPA agreement, FDA agreed that, based on the information submitted to the agency, the critical elements of the revised REDUCE-IT protocol and analysis plans adequately address the objectives necessary to support a regulatory submission. However, secondary and/or tertiary endpoints, their ordering in the statistical hierarchy, their clinical significance, or whether any would yield results appropriate for labeling are considered review issues and are not intended to be a binding component of the REDUCE-IT SPA agreement. Further, matters such as endpoint adjudication procedures (including potential endpoint ascertainment, adjudication process, and detailed definitions) were specified by FDA as issues to be reviewed by the agency as part of a drug approval application. Consistent with the May 2016 FDA SPA draft guidance, FDA stated that the SPA agreement does not necessarily indicate the agency’s agreement with every detail of a protocol; instead, such an agreement indicates FDA’s concurrence with the elements critical to ensuring that the trial conducted under the protocol would have the potential to form the primary basis of an efficacy claim in a marketing application. In September 2016, we announced that the DMC completed its review of the first pre-specified interim efficacy analysis and, consistent with previously stated expectations, recommended that the trial continue as planned without modification.</w:t>
      </w:r>
    </w:p>
    <w:p>
      <w:pPr>
        <w:spacing w:after="0" w:line="175"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inability to obtain marketing approval in the ANCHOR or REDUCE-IT indications has prevented, and would continue to prevent, us from growing revenue more significantly, and it has had, and could continue to have, a material adverse effect on our operations and financial condition, including our ability to reach profitability.</w:t>
      </w:r>
    </w:p>
    <w:p>
      <w:pPr>
        <w:spacing w:after="0" w:line="289"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 in which case our sales of Vascepa may then suffer.</w:t>
      </w:r>
    </w:p>
    <w:p>
      <w:pPr>
        <w:spacing w:after="0" w:line="73"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In accordance with the SPA agreements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which commenced in 2011 and completed patient enrollment and randomization of 8,175 individual patients in 2016, is designed to evaluate the efficacy of Vascepa in reducing major cardiovascular events in an at-risk patient population with high triglyceride levels despite being on statin therapy.</w:t>
      </w:r>
    </w:p>
    <w:p>
      <w:pPr>
        <w:spacing w:after="0" w:line="18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Outcomes studies of certain other lipid-modifying therapies have failed to achieve the endpoints of such studies, even though they reduced triglyceride levels and showed other favorable effects on parameters relevant to cardiovascular health in studied patients. For example, in 2010, the results of the ACCORD-Lipid trial were published. This trial studied the effect of adding fenofibrate onto open-label simvastatin therapy on cardiovascular outcomes. The addition of fenofibrate did not show any treatment benefit on cardiovascular outcomes over simvastatin monotherapy in this study. In 2011, the results of the AIM-HIGH trial were published. This trial studied the effect of adding a second lipid-altering agent, extended-release niacin, to simvastatin therapy on cardiovascular outcomes in people at high risk for cardiovascular events. No significant incremental treatment benefit with extended-release niacin was observed.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0" w:name="page61"/>
    <w:bookmarkEnd w:id="60"/>
    <w:p>
      <w:pPr>
        <w:ind w:firstLine="518"/>
        <w:spacing w:after="0" w:line="269" w:lineRule="auto"/>
        <w:rPr>
          <w:sz w:val="20"/>
          <w:szCs w:val="20"/>
          <w:color w:val="auto"/>
        </w:rPr>
      </w:pPr>
      <w:r>
        <w:rPr>
          <w:rFonts w:ascii="Arial" w:cs="Arial" w:eastAsia="Arial" w:hAnsi="Arial"/>
          <w:sz w:val="17"/>
          <w:szCs w:val="17"/>
          <w:color w:val="auto"/>
        </w:rPr>
        <w:t>Outcomes studies of certain other lipid-modifying therapies included results which, after review of information not fully available to the sponsors during the conduct of the trials, modified initial reports of the trial results. Two examples are the AIM-HIGH trial and the IMPROVE-IT trial. When the AIM-HIGH trial was stopped, there were initial reports of certain safety concerns which, upon further and more detailed subsequent review, were concluded to not be associated with the study therapy. After the IMPROVE-IT trial was completed, initial reports on the effect of adding ezetimibe to statin therapy in subjects with acute coronary syndrome suggested greater benefit on cardiovascular outcomes than was considered to be the case after later reassessment and further evaluation of study data. In 2015, the results of the IMPROVE-IT trial were published. Based on the published results, the addition of ezetimibe showed incremental lowering of LDL-C levels and improved cardiovascular outcomes. This result was statistically significant but less than ten percent. Further evaluation of the IMPROVE-IT results suggested that the outcomes benefit may have been lower after factoring in and making certain assumptions regarding complicating factors such as a high number of patients who discontinued the study drug, withdrew consent, or were lost to follow-up. FDA approval of a new indication for ezetimibe based on the IMPROVE-IT results was denied after a negative FDA advisory committee recommendation that followed examination of the study results.</w:t>
      </w:r>
    </w:p>
    <w:p>
      <w:pPr>
        <w:spacing w:after="0" w:line="18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 xml:space="preserve">In addition, in September 2012, researchers published in the </w:t>
      </w:r>
      <w:r>
        <w:rPr>
          <w:rFonts w:ascii="Arial" w:cs="Arial" w:eastAsia="Arial" w:hAnsi="Arial"/>
          <w:sz w:val="18"/>
          <w:szCs w:val="18"/>
          <w:i w:val="1"/>
          <w:iCs w:val="1"/>
          <w:color w:val="auto"/>
        </w:rPr>
        <w:t>Journal of the American Medical Association</w:t>
      </w:r>
      <w:r>
        <w:rPr>
          <w:rFonts w:ascii="Arial" w:cs="Arial" w:eastAsia="Arial" w:hAnsi="Arial"/>
          <w:sz w:val="18"/>
          <w:szCs w:val="18"/>
          <w:color w:val="auto"/>
        </w:rPr>
        <w:t xml:space="preserve">, or </w:t>
      </w:r>
      <w:r>
        <w:rPr>
          <w:rFonts w:ascii="Arial" w:cs="Arial" w:eastAsia="Arial" w:hAnsi="Arial"/>
          <w:sz w:val="18"/>
          <w:szCs w:val="18"/>
          <w:i w:val="1"/>
          <w:iCs w:val="1"/>
          <w:color w:val="auto"/>
        </w:rPr>
        <w:t>JAMA</w:t>
      </w:r>
      <w:r>
        <w:rPr>
          <w:rFonts w:ascii="Arial" w:cs="Arial" w:eastAsia="Arial" w:hAnsi="Arial"/>
          <w:sz w:val="18"/>
          <w:szCs w:val="18"/>
          <w:color w:val="auto"/>
        </w:rPr>
        <w:t>, the results of a retrospective meta-analysis of twenty previously conducted studies regarding the use of omega-3 supplements across various patient populations. This meta-analysis suggested that the use of such supplements was not associated with a lower risk of all-cause death, cardiac death, sudden death, heart attack, or stroke. These facts illustrate categories of challenges faced in demonstrating favorable results in complex clinical studies like REDUCE-IT and in seeking to apply those results in support of regulatory approvals.</w:t>
      </w:r>
    </w:p>
    <w:p>
      <w:pPr>
        <w:spacing w:after="0" w:line="18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Data from clinical trials are invariably complex. It is also not typically possible to reliably extrapolate results from one trial to predict results from another as many factors differ between trials. For instance, unlike REDUCE-IT, the outcomes studies for fenofibrates and niacin were conducted in patient populations in which the majority of patients studied had triglycerides below 200 mg/dL and fenofibrates and niacin are believed to work differently than Vascepa in the body and do not have as favorable a side-effect profile. Of the twenty studies included in the </w:t>
      </w:r>
      <w:r>
        <w:rPr>
          <w:rFonts w:ascii="Arial" w:cs="Arial" w:eastAsia="Arial" w:hAnsi="Arial"/>
          <w:sz w:val="17"/>
          <w:szCs w:val="17"/>
          <w:i w:val="1"/>
          <w:iCs w:val="1"/>
          <w:color w:val="auto"/>
        </w:rPr>
        <w:t>JAMA</w:t>
      </w:r>
      <w:r>
        <w:rPr>
          <w:rFonts w:ascii="Arial" w:cs="Arial" w:eastAsia="Arial" w:hAnsi="Arial"/>
          <w:sz w:val="17"/>
          <w:szCs w:val="17"/>
          <w:color w:val="auto"/>
        </w:rPr>
        <w:t xml:space="preserve"> meta-analysis, nineteen involved the use of omega-3 supplements containing a mixture of EPA and DHA, and most were evaluated at relatively lower doses. In addition, in May 2013, </w:t>
      </w:r>
      <w:r>
        <w:rPr>
          <w:rFonts w:ascii="Arial" w:cs="Arial" w:eastAsia="Arial" w:hAnsi="Arial"/>
          <w:sz w:val="17"/>
          <w:szCs w:val="17"/>
          <w:i w:val="1"/>
          <w:iCs w:val="1"/>
          <w:color w:val="auto"/>
        </w:rPr>
        <w:t>The New England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Journal of Medicine </w:t>
      </w:r>
      <w:r>
        <w:rPr>
          <w:rFonts w:ascii="Arial" w:cs="Arial" w:eastAsia="Arial" w:hAnsi="Arial"/>
          <w:sz w:val="17"/>
          <w:szCs w:val="17"/>
          <w:color w:val="auto"/>
        </w:rPr>
        <w:t>published the results of an outcomes study of 1 gram per day of an omega-3 acid ethyl ester composition containing both EPA and DHA.</w:t>
      </w:r>
      <w:r>
        <w:rPr>
          <w:rFonts w:ascii="Arial" w:cs="Arial" w:eastAsia="Arial" w:hAnsi="Arial"/>
          <w:sz w:val="17"/>
          <w:szCs w:val="17"/>
          <w:i w:val="1"/>
          <w:iCs w:val="1"/>
          <w:color w:val="auto"/>
        </w:rPr>
        <w:t xml:space="preserve"> </w:t>
      </w:r>
      <w:r>
        <w:rPr>
          <w:rFonts w:ascii="Arial" w:cs="Arial" w:eastAsia="Arial" w:hAnsi="Arial"/>
          <w:sz w:val="17"/>
          <w:szCs w:val="17"/>
          <w:color w:val="auto"/>
        </w:rPr>
        <w:t>In that study, the composition failed to show a benefit in reducing the rate of death from cardiovascular causes or hospitalization for cardiovascular causes when administered to patients with cardiovascular risk factors under different study conditions than in the REDUCE-IT study. Vascepa is comprised of highly-pure ethyl-EPA, and has been approved by the FDA for use in adult patients with severe hypertriglyceridemia at a dose of 4 grams per day and is being studied in REDUCE-IT at 4 grams per day.</w:t>
      </w:r>
    </w:p>
    <w:p>
      <w:pPr>
        <w:spacing w:after="0" w:line="178"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 However, there are several limitations to comparing the JELIS study to REDUCE-IT. First, the patient population was exclusively Japanese, the majority of the participants were women, and at baseline patients had much higher LDL-C levels, limiting its generalizability to the intended target population. Also, a low dose of statins was used. It is unknown whether the positive treatment effects would have persisted if these patients had been optimally treated with statins using contemporary LDL-C targets in the United States. In addition, JELIS was an open-label trial, which could influence patient and physician behavior and reporting of symptoms, decisions regarding hospitalization, and referral of events for adjudication. This may be particularly relevant since hospitalization for unstable angina was a primary contributor of the overall positive result, and is considered a softer endpoint than fatal cardiovascular events.</w:t>
      </w:r>
    </w:p>
    <w:p>
      <w:pPr>
        <w:spacing w:after="0" w:line="182" w:lineRule="exact"/>
        <w:rPr>
          <w:sz w:val="20"/>
          <w:szCs w:val="20"/>
          <w:color w:val="auto"/>
        </w:rPr>
      </w:pPr>
    </w:p>
    <w:p>
      <w:pPr>
        <w:ind w:right="160" w:firstLine="518"/>
        <w:spacing w:after="0" w:line="287" w:lineRule="auto"/>
        <w:rPr>
          <w:sz w:val="20"/>
          <w:szCs w:val="20"/>
          <w:color w:val="auto"/>
        </w:rPr>
      </w:pPr>
      <w:r>
        <w:rPr>
          <w:rFonts w:ascii="Arial" w:cs="Arial" w:eastAsia="Arial" w:hAnsi="Arial"/>
          <w:sz w:val="16"/>
          <w:szCs w:val="16"/>
          <w:color w:val="auto"/>
        </w:rPr>
        <w:t>Further, FDA determined that JELIS results could not be used as support for or against the use of triglyceride levels as a surrogate for cardiovascular risk reduction. Patients treated with EPA and statin in JELIS achieved triglyceride levels that were only 5% lower, on average, than those achieved among patients treated with statin alone; however, the reduction in cardiovascular risk in the primary endpoint analysis was 19%. Likewise, within the primary and secondary prevention sub-analyses, triglyceride levels were lowered only 5% on average in the EPA plus statin group compared with the statin alone group; however, the relative risk reduction was 53% in the primary prevention population with elevated triglyceride (≥150 mg/dL) and low HDL-C (</w:t>
      </w:r>
      <w:r>
        <w:rPr>
          <w:rFonts w:ascii="Arial" w:cs="Arial" w:eastAsia="Arial" w:hAnsi="Arial"/>
          <w:sz w:val="16"/>
          <w:szCs w:val="16"/>
          <w:u w:val="single" w:color="auto"/>
          <w:color w:val="auto"/>
        </w:rPr>
        <w:t>&lt;</w:t>
      </w:r>
      <w:r>
        <w:rPr>
          <w:rFonts w:ascii="Arial" w:cs="Arial" w:eastAsia="Arial" w:hAnsi="Arial"/>
          <w:sz w:val="16"/>
          <w:szCs w:val="16"/>
          <w:color w:val="auto"/>
        </w:rPr>
        <w:t>40 mg/dL) levels and 23% in the secondary prevention population with established coronary artery disease. These large differences in magnitude between triglyceride reduction and risk reduction in JELIS suggest that the effects of EPA on triglyceride levels alone may not be responsible for, or predict, the observed differences in cardiovascular events between treatment groups in JELIS. JELIS was not designed to evaluate primary and secondary prevention populations. It is possible that the putative cardioprotective effects of EPA observed in JELIS are due not to a single mode of action, such as triglyceride lowering, but rather to multiple mechanisms working together, such as purported beneficial effects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ind w:right="80" w:firstLine="518"/>
        <w:spacing w:after="0" w:line="255" w:lineRule="auto"/>
        <w:rPr>
          <w:sz w:val="20"/>
          <w:szCs w:val="20"/>
          <w:color w:val="auto"/>
        </w:rPr>
      </w:pPr>
      <w:r>
        <w:rPr>
          <w:rFonts w:ascii="Arial" w:cs="Arial" w:eastAsia="Arial" w:hAnsi="Arial"/>
          <w:sz w:val="18"/>
          <w:szCs w:val="18"/>
          <w:color w:val="auto"/>
        </w:rPr>
        <w:t>There can be no assurance that the REDUCE-IT study will be completed successfully, that the endpoints of the REDUCE-IT cardiovascular outcomes study will be achieved, that, like the IMPROVE-IT trial, patients who discontinue the study drug, withdrew consent, or were lost to follow-up will not negatively affect REDUCE-IT results, that the results will support regulatory approvals, or that the lipid-modifying effects of Vascepa in REDUCE-IT or any other study of Vascepa will not be subject to variation beyond twelve weeks. If the REDUCE-IT trial is not successful or if the results of this long-term study are not consistent with the 12-week clinical results, it could prevent us from expanding the labeled approval of Vascepa or even call into question the currently understood efficacy and safety profile of Vascepa. In any such case, the market potential for Vascepa would suffer and our business would be materially affected.</w:t>
      </w:r>
    </w:p>
    <w:p>
      <w:pPr>
        <w:spacing w:after="0" w:line="297" w:lineRule="exact"/>
        <w:rPr>
          <w:sz w:val="20"/>
          <w:szCs w:val="20"/>
          <w:color w:val="auto"/>
        </w:rPr>
      </w:pPr>
    </w:p>
    <w:p>
      <w:pPr>
        <w:ind w:left="260" w:right="100"/>
        <w:spacing w:after="0" w:line="277" w:lineRule="auto"/>
        <w:rPr>
          <w:sz w:val="20"/>
          <w:szCs w:val="20"/>
          <w:color w:val="auto"/>
        </w:rPr>
      </w:pPr>
      <w:r>
        <w:rPr>
          <w:rFonts w:ascii="Arial" w:cs="Arial" w:eastAsia="Arial" w:hAnsi="Arial"/>
          <w:sz w:val="18"/>
          <w:szCs w:val="18"/>
          <w:b w:val="1"/>
          <w:bCs w:val="1"/>
          <w:i w:val="1"/>
          <w:iCs w:val="1"/>
          <w:color w:val="auto"/>
        </w:rPr>
        <w:t>The commercial value to us of sales of Vascepa outside the United States, such as under the DCS Agreement with Eddingpharm, may be smaller than we anticipate.</w:t>
      </w:r>
    </w:p>
    <w:p>
      <w:pPr>
        <w:spacing w:after="0" w:line="62"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There can be no assurance as to the adequacy for commercial success of Vascepa outside the United States. For example, even if we and Eddingpharm obtain marketing approval in countries within the China Territory, applicable regulatory agencies may impose restrictions on the product’s conditions for use, distribution or marketing and in some cases may impose ongoing requirements for post-market surveillance, post-approval studies or clinical trials. Also, there is a degree of unpredictability with regard to the eventual pricing and reimbursement levels of medications in markets outside the United States. If the pricing and reimbursement levels of Vascepa are lower than we anticipate, then affordability of, and market access to, Vascepa may be adversely affected and thus market potential in these territories would suffer. Furthermore, with regard to any indications for which we may gain approval in territories outside the United States, the number of actual patients with the condition included in such approved indication may be smaller than we anticipate. If any such approved indication is narrower than we anticipate, the market potential in these countries for our product would suffer.</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products and marketing efforts are subject to extensive post-approval government regulation.</w:t>
      </w:r>
    </w:p>
    <w:p>
      <w:pPr>
        <w:spacing w:after="0" w:line="11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71"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With respect to sales and marketing activities including direct-to-healthcare provider and direct-to-consumer advertising and promotional activities involving the internet, advertising and promotional materials must comply with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pharmaceutical current good manufacturing practice requirements, or cGMPs. Application holders must obtain FDA approval for product and manufacturing changes, depending on the nature of the change.</w:t>
      </w:r>
    </w:p>
    <w:p>
      <w:pPr>
        <w:spacing w:after="0" w:line="16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also are subject to the new federal transparency requirements under the Patient Protection and Affordable Care Act, as amended by the Health Care and Education Reconciliation Act, or collectively the PPACA, enacted in March 2010,which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We must also comply with requirements to collect and report adverse events and product complaints associated with our products. For example, in September 2014, we participated in a routine inspection from the FDA in which the FDA made observations on perceived deficiencies related to our processes for collection and processing of adverse events. We have responded to FDA with respect to these observations and continue to work with FDA to show that we have improved related systems and, given we received communication from the FDA that it considers this matter to be closed, we believe that we have demonstrated to FDA that we have adequately responded to these observations. Our activities are also potentially subject to U.S. federal and state consumer protection and unfair competition laws. Similar requirements exist in many of these areas in other countries.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ind w:right="60" w:firstLine="518"/>
        <w:spacing w:after="0" w:line="270" w:lineRule="auto"/>
        <w:rPr>
          <w:sz w:val="20"/>
          <w:szCs w:val="20"/>
          <w:color w:val="auto"/>
        </w:rPr>
      </w:pPr>
      <w:r>
        <w:rPr>
          <w:rFonts w:ascii="Arial" w:cs="Arial" w:eastAsia="Arial" w:hAnsi="Arial"/>
          <w:sz w:val="17"/>
          <w:szCs w:val="17"/>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Kowa Pharmaceuticals America, Inc. In addition, even if we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 In addition, all of the above factors may also apply to any regulatory approval for Vascepa obtained within the China Territory under the DCS agreement with Eddingpharm and in other territories outside the United States. Given our inexperience with marketing and commercializing products outside the United States, we will need to rely on third parties, such as Eddingpharm in China, to assist us in dealing with any such issues.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Legislative or regulatory reform of the healthcare system in the United States and foreign jurisdictions may affect our ability to profitably sell Vascepa.</w:t>
      </w:r>
    </w:p>
    <w:p>
      <w:pPr>
        <w:spacing w:after="0" w:line="15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88"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Specifically, in both the United States and some foreign jurisdictions, there have been a number of legislative and regulatory proposals to change the healthcare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63"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225"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We expect further federal and state proposals and healthcare reforms to continue to be proposed by legislators, which could limit the prices that can be charged for the products we develop and may limit our commercial opportunity. It appears likely that the Affordable Care Act will continue the pressure on pharmaceutical pricing, especially under the Medicare and Medicaid programs, and may also increase our regulatory burdens and operating costs. Legislative changes to the Affordable Care Act remain possible, and appear likely in the 115th United States Congress and under the Trump Administration.</w:t>
      </w:r>
    </w:p>
    <w:p>
      <w:pPr>
        <w:spacing w:after="0" w:line="154"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The continuing efforts of government and other third-party payors to further contain or reduce the costs of healthcare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6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jc w:val="both"/>
        <w:ind w:left="260" w:right="140"/>
        <w:spacing w:after="0" w:line="340" w:lineRule="auto"/>
        <w:rPr>
          <w:sz w:val="20"/>
          <w:szCs w:val="20"/>
          <w:color w:val="auto"/>
        </w:rPr>
      </w:pPr>
      <w:r>
        <w:rPr>
          <w:rFonts w:ascii="Arial" w:cs="Arial" w:eastAsia="Arial" w:hAnsi="Arial"/>
          <w:sz w:val="15"/>
          <w:szCs w:val="15"/>
          <w:b w:val="1"/>
          <w:bCs w:val="1"/>
          <w:i w:val="1"/>
          <w:iCs w:val="1"/>
          <w:color w:val="auto"/>
        </w:rPr>
        <w:t>The FDA and other regulatory agencies strictly regulate the promotional claims that may be made about prescription products. If we or our partners are found to have improperly promoted uses of Vascepa, we may become subject to significant fines and other liability. The government may seek to find means to prevent our promotion of truthful and non-misleading information beyond the current court ruling and litigation settlement.</w:t>
      </w:r>
    </w:p>
    <w:p>
      <w:pPr>
        <w:spacing w:after="0" w:line="23"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in general, the U.S. government’s position has been that a product may not be promoted for uses that are not approved by the FDA as reflected in the product’s approved labeling. Even though we received FDA marketing approval for Vascepa for the MARINE indication and we believe the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False Claims Act, or other theories of liability. Government may also seek to hold us responsible for the non-compliance of our co-promotion partner, Kowa Pharmaceuticals America, Inc., or our commercialization partners outside the United States.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73"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7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Even though we have a final settlement in our litigation related to promotion beyond FDA-approved labeling, our promotion would still be subject to a high, perhaps abnormally high, degree of scrutiny to ensure that our promotion remains within the permitted scope. Likewise, federal or state government may seek to find other means to prevent our promotion of truthful and non-misleading information.</w:t>
      </w:r>
    </w:p>
    <w:p>
      <w:pPr>
        <w:spacing w:after="0" w:line="289" w:lineRule="exact"/>
        <w:rPr>
          <w:sz w:val="20"/>
          <w:szCs w:val="20"/>
          <w:color w:val="auto"/>
        </w:rPr>
      </w:pPr>
    </w:p>
    <w:p>
      <w:pPr>
        <w:ind w:left="260" w:right="40"/>
        <w:spacing w:after="0" w:line="279" w:lineRule="auto"/>
        <w:rPr>
          <w:sz w:val="20"/>
          <w:szCs w:val="20"/>
          <w:color w:val="auto"/>
        </w:rPr>
      </w:pPr>
      <w:r>
        <w:rPr>
          <w:rFonts w:ascii="Arial" w:cs="Arial" w:eastAsia="Arial" w:hAnsi="Arial"/>
          <w:sz w:val="17"/>
          <w:szCs w:val="17"/>
          <w:b w:val="1"/>
          <w:bCs w:val="1"/>
          <w:i w:val="1"/>
          <w:iCs w:val="1"/>
          <w:color w:val="auto"/>
        </w:rPr>
        <w:t>The prospective 80% interim efficacy and safety analysis of the REDUCE-IT cardiovascular outcomes trial may not be completed in the contemplated timeframe and may not demonstrate to the independent committee monitoring the study a sufficient benefit risk result to warrant the independent committee recommending stopping the study early for overwhelming efficacy. The independent monitoring committee may, at its discretion, also recommend that the study be stopped for safety or related concerns.</w:t>
      </w:r>
    </w:p>
    <w:p>
      <w:pPr>
        <w:spacing w:after="0" w:line="6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September 2016, we announced that the DMC completed its review of the first pre-specified interim efficacy analysis upon reaching approximately 60% of the target aggregate number of cardiovascular events in accordance with the SPA agreement for our REDUCE-IT cardiovascular outcomes trial and, consistent with previously stated expectations, recommended that the trial continue as planned without modification. In March 2017, we announced that the onset of approximately 80% of the target aggregate number of primary cardiovascular events has triggered preparation for a pre-specified interim efficacy and safety analysis by the study’s independent DMC. We currently expect the independent interim analysis to be conducted before the end of the third calendar quarter of 2017. It may actually take longer than anticipated for the DMC assessment of data for the interim analysis.</w:t>
      </w:r>
    </w:p>
    <w:p>
      <w:pPr>
        <w:spacing w:after="0" w:line="165"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Further, as is typical of interim analyses, the statistical threshold for defining overwhelming efficacy on the primary endpoint that would call for stopping the study early in connection with such analysis is considerably higher than the threshold for defining statistical significance after the expected completion of the study in early 2018. We do not expect the study to be stopped due to overwhelming efficacy at the 80% interim look. We have requested the DMC to not recommend stopping the study early based only upon the achievement of statistical significance for the primary endpoint, but to ensure that supportive trends of benefit are also consistently observed in certain secondary endpoints and subpopulations before recommending that the study be stopped early for overwhelming efficacy. For example, even if the appropriate studied cardiovascular events in the trial occur at sufficiently low rates in the active, Vascepa, group as compared to the placebo group such that the study would be a success at completion, the more rigorous statistical analysis applied by the DMC at the interim analysis may not warrant stoppage of the study for overwhelming efficacy in connection with the interim analysis. The study may also be stopped pursuant to recommendation by the DMC at this interim analysis due to low likelihood of obtaining a favorable result at completion. Despite no formal futility analysis or boundary being pre-specified in the protocol, it is within the purview of the DMC to weigh all available information and recommend study stoppage or continuation.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4" w:name="page65"/>
    <w:bookmarkEnd w:id="64"/>
    <w:p>
      <w:pPr>
        <w:ind w:right="80" w:firstLine="518"/>
        <w:spacing w:after="0" w:line="255" w:lineRule="auto"/>
        <w:rPr>
          <w:sz w:val="20"/>
          <w:szCs w:val="20"/>
          <w:color w:val="auto"/>
        </w:rPr>
      </w:pPr>
      <w:r>
        <w:rPr>
          <w:rFonts w:ascii="Arial" w:cs="Arial" w:eastAsia="Arial" w:hAnsi="Arial"/>
          <w:sz w:val="18"/>
          <w:szCs w:val="18"/>
          <w:color w:val="auto"/>
        </w:rPr>
        <w:t>Moreover, it is the DMC that will make the formal recommendation as to whether to stop the study early or to continue as planned. We are blinded to the interim analysis results and are informed by the DMC of the recommendation to stop the study or to continue as planned. The DMC may consider factors outside the pre-specified statistical analysis plan when assessing whether to recommend continuing the study as planned. For example, even if study results are sufficiently positive at the interim analysis to demonstrate overwhelming efficacy, the DMC at its discretion may recommend continuation of the study as planned with the goal of arriving at more robust results at the planned study completion if it believes that waiting for more robust results outweighs the potential medical benefit of stopping and unblinding the study early.</w:t>
      </w:r>
    </w:p>
    <w:p>
      <w:pPr>
        <w:spacing w:after="0" w:line="193" w:lineRule="exact"/>
        <w:rPr>
          <w:sz w:val="20"/>
          <w:szCs w:val="20"/>
          <w:color w:val="auto"/>
        </w:rPr>
      </w:pPr>
    </w:p>
    <w:p>
      <w:pPr>
        <w:ind w:right="440" w:firstLine="518"/>
        <w:spacing w:after="0" w:line="312" w:lineRule="auto"/>
        <w:rPr>
          <w:sz w:val="20"/>
          <w:szCs w:val="20"/>
          <w:color w:val="auto"/>
        </w:rPr>
      </w:pPr>
      <w:r>
        <w:rPr>
          <w:rFonts w:ascii="Arial" w:cs="Arial" w:eastAsia="Arial" w:hAnsi="Arial"/>
          <w:sz w:val="16"/>
          <w:szCs w:val="16"/>
          <w:color w:val="auto"/>
        </w:rPr>
        <w:t>The DMC has multiple times per year assessed safety data generated in the ongoing study and has thus far recommended to continue the study as planned. Thus, multiple safety reviews to date have not warranted study stoppage. Nevertheless, the study may be stopped at any time based on recommendations of the DMC due to safety concerns identified by the DMC during its ongoing and regularly scheduled safety data assessments.</w:t>
      </w:r>
    </w:p>
    <w:p>
      <w:pPr>
        <w:spacing w:after="0" w:line="255" w:lineRule="exact"/>
        <w:rPr>
          <w:sz w:val="20"/>
          <w:szCs w:val="20"/>
          <w:color w:val="auto"/>
        </w:rPr>
      </w:pPr>
    </w:p>
    <w:p>
      <w:pPr>
        <w:ind w:left="260" w:right="200"/>
        <w:spacing w:after="0" w:line="277"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62"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but not limited to:</w:t>
      </w:r>
    </w:p>
    <w:p>
      <w:pPr>
        <w:spacing w:after="0" w:line="84"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regulatory requirements for clinical trials or preclinical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trials or preclinical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 suspension, or termination of a trial by the institutional review board responsible for overseeing the study at a particular study site;</w:t>
      </w:r>
    </w:p>
    <w:p>
      <w:pPr>
        <w:spacing w:after="0" w:line="128" w:lineRule="exact"/>
        <w:rPr>
          <w:rFonts w:ascii="Arial" w:cs="Arial" w:eastAsia="Arial" w:hAnsi="Arial"/>
          <w:sz w:val="17"/>
          <w:szCs w:val="17"/>
          <w:color w:val="auto"/>
        </w:rPr>
      </w:pPr>
    </w:p>
    <w:p>
      <w:pPr>
        <w:ind w:left="1040" w:right="5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political instability affecting our clinical trial sites, such as the potential for political unrest affecting our REDUCE-IT clinical trial sites in the Ukraine and Russia.</w:t>
      </w:r>
    </w:p>
    <w:p>
      <w:pPr>
        <w:spacing w:after="0" w:line="170"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Even if we obtain positive results from early stage preclinical studies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 Questions can also arise on the quality of study data or its reliability. For example, during the public advisory committee meeting held by FDA as part of its review of our ANCHOR sNDA, a discussion regarding observed, nominally statistically significant changes from baseline in an adverse direction, while on background statin therapy, in certain lipid parameters, including triglycerides, in the placebo group, raised questions about the possibility that the mineral oil placebo used in the ANCHOR trial (and in the REDUCE-IT trial) might not be biologically inert and might be viewed as artificially exaggerating the clinical effect of Vascepa when measured against placebo in the ANCHOR trial. Ultimately, no strong evidence for biological activity of mineral oil was identified by the FDA before its approval of Vascepa after review of the MARINE and ANCHOR trials and consideration of other data regarding mineral oil. It was ultimately concluded that the between-group differences likely provided the most appropriate descriptions of the treatment effect of Vascepa and that whatever factor(s) led to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p>
      <w:pPr>
        <w:spacing w:after="0" w:line="290" w:lineRule="auto"/>
        <w:rPr>
          <w:sz w:val="20"/>
          <w:szCs w:val="20"/>
          <w:color w:val="auto"/>
        </w:rPr>
      </w:pPr>
      <w:r>
        <w:rPr>
          <w:rFonts w:ascii="Arial" w:cs="Arial" w:eastAsia="Arial" w:hAnsi="Arial"/>
          <w:sz w:val="16"/>
          <w:szCs w:val="16"/>
          <w:color w:val="auto"/>
        </w:rPr>
        <w:t>within-group changes over time in the placebo group were likely randomly distributed to all treatment groups. Thus, the FDA approved Vascepa for use in the MARINE indication in July 2012, FDA did not dispute the veracity of the ANCHOR trial data and, in connection with the March 2016 agreement we reached with the FDA allowing us to promote the results of the ANCHOR study, the FDA did not require that we include any qualification related to this earlier question regarding the mineral oil placebo. The FDA, early on in the course of the REDUCE-IT trial, directed the DMC for REDUCE-IT to periodically review unblinded lipid data to monitor for signals that the placebo might not be inert. After each such quarterly unblinded safety analysis and review meeting to date, the DMC has recommended to continue the REDUCE-IT study as planned. Each of these ongoing DMC recommendations has been shared with FDA. Amarin and FDA remain blinded to such study data. Despite the currently positive disposition of this matter, it illustrates that concerns such as this may arise in the future that could affect our product development, regulatory review or the public perception of our products and our future prospects.</w:t>
      </w:r>
    </w:p>
    <w:p>
      <w:pPr>
        <w:spacing w:after="0" w:line="166"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past or proposed future approvals of a product and/or restrictions on that product or manufacturer, including withdrawal of an indication or the product from the market, which would have a negative impact on our potential revenue stream.</w:t>
      </w:r>
    </w:p>
    <w:p>
      <w:pPr>
        <w:spacing w:after="0" w:line="287" w:lineRule="exact"/>
        <w:rPr>
          <w:sz w:val="20"/>
          <w:szCs w:val="20"/>
          <w:color w:val="auto"/>
        </w:rPr>
      </w:pPr>
    </w:p>
    <w:p>
      <w:pPr>
        <w:ind w:left="260"/>
        <w:spacing w:after="0" w:line="342" w:lineRule="auto"/>
        <w:rPr>
          <w:sz w:val="20"/>
          <w:szCs w:val="20"/>
          <w:color w:val="auto"/>
        </w:rPr>
      </w:pPr>
      <w:r>
        <w:rPr>
          <w:rFonts w:ascii="Arial" w:cs="Arial" w:eastAsia="Arial" w:hAnsi="Arial"/>
          <w:sz w:val="16"/>
          <w:szCs w:val="16"/>
          <w:b w:val="1"/>
          <w:bCs w:val="1"/>
          <w:i w:val="1"/>
          <w:iCs w:val="1"/>
          <w:color w:val="auto"/>
        </w:rPr>
        <w:t>As we continue to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16"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The process of establishing a commercial infrastructure is difficult, expensive and time-consuming. We have a relatively small sales organization consisting of approximately 150 sales professionals, including sales representatives and their managers. As our operations expand with the anticipated growth of our product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supply of product for the commercial market and clinical trials is dependent upon relationships with third-party manufacturers and key suppliers.</w:t>
      </w:r>
    </w:p>
    <w:p>
      <w:pPr>
        <w:spacing w:after="0" w:line="152" w:lineRule="exact"/>
        <w:rPr>
          <w:sz w:val="20"/>
          <w:szCs w:val="20"/>
          <w:color w:val="auto"/>
        </w:rPr>
      </w:pPr>
    </w:p>
    <w:p>
      <w:pPr>
        <w:jc w:val="both"/>
        <w:ind w:right="200" w:firstLine="518"/>
        <w:spacing w:after="0" w:line="279" w:lineRule="auto"/>
        <w:rPr>
          <w:sz w:val="20"/>
          <w:szCs w:val="20"/>
          <w:color w:val="auto"/>
        </w:rPr>
      </w:pPr>
      <w:r>
        <w:rPr>
          <w:rFonts w:ascii="Arial" w:cs="Arial" w:eastAsia="Arial" w:hAnsi="Arial"/>
          <w:sz w:val="17"/>
          <w:szCs w:val="17"/>
          <w:color w:val="auto"/>
        </w:rPr>
        <w:t>We have no in-house manufacturing capacity and rely on contract manufacturers for our clinical and commercial product supply. We cannot ensure that we will successfully manufacture any product we may develop, either independently or under manufacturing arrangements, if any, with our third-party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7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Any manufacturing problem, natural disaster affecting manufacturing facilities, or the loss of a contract manufacturer could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6" w:name="page67"/>
    <w:bookmarkEnd w:id="66"/>
    <w:p>
      <w:pPr>
        <w:ind w:right="160" w:firstLine="518"/>
        <w:spacing w:after="0" w:line="291" w:lineRule="auto"/>
        <w:rPr>
          <w:sz w:val="20"/>
          <w:szCs w:val="20"/>
          <w:color w:val="auto"/>
        </w:rPr>
      </w:pPr>
      <w:r>
        <w:rPr>
          <w:rFonts w:ascii="Arial" w:cs="Arial" w:eastAsia="Arial" w:hAnsi="Arial"/>
          <w:sz w:val="16"/>
          <w:szCs w:val="16"/>
          <w:color w:val="auto"/>
        </w:rPr>
        <w:t>We initially purchased all of our supply of the bulk compound (ethyl-EPA), or Vascepa API, from a single supplier, Nisshin Pharma, Inc., or Nisshin, located in Japan. Nisshin was approved by the FDA as a Vascepa API supplier as part of our FDA NDA for the MARINE indication in July 2012. In April 2013, we announced the approval by the FDA of an NDA supplement for Chemport, Inc. and BASF (formerly Equateq Limited) as additional Vascepa API suppliers. We terminated our agreement with BASF due to its inability to meet the agreement requirements, may enter into a new development and supply agreement with BASF, and may purchase API from BASF as it remains an NDA-approved supplier. In 2014, we obtained sNDA approval for a fourth supplier of API, which includes the manufacturing facility of Finorga SAS (Novasep). We currently purchase and use commercial supply from Novasep, Chemport, and Nisshin. Each of the API manufacturers obtains supply of the key raw material to manufacture API from other qualified third-parties.</w:t>
      </w:r>
    </w:p>
    <w:p>
      <w:pPr>
        <w:spacing w:after="0" w:line="167" w:lineRule="exact"/>
        <w:rPr>
          <w:sz w:val="20"/>
          <w:szCs w:val="20"/>
          <w:color w:val="auto"/>
        </w:rPr>
      </w:pPr>
    </w:p>
    <w:p>
      <w:pPr>
        <w:jc w:val="both"/>
        <w:ind w:right="160" w:firstLine="518"/>
        <w:spacing w:after="0" w:line="312" w:lineRule="auto"/>
        <w:rPr>
          <w:sz w:val="20"/>
          <w:szCs w:val="20"/>
          <w:color w:val="auto"/>
        </w:rPr>
      </w:pPr>
      <w:r>
        <w:rPr>
          <w:rFonts w:ascii="Arial" w:cs="Arial" w:eastAsia="Arial" w:hAnsi="Arial"/>
          <w:sz w:val="16"/>
          <w:szCs w:val="16"/>
          <w:color w:val="auto"/>
        </w:rPr>
        <w:t>While we have contractual freedom to source the API for Vascepa and have entered into supply agreements with multiple suppliers who also rely on other third-party suppliers to manufacture the API for Vascepa, Novasep, Nisshin and Chemport currently supply all of our API for Vascepa. Our strategy in adding API suppliers has been to expand manufacturing capacity, maintain competitive advantages, and mitigate the risk of reliance on any single supplier.</w:t>
      </w:r>
    </w:p>
    <w:p>
      <w:pPr>
        <w:spacing w:after="0" w:line="14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Expanding manufacturing capacity and qualifying such capacity is difficult and subject to numerous regulations and other operational challenges. The resources of our suppliers vary and are limited; costs associated with projected expansion and qualification can be significant. For example, Chemport, which was approved as one of our API suppliers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as part of an sNDA, our API supply will be limited to the API we purchase from previously approved suppliers. If our third-party manufacturing capacity is not expanded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7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currently have encapsulation agreements with three commercial API encapsulators for the encapsulation of Vascepa: Patheon, Inc. (formerly Banner Pharmacaps), Catalent Pharma Solutions, and Capsugel Plöermel SAS. These companies have qualified and validated their manufacturing processes and are capable of manufacturing Vascepa.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w:t>
      </w:r>
    </w:p>
    <w:p>
      <w:pPr>
        <w:spacing w:after="0" w:line="296" w:lineRule="exact"/>
        <w:rPr>
          <w:sz w:val="20"/>
          <w:szCs w:val="20"/>
          <w:color w:val="auto"/>
        </w:rPr>
      </w:pPr>
    </w:p>
    <w:p>
      <w:pPr>
        <w:ind w:left="260" w:right="280"/>
        <w:spacing w:after="0" w:line="277" w:lineRule="auto"/>
        <w:rPr>
          <w:sz w:val="20"/>
          <w:szCs w:val="20"/>
          <w:color w:val="auto"/>
        </w:rPr>
      </w:pPr>
      <w:r>
        <w:rPr>
          <w:rFonts w:ascii="Arial" w:cs="Arial" w:eastAsia="Arial" w:hAnsi="Arial"/>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may not purchase sufficient quantities of Vascepa to meet actual demand or our purchase of supply may exceed actual demand. In either case, such event could have a material adverse effect on our financial results and financial condition.</w:t>
      </w:r>
    </w:p>
    <w:p>
      <w:pPr>
        <w:spacing w:after="0" w:line="296" w:lineRule="exact"/>
        <w:rPr>
          <w:sz w:val="20"/>
          <w:szCs w:val="20"/>
          <w:color w:val="auto"/>
        </w:rPr>
      </w:pPr>
    </w:p>
    <w:p>
      <w:pPr>
        <w:ind w:left="260" w:right="200"/>
        <w:spacing w:after="0" w:line="264" w:lineRule="auto"/>
        <w:rPr>
          <w:sz w:val="20"/>
          <w:szCs w:val="20"/>
          <w:color w:val="auto"/>
        </w:rPr>
      </w:pPr>
      <w:r>
        <w:rPr>
          <w:rFonts w:ascii="Arial" w:cs="Arial" w:eastAsia="Arial" w:hAnsi="Arial"/>
          <w:sz w:val="18"/>
          <w:szCs w:val="18"/>
          <w:b w:val="1"/>
          <w:bCs w:val="1"/>
          <w:i w:val="1"/>
          <w:iCs w:val="1"/>
          <w:color w:val="auto"/>
        </w:rPr>
        <w:t>The manufacture, packaging and distribution of pharmaceutical products such as Vascepa are subject to FDA regulations and those of similar foreign regulatory bodies. If we or our third-party manufacturers fail to satisfy these requirements, our product development and commercialization efforts may be materially harmed.</w:t>
      </w:r>
    </w:p>
    <w:p>
      <w:pPr>
        <w:spacing w:after="0" w:line="73"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The manufacture, packaging and distribution of pharmaceutical products, such as Vascepa, are regulated by the FDA and similar foreign regulatory bodies and must be conducted in accordance with the FDA’s pharmaceutical current good manufacturing practices, or cGMPs, and comparable requirements of foreign regulatory bodies. There are a limited number of manufacturers that operate under these cGMPs and International Council for Harmonisation of Technical Requirements for Registration of Pharmaceuticals for Human Use, or ICH, regulations who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ind w:right="80" w:firstLine="518"/>
        <w:spacing w:after="0" w:line="302"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third-party manufacturer, may require prior FDA review and pre-approval of the manufacturing process and procedures in accordance with the FDA’s cGMPs. Any new facility may be subject to a pre-approval inspection by the FDA and would again require us to demonstrate product comparability to the FDA. There are comparable foreign requirements under ICH guidelines. This review may be costly and time consuming and could delay or prevent the launch of a product.</w:t>
      </w:r>
    </w:p>
    <w:p>
      <w:pPr>
        <w:spacing w:after="0" w:line="154"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Furthermore, the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73" w:lineRule="exact"/>
        <w:rPr>
          <w:sz w:val="20"/>
          <w:szCs w:val="20"/>
          <w:color w:val="auto"/>
        </w:rPr>
      </w:pPr>
    </w:p>
    <w:p>
      <w:pPr>
        <w:jc w:val="both"/>
        <w:ind w:right="400" w:firstLine="518"/>
        <w:spacing w:after="0" w:line="264" w:lineRule="auto"/>
        <w:rPr>
          <w:sz w:val="20"/>
          <w:szCs w:val="20"/>
          <w:color w:val="auto"/>
        </w:rPr>
      </w:pPr>
      <w:r>
        <w:rPr>
          <w:rFonts w:ascii="Arial" w:cs="Arial" w:eastAsia="Arial" w:hAnsi="Arial"/>
          <w:sz w:val="18"/>
          <w:szCs w:val="18"/>
          <w:color w:val="auto"/>
        </w:rPr>
        <w:t>The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which could significantly and adversely affect our business.</w:t>
      </w:r>
    </w:p>
    <w:p>
      <w:pPr>
        <w:spacing w:after="0" w:line="289" w:lineRule="exact"/>
        <w:rPr>
          <w:sz w:val="20"/>
          <w:szCs w:val="20"/>
          <w:color w:val="auto"/>
        </w:rPr>
      </w:pPr>
    </w:p>
    <w:p>
      <w:pPr>
        <w:ind w:left="260" w:right="44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62"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requirements,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87" w:lineRule="exact"/>
        <w:rPr>
          <w:sz w:val="20"/>
          <w:szCs w:val="20"/>
          <w:color w:val="auto"/>
        </w:rPr>
      </w:pPr>
    </w:p>
    <w:p>
      <w:pPr>
        <w:ind w:left="260" w:right="40"/>
        <w:spacing w:after="0" w:line="286" w:lineRule="auto"/>
        <w:rPr>
          <w:sz w:val="20"/>
          <w:szCs w:val="20"/>
          <w:color w:val="auto"/>
        </w:rPr>
      </w:pPr>
      <w:r>
        <w:rPr>
          <w:rFonts w:ascii="Arial" w:cs="Arial" w:eastAsia="Arial" w:hAnsi="Arial"/>
          <w:sz w:val="17"/>
          <w:szCs w:val="17"/>
          <w:b w:val="1"/>
          <w:bCs w:val="1"/>
          <w:i w:val="1"/>
          <w:iCs w:val="1"/>
          <w:color w:val="auto"/>
        </w:rPr>
        <w:t>We are dependent upon our collaboration with Eddingpharm and others to commercialize Vascepa in certain regions outside of the United States, and if such third parties fail to successfully fulfill their obligations, or are ineffective in their commercialization of Vascepa, or if our collaborations are terminated, our plans to commercialize Vascepa outside of the United States may be adversely affected.</w:t>
      </w:r>
    </w:p>
    <w:p>
      <w:pPr>
        <w:spacing w:after="0" w:line="5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February 2015, we entered into the DCS Agreement with Eddingpharm, under which we granted exclusive rights to Eddingpharm to develop and commercialize Vascepa in the China Territory. We are dependent on Eddingpharm for certain regulatory filings outside of the United States with respect to Vascepa, which may require conducting clinical trials in the China Territory to secure regulatory approval, as well as the commercialization of Vascepa outside of the United States. If Eddingpharm fails to perform its obligations under the DCS Agreement or is ineffective in its commercialization of Vascepa in the China Territory or if we fail to effectively manage our relationship with Eddingpharm, our ability to and the extent to which we commercialize and obtain certain regulatory approvals of Vascepa outside of the United States would be significantly harmed.</w:t>
      </w:r>
    </w:p>
    <w:p>
      <w:pPr>
        <w:spacing w:after="0" w:line="17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addition, Eddingpharm has the right to terminate the agreement under certain conditions. If Eddingpharm terminates the DCS Agreement, we would be required to either enter into alternative arrangements with third parties to commercialize Vascepa in the China Territory, which we may be unable to do, or to increase our internal infrastructure, both of which would likely result in significant additional expense and delay or termination of our Vascepa clinical development programs outside of the United States.</w:t>
      </w:r>
    </w:p>
    <w:p>
      <w:pPr>
        <w:spacing w:after="0" w:line="18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We also have an agreement with Biologix, entered into in March 2016, to register and commercialize Vascepa in countries within the Middle East and North Africa. Commercialization across the region, as in China, is subject to similar third-party risk.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73"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225"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We have prosecuted, and are currently prosecuting, multiple patent applications to protect the intellectual property developed during the Vascepa development program. As of the date of this report, we had 56 patent applications in the United States that have been either issued or allowed and more than 30 additional patent applications are pending in the United States. Such 56 allowed and issued applications include the following:</w:t>
      </w:r>
    </w:p>
    <w:p>
      <w:pPr>
        <w:spacing w:after="0" w:line="39" w:lineRule="exact"/>
        <w:rPr>
          <w:sz w:val="20"/>
          <w:szCs w:val="20"/>
          <w:color w:val="auto"/>
        </w:rPr>
      </w:pPr>
    </w:p>
    <w:p>
      <w:pPr>
        <w:ind w:left="1040" w:right="8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 issued U.S. patents directed to a pharmaceutical composition of Vascepa in a capsule that have terms that expire in 2020 and 2030, respectively,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43 U.S. patents covering or related to the use of Vascepa in either the MARINE or ANCHOR populations that have terms that expire in 2030 or later,</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3 additional patents related to the use of a pharmaceutical composition comprised of free fatty acids to treat the ANCHOR patient population with a term that expires in 2030,</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 additional patents related to the use of a pharmaceutical composition comprised of free fatty acids to treat the MARINE patient population with a term that expires in 2030,</w:t>
      </w:r>
    </w:p>
    <w:p>
      <w:pPr>
        <w:spacing w:after="0" w:line="62"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 additional patent related to a pharmaceutical composition comprised of free fatty acids and uses thereof to treat both the MARINE and ANCHOR patient populations with a term that expires in 2030,</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 additional patent related to a formulation of EPA/DHA and uses thereof with a term that expires in 2030,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 additional patent related to the use of Vascepa to treat obesity with a term that expires in 2030,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1 additional patent covering a pharmaceutical composition comprised of EPA and a hydroxyl compound with a term that expires in 2034,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 additional patent covering a new combination therapy comprised of EPA and another drug.</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88"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9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9" w:name="page70"/>
    <w:bookmarkEnd w:id="69"/>
    <w:p>
      <w:pPr>
        <w:ind w:right="40" w:firstLine="518"/>
        <w:spacing w:after="0" w:line="255"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93"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issued patents may not prevent competitors from competing with Vascepa, even if we seek to enforce our patent rights.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our U.S. Patent No. 8,663,662. The complaint alleged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In November 2014, based on a representation from AstraZeneca Pharmaceuticals LP that the commercial launch of Epanova was not imminent, the court dismissed our complaint, without prejudice (i.e., preserving our ability to later re-file the suit). The court required the defendant to notify us before any product launch. We intend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7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7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1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these additional MARINE and ANCHOR patents or any of our pending patent applications intended to cover an indication based on future results from the REDUCE-IT clinical trial will be granted or, if they grant, that they will prevent competitors from competing with Vascepa.</w:t>
      </w:r>
    </w:p>
    <w:p>
      <w:pPr>
        <w:spacing w:after="0" w:line="165"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ind w:right="160"/>
        <w:spacing w:after="0" w:line="342" w:lineRule="auto"/>
        <w:rPr>
          <w:sz w:val="20"/>
          <w:szCs w:val="20"/>
          <w:color w:val="auto"/>
        </w:rPr>
      </w:pPr>
      <w:r>
        <w:rPr>
          <w:rFonts w:ascii="Arial" w:cs="Arial" w:eastAsia="Arial" w:hAnsi="Arial"/>
          <w:sz w:val="16"/>
          <w:szCs w:val="16"/>
          <w:color w:val="auto"/>
        </w:rPr>
        <w:t>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32" w:lineRule="exact"/>
        <w:rPr>
          <w:sz w:val="20"/>
          <w:szCs w:val="20"/>
          <w:color w:val="auto"/>
        </w:rPr>
      </w:pPr>
    </w:p>
    <w:p>
      <w:pPr>
        <w:ind w:left="260" w:right="580"/>
        <w:spacing w:after="0" w:line="277"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6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60" w:right="360"/>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62"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January 2017, we issued financial and business guidance, including expected fiscal year 2017 total net revenue and expectations regarding improved cash flow from commercial operations and timing of the REDUCE-IT outcomes trial. All such guidance is based on estimates and the judgment of management. Because of the inherent nature of estimates, there could be significant differences between our estimates and the actual amount of product demand. If, for any reason, we are unable to realize our currently projected 2017 revenue, we may not realize our publicly announced financial guidance. If we fail to realize or if we change or update any element of our publicly disclosed financial guidance or other expectations about our business, our stock price could decline in value.</w:t>
      </w:r>
    </w:p>
    <w:p>
      <w:pPr>
        <w:spacing w:after="0" w:line="301" w:lineRule="exact"/>
        <w:rPr>
          <w:sz w:val="20"/>
          <w:szCs w:val="20"/>
          <w:color w:val="auto"/>
        </w:rPr>
      </w:pPr>
    </w:p>
    <w:p>
      <w:pPr>
        <w:ind w:left="260" w:right="18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executive officers were named as defendants in a class action lawsuit that could result in substantial costs and divert management’s attention.</w:t>
      </w:r>
    </w:p>
    <w:p>
      <w:pPr>
        <w:spacing w:after="0" w:line="62"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market price of our American Depositary Shares, or ADSs, declined significantly after the October 2013 decision by the FDA Advisory Committee to recommend against approval of Vascepa in the ANCHOR indication. We and certain of our current and former executive officers and directors were named as defendants in a class action lawsuit that generally alleged that we and certain of our current and former officers and directors violated Sections 10(b) and/or 20(a) of the Securities Exchange Act of 1934 and Rule 10b-5 promulgated thereunder by making allegedly false and/or misleading statements or material omissions concerning the ANCHOR sNDA and related FDA regulatory approval process in an effort to lead investors to believe that Vascepa would receive approval from the FDA in the ANCHOR indication. The complaints sought unspecified damages, interest, attorneys’ fees, and other costs.</w:t>
      </w:r>
    </w:p>
    <w:p>
      <w:pPr>
        <w:spacing w:after="0" w:line="165"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We engaged in a vigorous defense of this lawsuit. On June 29, 2015, the court granted our first motion to dismiss the class action litigation without prejudice. The court held that the plaintiffs failed to state a claim upon which relief could be granted and plaintiffs were given 30 days to refile an amended complaint.</w:t>
      </w:r>
    </w:p>
    <w:p>
      <w:pPr>
        <w:spacing w:after="0" w:line="18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On July 29, 2015, the plaintiffs filed an amended complaint and we again moved to dismiss. On April 26, 2016, the court granted a second motion to dismiss, again without prejudice, with leave for plaintiffs to file an amended complaint. On May 24, 2016, plaintiffs notified the court they would not file another amended complaint and on September 21, 2016, filed a brief in support of their appeal of the more recent dismissal to the Third Circuit Court of Appeals. On May 23, 2017, the Third Circuit Court of Appeals affirmed the May 26, 2016 judgment of the district court in connection with the district court’s grant of our motion to dismiss the lawsuit. Plaintiffs sought a rehearing and </w:t>
      </w:r>
      <w:r>
        <w:rPr>
          <w:rFonts w:ascii="Arial" w:cs="Arial" w:eastAsia="Arial" w:hAnsi="Arial"/>
          <w:sz w:val="18"/>
          <w:szCs w:val="18"/>
          <w:i w:val="1"/>
          <w:iCs w:val="1"/>
          <w:color w:val="auto"/>
        </w:rPr>
        <w:t>en banc</w:t>
      </w:r>
      <w:r>
        <w:rPr>
          <w:rFonts w:ascii="Arial" w:cs="Arial" w:eastAsia="Arial" w:hAnsi="Arial"/>
          <w:sz w:val="18"/>
          <w:szCs w:val="18"/>
          <w:color w:val="auto"/>
        </w:rPr>
        <w:t xml:space="preserve"> review of such affirmation, each of which were denied. If the plaintiffs seek appeal to the Supreme Court, we plan to continue with our vigorous defense.</w:t>
      </w:r>
    </w:p>
    <w:p>
      <w:pPr>
        <w:spacing w:after="0" w:line="193"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are unable to predict the ultimate outcome of this matter at this time. While we expect insurance to cover any financial exposure from this litigation, the conclusion of this matter in a manner adverse to us could have a material adverse effect on our financial condition and business. For example, we could incur substantial costs not covered by our directors’ and officers’ liability insurance, suffer a significant adverse impact on our reputation and divert management’s attention and resources from other priorities, including the execution of business plans and strategies that are important to our ability to grow our business, any of which could have a material adverse effect on our business. In addition, any of these matters could require payments that are not covered by, or exceed the limits of, our available directors’ and officers’ liability insurance, which could have a material adverse effect on our operating results or financial condition.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1" w:name="page72"/>
    <w:bookmarkEnd w:id="71"/>
    <w:p>
      <w:pPr>
        <w:ind w:left="26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11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8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11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 In keeping with our 2009 decision to re-focus our efforts on developing improved treatments for cardiovascular disease and cease development of all product candidates outside of our cardiovascular disease focus, we amended the terms of our acquisition agreement with the original shareholders of Ester.</w:t>
      </w:r>
    </w:p>
    <w:p>
      <w:pPr>
        <w:spacing w:after="0" w:line="158" w:lineRule="exact"/>
        <w:rPr>
          <w:sz w:val="20"/>
          <w:szCs w:val="20"/>
          <w:color w:val="auto"/>
        </w:rPr>
      </w:pPr>
    </w:p>
    <w:p>
      <w:pPr>
        <w:ind w:right="60" w:firstLine="518"/>
        <w:spacing w:after="0" w:line="308" w:lineRule="auto"/>
        <w:rPr>
          <w:sz w:val="20"/>
          <w:szCs w:val="20"/>
          <w:color w:val="auto"/>
        </w:rPr>
      </w:pPr>
      <w:r>
        <w:rPr>
          <w:rFonts w:ascii="Arial" w:cs="Arial" w:eastAsia="Arial" w:hAnsi="Arial"/>
          <w:sz w:val="17"/>
          <w:szCs w:val="17"/>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14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2011 and early 2012, but not after, we received several communications on behalf of the former shareholders of Ester asserting that we are in breach of our agreement with them as it relates to alleged rights to share in the value of EN101 due to the fact that Yissum terminated its license. We do not believe the circumstances presented constitute a breach of the agreement. If the dispute arises again, we plan to defend our position vigorously, but there can be no assurance as to the outcome of this dispute.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7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Our and our subsidiaries’ income tax returns are periodically examined by various tax authorities. We are currently under audit by the United States Internal Revenue Service (IRS) for the years 2013 to 2014. Although the outcome of tax audits is always uncertain and could result in significant cash tax payments, we do not believe the outcome of these audits will have a material adverse effect on our consolidated financial position or results of operations. The ultimate resolution may result in a payment that is materially different from our current estimate of the tax liabilities.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2" w:name="page73"/>
    <w:bookmarkEnd w:id="72"/>
    <w:p>
      <w:pPr>
        <w:ind w:left="26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11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A significant portion of our sales are to wholesalers in the pharmaceutical industry. Our top three customers accounted for 92% and 95% of gross product sales for the six months ended June 30, 2017 and 2016, respectively, and represented 86% and 94% of the gross accounts receivable balance as of June 30, 2017 and 2016, respectively.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not yet reached profitability. For the fiscal years ended December 31, 2016, 2015, and 2014, we reported losses of approximately</w:t>
      </w:r>
    </w:p>
    <w:p>
      <w:pPr>
        <w:spacing w:after="0" w:line="3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$86.4 million, $149.1 million, and $56.4 million, respectively, and we had an accumulated deficit as of December 31, 2016 of $1.2 billion. For the six months ended June 30, 2017 and 2016, we reported losses of approximately $34.6 million and $43.1 million, respectively, and we had an accumulated deficit as of June 30, 2017 of $1.2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117"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Our ability to become profitable depends upon our ability to generate revenue. We have been generating product revenue from sales of Vascepa since January 2013,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54"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in the near term due to high costs associated with our REDUCE-IT study and commercialization efforts, for example. If we are unable to continue to generate robust product revenues, we will not become profitable in the near term, if ever, and may be unable to continue operations without continued funding.</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117"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As a consequence of the many years developing Vascepa for commercialization and the commercial launch of Vascepa in 2013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with ANCHOR data and seek to obtain additional regulatory approval of Vascepa from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3" w:name="page74"/>
    <w:bookmarkEnd w:id="73"/>
    <w:p>
      <w:pPr>
        <w:ind w:left="260" w:right="160"/>
        <w:spacing w:after="0" w:line="277"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62"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63"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level of demand for Vascepa, due to changes in prescriber sentiment, quarterly changes in Distributor purchases, and other factors;</w:t>
      </w:r>
    </w:p>
    <w:p>
      <w:pPr>
        <w:spacing w:after="0" w:line="128" w:lineRule="exact"/>
        <w:rPr>
          <w:rFonts w:ascii="Arial" w:cs="Arial" w:eastAsia="Arial" w:hAnsi="Arial"/>
          <w:sz w:val="17"/>
          <w:szCs w:val="17"/>
          <w:color w:val="auto"/>
        </w:rPr>
      </w:pPr>
    </w:p>
    <w:p>
      <w:pPr>
        <w:ind w:left="1040" w:right="4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 with our co-promotion partner, Kowa Pharmaceuticals America, Inc.;</w:t>
      </w:r>
    </w:p>
    <w:p>
      <w:pPr>
        <w:spacing w:after="0" w:line="62" w:lineRule="exact"/>
        <w:rPr>
          <w:rFonts w:ascii="Arial" w:cs="Arial" w:eastAsia="Arial" w:hAnsi="Arial"/>
          <w:sz w:val="18"/>
          <w:szCs w:val="18"/>
          <w:color w:val="auto"/>
        </w:rPr>
      </w:pPr>
    </w:p>
    <w:p>
      <w:pPr>
        <w:jc w:val="both"/>
        <w:ind w:left="1040" w:right="360" w:hanging="519"/>
        <w:spacing w:after="0" w:line="264"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ability of commercialization partners outside the United States, such as Eddingpharm and Biologix, to develop, register and commercialize Vascepa in the China Territory, several Middle Eastern and North African countries, and other territories outside the United States, including obtaining necessary regulatory approvals and establishing marketing channels;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nature of results of the REDUCE-IT study or post-approval studies for Vascepa;</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outcomes of litigation and other legal proceedings, including our pending FDA determination on regulatory exclusivity, shareholder litigation, regulatory matters and tax matters;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regulatory dialogue on the REDUCE-IT study.</w:t>
      </w:r>
    </w:p>
    <w:p>
      <w:pPr>
        <w:spacing w:after="0" w:line="333" w:lineRule="exact"/>
        <w:rPr>
          <w:sz w:val="20"/>
          <w:szCs w:val="20"/>
          <w:color w:val="auto"/>
        </w:rPr>
      </w:pPr>
    </w:p>
    <w:p>
      <w:pPr>
        <w:ind w:left="260" w:right="460"/>
        <w:spacing w:after="0" w:line="277"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6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currently operate with limited resources. We believe that our cash and cash equivalents balance of $85.5 million as of June 30, 2017 will be sufficient to fund our projected operations through the results of the REDUCE-IT study, which we anticipate will be available in the second or third quarter of 2018. Depending on the level of cash generated from operations, additional capital may be required to sustain operations, fund debt obligations or expand promotion of Vascepa as contemplated following anticipated successful results of the REDUCE-IT study. We anticipate that quarterly net cash outflows in future periods will be variable.</w:t>
      </w:r>
    </w:p>
    <w:p>
      <w:pPr>
        <w:spacing w:after="0" w:line="188"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In order to fully realize the market potential of Vascepa, we may need to enter into a new strategic collaboration or raise additional capital. We may also need additional capital to fully complete our REDUCE-IT cardiovascular outcomes trial.</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amount and consistency of revenue generated from the commercial sale of Vascepa;</w:t>
      </w:r>
    </w:p>
    <w:p>
      <w:pPr>
        <w:spacing w:after="0" w:line="117" w:lineRule="exact"/>
        <w:rPr>
          <w:rFonts w:ascii="Arial" w:cs="Arial" w:eastAsia="Arial" w:hAnsi="Arial"/>
          <w:sz w:val="18"/>
          <w:szCs w:val="18"/>
          <w:color w:val="auto"/>
        </w:rPr>
      </w:pPr>
    </w:p>
    <w:p>
      <w:pPr>
        <w:ind w:left="1040" w:hanging="519"/>
        <w:spacing w:after="0" w:line="302"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costs associated with commercializing Vascepa in the United States and for additional indications in the United States and in jurisdictions in which we receive regulatory approval, if any, including the cost of sales and marketing capabilities with our co-promotion partner, Kowa Pharmaceuticals America, Inc., and the cost and timing of securing commercial supply of Vascepa and the timing of entering into any new strategic collaboration with others relating to the commercialization of Vascepa, if at all, and the terms of any such collaboration;</w:t>
      </w:r>
    </w:p>
    <w:p>
      <w:pPr>
        <w:spacing w:after="0" w:line="46" w:lineRule="exact"/>
        <w:rPr>
          <w:rFonts w:ascii="Arial" w:cs="Arial" w:eastAsia="Arial" w:hAnsi="Arial"/>
          <w:sz w:val="16"/>
          <w:szCs w:val="16"/>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continued cost associated with our REDUCE-IT cardiovascular outcomes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continued costs associated with litigation and other legal proceedings;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225"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If we require additional funds and adequate funds are not available to us in amounts or on terms acceptable to us or on a timely basis, or at all, our commercialization efforts for Vascepa may suffer materially, and we may need to delay the advancement of the REDUCE-IT cardiovascular outcomes trial.</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74" w:name="page75"/>
    <w:bookmarkEnd w:id="74"/>
    <w:p>
      <w:pPr>
        <w:ind w:left="260" w:right="160"/>
        <w:spacing w:after="0" w:line="375" w:lineRule="auto"/>
        <w:rPr>
          <w:sz w:val="20"/>
          <w:szCs w:val="20"/>
          <w:color w:val="auto"/>
        </w:rPr>
      </w:pPr>
      <w:r>
        <w:rPr>
          <w:rFonts w:ascii="Arial" w:cs="Arial" w:eastAsia="Arial" w:hAnsi="Arial"/>
          <w:sz w:val="15"/>
          <w:szCs w:val="15"/>
          <w:b w:val="1"/>
          <w:bCs w:val="1"/>
          <w:i w:val="1"/>
          <w:iCs w:val="1"/>
          <w:color w:val="auto"/>
        </w:rPr>
        <w:t>We have substantial net operating loss carryforwards for tax purposes, the majority of which are from operations in Ireland. The potential future benefit of such net operating loss carryforwards could be lost if tax regulations change or if we are deemed to not have active operations in Ireland.</w:t>
      </w:r>
    </w:p>
    <w:p>
      <w:pPr>
        <w:spacing w:after="0" w:line="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Amarin developed Vascepa, known during development as AMR101, in and from Ireland. In recent years, particularly since 2013 when commercial sale of Vascepa commenced in the United States, the majority of Amarin’s consolidated operations have been in the United States. Ownership to Vascepa continues to reside with Amarin’s wholly-owned Ireland-based subsidiary, Amarin Pharmaceuticals Ireland Ltd., and oversight and operations of that entity are structured to be maintained in Ireland. In order to effectively utilize Amarin’s accumulated net operating loss carryforwards for tax purposes in Ireland, Amarin operations, particularly for this subsidiary, need to be active in Ireland. In addition, utilization of these accumulated net operating loss carryforwards assume that tax treaties between Ireland and other countries, particularly the United States, do not change in a manner which limit Amarin’s future ability to offset earnings with these operating loss carryforwards for tax purposes.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Continued negative economic conditions would likely have a negative effect on our ability to obtain financing on acceptable terms.</w:t>
      </w:r>
    </w:p>
    <w:p>
      <w:pPr>
        <w:spacing w:after="0" w:line="12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129"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To the extent we are permitted under our Purchase and Sale Agreement with BioPharma Secured Debt Fund II Holdings Cayman LP, or BioPharma,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7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January 2012, Corsicanto Designated Activity Company (formerly Corsicanto Limited), or Corsicanto, issued $150.0 million in aggregate principal amount of 3.5% exchangeable senior notes due 2032, or the 2012 Notes. In May 2014, we entered into separate, privately negotiated exchange agreements with certain holders of the 2012 Notes pursuant to which Corsicanto exchanged $118.7 million in aggregate principal amount of the existing 2012 Notes for $118.7 million in aggregate principal amount of new 3.5% May 2014 exchangeable senior notes due 2032, or the 2014 Notes. In November 2015, we issued $31.3 million in aggregate principal amount of 3.5% exchangeable senior notes due 2032, or the 2015 Notes, and used $16.2 million of the proceeds to repay a portion of the 2012 Notes, such that $15.1 million of 2012 Notes remained outstanding. In September 2016, we mandatorily exchanged the entirety of the 2014 Notes and 2015 Notes, in accordance with their respective terms, into 60,311,188 ADSs. In January 2017, approximately $15.0 million of the 2012 Notes were put to us and in March 2017, we redeemed the entirety of the remaining $0.1 million of outstanding principal amount of 2012 Notes plus accrued but unpaid interest.</w:t>
      </w:r>
    </w:p>
    <w:p>
      <w:pPr>
        <w:spacing w:after="0" w:line="182"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January 2017, Corsicanto II Designated Activity Company, or Corsicanto II, issued $30.0 million in aggregate principal amount of 3.5% exchangeable senior notes due 2047, or the 2017 Notes. In the event of physical settlement, the 2017 Notes would be exchangeable into a total of 7,716,048 ADSs.</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17" w:lineRule="exact"/>
        <w:rPr>
          <w:sz w:val="20"/>
          <w:szCs w:val="20"/>
          <w:color w:val="auto"/>
        </w:rPr>
      </w:pPr>
    </w:p>
    <w:p>
      <w:pPr>
        <w:ind w:right="380" w:firstLine="518"/>
        <w:spacing w:after="0" w:line="25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For example, in March 2014, we entered into a co-promotion agreement with Kowa Pharmaceuticals America, Inc. related to the commercialization of Vascepa in the United States. The consummation and performance of any such future transactions or collaborations will involve risks, such as:</w:t>
      </w:r>
    </w:p>
    <w:p>
      <w:pPr>
        <w:spacing w:after="0" w:line="79"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75" w:name="page76"/>
    <w:bookmarkEnd w:id="75"/>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225"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8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As of July 31, 2017, we had 270,792,058 common shares outstanding including 270,341,777 shares held as ADSs and 450,281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17"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litigation and regulatory developments in the United States affecting our Vascepa promotional rights, and regulatory developments in the European Union or other countries;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333" w:lineRule="exact"/>
        <w:rPr>
          <w:sz w:val="20"/>
          <w:szCs w:val="20"/>
          <w:color w:val="auto"/>
        </w:rPr>
      </w:pPr>
    </w:p>
    <w:p>
      <w:pPr>
        <w:ind w:left="260"/>
        <w:spacing w:after="0" w:line="327" w:lineRule="auto"/>
        <w:rPr>
          <w:sz w:val="20"/>
          <w:szCs w:val="20"/>
          <w:color w:val="auto"/>
        </w:rPr>
      </w:pPr>
      <w:r>
        <w:rPr>
          <w:rFonts w:ascii="Arial" w:cs="Arial" w:eastAsia="Arial" w:hAnsi="Arial"/>
          <w:sz w:val="15"/>
          <w:szCs w:val="15"/>
          <w:b w:val="1"/>
          <w:bCs w:val="1"/>
          <w:i w:val="1"/>
          <w:iCs w:val="1"/>
          <w:color w:val="auto"/>
        </w:rPr>
        <w:t>The number of our ordinary shares, or ADSs representing such ordinary shares, outstanding may increase substantially as a result of our March 2015 private placement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will be generally available for resale in the public market upon registration under the Securities Act.</w:t>
      </w:r>
    </w:p>
    <w:p>
      <w:pPr>
        <w:spacing w:after="0" w:line="32"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In March and July 2015, we completed a private placement of American Depositary Shares in two tranches representing 352,150,790 and 38,867,180 Series A Preference Shares, respectively, each ten (10) of which may be consolidated and redesignated into one (1) ordinary share in our capital. During the three months ended June 30, 2015, 62,833,330 preferred shares were converted, resulting in the issuance of 6,283,333 ordinary shares. The consolidation and redesignation of the Series A Preference Shares currently outstanding would result in an additional 32,818,464 ordinary shares outstanding, resulting in substantial dilution to shareholders who held our ordinary shares or ADSs representing such ordinary shares prior to the private placement. Although the Series A Preference Shares do not have voting rights, in general, upon consolidation and redesignation into ordinary shares some of the investors in the private placement could then have significant influence over the outcome of any shareholder vote, including the election of directors and the approval of mergers or other business combination transactions.</w:t>
      </w:r>
    </w:p>
    <w:p>
      <w:pPr>
        <w:spacing w:after="0" w:line="179"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Pursuant to the securities subscription agreements that we entered into with the investors in the private placement, we agreed to file with the SEC a registration statement to register the resale of the Series A Preference Shares represented by American Depositary Shares issued in the private placement and the ordinary shares issuable upon the consolidation and consolidation and redesignation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jc w:val="both"/>
        <w:ind w:right="20"/>
        <w:spacing w:after="0" w:line="264" w:lineRule="auto"/>
        <w:rPr>
          <w:sz w:val="20"/>
          <w:szCs w:val="20"/>
          <w:color w:val="auto"/>
        </w:rPr>
      </w:pPr>
      <w:r>
        <w:rPr>
          <w:rFonts w:ascii="Arial" w:cs="Arial" w:eastAsia="Arial" w:hAnsi="Arial"/>
          <w:sz w:val="18"/>
          <w:szCs w:val="18"/>
          <w:color w:val="auto"/>
        </w:rPr>
        <w:t>such Series A Preference Shares. Upon such registration and subsequent consolidation and redesignation, these securities will become generally available for immediate resale in the public market. The market price of our ordinary shares could fall as a result of an increase in the number of shares available for sale in the public market.</w:t>
      </w:r>
    </w:p>
    <w:p>
      <w:pPr>
        <w:spacing w:after="0" w:line="289" w:lineRule="exact"/>
        <w:rPr>
          <w:sz w:val="20"/>
          <w:szCs w:val="20"/>
          <w:color w:val="auto"/>
        </w:rPr>
      </w:pPr>
    </w:p>
    <w:p>
      <w:pPr>
        <w:ind w:left="260" w:right="200"/>
        <w:spacing w:after="0" w:line="308" w:lineRule="auto"/>
        <w:rPr>
          <w:sz w:val="20"/>
          <w:szCs w:val="20"/>
          <w:color w:val="auto"/>
        </w:rPr>
      </w:pPr>
      <w:r>
        <w:rPr>
          <w:rFonts w:ascii="Arial" w:cs="Arial" w:eastAsia="Arial" w:hAnsi="Arial"/>
          <w:sz w:val="17"/>
          <w:szCs w:val="17"/>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3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Under the terms of the March 2015 securities subscription agreements, we are subject to various obligations, failure to comply with which could result in our becoming liable to certain investors under these agreement for damages, which could be material in amount.</w:t>
      </w:r>
    </w:p>
    <w:p>
      <w:pPr>
        <w:spacing w:after="0" w:line="170"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For example, under each of these agreements we have agreed to file and maintain the effectiveness of certain resale registration statements for ADSs representing the ordinary shares underlying the Series A Preference shares we issued and sold under these 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 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16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 addition, under the securities subscription agreement dated as of March 5, 2015, we are required to offer to certain investors party to that agreement an opportunity to participate in future equity and debt financings we may conduct from time to time, and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us on a quarterly conference call concerning the 2015 private placement, we agreed to specified liquidated damages in the event we are found to have violated the confidentiality provisions of the subscription agreement in the future.</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If our closing bid price is less than $1.00 for 30 consecutive trading days, we would receive a NASDAQ staff deficiency letter indicating that we are not in compliance with the minimum bid price requirement for continued listing. Such a letter would trigger an automatic 180 calendar day period within which the company could regain compliance. Compliance is regained at any time during this period if the Amarin closing bid price is $1.00 per share or more for a minimum of 10 consecutive trading days. If we do not regain compliance during this period, our ADSs could be delisted from The NASDAQ Global Market, transferred to a listing on The NASDAQ Capital Market, or delisted from the NASDAQ markets altogether. The failure to maintain our listing on The NASDAQ Global Market could harm the liquidity of our ADSs and could have an adverse effect on the market price of our ADSs.</w:t>
      </w:r>
    </w:p>
    <w:p>
      <w:pPr>
        <w:spacing w:after="0" w:line="273" w:lineRule="exact"/>
        <w:rPr>
          <w:sz w:val="20"/>
          <w:szCs w:val="20"/>
          <w:color w:val="auto"/>
        </w:rPr>
      </w:pPr>
    </w:p>
    <w:p>
      <w:pPr>
        <w:ind w:left="260" w:right="420"/>
        <w:spacing w:after="0" w:line="264"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140"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7" w:name="page78"/>
    <w:bookmarkEnd w:id="77"/>
    <w:p>
      <w:pPr>
        <w:ind w:right="40"/>
        <w:spacing w:after="0" w:line="277" w:lineRule="auto"/>
        <w:rPr>
          <w:sz w:val="20"/>
          <w:szCs w:val="20"/>
          <w:color w:val="auto"/>
        </w:rPr>
      </w:pPr>
      <w:r>
        <w:rPr>
          <w:rFonts w:ascii="Arial" w:cs="Arial" w:eastAsia="Arial" w:hAnsi="Arial"/>
          <w:sz w:val="18"/>
          <w:szCs w:val="18"/>
          <w:color w:val="auto"/>
        </w:rPr>
        <w:t>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70"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We believe it is prudent to assume that we were classified as a PFIC in 2012. We do not believe that we were classified as a PFIC in 2013 through 2016. Our status as a PFIC is subject to change in 2017 and future years.</w:t>
      </w:r>
    </w:p>
    <w:p>
      <w:pPr>
        <w:spacing w:after="0" w:line="170"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Failure to meet our obligations under our Purchase and Sale Agreement with BioPharma could adversely affect our financial results and liquidity.</w:t>
      </w:r>
    </w:p>
    <w:p>
      <w:pPr>
        <w:spacing w:after="0" w:line="140" w:lineRule="exact"/>
        <w:rPr>
          <w:sz w:val="20"/>
          <w:szCs w:val="20"/>
          <w:color w:val="auto"/>
        </w:rPr>
      </w:pPr>
    </w:p>
    <w:p>
      <w:pPr>
        <w:ind w:right="520" w:firstLine="518"/>
        <w:spacing w:after="0" w:line="342" w:lineRule="auto"/>
        <w:rPr>
          <w:sz w:val="20"/>
          <w:szCs w:val="20"/>
          <w:color w:val="auto"/>
        </w:rPr>
      </w:pPr>
      <w:r>
        <w:rPr>
          <w:rFonts w:ascii="Arial" w:cs="Arial" w:eastAsia="Arial" w:hAnsi="Arial"/>
          <w:sz w:val="16"/>
          <w:szCs w:val="16"/>
          <w:color w:val="auto"/>
        </w:rPr>
        <w:t>Pursuant to our December 2012 Purchase and Sale Agreement with BioPharma, we are obligated to make payments to BioPharma based on the amount of our net product sales of Vascepa and any future products based on ethyl-EPA, or covered products, subject to certain quarterly caps.</w:t>
      </w:r>
    </w:p>
    <w:p>
      <w:pPr>
        <w:spacing w:after="0" w:line="124"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BioPharma’s interests under the transaction; (iv) encumber any of the collateral securing our performance under the agreement; and (v) abandon certain patent rights, in each case without the consent of BioPharma.</w:t>
      </w:r>
    </w:p>
    <w:p>
      <w:pPr>
        <w:spacing w:after="0" w:line="18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Upon a transaction resulting in a change of control of Amarin, as defined in the agreement, BioPharma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BioPharma and (iii), unless BioPharma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To secure our obligations under the agreement, we granted BioPharma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BioPharma may attempt to collect the maximum amount payable by us under this agreement (after deducting any payments we have already made).</w:t>
      </w:r>
    </w:p>
    <w:p>
      <w:pPr>
        <w:spacing w:after="0" w:line="19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existing indebtedness consists of $30.0 million in aggregate principal amount of 3.5% exchangeable senior notes due 2047, or the 2017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2017 Notes contain a provision for such notes to be put to us by the holders for repayment in cash on January 19, 2022.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indebtedness and the related annual debt service requirements may adversely impact our business, operations and financial condition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they could:</w:t>
      </w:r>
    </w:p>
    <w:p>
      <w:pPr>
        <w:spacing w:after="0" w:line="103" w:lineRule="exact"/>
        <w:rPr>
          <w:sz w:val="20"/>
          <w:szCs w:val="20"/>
          <w:color w:val="auto"/>
        </w:rPr>
      </w:pPr>
    </w:p>
    <w:p>
      <w:pPr>
        <w:ind w:left="5620" w:right="4620" w:hanging="5099"/>
        <w:spacing w:after="0" w:line="528" w:lineRule="auto"/>
        <w:tabs>
          <w:tab w:leader="none" w:pos="10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78" w:name="page79"/>
    <w:bookmarkEnd w:id="78"/>
    <w:p>
      <w:pPr>
        <w:ind w:left="1040" w:right="6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 to restructure our debt; or</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279" w:lineRule="exact"/>
        <w:rPr>
          <w:sz w:val="20"/>
          <w:szCs w:val="20"/>
          <w:color w:val="auto"/>
        </w:rPr>
      </w:pPr>
    </w:p>
    <w:p>
      <w:pPr>
        <w:ind w:left="260" w:right="560"/>
        <w:spacing w:after="0" w:line="277" w:lineRule="auto"/>
        <w:rPr>
          <w:sz w:val="20"/>
          <w:szCs w:val="20"/>
          <w:color w:val="auto"/>
        </w:rPr>
      </w:pPr>
      <w:r>
        <w:rPr>
          <w:rFonts w:ascii="Arial" w:cs="Arial" w:eastAsia="Arial" w:hAnsi="Arial"/>
          <w:sz w:val="18"/>
          <w:szCs w:val="18"/>
          <w:b w:val="1"/>
          <w:bCs w:val="1"/>
          <w:i w:val="1"/>
          <w:iCs w:val="1"/>
          <w:color w:val="auto"/>
        </w:rPr>
        <w:t>The accounting for convertible debt securities that may be settled in cash, such as our 2017 Notes, could have a material effect on our reported financial results.</w:t>
      </w:r>
    </w:p>
    <w:p>
      <w:pPr>
        <w:spacing w:after="0" w:line="62"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Under the FASB Accounting Standards Codification, or ASC, we are required to separately account for the liability and equity components of the convertible debt instruments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consolidated balance sheets and the value of the equity component would be treated as original issue discount for purposes of accounting for the debt component of the notes. As a result, we are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66"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70"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Our ability to make scheduled payments of the principal,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78"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73" w:lineRule="exact"/>
        <w:rPr>
          <w:sz w:val="20"/>
          <w:szCs w:val="20"/>
          <w:color w:val="auto"/>
        </w:rPr>
      </w:pPr>
    </w:p>
    <w:p>
      <w:pPr>
        <w:ind w:left="1040" w:right="100" w:hanging="519"/>
        <w:spacing w:after="0" w:line="264"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73" w:lineRule="exact"/>
        <w:rPr>
          <w:rFonts w:ascii="Arial" w:cs="Arial" w:eastAsia="Arial" w:hAnsi="Arial"/>
          <w:sz w:val="18"/>
          <w:szCs w:val="18"/>
          <w:color w:val="auto"/>
        </w:rPr>
      </w:pPr>
    </w:p>
    <w:p>
      <w:pPr>
        <w:ind w:left="1040" w:right="500" w:hanging="519"/>
        <w:spacing w:after="0" w:line="342" w:lineRule="auto"/>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5" w:lineRule="exact"/>
        <w:rPr>
          <w:rFonts w:ascii="Arial" w:cs="Arial" w:eastAsia="Arial" w:hAnsi="Arial"/>
          <w:sz w:val="16"/>
          <w:szCs w:val="16"/>
          <w:color w:val="auto"/>
        </w:rPr>
      </w:pPr>
    </w:p>
    <w:p>
      <w:pPr>
        <w:ind w:left="1040" w:right="60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 English law, subject to certain exceptions and disapplications, each shareholder generally has preemptive rights to subscribe on a proportionate basis to any issuance of ordinary shares or rights to subscribe for, or to convert securities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9" w:name="page80"/>
    <w:bookmarkEnd w:id="79"/>
    <w:p>
      <w:pPr>
        <w:ind w:left="1040"/>
        <w:spacing w:after="0" w:line="277" w:lineRule="auto"/>
        <w:rPr>
          <w:sz w:val="20"/>
          <w:szCs w:val="20"/>
          <w:color w:val="auto"/>
        </w:rPr>
      </w:pPr>
      <w:r>
        <w:rPr>
          <w:rFonts w:ascii="Arial" w:cs="Arial" w:eastAsia="Arial" w:hAnsi="Arial"/>
          <w:sz w:val="18"/>
          <w:szCs w:val="18"/>
          <w:color w:val="auto"/>
        </w:rPr>
        <w:t>into, ordinary shares for cash. Under U.S. law, shareholders generally do not have preemptive rights unless specifically granted in the certificate of incorporation or otherwise.</w:t>
      </w:r>
    </w:p>
    <w:p>
      <w:pPr>
        <w:spacing w:after="0" w:line="62" w:lineRule="exact"/>
        <w:rPr>
          <w:sz w:val="20"/>
          <w:szCs w:val="20"/>
          <w:color w:val="auto"/>
        </w:rPr>
      </w:pPr>
    </w:p>
    <w:p>
      <w:pPr>
        <w:ind w:left="1040" w:right="80" w:hanging="519"/>
        <w:spacing w:after="0" w:line="25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80" w:lineRule="exact"/>
        <w:rPr>
          <w:rFonts w:ascii="Arial" w:cs="Arial" w:eastAsia="Arial" w:hAnsi="Arial"/>
          <w:sz w:val="18"/>
          <w:szCs w:val="18"/>
          <w:color w:val="auto"/>
        </w:rPr>
      </w:pPr>
    </w:p>
    <w:p>
      <w:pPr>
        <w:ind w:left="1040" w:right="40" w:hanging="519"/>
        <w:spacing w:after="0" w:line="291" w:lineRule="auto"/>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59" w:lineRule="exact"/>
        <w:rPr>
          <w:rFonts w:ascii="Arial" w:cs="Arial" w:eastAsia="Arial" w:hAnsi="Arial"/>
          <w:sz w:val="16"/>
          <w:szCs w:val="16"/>
          <w:color w:val="auto"/>
        </w:rPr>
      </w:pPr>
    </w:p>
    <w:p>
      <w:pPr>
        <w:ind w:left="1040" w:right="40" w:hanging="519"/>
        <w:spacing w:after="0" w:line="302" w:lineRule="auto"/>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46" w:lineRule="exact"/>
        <w:rPr>
          <w:rFonts w:ascii="Arial" w:cs="Arial" w:eastAsia="Arial" w:hAnsi="Arial"/>
          <w:sz w:val="16"/>
          <w:szCs w:val="16"/>
          <w:color w:val="auto"/>
        </w:rPr>
      </w:pPr>
    </w:p>
    <w:p>
      <w:pPr>
        <w:ind w:left="1040" w:right="20" w:hanging="519"/>
        <w:spacing w:after="0" w:line="276"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17" w:lineRule="exact"/>
        <w:rPr>
          <w:sz w:val="20"/>
          <w:szCs w:val="20"/>
          <w:color w:val="auto"/>
        </w:rPr>
      </w:pPr>
    </w:p>
    <w:p>
      <w:pPr>
        <w:ind w:right="200" w:firstLine="518"/>
        <w:spacing w:after="0" w:line="293"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273" w:lineRule="exact"/>
        <w:rPr>
          <w:sz w:val="20"/>
          <w:szCs w:val="20"/>
          <w:color w:val="auto"/>
        </w:rPr>
      </w:pPr>
    </w:p>
    <w:p>
      <w:pPr>
        <w:ind w:left="260" w:right="280"/>
        <w:spacing w:after="0" w:line="277"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62"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160" w:type="dxa"/>
            <w:vAlign w:val="bottom"/>
            <w:gridSpan w:val="3"/>
          </w:tcPr>
          <w:p>
            <w:pPr>
              <w:ind w:left="28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7040" w:type="dxa"/>
            <w:vAlign w:val="bottom"/>
            <w:gridSpan w:val="4"/>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7040" w:type="dxa"/>
            <w:vAlign w:val="bottom"/>
            <w:gridSpan w:val="4"/>
          </w:tcPr>
          <w:p>
            <w:pPr>
              <w:ind w:left="520"/>
              <w:spacing w:after="0"/>
              <w:rPr>
                <w:sz w:val="20"/>
                <w:szCs w:val="20"/>
                <w:color w:val="auto"/>
              </w:rPr>
            </w:pPr>
            <w:r>
              <w:rPr>
                <w:rFonts w:ascii="Arial" w:cs="Arial" w:eastAsia="Arial" w:hAnsi="Arial"/>
                <w:sz w:val="18"/>
                <w:szCs w:val="18"/>
                <w:color w:val="auto"/>
              </w:rPr>
              <w:t>Shares purchased in the second quarter of 2017 are as follows:</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5"/>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Total Number of</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Average Price</w:t>
            </w:r>
          </w:p>
        </w:tc>
      </w:tr>
      <w:tr>
        <w:trPr>
          <w:trHeight w:val="171"/>
        </w:trPr>
        <w:tc>
          <w:tcPr>
            <w:tcW w:w="880" w:type="dxa"/>
            <w:vAlign w:val="bottom"/>
          </w:tcPr>
          <w:p>
            <w:pPr>
              <w:spacing w:after="0"/>
              <w:rPr>
                <w:sz w:val="14"/>
                <w:szCs w:val="14"/>
                <w:color w:val="auto"/>
              </w:rPr>
            </w:pPr>
          </w:p>
        </w:tc>
        <w:tc>
          <w:tcPr>
            <w:tcW w:w="6160" w:type="dxa"/>
            <w:vAlign w:val="bottom"/>
            <w:gridSpan w:val="3"/>
          </w:tcPr>
          <w:p>
            <w:pPr>
              <w:ind w:left="840"/>
              <w:spacing w:after="0"/>
              <w:rPr>
                <w:sz w:val="20"/>
                <w:szCs w:val="20"/>
                <w:color w:val="auto"/>
              </w:rPr>
            </w:pPr>
            <w:r>
              <w:rPr>
                <w:rFonts w:ascii="Arial" w:cs="Arial" w:eastAsia="Arial" w:hAnsi="Arial"/>
                <w:sz w:val="14"/>
                <w:szCs w:val="14"/>
                <w:b w:val="1"/>
                <w:bCs w:val="1"/>
                <w:i w:val="1"/>
                <w:iCs w:val="1"/>
                <w:color w:val="auto"/>
              </w:rPr>
              <w:t>Period</w:t>
            </w: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 xml:space="preserve">Shares Purchased </w:t>
            </w:r>
            <w:r>
              <w:rPr>
                <w:rFonts w:ascii="Arial" w:cs="Arial" w:eastAsia="Arial" w:hAnsi="Arial"/>
                <w:sz w:val="12"/>
                <w:szCs w:val="12"/>
                <w:b w:val="1"/>
                <w:bCs w:val="1"/>
                <w:color w:val="auto"/>
                <w:w w:val="89"/>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Paid per Share</w:t>
            </w:r>
          </w:p>
        </w:tc>
      </w:tr>
      <w:tr>
        <w:trPr>
          <w:trHeight w:val="223"/>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April 1 – 30, 2017</w:t>
            </w:r>
          </w:p>
        </w:tc>
        <w:tc>
          <w:tcPr>
            <w:tcW w:w="1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May 1 – 31, 2017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June 1 – 30, 2017</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43,617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60" w:type="dxa"/>
            <w:vAlign w:val="bottom"/>
            <w:shd w:val="clear" w:color="auto" w:fill="CFF0FC"/>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6160" w:type="dxa"/>
            <w:vAlign w:val="bottom"/>
            <w:gridSpan w:val="3"/>
          </w:tcPr>
          <w:p>
            <w:pPr>
              <w:ind w:left="84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60" w:type="dxa"/>
            <w:vAlign w:val="bottom"/>
          </w:tcPr>
          <w:p>
            <w:pPr>
              <w:spacing w:after="0"/>
              <w:rPr>
                <w:sz w:val="19"/>
                <w:szCs w:val="19"/>
                <w:color w:val="auto"/>
              </w:rPr>
            </w:pPr>
          </w:p>
        </w:tc>
      </w:tr>
    </w:tbl>
    <w:p>
      <w:pPr>
        <w:spacing w:after="0" w:line="242" w:lineRule="exact"/>
        <w:rPr>
          <w:sz w:val="20"/>
          <w:szCs w:val="20"/>
          <w:color w:val="auto"/>
        </w:rPr>
      </w:pPr>
    </w:p>
    <w:p>
      <w:pPr>
        <w:ind w:left="520" w:hanging="512"/>
        <w:spacing w:after="0" w:line="277" w:lineRule="auto"/>
        <w:tabs>
          <w:tab w:leader="none" w:pos="520" w:val="left"/>
        </w:tabs>
        <w:numPr>
          <w:ilvl w:val="0"/>
          <w:numId w:val="42"/>
        </w:numPr>
        <w:rPr>
          <w:rFonts w:ascii="Arial" w:cs="Arial" w:eastAsia="Arial" w:hAnsi="Arial"/>
          <w:sz w:val="15"/>
          <w:szCs w:val="15"/>
          <w:color w:val="auto"/>
        </w:rPr>
      </w:pPr>
      <w:r>
        <w:rPr>
          <w:rFonts w:ascii="Arial" w:cs="Arial" w:eastAsia="Arial" w:hAnsi="Arial"/>
          <w:sz w:val="18"/>
          <w:szCs w:val="18"/>
          <w:color w:val="auto"/>
        </w:rPr>
        <w:t>Represents shares withheld to satisfy tax withholding amounts due from employees related to the receipt of stock which resulted from the exercise or vesting of equity awards.</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1420" w:type="dxa"/>
            <w:vAlign w:val="bottom"/>
            <w:gridSpan w:val="3"/>
          </w:tcPr>
          <w:p>
            <w:pPr>
              <w:ind w:left="520"/>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0" w:type="dxa"/>
            <w:vAlign w:val="bottom"/>
          </w:tcPr>
          <w:p>
            <w:pPr>
              <w:spacing w:after="0"/>
              <w:rPr>
                <w:sz w:val="1"/>
                <w:szCs w:val="1"/>
                <w:color w:val="auto"/>
              </w:rPr>
            </w:pPr>
          </w:p>
        </w:tc>
      </w:tr>
      <w:tr>
        <w:trPr>
          <w:trHeight w:val="34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10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Amendment No. 6 to Amarin Corporation plc 2011 Stock Incentive Plan</w:t>
            </w:r>
          </w:p>
        </w:tc>
        <w:tc>
          <w:tcPr>
            <w:tcW w:w="0" w:type="dxa"/>
            <w:vAlign w:val="bottom"/>
          </w:tcPr>
          <w:p>
            <w:pPr>
              <w:spacing w:after="0"/>
              <w:rPr>
                <w:sz w:val="1"/>
                <w:szCs w:val="1"/>
                <w:color w:val="auto"/>
              </w:rPr>
            </w:pPr>
          </w:p>
        </w:tc>
      </w:tr>
      <w:tr>
        <w:trPr>
          <w:trHeight w:val="338"/>
        </w:trPr>
        <w:tc>
          <w:tcPr>
            <w:tcW w:w="1040" w:type="dxa"/>
            <w:vAlign w:val="bottom"/>
          </w:tcPr>
          <w:p>
            <w:pPr>
              <w:ind w:left="1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Amarin Corporation plc 2017 Employee Stock Purchase Plan</w:t>
            </w:r>
          </w:p>
        </w:tc>
        <w:tc>
          <w:tcPr>
            <w:tcW w:w="0" w:type="dxa"/>
            <w:vAlign w:val="bottom"/>
          </w:tcPr>
          <w:p>
            <w:pPr>
              <w:spacing w:after="0"/>
              <w:rPr>
                <w:sz w:val="1"/>
                <w:szCs w:val="1"/>
                <w:color w:val="auto"/>
              </w:rPr>
            </w:pPr>
          </w:p>
        </w:tc>
      </w:tr>
      <w:tr>
        <w:trPr>
          <w:trHeight w:val="338"/>
        </w:trPr>
        <w:tc>
          <w:tcPr>
            <w:tcW w:w="1040" w:type="dxa"/>
            <w:vAlign w:val="bottom"/>
          </w:tcPr>
          <w:p>
            <w:pPr>
              <w:ind w:lef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First Amendment to Co-Promotion Agreement by and among the Company and Kowa Pharmaceuticals America, Inc., dated July 25, 2017 †</w:t>
            </w:r>
          </w:p>
        </w:tc>
        <w:tc>
          <w:tcPr>
            <w:tcW w:w="0" w:type="dxa"/>
            <w:vAlign w:val="bottom"/>
          </w:tcPr>
          <w:p>
            <w:pPr>
              <w:spacing w:after="0"/>
              <w:rPr>
                <w:sz w:val="1"/>
                <w:szCs w:val="1"/>
                <w:color w:val="auto"/>
              </w:rPr>
            </w:pPr>
          </w:p>
        </w:tc>
      </w:tr>
      <w:tr>
        <w:trPr>
          <w:trHeight w:val="338"/>
        </w:trPr>
        <w:tc>
          <w:tcPr>
            <w:tcW w:w="1040" w:type="dxa"/>
            <w:vAlign w:val="bottom"/>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Certification of President and Chief Executive Officer (Principal Executive Officer) pursuant to Section 302 of Sarbanes-Oxley Act of 2002</w:t>
            </w:r>
          </w:p>
        </w:tc>
        <w:tc>
          <w:tcPr>
            <w:tcW w:w="0" w:type="dxa"/>
            <w:vAlign w:val="bottom"/>
          </w:tcPr>
          <w:p>
            <w:pPr>
              <w:spacing w:after="0"/>
              <w:rPr>
                <w:sz w:val="1"/>
                <w:szCs w:val="1"/>
                <w:color w:val="auto"/>
              </w:rPr>
            </w:pPr>
          </w:p>
        </w:tc>
      </w:tr>
      <w:tr>
        <w:trPr>
          <w:trHeight w:val="323"/>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Certification of Senior Vice President and Chief Financial Officer (Principal Financial Officer and Principal Accounting Officer) pursuant to</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302 of Sarbanes-Oxley Act of 2002</w:t>
            </w:r>
          </w:p>
        </w:tc>
        <w:tc>
          <w:tcPr>
            <w:tcW w:w="0" w:type="dxa"/>
            <w:vAlign w:val="bottom"/>
          </w:tcPr>
          <w:p>
            <w:pPr>
              <w:spacing w:after="0"/>
              <w:rPr>
                <w:sz w:val="1"/>
                <w:szCs w:val="1"/>
                <w:color w:val="auto"/>
              </w:rPr>
            </w:pPr>
          </w:p>
        </w:tc>
      </w:tr>
      <w:tr>
        <w:trPr>
          <w:trHeight w:val="323"/>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Certification of President and Chief Executive Officer (Principal Executive Officer) and Senior Vice President and Chief Financial Officer</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 pursuant to Section 906 of Sarbanes-Oxley Act of 2002</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690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380" w:right="40" w:hanging="372"/>
        <w:spacing w:after="0" w:line="264"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portions of this exhibit pursuant to an application requesting confidential treatment under Rule 24b-2 of the Securities Exchange Act of 1934. A complete copy of this exhibit, including the redacted terms, has been separately filed with the Securities and Exchange Commission.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AMARIN CORPORATION PLC</w:t>
      </w:r>
    </w:p>
    <w:p>
      <w:pPr>
        <w:spacing w:after="0" w:line="252"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John F. Thero</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(On behalf of the Registrant)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2017</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00"/>
          </w:cols>
          <w:pgMar w:left="240" w:top="121" w:right="35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AMARIN CORPORATION PLC</w:t>
      </w:r>
    </w:p>
    <w:p>
      <w:pPr>
        <w:spacing w:after="0" w:line="17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AMENDMENT NO. 6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STOCK INCENTIVE PLAN</w:t>
      </w:r>
    </w:p>
    <w:p>
      <w:pPr>
        <w:spacing w:after="0" w:line="157" w:lineRule="exact"/>
        <w:rPr>
          <w:sz w:val="20"/>
          <w:szCs w:val="20"/>
          <w:color w:val="auto"/>
        </w:rPr>
      </w:pPr>
    </w:p>
    <w:p>
      <w:pPr>
        <w:ind w:right="420" w:firstLine="761"/>
        <w:spacing w:after="0" w:line="277" w:lineRule="auto"/>
        <w:rPr>
          <w:sz w:val="20"/>
          <w:szCs w:val="20"/>
          <w:color w:val="auto"/>
        </w:rPr>
      </w:pPr>
      <w:r>
        <w:rPr>
          <w:rFonts w:ascii="Arial" w:cs="Arial" w:eastAsia="Arial" w:hAnsi="Arial"/>
          <w:sz w:val="18"/>
          <w:szCs w:val="18"/>
          <w:color w:val="auto"/>
        </w:rPr>
        <w:t>The Amarin Corporation plc 2011 Stock Incentive Plan (the “Plan”) is hereby amended by the Board of Directors and shareholders of Amarin Corporation plc as follows:</w:t>
      </w:r>
    </w:p>
    <w:p>
      <w:pPr>
        <w:spacing w:after="0" w:line="116" w:lineRule="exact"/>
        <w:rPr>
          <w:sz w:val="20"/>
          <w:szCs w:val="20"/>
          <w:color w:val="auto"/>
        </w:rPr>
      </w:pPr>
    </w:p>
    <w:p>
      <w:pPr>
        <w:ind w:right="560" w:firstLine="761"/>
        <w:spacing w:after="0" w:line="277" w:lineRule="auto"/>
        <w:rPr>
          <w:sz w:val="20"/>
          <w:szCs w:val="20"/>
          <w:color w:val="auto"/>
        </w:rPr>
      </w:pPr>
      <w:r>
        <w:rPr>
          <w:rFonts w:ascii="Arial" w:cs="Arial" w:eastAsia="Arial" w:hAnsi="Arial"/>
          <w:sz w:val="18"/>
          <w:szCs w:val="18"/>
          <w:color w:val="auto"/>
        </w:rPr>
        <w:t xml:space="preserve">Section 4(a) of the Plan is hereby amended to increase the total number of Shares available for issuance under the Plan shall be increased by </w:t>
      </w:r>
      <w:r>
        <w:rPr>
          <w:rFonts w:ascii="Arial" w:cs="Arial" w:eastAsia="Arial" w:hAnsi="Arial"/>
          <w:sz w:val="18"/>
          <w:szCs w:val="18"/>
          <w:b w:val="1"/>
          <w:bCs w:val="1"/>
          <w:color w:val="auto"/>
        </w:rPr>
        <w:t xml:space="preserve">20,000,000 </w:t>
      </w:r>
      <w:r>
        <w:rPr>
          <w:rFonts w:ascii="Arial" w:cs="Arial" w:eastAsia="Arial" w:hAnsi="Arial"/>
          <w:sz w:val="18"/>
          <w:szCs w:val="18"/>
          <w:color w:val="auto"/>
        </w:rPr>
        <w:t>shares, such that Section 4(a) of the Plan, as so amended, shall read in its entirety as follows: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 Shares Available for Awards</w:t>
      </w:r>
    </w:p>
    <w:p>
      <w:pPr>
        <w:spacing w:after="0" w:line="94" w:lineRule="exact"/>
        <w:rPr>
          <w:sz w:val="20"/>
          <w:szCs w:val="20"/>
          <w:color w:val="auto"/>
        </w:rPr>
      </w:pPr>
    </w:p>
    <w:p>
      <w:pPr>
        <w:ind w:left="900" w:right="20" w:hanging="446"/>
        <w:spacing w:after="0" w:line="287"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Shares Available</w:t>
      </w:r>
      <w:r>
        <w:rPr>
          <w:rFonts w:ascii="Arial" w:cs="Arial" w:eastAsia="Arial" w:hAnsi="Arial"/>
          <w:sz w:val="16"/>
          <w:szCs w:val="16"/>
          <w:color w:val="auto"/>
        </w:rPr>
        <w:t>. Subject to adjustment as provided in Section 4(c) of the Plan, the number of Shares in respect of which Awards may be made under this Plan on any day shall not exceed the sum of (i) 51,500,000 Shares, (ii) 3,074,680 Shares (being Shares that remained available for grants under the Company’s existing 2002 Stock Option Plan (the “</w:t>
      </w:r>
      <w:r>
        <w:rPr>
          <w:rFonts w:ascii="Arial" w:cs="Arial" w:eastAsia="Arial" w:hAnsi="Arial"/>
          <w:sz w:val="16"/>
          <w:szCs w:val="16"/>
          <w:b w:val="1"/>
          <w:bCs w:val="1"/>
          <w:i w:val="1"/>
          <w:iCs w:val="1"/>
          <w:color w:val="auto"/>
        </w:rPr>
        <w:t>2002 Plan</w:t>
      </w:r>
      <w:r>
        <w:rPr>
          <w:rFonts w:ascii="Arial" w:cs="Arial" w:eastAsia="Arial" w:hAnsi="Arial"/>
          <w:sz w:val="16"/>
          <w:szCs w:val="16"/>
          <w:color w:val="auto"/>
        </w:rPr>
        <w:t>”) as of July 12, 2011) and (iii) the number of Shares subject to grants under the 2002 Plan that are outstanding as of the Effective Date but subsequently become Lapsed Awards (as defined below) (“the Plan Limit”). Shares to be issued under the Plan may be either authorized but unissued Shares, or Shares acquired in the open market or otherwise. If any award over Shares granted under this Plan or the 2002 Plan expires or is forfeited, surrendered, canceled or otherwise terminated in whole or in part without Shares being issued (“</w:t>
      </w:r>
      <w:r>
        <w:rPr>
          <w:rFonts w:ascii="Arial" w:cs="Arial" w:eastAsia="Arial" w:hAnsi="Arial"/>
          <w:sz w:val="16"/>
          <w:szCs w:val="16"/>
          <w:b w:val="1"/>
          <w:bCs w:val="1"/>
          <w:i w:val="1"/>
          <w:iCs w:val="1"/>
          <w:color w:val="auto"/>
        </w:rPr>
        <w:t>Lapsed Award</w:t>
      </w:r>
      <w:r>
        <w:rPr>
          <w:rFonts w:ascii="Arial" w:cs="Arial" w:eastAsia="Arial" w:hAnsi="Arial"/>
          <w:sz w:val="16"/>
          <w:szCs w:val="16"/>
          <w:color w:val="auto"/>
        </w:rPr>
        <w:t xml:space="preserve">”), then the Shares subject to such Lapsed Award may, at the discretion of the Committee, be made available for subsequent grants under the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Shares tendered or held back upon exercise of an Option or settlement of an Award to cover the exercise price or tax withholding shall not be considered a Lapsed Award. Notwithstanding the foregoing, the number of Shares available for granting Incentive Stock Options under the Plan shall not exceed the ISO Limit, and Options with respect to no more than 10,000,000 Shares may be granted to any one individual Participant during any one calendar year period.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ADOPTED BY BOARD OF DIRECTORS: March 13,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ADOPTED BY SHAREHOLDERS: May 15, 2017</w:t>
      </w:r>
    </w:p>
    <w:p>
      <w:pPr>
        <w:sectPr>
          <w:pgSz w:w="11900" w:h="16838" w:orient="portrait"/>
          <w:cols w:equalWidth="0" w:num="1">
            <w:col w:w="11420"/>
          </w:cols>
          <w:pgMar w:left="240" w:top="36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ADOPTED BY SHAREHOLDERS: May 15, 2017</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AMARIN CORPORATION PLC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2017 EMPLOYEE STOCK PURCHASE PLAN</w:t>
      </w:r>
    </w:p>
    <w:p>
      <w:pPr>
        <w:spacing w:after="0" w:line="200" w:lineRule="exact"/>
        <w:rPr>
          <w:sz w:val="20"/>
          <w:szCs w:val="20"/>
          <w:color w:val="auto"/>
        </w:rPr>
      </w:pPr>
    </w:p>
    <w:p>
      <w:pPr>
        <w:spacing w:after="0" w:line="238" w:lineRule="exact"/>
        <w:rPr>
          <w:sz w:val="20"/>
          <w:szCs w:val="20"/>
          <w:color w:val="auto"/>
        </w:rPr>
      </w:pPr>
    </w:p>
    <w:p>
      <w:pPr>
        <w:ind w:firstLine="761"/>
        <w:spacing w:after="0" w:line="270" w:lineRule="auto"/>
        <w:rPr>
          <w:sz w:val="20"/>
          <w:szCs w:val="20"/>
          <w:color w:val="auto"/>
        </w:rPr>
      </w:pPr>
      <w:r>
        <w:rPr>
          <w:rFonts w:ascii="Arial" w:cs="Arial" w:eastAsia="Arial" w:hAnsi="Arial"/>
          <w:sz w:val="19"/>
          <w:szCs w:val="19"/>
          <w:color w:val="auto"/>
        </w:rPr>
        <w:t>The purpose of the Amarin Corporation plc Employee Stock Purchase Plan (“the Plan”) is to provide eligible employees of each Designated Company (as defined in Section 11) of Amarin Corporation plc (the “Company”) with opportunities to purchase ordinary shares of £0.50 each (the “Ordinary Shares”) or American Depositary Shares, each representing one Ordinary Share, as the case may be (the “Shares”). An aggregate of 3,000,000 Shares have been approved and reserved for this purpose. The Plan is intended to constitute an “employee stock purchase plan” within the meaning of Section 423(b) of the Internal Revenue Code of 1986, as amended (the “Code”), and shall be interpreted in accordance with that intent.</w:t>
      </w:r>
    </w:p>
    <w:p>
      <w:pPr>
        <w:spacing w:after="0" w:line="2" w:lineRule="exact"/>
        <w:rPr>
          <w:sz w:val="20"/>
          <w:szCs w:val="20"/>
          <w:color w:val="auto"/>
        </w:rPr>
      </w:pPr>
    </w:p>
    <w:p>
      <w:pPr>
        <w:ind w:right="120" w:firstLine="769"/>
        <w:spacing w:after="0" w:line="267" w:lineRule="auto"/>
        <w:tabs>
          <w:tab w:leader="none" w:pos="1572"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The Plan will be administered by the person or persons (the “Administrator”) appointed by the Company’s Board of Directors (the “Board”) for such purpose. The Administrator has authority at any time to: (i) adopt, alter and repeal such rules, guidelines and practices for the administration of the Plan and for its own acts and proceedings as it shall deem advisable; (ii) interpret the terms and provisions of the Plan; (iii) make all determinations it deems advisable for the administration of the Plan; (iv) decide all disputes arising in connection with the Plan; and (v) 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jc w:val="both"/>
        <w:ind w:right="340" w:firstLine="769"/>
        <w:spacing w:after="0" w:line="234" w:lineRule="auto"/>
        <w:tabs>
          <w:tab w:leader="none" w:pos="1572"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Offerings</w:t>
      </w:r>
      <w:r>
        <w:rPr>
          <w:rFonts w:ascii="Arial" w:cs="Arial" w:eastAsia="Arial" w:hAnsi="Arial"/>
          <w:sz w:val="22"/>
          <w:szCs w:val="22"/>
          <w:color w:val="auto"/>
        </w:rPr>
        <w:t>. The Company will make one or more offerings to eligible employees to purchase Shares under the Plan (“Offerings”). Unless otherwise determined by the Administrator, the initial Offering will begin on December 1, 2017 and will end on May 31, 2018 (the “Initial Offering”). Thereafter,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5" w:name="page86"/>
    <w:bookmarkEnd w:id="85"/>
    <w:p>
      <w:pPr>
        <w:ind w:right="20"/>
        <w:spacing w:after="0" w:line="235" w:lineRule="auto"/>
        <w:rPr>
          <w:sz w:val="20"/>
          <w:szCs w:val="20"/>
          <w:color w:val="auto"/>
        </w:rPr>
      </w:pPr>
      <w:r>
        <w:rPr>
          <w:rFonts w:ascii="Arial" w:cs="Arial" w:eastAsia="Arial" w:hAnsi="Arial"/>
          <w:sz w:val="22"/>
          <w:szCs w:val="22"/>
          <w:color w:val="auto"/>
        </w:rPr>
        <w:t>otherwise determined by the Administrator, an Offering will begin on the first business day occurring on or after each June 1</w:t>
      </w:r>
      <w:r>
        <w:rPr>
          <w:rFonts w:ascii="Arial" w:cs="Arial" w:eastAsia="Arial" w:hAnsi="Arial"/>
          <w:sz w:val="18"/>
          <w:szCs w:val="18"/>
          <w:color w:val="auto"/>
        </w:rPr>
        <w:t>st</w:t>
      </w:r>
      <w:r>
        <w:rPr>
          <w:rFonts w:ascii="Arial" w:cs="Arial" w:eastAsia="Arial" w:hAnsi="Arial"/>
          <w:sz w:val="22"/>
          <w:szCs w:val="22"/>
          <w:color w:val="auto"/>
        </w:rPr>
        <w:t xml:space="preserve"> and December 1</w:t>
      </w:r>
      <w:r>
        <w:rPr>
          <w:rFonts w:ascii="Arial" w:cs="Arial" w:eastAsia="Arial" w:hAnsi="Arial"/>
          <w:sz w:val="18"/>
          <w:szCs w:val="18"/>
          <w:color w:val="auto"/>
        </w:rPr>
        <w:t>st</w:t>
      </w:r>
      <w:r>
        <w:rPr>
          <w:rFonts w:ascii="Arial" w:cs="Arial" w:eastAsia="Arial" w:hAnsi="Arial"/>
          <w:sz w:val="22"/>
          <w:szCs w:val="22"/>
          <w:color w:val="auto"/>
        </w:rPr>
        <w:t xml:space="preserve"> and will end on the last business day occurring on or before the following May 31</w:t>
      </w:r>
      <w:r>
        <w:rPr>
          <w:rFonts w:ascii="Arial" w:cs="Arial" w:eastAsia="Arial" w:hAnsi="Arial"/>
          <w:sz w:val="18"/>
          <w:szCs w:val="18"/>
          <w:color w:val="auto"/>
        </w:rPr>
        <w:t>st</w:t>
      </w:r>
      <w:r>
        <w:rPr>
          <w:rFonts w:ascii="Arial" w:cs="Arial" w:eastAsia="Arial" w:hAnsi="Arial"/>
          <w:sz w:val="22"/>
          <w:szCs w:val="22"/>
          <w:color w:val="auto"/>
        </w:rPr>
        <w:t xml:space="preserve"> and November 30</w:t>
      </w:r>
      <w:r>
        <w:rPr>
          <w:rFonts w:ascii="Arial" w:cs="Arial" w:eastAsia="Arial" w:hAnsi="Arial"/>
          <w:sz w:val="18"/>
          <w:szCs w:val="18"/>
          <w:color w:val="auto"/>
        </w:rPr>
        <w:t>th</w:t>
      </w:r>
      <w:r>
        <w:rPr>
          <w:rFonts w:ascii="Arial" w:cs="Arial" w:eastAsia="Arial" w:hAnsi="Arial"/>
          <w:sz w:val="22"/>
          <w:szCs w:val="22"/>
          <w:color w:val="auto"/>
        </w:rPr>
        <w:t>, respectively. The Administrator may, in its discretion, designate a different period for any Offering, provided that no Offering shall exceed six months in duration or overlap any other Offering.</w:t>
      </w:r>
    </w:p>
    <w:p>
      <w:pPr>
        <w:ind w:firstLine="769"/>
        <w:spacing w:after="0" w:line="269" w:lineRule="auto"/>
        <w:tabs>
          <w:tab w:leader="none" w:pos="1572"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Eligibility</w:t>
      </w:r>
      <w:r>
        <w:rPr>
          <w:rFonts w:ascii="Arial" w:cs="Arial" w:eastAsia="Arial" w:hAnsi="Arial"/>
          <w:sz w:val="19"/>
          <w:szCs w:val="19"/>
          <w:color w:val="auto"/>
        </w:rPr>
        <w:t>. All individuals classified as employees on the payroll records of each Designated Company are eligible to participate in any one or more of the Offerings under the Plan, provided that as of the first day of the applicable Offering (the “Offering Date”) they are customarily employed by a Designated Company for more than 20 hours a week and have completed at least six months of employment. Notwithstanding any other provision herein, individuals who are not contemporaneously classified as employees of a Designated Company for purposes of the applicable Designated Company’s payroll system are not considered to be eligible employees of any Designated Company and shall not be eligible to participate in the Plan. In the event any such individuals are reclassified as employees of a Designated Company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a Designated Company on the Designated Company’s payroll system to become eligible to participate in this Plan is through an amendment to this Plan, duly executed by the Company, which specifically renders such individuals eligible to participate herein.</w:t>
      </w:r>
    </w:p>
    <w:p>
      <w:pPr>
        <w:spacing w:after="0" w:line="221" w:lineRule="exact"/>
        <w:rPr>
          <w:rFonts w:ascii="Arial" w:cs="Arial" w:eastAsia="Arial" w:hAnsi="Arial"/>
          <w:sz w:val="19"/>
          <w:szCs w:val="19"/>
          <w:color w:val="auto"/>
        </w:rPr>
      </w:pPr>
    </w:p>
    <w:p>
      <w:pPr>
        <w:ind w:left="1580" w:hanging="811"/>
        <w:spacing w:after="0" w:line="230" w:lineRule="auto"/>
        <w:tabs>
          <w:tab w:leader="none" w:pos="158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w:t>
      </w:r>
    </w:p>
    <w:p>
      <w:pPr>
        <w:jc w:val="both"/>
        <w:ind w:right="240" w:firstLine="1529"/>
        <w:spacing w:after="0" w:line="234" w:lineRule="auto"/>
        <w:tabs>
          <w:tab w:leader="none" w:pos="2409" w:val="left"/>
        </w:tabs>
        <w:numPr>
          <w:ilvl w:val="1"/>
          <w:numId w:val="46"/>
        </w:numPr>
        <w:rPr>
          <w:rFonts w:ascii="Arial" w:cs="Arial" w:eastAsia="Arial" w:hAnsi="Arial"/>
          <w:sz w:val="22"/>
          <w:szCs w:val="22"/>
          <w:color w:val="auto"/>
        </w:rPr>
      </w:pPr>
      <w:r>
        <w:rPr>
          <w:rFonts w:ascii="Arial" w:cs="Arial" w:eastAsia="Arial" w:hAnsi="Arial"/>
          <w:sz w:val="22"/>
          <w:szCs w:val="22"/>
          <w:color w:val="auto"/>
        </w:rPr>
        <w:t>An eligible employee who is not a Participant in any prior Offering may participate in an Offering by submitting an enrollment form to his or her appropriate payroll location at least 15 business days before the Offering Date (or by such other deadline as shall be established by the Administrator for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6" w:name="page87"/>
    <w:bookmarkEnd w:id="86"/>
    <w:p>
      <w:pPr>
        <w:ind w:left="-769" w:right="140" w:firstLine="1529"/>
        <w:spacing w:after="0" w:line="244" w:lineRule="auto"/>
        <w:tabs>
          <w:tab w:leader="none" w:pos="1652"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Enrollment</w:t>
      </w:r>
      <w:r>
        <w:rPr>
          <w:rFonts w:ascii="Arial" w:cs="Arial" w:eastAsia="Arial" w:hAnsi="Arial"/>
          <w:sz w:val="21"/>
          <w:szCs w:val="21"/>
          <w:color w:val="auto"/>
        </w:rPr>
        <w:t>. The enrollment form will (a) state a dollar amount or whole percentage to be deducted from an eligible employee’s Compensation (as defined in Section 11) per pay period, (b) authorize the purchase of Shares in each Offering in accordance with the terms of the Plan and (c) specify the exact name or names in which Shares purchased for such individual are to be issued pursuant to Section 10. An employee who does not enroll in accordance with these procedures will be deemed to have waived the right to participate. Unless a Participant files a new enrollment form or withdraws from the Plan, such Participant’s deductions and purchases will continue at the same amount or percentage of Compensation for future Offerings, provided he or she remains eligible.</w:t>
      </w:r>
    </w:p>
    <w:p>
      <w:pPr>
        <w:spacing w:after="0" w:line="1" w:lineRule="exact"/>
        <w:rPr>
          <w:rFonts w:ascii="Arial" w:cs="Arial" w:eastAsia="Arial" w:hAnsi="Arial"/>
          <w:sz w:val="21"/>
          <w:szCs w:val="21"/>
          <w:color w:val="auto"/>
        </w:rPr>
      </w:pPr>
    </w:p>
    <w:p>
      <w:pPr>
        <w:ind w:left="-769" w:right="760" w:firstLine="1529"/>
        <w:spacing w:after="0" w:line="230" w:lineRule="auto"/>
        <w:tabs>
          <w:tab w:leader="none" w:pos="1640" w:val="left"/>
        </w:tabs>
        <w:numPr>
          <w:ilvl w:val="1"/>
          <w:numId w:val="47"/>
        </w:numPr>
        <w:rPr>
          <w:rFonts w:ascii="Arial" w:cs="Arial" w:eastAsia="Arial" w:hAnsi="Arial"/>
          <w:sz w:val="22"/>
          <w:szCs w:val="22"/>
          <w:color w:val="auto"/>
        </w:rPr>
      </w:pPr>
      <w:r>
        <w:rPr>
          <w:rFonts w:ascii="Arial" w:cs="Arial" w:eastAsia="Arial" w:hAnsi="Arial"/>
          <w:sz w:val="22"/>
          <w:szCs w:val="22"/>
          <w:color w:val="auto"/>
        </w:rPr>
        <w:t>Notwithstanding the foregoing, participation in the Plan will neither be permitted nor be denied contrary to the requirements of the Code.</w:t>
      </w:r>
    </w:p>
    <w:p>
      <w:pPr>
        <w:spacing w:after="0" w:line="1" w:lineRule="exact"/>
        <w:rPr>
          <w:rFonts w:ascii="Arial" w:cs="Arial" w:eastAsia="Arial" w:hAnsi="Arial"/>
          <w:sz w:val="22"/>
          <w:szCs w:val="22"/>
          <w:color w:val="auto"/>
        </w:rPr>
      </w:pPr>
    </w:p>
    <w:p>
      <w:pPr>
        <w:jc w:val="both"/>
        <w:ind w:left="-769" w:firstLine="769"/>
        <w:spacing w:after="0" w:line="230" w:lineRule="auto"/>
        <w:tabs>
          <w:tab w:leader="none" w:pos="80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Employee Contributions</w:t>
      </w:r>
      <w:r>
        <w:rPr>
          <w:rFonts w:ascii="Arial" w:cs="Arial" w:eastAsia="Arial" w:hAnsi="Arial"/>
          <w:sz w:val="22"/>
          <w:szCs w:val="22"/>
          <w:color w:val="auto"/>
        </w:rPr>
        <w:t>. Each eligible employee may authorize payroll deductions at a minimum of one percent up to a maximum of 15 percent of such employee’s Compensation for each pay period. The Company will maintain book accounts showing the amount of payroll deductions made by each Participant for each Offering. No interest will accrue or be paid on payroll deductions.</w:t>
      </w:r>
    </w:p>
    <w:p>
      <w:pPr>
        <w:spacing w:after="0" w:line="2" w:lineRule="exact"/>
        <w:rPr>
          <w:rFonts w:ascii="Arial" w:cs="Arial" w:eastAsia="Arial" w:hAnsi="Arial"/>
          <w:sz w:val="22"/>
          <w:szCs w:val="22"/>
          <w:color w:val="auto"/>
        </w:rPr>
      </w:pPr>
    </w:p>
    <w:p>
      <w:pPr>
        <w:ind w:left="-769" w:right="120" w:firstLine="769"/>
        <w:spacing w:after="0" w:line="241" w:lineRule="auto"/>
        <w:tabs>
          <w:tab w:leader="none" w:pos="802"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Deduction Changes</w:t>
      </w:r>
      <w:r>
        <w:rPr>
          <w:rFonts w:ascii="Arial" w:cs="Arial" w:eastAsia="Arial" w:hAnsi="Arial"/>
          <w:sz w:val="21"/>
          <w:szCs w:val="21"/>
          <w:color w:val="auto"/>
        </w:rPr>
        <w:t>. Except as may be determined by the Administrator in advance of an Offering, a Participant may not increase or decrease his or her payroll deduction during any Offering, but may increase or decrease his or her payroll deduction with respect to the next Offering (subject to the limitations of Section 5) by filing a new enrollment form at least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during an Offering.</w:t>
      </w:r>
    </w:p>
    <w:p>
      <w:pPr>
        <w:spacing w:after="0" w:line="3" w:lineRule="exact"/>
        <w:rPr>
          <w:rFonts w:ascii="Arial" w:cs="Arial" w:eastAsia="Arial" w:hAnsi="Arial"/>
          <w:sz w:val="21"/>
          <w:szCs w:val="21"/>
          <w:color w:val="auto"/>
        </w:rPr>
      </w:pPr>
    </w:p>
    <w:p>
      <w:pPr>
        <w:ind w:left="-769" w:right="260" w:firstLine="769"/>
        <w:spacing w:after="0" w:line="233" w:lineRule="auto"/>
        <w:tabs>
          <w:tab w:leader="none" w:pos="80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Withdrawal</w:t>
      </w:r>
      <w:r>
        <w:rPr>
          <w:rFonts w:ascii="Arial" w:cs="Arial" w:eastAsia="Arial" w:hAnsi="Arial"/>
          <w:sz w:val="22"/>
          <w:szCs w:val="22"/>
          <w:color w:val="auto"/>
        </w:rPr>
        <w:t>. A Participant may withdraw from participation in the Plan by delivering a written notice of withdrawal to his or her appropriate payroll location. The Participant’s withdrawal will be effective as of the next business day. Following a Participant’s withdrawal, the Company will promptly refund such individual’s entire account balance under the Plan to him or her (after payment for any Shares purchased before the effective date of withdrawal). Partial withdrawals are not permitted. Such an employee may not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324485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51"/>
          </w:cols>
          <w:pgMar w:left="1009" w:top="118" w:right="239" w:bottom="1440" w:gutter="0" w:footer="0" w:header="0"/>
        </w:sectPr>
      </w:pPr>
    </w:p>
    <w:bookmarkStart w:id="87" w:name="page88"/>
    <w:bookmarkEnd w:id="87"/>
    <w:p>
      <w:pPr>
        <w:spacing w:after="0"/>
        <w:rPr>
          <w:sz w:val="20"/>
          <w:szCs w:val="20"/>
          <w:color w:val="auto"/>
        </w:rPr>
      </w:pPr>
      <w:r>
        <w:rPr>
          <w:rFonts w:ascii="Arial" w:cs="Arial" w:eastAsia="Arial" w:hAnsi="Arial"/>
          <w:sz w:val="19"/>
          <w:szCs w:val="19"/>
          <w:color w:val="auto"/>
        </w:rPr>
        <w:t>participation again during the remainder of the Offering, but may enroll in a subsequent Offering in accordance with Section 4.</w:t>
      </w:r>
    </w:p>
    <w:p>
      <w:pPr>
        <w:spacing w:after="0" w:line="43" w:lineRule="exact"/>
        <w:rPr>
          <w:sz w:val="20"/>
          <w:szCs w:val="20"/>
          <w:color w:val="auto"/>
        </w:rPr>
      </w:pPr>
    </w:p>
    <w:p>
      <w:pPr>
        <w:ind w:firstLine="769"/>
        <w:spacing w:after="0" w:line="241" w:lineRule="auto"/>
        <w:tabs>
          <w:tab w:leader="none" w:pos="1572"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Grant of Options</w:t>
      </w:r>
      <w:r>
        <w:rPr>
          <w:rFonts w:ascii="Arial" w:cs="Arial" w:eastAsia="Arial" w:hAnsi="Arial"/>
          <w:sz w:val="21"/>
          <w:szCs w:val="21"/>
          <w:color w:val="auto"/>
        </w:rPr>
        <w:t>. On each Offering Date, the Company will grant to each eligible employee who is then a Participant in the Plan an option (“Option”) to purchase on the last day of such Offering (the “Exercise Date”), at the Option Price hereinafter provided for, the lowest of (a) a number of Shares determined by dividing such Participant’s accumulated payroll deductions on such Exercise Date by the Option Price (as defined below), (b) a number of Shares determined by multiplying $2,083 by the number of full months in such Offering and dividing the result by the Fair Market Value of the Shares on the Offering Date; or (c) such other lesser maximum number of Shares as shall have been established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purchased under each Option (the “Option Price”) will be 15 percent of the Fair Market Value of the Shares on the Offering Date or the Exercise Date, whichever is less.</w:t>
      </w:r>
    </w:p>
    <w:p>
      <w:pPr>
        <w:spacing w:after="0" w:line="6" w:lineRule="exact"/>
        <w:rPr>
          <w:rFonts w:ascii="Arial" w:cs="Arial" w:eastAsia="Arial" w:hAnsi="Arial"/>
          <w:sz w:val="21"/>
          <w:szCs w:val="21"/>
          <w:color w:val="auto"/>
        </w:rPr>
      </w:pPr>
    </w:p>
    <w:p>
      <w:pPr>
        <w:ind w:right="20" w:firstLine="761"/>
        <w:spacing w:after="0" w:line="267" w:lineRule="auto"/>
        <w:rPr>
          <w:rFonts w:ascii="Arial" w:cs="Arial" w:eastAsia="Arial" w:hAnsi="Arial"/>
          <w:sz w:val="21"/>
          <w:szCs w:val="21"/>
          <w:color w:val="auto"/>
        </w:rPr>
      </w:pPr>
      <w:r>
        <w:rPr>
          <w:rFonts w:ascii="Arial" w:cs="Arial" w:eastAsia="Arial" w:hAnsi="Arial"/>
          <w:sz w:val="19"/>
          <w:szCs w:val="19"/>
          <w:color w:val="auto"/>
        </w:rPr>
        <w:t>Notwithstanding the foregoing, no Participant may be granted an option hereunder if such Participant, immediately after the option was granted, would be treated as owning shares possessing five percent or more of the total combined voting power or value of all classes of shares of the Company or any Parent or Subsidiary (as defined in Section 11). For purposes of the preceding sentence, the attribution rules of Section 424(d) of the Code shall apply in determining the share ownership of a Participant, and all shares that the Participant has a contractual right to purchase shall be treated as shares owned by the Participant. In addition, no Participant may be granted an Option that permits his or her rights to purchase Shares under the Plan, and any other employee stock purchase plan of the Company and its Parents and Subsidiaries, to accrue at a rate that exceeds $25,000 of the fair market value of such shares (determined on the option grant date or dates) for each calendar year in which the Option is outstanding at any</w:t>
      </w:r>
    </w:p>
    <w:p>
      <w:pPr>
        <w:ind w:right="120"/>
        <w:spacing w:after="0" w:line="237" w:lineRule="auto"/>
        <w:rPr>
          <w:rFonts w:ascii="Arial" w:cs="Arial" w:eastAsia="Arial" w:hAnsi="Arial"/>
          <w:sz w:val="21"/>
          <w:szCs w:val="21"/>
          <w:color w:val="auto"/>
        </w:rPr>
      </w:pPr>
      <w:r>
        <w:rPr>
          <w:rFonts w:ascii="Arial" w:cs="Arial" w:eastAsia="Arial" w:hAnsi="Arial"/>
          <w:sz w:val="22"/>
          <w:szCs w:val="22"/>
          <w:color w:val="auto"/>
        </w:rPr>
        <w:t>time. The purpose of the limitation in the preceding sentence is to comply with Section 423(b)(8) of the Code and shall be applied taking Options into account in the order in which they were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8" w:name="page89"/>
    <w:bookmarkEnd w:id="88"/>
    <w:p>
      <w:pPr>
        <w:ind w:right="60" w:firstLine="769"/>
        <w:spacing w:after="0" w:line="270" w:lineRule="auto"/>
        <w:tabs>
          <w:tab w:leader="none" w:pos="157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Exercise of Option and Purchase of Shares</w:t>
      </w:r>
      <w:r>
        <w:rPr>
          <w:rFonts w:ascii="Arial" w:cs="Arial" w:eastAsia="Arial" w:hAnsi="Arial"/>
          <w:sz w:val="19"/>
          <w:szCs w:val="19"/>
          <w:color w:val="auto"/>
        </w:rPr>
        <w:t>. Each employee who continues to be a Participant in the Plan on the Exercise Date shall be deemed to have exercised his or her Option on such date and shall acquire from the Company such number of whole Shares reserved for the purpose of the Plan as his or her accumulated payroll deductions on such date will purchase at the Option Price, subject to any other limitations contained in the Plan. Any amount remaining in a Participant’s account at the end of an Offering solely by reason of the inability to purchase a fractional Share will be carried forward to the next Offering; any other balance remaining in a Participant’s account at the end of an Offering will be refunded to the Participant promptly.</w:t>
      </w:r>
    </w:p>
    <w:p>
      <w:pPr>
        <w:spacing w:after="0" w:line="2" w:lineRule="exact"/>
        <w:rPr>
          <w:rFonts w:ascii="Arial" w:cs="Arial" w:eastAsia="Arial" w:hAnsi="Arial"/>
          <w:sz w:val="19"/>
          <w:szCs w:val="19"/>
          <w:color w:val="auto"/>
        </w:rPr>
      </w:pPr>
    </w:p>
    <w:p>
      <w:pPr>
        <w:ind w:right="140" w:firstLine="769"/>
        <w:spacing w:after="0" w:line="267" w:lineRule="auto"/>
        <w:tabs>
          <w:tab w:leader="none" w:pos="168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Issuance of Certificates</w:t>
      </w:r>
      <w:r>
        <w:rPr>
          <w:rFonts w:ascii="Arial" w:cs="Arial" w:eastAsia="Arial" w:hAnsi="Arial"/>
          <w:sz w:val="19"/>
          <w:szCs w:val="19"/>
          <w:color w:val="auto"/>
        </w:rPr>
        <w:t>. Certificates representing Shares purchased under the Plan may be issued only in the name of the employee, in the name of the employee and another person of legal age as joint tenants with rights of survivorship, or in the name of a broker authorized by the employee to be his, her or their, nominee for such purpose.</w:t>
      </w:r>
    </w:p>
    <w:p>
      <w:pPr>
        <w:ind w:left="1680" w:hanging="911"/>
        <w:spacing w:after="0" w:line="230" w:lineRule="auto"/>
        <w:tabs>
          <w:tab w:leader="none" w:pos="168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1" w:lineRule="exact"/>
        <w:rPr>
          <w:sz w:val="20"/>
          <w:szCs w:val="20"/>
          <w:color w:val="auto"/>
        </w:rPr>
      </w:pPr>
    </w:p>
    <w:p>
      <w:pPr>
        <w:ind w:firstLine="761"/>
        <w:spacing w:after="0" w:line="267" w:lineRule="auto"/>
        <w:rPr>
          <w:sz w:val="20"/>
          <w:szCs w:val="20"/>
          <w:color w:val="auto"/>
        </w:rPr>
      </w:pPr>
      <w:r>
        <w:rPr>
          <w:rFonts w:ascii="Arial" w:cs="Arial" w:eastAsia="Arial" w:hAnsi="Arial"/>
          <w:sz w:val="19"/>
          <w:szCs w:val="19"/>
          <w:color w:val="auto"/>
        </w:rPr>
        <w:t>The term “Compensation” means the amount of base pay, prior to salary reduction pursuant to Sections 125, 132(f) or 401(k) of the Code, but excluding overtime, commissions, incentive or bonus awards, allowances and reimbursements for expenses such as relocation allowances or travel expenses, income or gains on the exercise of Company stock options, and similar</w:t>
      </w:r>
    </w:p>
    <w:p>
      <w:pPr>
        <w:ind w:right="80"/>
        <w:spacing w:after="0" w:line="230" w:lineRule="auto"/>
        <w:rPr>
          <w:sz w:val="20"/>
          <w:szCs w:val="20"/>
          <w:color w:val="auto"/>
        </w:rPr>
      </w:pPr>
      <w:r>
        <w:rPr>
          <w:rFonts w:ascii="Arial" w:cs="Arial" w:eastAsia="Arial" w:hAnsi="Arial"/>
          <w:sz w:val="22"/>
          <w:szCs w:val="22"/>
          <w:color w:val="auto"/>
        </w:rPr>
        <w:t>items. The Administrator, in its discretion, may, on a uniform and nondiscriminatory basis, in advance of any Offering, establish a different definition of Compensation for that Offering and future Offerings.</w:t>
      </w:r>
    </w:p>
    <w:p>
      <w:pPr>
        <w:spacing w:after="0" w:line="1" w:lineRule="exact"/>
        <w:rPr>
          <w:sz w:val="20"/>
          <w:szCs w:val="20"/>
          <w:color w:val="auto"/>
        </w:rPr>
      </w:pPr>
    </w:p>
    <w:p>
      <w:pPr>
        <w:ind w:right="80" w:firstLine="761"/>
        <w:spacing w:after="0" w:line="241" w:lineRule="auto"/>
        <w:rPr>
          <w:sz w:val="20"/>
          <w:szCs w:val="20"/>
          <w:color w:val="auto"/>
        </w:rPr>
      </w:pPr>
      <w:r>
        <w:rPr>
          <w:rFonts w:ascii="Arial" w:cs="Arial" w:eastAsia="Arial" w:hAnsi="Arial"/>
          <w:sz w:val="21"/>
          <w:szCs w:val="21"/>
          <w:color w:val="auto"/>
        </w:rPr>
        <w:t>The term “Designated Company” means the Company and/or any present or future Subsidiary (as defined below), in each case, that has been designated by the Board to participate in the Plan. The Board may so designate the Company and/or any Subsidiary, or revoke any such designation, at any time and from time to time, either before or after the Plan is approved by the shareholders. The current list of Designated Companies is attached hereto as Appendix A.</w:t>
      </w:r>
    </w:p>
    <w:p>
      <w:pPr>
        <w:spacing w:after="0" w:line="2" w:lineRule="exact"/>
        <w:rPr>
          <w:sz w:val="20"/>
          <w:szCs w:val="20"/>
          <w:color w:val="auto"/>
        </w:rPr>
      </w:pPr>
    </w:p>
    <w:p>
      <w:pPr>
        <w:ind w:right="360" w:firstLine="761"/>
        <w:spacing w:after="0" w:line="237" w:lineRule="auto"/>
        <w:rPr>
          <w:sz w:val="20"/>
          <w:szCs w:val="20"/>
          <w:color w:val="auto"/>
        </w:rPr>
      </w:pPr>
      <w:r>
        <w:rPr>
          <w:rFonts w:ascii="Arial" w:cs="Arial" w:eastAsia="Arial" w:hAnsi="Arial"/>
          <w:sz w:val="22"/>
          <w:szCs w:val="22"/>
          <w:color w:val="auto"/>
        </w:rPr>
        <w:t>The term “Fair Market Value of the Shares” on any given date means the fair market value of the Shares determined in good faith by the Administrator; provided, however, that if the Shares admitted to quotation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89" w:name="page90"/>
    <w:bookmarkEnd w:id="89"/>
    <w:p>
      <w:pPr>
        <w:spacing w:after="0" w:line="235" w:lineRule="auto"/>
        <w:rPr>
          <w:sz w:val="20"/>
          <w:szCs w:val="20"/>
          <w:color w:val="auto"/>
        </w:rPr>
      </w:pPr>
      <w:r>
        <w:rPr>
          <w:rFonts w:ascii="Arial" w:cs="Arial" w:eastAsia="Arial" w:hAnsi="Arial"/>
          <w:sz w:val="22"/>
          <w:szCs w:val="22"/>
          <w:color w:val="auto"/>
        </w:rPr>
        <w:t>the National Association of Securities Dealers Automated Quotation System (“NASDAQ”), the NASDAQ Stock Market or another national securities exchange, the determination shall be made by reference to the closing price on such date. If there is no closing price for such date, the determination shall be made by reference to the last date preceding such date for which there is a closing price.</w:t>
      </w:r>
    </w:p>
    <w:p>
      <w:pPr>
        <w:ind w:left="760" w:right="280"/>
        <w:spacing w:after="0" w:line="267" w:lineRule="auto"/>
        <w:rPr>
          <w:sz w:val="20"/>
          <w:szCs w:val="20"/>
          <w:color w:val="auto"/>
        </w:rPr>
      </w:pPr>
      <w:r>
        <w:rPr>
          <w:rFonts w:ascii="Arial" w:cs="Arial" w:eastAsia="Arial" w:hAnsi="Arial"/>
          <w:sz w:val="19"/>
          <w:szCs w:val="19"/>
          <w:color w:val="auto"/>
        </w:rPr>
        <w:t>The term “Parent” means a “parent corporation” with respect to the Company, as defined in Section 424(e) of the Code. The term “Participant” means an individual who is eligible as determined in Section 3 and who has complied with the</w:t>
      </w:r>
    </w:p>
    <w:p>
      <w:pPr>
        <w:spacing w:after="0" w:line="230" w:lineRule="auto"/>
        <w:rPr>
          <w:sz w:val="20"/>
          <w:szCs w:val="20"/>
          <w:color w:val="auto"/>
        </w:rPr>
      </w:pPr>
      <w:r>
        <w:rPr>
          <w:rFonts w:ascii="Arial" w:cs="Arial" w:eastAsia="Arial" w:hAnsi="Arial"/>
          <w:sz w:val="22"/>
          <w:szCs w:val="22"/>
          <w:color w:val="auto"/>
        </w:rPr>
        <w:t>provisions of Section 4.</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The term “Subsidiary” means a “subsidiary corporation” with respect to the Company, as defined in Section 424(f) of the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ind w:right="40" w:firstLine="769"/>
        <w:spacing w:after="0" w:line="241" w:lineRule="auto"/>
        <w:tabs>
          <w:tab w:leader="none" w:pos="1680"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Rights on Termination of Employment</w:t>
      </w:r>
      <w:r>
        <w:rPr>
          <w:rFonts w:ascii="Arial" w:cs="Arial" w:eastAsia="Arial" w:hAnsi="Arial"/>
          <w:sz w:val="21"/>
          <w:szCs w:val="21"/>
          <w:color w:val="auto"/>
        </w:rPr>
        <w:t>. If a Participant’s employment terminates for any reason before the Exercise Date for any Offering, no payroll deduction will be taken from any pay due and owing to the Participant and the balance in the Participant’s account will be paid to such Participant or, in the case of such Participant’s death, to his or her designated beneficiary as if such Participant had withdrawn from the Plan under Section 7. An employee will be deemed to have terminated employment, for this purpose, if the corporation that employs him or her, having been a Designated Company, ceases to be a Subsidiary, or if the employee is transferred to any corporation other than a Designated Company.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pacing w:after="0" w:line="6" w:lineRule="exact"/>
        <w:rPr>
          <w:rFonts w:ascii="Arial" w:cs="Arial" w:eastAsia="Arial" w:hAnsi="Arial"/>
          <w:sz w:val="21"/>
          <w:szCs w:val="21"/>
          <w:color w:val="auto"/>
        </w:rPr>
      </w:pPr>
    </w:p>
    <w:p>
      <w:pPr>
        <w:ind w:right="60" w:firstLine="769"/>
        <w:spacing w:after="0" w:line="233" w:lineRule="auto"/>
        <w:tabs>
          <w:tab w:leader="none" w:pos="168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Special Rules</w:t>
      </w:r>
      <w:r>
        <w:rPr>
          <w:rFonts w:ascii="Arial" w:cs="Arial" w:eastAsia="Arial" w:hAnsi="Arial"/>
          <w:sz w:val="22"/>
          <w:szCs w:val="22"/>
          <w:color w:val="auto"/>
        </w:rPr>
        <w:t>. Notwithstanding anything herein to the contrary, the Administrator may adopt special rules applicable to the employees of a particular Designated Company, whenever the Administrator determines that such rules are necessary or appropriate for the implementation of the Plan in a jurisdiction where such Designated Company has employees; provided that such rules are consistent with the requirements of Section 423(b) of the Code. Any special rules established pursuant to this Section 13 shall,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0" w:name="page91"/>
    <w:bookmarkEnd w:id="90"/>
    <w:p>
      <w:pPr>
        <w:spacing w:after="0"/>
        <w:rPr>
          <w:sz w:val="20"/>
          <w:szCs w:val="20"/>
          <w:color w:val="auto"/>
        </w:rPr>
      </w:pPr>
      <w:r>
        <w:rPr>
          <w:rFonts w:ascii="Arial" w:cs="Arial" w:eastAsia="Arial" w:hAnsi="Arial"/>
          <w:sz w:val="19"/>
          <w:szCs w:val="19"/>
          <w:color w:val="auto"/>
        </w:rPr>
        <w:t>possible, result in the employees subject to such rules having substantially the same rights as other Participants in the Plan.</w:t>
      </w:r>
    </w:p>
    <w:p>
      <w:pPr>
        <w:spacing w:after="0" w:line="43" w:lineRule="exact"/>
        <w:rPr>
          <w:sz w:val="20"/>
          <w:szCs w:val="20"/>
          <w:color w:val="auto"/>
        </w:rPr>
      </w:pPr>
    </w:p>
    <w:p>
      <w:pPr>
        <w:ind w:right="120" w:firstLine="769"/>
        <w:spacing w:after="0" w:line="230" w:lineRule="auto"/>
        <w:tabs>
          <w:tab w:leader="none" w:pos="168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Optionees Not Shareholders</w:t>
      </w:r>
      <w:r>
        <w:rPr>
          <w:rFonts w:ascii="Arial" w:cs="Arial" w:eastAsia="Arial" w:hAnsi="Arial"/>
          <w:sz w:val="22"/>
          <w:szCs w:val="22"/>
          <w:color w:val="auto"/>
        </w:rPr>
        <w:t>. Neither the granting of an Option to a Participant nor the deductions from his or her pay shall constitute such Participant a holder of the Shares covered by an Option under the Plan until such Shares have been purchased by and issued to him or her.</w:t>
      </w:r>
    </w:p>
    <w:p>
      <w:pPr>
        <w:spacing w:after="0" w:line="2" w:lineRule="exact"/>
        <w:rPr>
          <w:rFonts w:ascii="Arial" w:cs="Arial" w:eastAsia="Arial" w:hAnsi="Arial"/>
          <w:sz w:val="22"/>
          <w:szCs w:val="22"/>
          <w:color w:val="auto"/>
        </w:rPr>
      </w:pPr>
    </w:p>
    <w:p>
      <w:pPr>
        <w:ind w:right="260" w:firstLine="769"/>
        <w:spacing w:after="0" w:line="241" w:lineRule="auto"/>
        <w:tabs>
          <w:tab w:leader="none" w:pos="1680"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Rights Not Transferable</w:t>
      </w:r>
      <w:r>
        <w:rPr>
          <w:rFonts w:ascii="Arial" w:cs="Arial" w:eastAsia="Arial" w:hAnsi="Arial"/>
          <w:sz w:val="21"/>
          <w:szCs w:val="21"/>
          <w:color w:val="auto"/>
        </w:rPr>
        <w:t>. Rights under the Plan are not transferable by a Participant other than by will or the laws of descent and distribution, and are exercisable during the Participant’s lifetime only by the Participant.</w:t>
      </w:r>
    </w:p>
    <w:p>
      <w:pPr>
        <w:spacing w:after="0" w:line="1" w:lineRule="exact"/>
        <w:rPr>
          <w:rFonts w:ascii="Arial" w:cs="Arial" w:eastAsia="Arial" w:hAnsi="Arial"/>
          <w:sz w:val="21"/>
          <w:szCs w:val="21"/>
          <w:color w:val="auto"/>
        </w:rPr>
      </w:pPr>
    </w:p>
    <w:p>
      <w:pPr>
        <w:ind w:right="80" w:firstLine="769"/>
        <w:spacing w:after="0" w:line="230" w:lineRule="auto"/>
        <w:tabs>
          <w:tab w:leader="none" w:pos="168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Application of Funds</w:t>
      </w:r>
      <w:r>
        <w:rPr>
          <w:rFonts w:ascii="Arial" w:cs="Arial" w:eastAsia="Arial" w:hAnsi="Arial"/>
          <w:sz w:val="22"/>
          <w:szCs w:val="22"/>
          <w:color w:val="auto"/>
        </w:rPr>
        <w:t>. All funds received or held by the Company under the Plan may be combined with other corporate funds and may be used for any corporate purpose.</w:t>
      </w:r>
    </w:p>
    <w:p>
      <w:pPr>
        <w:spacing w:after="0" w:line="1" w:lineRule="exact"/>
        <w:rPr>
          <w:rFonts w:ascii="Arial" w:cs="Arial" w:eastAsia="Arial" w:hAnsi="Arial"/>
          <w:sz w:val="22"/>
          <w:szCs w:val="22"/>
          <w:color w:val="auto"/>
        </w:rPr>
      </w:pPr>
    </w:p>
    <w:p>
      <w:pPr>
        <w:jc w:val="both"/>
        <w:ind w:right="440" w:firstLine="769"/>
        <w:spacing w:after="0" w:line="267" w:lineRule="auto"/>
        <w:tabs>
          <w:tab w:leader="none" w:pos="168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Adjustment in Case of Changes Affecting Shares</w:t>
      </w:r>
      <w:r>
        <w:rPr>
          <w:rFonts w:ascii="Arial" w:cs="Arial" w:eastAsia="Arial" w:hAnsi="Arial"/>
          <w:sz w:val="19"/>
          <w:szCs w:val="19"/>
          <w:color w:val="auto"/>
        </w:rPr>
        <w:t>. In the event of a subdivision of outstanding Shares, the payment of a dividend in Shares or any other change affecting the Shares, the number of Shares approved for the Plan and the Share limitation set forth in Section 8 shall be equitably or proportionately adjusted to give proper effect to such event.</w:t>
      </w:r>
    </w:p>
    <w:p>
      <w:pPr>
        <w:ind w:right="400" w:firstLine="769"/>
        <w:spacing w:after="0" w:line="267" w:lineRule="auto"/>
        <w:tabs>
          <w:tab w:leader="none" w:pos="168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Amendment of the Plan</w:t>
      </w:r>
      <w:r>
        <w:rPr>
          <w:rFonts w:ascii="Arial" w:cs="Arial" w:eastAsia="Arial" w:hAnsi="Arial"/>
          <w:sz w:val="19"/>
          <w:szCs w:val="19"/>
          <w:color w:val="auto"/>
        </w:rPr>
        <w:t>. The Board may at any time and from time to time amend the Plan in any respect, except that without the approval within 12 months of such Board action by the shareholders, no amendment shall be made increasing the number of Shares approved for the Plan or making any other change that would require shareholder approval in order for the Plan, as amended, to qualify as an “employee stock purchase plan” under Section 423(b) of the Code.</w:t>
      </w:r>
    </w:p>
    <w:p>
      <w:pPr>
        <w:ind w:firstLine="769"/>
        <w:spacing w:after="0" w:line="267" w:lineRule="auto"/>
        <w:tabs>
          <w:tab w:leader="none" w:pos="168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Insufficient Shares</w:t>
      </w:r>
      <w:r>
        <w:rPr>
          <w:rFonts w:ascii="Arial" w:cs="Arial" w:eastAsia="Arial" w:hAnsi="Arial"/>
          <w:sz w:val="19"/>
          <w:szCs w:val="19"/>
          <w:color w:val="auto"/>
        </w:rPr>
        <w:t>. If the total number of Shares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Shares on such Exercise Date.</w:t>
      </w:r>
    </w:p>
    <w:p>
      <w:pPr>
        <w:ind w:right="80" w:firstLine="769"/>
        <w:spacing w:after="0" w:line="237" w:lineRule="auto"/>
        <w:tabs>
          <w:tab w:leader="none" w:pos="168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Termination of the Plan</w:t>
      </w:r>
      <w:r>
        <w:rPr>
          <w:rFonts w:ascii="Arial" w:cs="Arial" w:eastAsia="Arial" w:hAnsi="Arial"/>
          <w:sz w:val="22"/>
          <w:szCs w:val="22"/>
          <w:color w:val="auto"/>
        </w:rPr>
        <w:t>. The Plan may be terminated at any time by the Board. Upon termination of the Plan, all amounts in the accounts of Participants shall be promptly refunded.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91" w:name="page92"/>
    <w:bookmarkEnd w:id="91"/>
    <w:p>
      <w:pPr>
        <w:ind w:left="-769" w:right="280" w:firstLine="769"/>
        <w:spacing w:after="0" w:line="277" w:lineRule="auto"/>
        <w:tabs>
          <w:tab w:leader="none" w:pos="91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Governmental Regulations</w:t>
      </w:r>
      <w:r>
        <w:rPr>
          <w:rFonts w:ascii="Arial" w:cs="Arial" w:eastAsia="Arial" w:hAnsi="Arial"/>
          <w:sz w:val="19"/>
          <w:szCs w:val="19"/>
          <w:color w:val="auto"/>
        </w:rPr>
        <w:t>. The Company’s obligation to sell and deliver Shares under the Plan is subject to obtaining all governmental approvals required in connection with the authorization, issuance, or sale of such Shares.</w:t>
      </w:r>
    </w:p>
    <w:p>
      <w:pPr>
        <w:ind w:left="-769" w:right="60" w:firstLine="769"/>
        <w:spacing w:after="0" w:line="230" w:lineRule="auto"/>
        <w:tabs>
          <w:tab w:leader="none" w:pos="91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Plan and all Options and actions taken thereunder shall be governed by, and construed in accordance with, the laws of the State of New York, applied without regard to conflict of law principles.</w:t>
      </w:r>
    </w:p>
    <w:p>
      <w:pPr>
        <w:spacing w:after="0" w:line="1" w:lineRule="exact"/>
        <w:rPr>
          <w:rFonts w:ascii="Arial" w:cs="Arial" w:eastAsia="Arial" w:hAnsi="Arial"/>
          <w:sz w:val="22"/>
          <w:szCs w:val="22"/>
          <w:color w:val="auto"/>
        </w:rPr>
      </w:pPr>
    </w:p>
    <w:p>
      <w:pPr>
        <w:ind w:left="-769" w:right="380" w:firstLine="769"/>
        <w:spacing w:after="0" w:line="230" w:lineRule="auto"/>
        <w:tabs>
          <w:tab w:leader="none" w:pos="91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 Shares may be issued upon exercise of an Option from authorized but unissued Shares, from Shares held in the treasury of the Company, or from any other proper source.</w:t>
      </w:r>
    </w:p>
    <w:p>
      <w:pPr>
        <w:spacing w:after="0" w:line="1" w:lineRule="exact"/>
        <w:rPr>
          <w:rFonts w:ascii="Arial" w:cs="Arial" w:eastAsia="Arial" w:hAnsi="Arial"/>
          <w:sz w:val="22"/>
          <w:szCs w:val="22"/>
          <w:color w:val="auto"/>
        </w:rPr>
      </w:pPr>
    </w:p>
    <w:p>
      <w:pPr>
        <w:jc w:val="both"/>
        <w:ind w:left="-769" w:right="240" w:firstLine="769"/>
        <w:spacing w:after="0" w:line="230" w:lineRule="auto"/>
        <w:tabs>
          <w:tab w:leader="none" w:pos="91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Participation in the Plan is subject to any minimum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w:t>
      </w:r>
    </w:p>
    <w:p>
      <w:pPr>
        <w:spacing w:after="0" w:line="2" w:lineRule="exact"/>
        <w:rPr>
          <w:rFonts w:ascii="Arial" w:cs="Arial" w:eastAsia="Arial" w:hAnsi="Arial"/>
          <w:sz w:val="22"/>
          <w:szCs w:val="22"/>
          <w:color w:val="auto"/>
        </w:rPr>
      </w:pPr>
    </w:p>
    <w:p>
      <w:pPr>
        <w:ind w:left="-769" w:right="60" w:firstLine="769"/>
        <w:spacing w:after="0" w:line="267" w:lineRule="auto"/>
        <w:tabs>
          <w:tab w:leader="none" w:pos="91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Notification Upon Sale of Shares</w:t>
      </w:r>
      <w:r>
        <w:rPr>
          <w:rFonts w:ascii="Arial" w:cs="Arial" w:eastAsia="Arial" w:hAnsi="Arial"/>
          <w:sz w:val="19"/>
          <w:szCs w:val="19"/>
          <w:color w:val="auto"/>
        </w:rPr>
        <w:t>. Each Participant agrees, by entering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ind w:left="-769" w:firstLine="769"/>
        <w:spacing w:after="0" w:line="234" w:lineRule="auto"/>
        <w:tabs>
          <w:tab w:leader="none" w:pos="91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Effective Date and Approval of Shareholders</w:t>
      </w:r>
      <w:r>
        <w:rPr>
          <w:rFonts w:ascii="Arial" w:cs="Arial" w:eastAsia="Arial" w:hAnsi="Arial"/>
          <w:sz w:val="22"/>
          <w:szCs w:val="22"/>
          <w:color w:val="auto"/>
        </w:rPr>
        <w:t>. The Plan shall take effect on the later of the date it is adopted by the Board and the date it is approved by the holders of a majority of the votes cast at a meeting of shareholders at which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617220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91"/>
          </w:cols>
          <w:pgMar w:left="1009" w:top="118" w:right="299" w:bottom="1440" w:gutter="0" w:footer="0" w:header="0"/>
        </w:sectPr>
      </w:pPr>
    </w:p>
    <w:bookmarkStart w:id="92" w:name="page93"/>
    <w:bookmarkEnd w:id="92"/>
    <w:p>
      <w:pPr>
        <w:jc w:val="center"/>
        <w:ind w:right="-1200"/>
        <w:spacing w:after="0"/>
        <w:rPr>
          <w:sz w:val="20"/>
          <w:szCs w:val="20"/>
          <w:color w:val="auto"/>
        </w:rPr>
      </w:pPr>
      <w:r>
        <w:rPr>
          <w:rFonts w:ascii="Arial" w:cs="Arial" w:eastAsia="Arial" w:hAnsi="Arial"/>
          <w:sz w:val="22"/>
          <w:szCs w:val="22"/>
          <w:b w:val="1"/>
          <w:bCs w:val="1"/>
          <w:color w:val="auto"/>
        </w:rPr>
        <w:t>APPENDIX A</w:t>
      </w:r>
    </w:p>
    <w:p>
      <w:pPr>
        <w:spacing w:after="0" w:line="234" w:lineRule="exact"/>
        <w:rPr>
          <w:sz w:val="20"/>
          <w:szCs w:val="20"/>
          <w:color w:val="auto"/>
        </w:rPr>
      </w:pPr>
    </w:p>
    <w:p>
      <w:pPr>
        <w:jc w:val="right"/>
        <w:ind w:right="3459"/>
        <w:spacing w:after="0"/>
        <w:rPr>
          <w:sz w:val="20"/>
          <w:szCs w:val="20"/>
          <w:color w:val="auto"/>
        </w:rPr>
      </w:pPr>
      <w:r>
        <w:rPr>
          <w:rFonts w:ascii="Arial" w:cs="Arial" w:eastAsia="Arial" w:hAnsi="Arial"/>
          <w:sz w:val="22"/>
          <w:szCs w:val="22"/>
          <w:b w:val="1"/>
          <w:bCs w:val="1"/>
          <w:u w:val="single" w:color="auto"/>
          <w:color w:val="auto"/>
        </w:rPr>
        <w:t>Designated Companies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Amarin Pharma, Inc.</w:t>
      </w:r>
    </w:p>
    <w:p>
      <w:pPr>
        <w:sectPr>
          <w:pgSz w:w="11900" w:h="16838" w:orient="portrait"/>
          <w:cols w:equalWidth="0" w:num="1">
            <w:col w:w="10219"/>
          </w:cols>
          <w:pgMar w:left="240" w:top="111" w:right="1440" w:bottom="1440" w:gutter="0" w:footer="0" w:header="0"/>
        </w:sectPr>
      </w:pPr>
    </w:p>
    <w:bookmarkStart w:id="93" w:name="page94"/>
    <w:bookmarkEnd w:id="93"/>
    <w:p>
      <w:pPr>
        <w:ind w:left="440" w:right="440" w:firstLine="273"/>
        <w:spacing w:after="0" w:line="261" w:lineRule="auto"/>
        <w:tabs>
          <w:tab w:leader="none" w:pos="11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HAS BEEN OMITTED AND FOR WHICH CONFIDENTIAL TREATMENT HAS BEEN REQUESTED. ALL SUCH OMITTED MATERIAL HAS BEEN FILED WITH THE SECURITIES AND EXCHANGE COMMISSION</w:t>
      </w:r>
    </w:p>
    <w:p>
      <w:pPr>
        <w:ind w:left="9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PURSUANT TO RULE 24b-2 PROMULGATED UNDER THE SECURITIES EXCHANGE ACT OF 1934, AS AMENDED</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CO-PROMOTION AGREEMENT</w:t>
      </w:r>
    </w:p>
    <w:p>
      <w:pPr>
        <w:spacing w:after="0" w:line="188" w:lineRule="exact"/>
        <w:rPr>
          <w:sz w:val="20"/>
          <w:szCs w:val="20"/>
          <w:color w:val="auto"/>
        </w:rPr>
      </w:pPr>
    </w:p>
    <w:p>
      <w:pPr>
        <w:jc w:val="both"/>
        <w:ind w:firstLine="761"/>
        <w:spacing w:after="0" w:line="234" w:lineRule="auto"/>
        <w:rPr>
          <w:sz w:val="20"/>
          <w:szCs w:val="20"/>
          <w:color w:val="auto"/>
        </w:rPr>
      </w:pPr>
      <w:r>
        <w:rPr>
          <w:rFonts w:ascii="Arial" w:cs="Arial" w:eastAsia="Arial" w:hAnsi="Arial"/>
          <w:sz w:val="22"/>
          <w:szCs w:val="22"/>
          <w:color w:val="auto"/>
        </w:rPr>
        <w:t>This First Amendment (the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to the March 31, 2014 Co-Promotion Agreement is entered into and effective as of July 25, 2017, by and among Amarin Pharmaceuticals Ireland Limited, a company organized under the laws of Ireland (registered number 408912) with offices at 2 Pembroke House Upper Pembroke Street 28-32, Dublin 2, Ireland (“Amarin Ireland”), and Amarin Pharma, Inc., a Delaware corporation with offices at 1430 Route 206 North, Suite 101, Bedminster, NJ 07921 (“Amarin Pharma”, and collectively with Amarin Ireland, “Amarin”), on the one hand, and Kowa Pharmaceuticals America, Inc., a Delaware corporation with offices at 530 Industrial Park Blvd, Montgomery, AL 36117 (“Kowa”), on the other hand (collectively, the “Parties”).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PRELIMINARY STATEMENTS</w:t>
      </w:r>
    </w:p>
    <w:p>
      <w:pPr>
        <w:spacing w:after="0" w:line="206" w:lineRule="exact"/>
        <w:rPr>
          <w:sz w:val="20"/>
          <w:szCs w:val="20"/>
          <w:color w:val="auto"/>
        </w:rPr>
      </w:pPr>
    </w:p>
    <w:p>
      <w:pPr>
        <w:jc w:val="both"/>
        <w:ind w:left="760" w:hanging="702"/>
        <w:spacing w:after="0" w:line="261" w:lineRule="auto"/>
        <w:tabs>
          <w:tab w:leader="none" w:pos="1471" w:val="left"/>
        </w:tabs>
        <w:numPr>
          <w:ilvl w:val="0"/>
          <w:numId w:val="55"/>
        </w:numPr>
        <w:rPr>
          <w:rFonts w:ascii="Arial" w:cs="Arial" w:eastAsia="Arial" w:hAnsi="Arial"/>
          <w:sz w:val="21"/>
          <w:szCs w:val="21"/>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previously entered into the Co-Promotion Agreement, dated March 31, 2014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pursuant to which, among other things, Amarin granted Kowa certain rights with respect to Sales of the Product in the Field in the Territory and Kowa agreed to co-promote the Product in the Field in the Territory;</w:t>
      </w:r>
    </w:p>
    <w:p>
      <w:pPr>
        <w:spacing w:after="0" w:line="157" w:lineRule="exact"/>
        <w:rPr>
          <w:rFonts w:ascii="Arial" w:cs="Arial" w:eastAsia="Arial" w:hAnsi="Arial"/>
          <w:sz w:val="21"/>
          <w:szCs w:val="21"/>
          <w:color w:val="auto"/>
        </w:rPr>
      </w:pPr>
    </w:p>
    <w:p>
      <w:pPr>
        <w:ind w:left="760" w:right="20" w:hanging="702"/>
        <w:spacing w:after="0" w:line="256" w:lineRule="auto"/>
        <w:tabs>
          <w:tab w:leader="none" w:pos="1471"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Amarin and Kowa wish to amend the Agreement, and to make certain other agreements, as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in this Amendment; and</w:t>
      </w:r>
    </w:p>
    <w:p>
      <w:pPr>
        <w:spacing w:after="0" w:line="162" w:lineRule="exact"/>
        <w:rPr>
          <w:rFonts w:ascii="Arial" w:cs="Arial" w:eastAsia="Arial" w:hAnsi="Arial"/>
          <w:sz w:val="22"/>
          <w:szCs w:val="22"/>
          <w:color w:val="auto"/>
        </w:rPr>
      </w:pPr>
    </w:p>
    <w:p>
      <w:pPr>
        <w:ind w:left="760" w:hanging="702"/>
        <w:spacing w:after="0" w:line="256" w:lineRule="auto"/>
        <w:tabs>
          <w:tab w:leader="none" w:pos="1471"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this Amendment supplements the Agreement and provides additional general and specific terms</w:t>
      </w:r>
      <w:r>
        <w:rPr>
          <w:rFonts w:ascii="Arial" w:cs="Arial" w:eastAsia="Arial" w:hAnsi="Arial"/>
          <w:sz w:val="22"/>
          <w:szCs w:val="22"/>
          <w:b w:val="1"/>
          <w:bCs w:val="1"/>
          <w:color w:val="auto"/>
        </w:rPr>
        <w:t xml:space="preserve"> </w:t>
      </w:r>
      <w:r>
        <w:rPr>
          <w:rFonts w:ascii="Arial" w:cs="Arial" w:eastAsia="Arial" w:hAnsi="Arial"/>
          <w:sz w:val="22"/>
          <w:szCs w:val="22"/>
          <w:color w:val="auto"/>
        </w:rPr>
        <w:t>under which the Parties shall operate.</w:t>
      </w:r>
    </w:p>
    <w:p>
      <w:pPr>
        <w:spacing w:after="0" w:line="385" w:lineRule="exact"/>
        <w:rPr>
          <w:sz w:val="20"/>
          <w:szCs w:val="20"/>
          <w:color w:val="auto"/>
        </w:rPr>
      </w:pPr>
    </w:p>
    <w:p>
      <w:pPr>
        <w:ind w:firstLine="761"/>
        <w:spacing w:after="0" w:line="328" w:lineRule="auto"/>
        <w:rPr>
          <w:sz w:val="20"/>
          <w:szCs w:val="20"/>
          <w:color w:val="auto"/>
        </w:rPr>
      </w:pPr>
      <w:r>
        <w:rPr>
          <w:rFonts w:ascii="Arial" w:cs="Arial" w:eastAsia="Arial" w:hAnsi="Arial"/>
          <w:sz w:val="19"/>
          <w:szCs w:val="19"/>
          <w:color w:val="auto"/>
        </w:rPr>
        <w:t>NOW, THEREFORE, for good and valuable consideration, the receipt and sufficiency of which is hereby acknowledged, including without limitation the mutual agreements and covenants set forth herein, the Parties hereby agree as follows:</w:t>
      </w:r>
    </w:p>
    <w:p>
      <w:pPr>
        <w:spacing w:after="0" w:line="105" w:lineRule="exact"/>
        <w:rPr>
          <w:sz w:val="20"/>
          <w:szCs w:val="20"/>
          <w:color w:val="auto"/>
        </w:rPr>
      </w:pPr>
    </w:p>
    <w:p>
      <w:pPr>
        <w:ind w:left="1900" w:hanging="1131"/>
        <w:spacing w:after="0"/>
        <w:tabs>
          <w:tab w:leader="none" w:pos="190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herein that are not otherwise defined have the meanings set forth in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88" w:lineRule="exact"/>
        <w:rPr>
          <w:rFonts w:ascii="Arial" w:cs="Arial" w:eastAsia="Arial" w:hAnsi="Arial"/>
          <w:sz w:val="19"/>
          <w:szCs w:val="19"/>
          <w:color w:val="auto"/>
        </w:rPr>
      </w:pPr>
    </w:p>
    <w:p>
      <w:pPr>
        <w:ind w:left="1900" w:hanging="1131"/>
        <w:spacing w:after="0"/>
        <w:tabs>
          <w:tab w:leader="none" w:pos="190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Additional Terms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500" w:right="20" w:hanging="331"/>
        <w:spacing w:after="0" w:line="328" w:lineRule="auto"/>
        <w:tabs>
          <w:tab w:leader="none" w:pos="1500"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following payments shall be made within five (5) Business Days following the execution of this Amendment, which payments may be credited and offset against each other resulting in a net amount paid:</w:t>
      </w:r>
    </w:p>
    <w:p>
      <w:pPr>
        <w:spacing w:after="0" w:line="105" w:lineRule="exact"/>
        <w:rPr>
          <w:rFonts w:ascii="Arial" w:cs="Arial" w:eastAsia="Arial" w:hAnsi="Arial"/>
          <w:sz w:val="19"/>
          <w:szCs w:val="19"/>
          <w:color w:val="auto"/>
        </w:rPr>
      </w:pPr>
    </w:p>
    <w:p>
      <w:pPr>
        <w:ind w:left="1520"/>
        <w:spacing w:after="0"/>
        <w:rPr>
          <w:rFonts w:ascii="Arial" w:cs="Arial" w:eastAsia="Arial" w:hAnsi="Arial"/>
          <w:sz w:val="19"/>
          <w:szCs w:val="19"/>
          <w:color w:val="auto"/>
        </w:rPr>
      </w:pPr>
      <w:r>
        <w:rPr>
          <w:rFonts w:ascii="Arial" w:cs="Arial" w:eastAsia="Arial" w:hAnsi="Arial"/>
          <w:sz w:val="22"/>
          <w:szCs w:val="22"/>
          <w:color w:val="auto"/>
        </w:rPr>
        <w:t>i.</w:t>
      </w:r>
      <w:r>
        <w:rPr>
          <w:rFonts w:ascii="Arial" w:cs="Arial" w:eastAsia="Arial" w:hAnsi="Arial"/>
          <w:sz w:val="19"/>
          <w:szCs w:val="19"/>
          <w:color w:val="auto"/>
        </w:rPr>
        <w:t>Amarin shall pay Kowa the Co-Promote Fee for Q4 2016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ind w:right="440" w:firstLine="273"/>
        <w:spacing w:after="0" w:line="261" w:lineRule="auto"/>
        <w:tabs>
          <w:tab w:leader="none" w:pos="7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HAS BEEN OMITTED AND FOR WHICH CONFIDENTIAL TREATMENT HAS BEEN REQUESTED. ALL SUCH OMITTED MATERIAL HAS BEEN FILED WITH THE SECURITIES AND EXCHANGE COMMISSION</w:t>
      </w: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PURSUANT TO RULE 24b-2 PROMULGATED UNDER THE SECURITIES EXCHANGE ACT OF 1934, AS AMENDED</w:t>
      </w:r>
    </w:p>
    <w:p>
      <w:pPr>
        <w:spacing w:after="0" w:line="203" w:lineRule="exact"/>
        <w:rPr>
          <w:rFonts w:ascii="Arial" w:cs="Arial" w:eastAsia="Arial" w:hAnsi="Arial"/>
          <w:sz w:val="18"/>
          <w:szCs w:val="18"/>
          <w:b w:val="1"/>
          <w:bCs w:val="1"/>
          <w:color w:val="auto"/>
        </w:rPr>
      </w:pPr>
    </w:p>
    <w:p>
      <w:pPr>
        <w:jc w:val="both"/>
        <w:ind w:left="1640" w:hanging="559"/>
        <w:spacing w:after="0"/>
        <w:tabs>
          <w:tab w:leader="none" w:pos="1640" w:val="left"/>
        </w:tabs>
        <w:numPr>
          <w:ilvl w:val="2"/>
          <w:numId w:val="57"/>
        </w:numPr>
        <w:rPr>
          <w:rFonts w:ascii="Arial" w:cs="Arial" w:eastAsia="Arial" w:hAnsi="Arial"/>
          <w:sz w:val="22"/>
          <w:szCs w:val="22"/>
          <w:color w:val="auto"/>
        </w:rPr>
      </w:pPr>
      <w:r>
        <w:rPr>
          <w:rFonts w:ascii="Arial" w:cs="Arial" w:eastAsia="Arial" w:hAnsi="Arial"/>
          <w:sz w:val="22"/>
          <w:szCs w:val="22"/>
          <w:color w:val="auto"/>
        </w:rPr>
        <w:t>Kowa shall pay Amarin the marketing expense payment for Q4 2016 of $[***], which Amarin invoiced Kowa on February 10, 2017, and the next marketing expense payment of $[***], which Amarin invoiced Kowa on May 30, 2017.</w:t>
      </w:r>
    </w:p>
    <w:p>
      <w:pPr>
        <w:spacing w:after="0" w:line="186" w:lineRule="exact"/>
        <w:rPr>
          <w:rFonts w:ascii="Arial" w:cs="Arial" w:eastAsia="Arial" w:hAnsi="Arial"/>
          <w:sz w:val="22"/>
          <w:szCs w:val="22"/>
          <w:color w:val="auto"/>
        </w:rPr>
      </w:pPr>
    </w:p>
    <w:p>
      <w:pPr>
        <w:jc w:val="both"/>
        <w:ind w:left="1640" w:hanging="559"/>
        <w:spacing w:after="0"/>
        <w:tabs>
          <w:tab w:leader="none" w:pos="1640" w:val="left"/>
        </w:tabs>
        <w:numPr>
          <w:ilvl w:val="2"/>
          <w:numId w:val="57"/>
        </w:numPr>
        <w:rPr>
          <w:rFonts w:ascii="Arial" w:cs="Arial" w:eastAsia="Arial" w:hAnsi="Arial"/>
          <w:sz w:val="22"/>
          <w:szCs w:val="22"/>
          <w:color w:val="auto"/>
        </w:rPr>
      </w:pPr>
      <w:r>
        <w:rPr>
          <w:rFonts w:ascii="Arial" w:cs="Arial" w:eastAsia="Arial" w:hAnsi="Arial"/>
          <w:sz w:val="22"/>
          <w:szCs w:val="22"/>
          <w:color w:val="auto"/>
        </w:rPr>
        <w:t>Amarin shall pay Kowa $[***], which reflects the original Co-Promote Fee for Q1 2017 of $[***], less $[***] to account for the credits described in Section 2.b. below, and less $[***] to account for a temporary adjustment in the royalty rate for Q1 2017 as described in paragraph (c) below.</w:t>
      </w:r>
    </w:p>
    <w:p>
      <w:pPr>
        <w:spacing w:after="0" w:line="186" w:lineRule="exact"/>
        <w:rPr>
          <w:rFonts w:ascii="Arial" w:cs="Arial" w:eastAsia="Arial" w:hAnsi="Arial"/>
          <w:sz w:val="22"/>
          <w:szCs w:val="22"/>
          <w:color w:val="auto"/>
        </w:rPr>
      </w:pPr>
    </w:p>
    <w:p>
      <w:pPr>
        <w:jc w:val="both"/>
        <w:ind w:left="1060" w:hanging="331"/>
        <w:spacing w:after="0" w:line="282" w:lineRule="auto"/>
        <w:tabs>
          <w:tab w:leader="none" w:pos="1060" w:val="left"/>
        </w:tabs>
        <w:numPr>
          <w:ilvl w:val="1"/>
          <w:numId w:val="58"/>
        </w:numPr>
        <w:rPr>
          <w:rFonts w:ascii="Arial" w:cs="Arial" w:eastAsia="Arial" w:hAnsi="Arial"/>
          <w:sz w:val="19"/>
          <w:szCs w:val="19"/>
          <w:color w:val="auto"/>
        </w:rPr>
      </w:pPr>
      <w:r>
        <w:rPr>
          <w:rFonts w:ascii="Arial" w:cs="Arial" w:eastAsia="Arial" w:hAnsi="Arial"/>
          <w:sz w:val="19"/>
          <w:szCs w:val="19"/>
          <w:color w:val="auto"/>
        </w:rPr>
        <w:t>Kowa shall give Amarin a credit of $[***] to be divided equally into fourths for cash flow purposes and reduce each of the quarters’ payments by $[***]. Such reduction shall be applied to each of the quarterly Co-Promote Fees due Kowa [***]. For statement of operations purposes, the $[***] will be recognized by Amarin on an equal quarterly basis for 2017 and 2018. Specifically, Amarin shall subtract $[***] from each of the four Co-Promote Fees otherwise due to Kowa under the Agreement in Q1, Q2, Q3 and Q4 2017, respectively.</w:t>
      </w:r>
    </w:p>
    <w:p>
      <w:pPr>
        <w:spacing w:after="0" w:line="147" w:lineRule="exact"/>
        <w:rPr>
          <w:rFonts w:ascii="Arial" w:cs="Arial" w:eastAsia="Arial" w:hAnsi="Arial"/>
          <w:sz w:val="19"/>
          <w:szCs w:val="19"/>
          <w:color w:val="auto"/>
        </w:rPr>
      </w:pPr>
    </w:p>
    <w:p>
      <w:pPr>
        <w:jc w:val="both"/>
        <w:ind w:left="1060" w:hanging="331"/>
        <w:spacing w:after="0" w:line="287" w:lineRule="auto"/>
        <w:tabs>
          <w:tab w:leader="none" w:pos="1060" w:val="left"/>
        </w:tabs>
        <w:numPr>
          <w:ilvl w:val="1"/>
          <w:numId w:val="58"/>
        </w:numPr>
        <w:rPr>
          <w:rFonts w:ascii="Arial" w:cs="Arial" w:eastAsia="Arial" w:hAnsi="Arial"/>
          <w:sz w:val="19"/>
          <w:szCs w:val="19"/>
          <w:color w:val="auto"/>
        </w:rPr>
      </w:pPr>
      <w:r>
        <w:rPr>
          <w:rFonts w:ascii="Arial" w:cs="Arial" w:eastAsia="Arial" w:hAnsi="Arial"/>
          <w:sz w:val="19"/>
          <w:szCs w:val="19"/>
          <w:color w:val="auto"/>
        </w:rPr>
        <w:t>Amarin shall pay Kowa $[***] to be divided equally into sevenths, with each seventh applied to increase each of the quarterly Co-Promote Fees due Kowa with respect to performance in Q2, Q3 and Q4 of 2017 and Q1, Q2, Q3 and Q4 of 2018. Specifically, Amarin shall add $[***] to each of the Co-Promote Fees otherwise due to Kowa under the Agreement for performance in Q2, Q3 and Q4 of 2017 and Q1, Q2, Q3 and Q4 of 2018, respectively.</w:t>
      </w:r>
    </w:p>
    <w:p>
      <w:pPr>
        <w:spacing w:after="0" w:line="143" w:lineRule="exact"/>
        <w:rPr>
          <w:rFonts w:ascii="Arial" w:cs="Arial" w:eastAsia="Arial" w:hAnsi="Arial"/>
          <w:sz w:val="19"/>
          <w:szCs w:val="19"/>
          <w:color w:val="auto"/>
        </w:rPr>
      </w:pPr>
    </w:p>
    <w:p>
      <w:pPr>
        <w:ind w:left="1060" w:hanging="331"/>
        <w:spacing w:after="0"/>
        <w:tabs>
          <w:tab w:leader="none" w:pos="1060" w:val="left"/>
        </w:tabs>
        <w:numPr>
          <w:ilvl w:val="1"/>
          <w:numId w:val="58"/>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sz w:val="20"/>
          <w:szCs w:val="20"/>
          <w:color w:val="auto"/>
        </w:rPr>
      </w:pPr>
    </w:p>
    <w:p>
      <w:pPr>
        <w:ind w:left="1460" w:hanging="1131"/>
        <w:spacing w:after="0"/>
        <w:tabs>
          <w:tab w:leader="none" w:pos="146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w:t>
      </w:r>
    </w:p>
    <w:p>
      <w:pPr>
        <w:spacing w:after="0" w:line="206" w:lineRule="exact"/>
        <w:rPr>
          <w:sz w:val="20"/>
          <w:szCs w:val="20"/>
          <w:color w:val="auto"/>
        </w:rPr>
      </w:pPr>
    </w:p>
    <w:p>
      <w:pPr>
        <w:ind w:left="1060" w:hanging="331"/>
        <w:spacing w:after="0" w:line="251" w:lineRule="auto"/>
        <w:tabs>
          <w:tab w:leader="none" w:pos="106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Section 1.91 of the Agreement</w:t>
      </w:r>
      <w:r>
        <w:rPr>
          <w:rFonts w:ascii="Arial" w:cs="Arial" w:eastAsia="Arial" w:hAnsi="Arial"/>
          <w:sz w:val="22"/>
          <w:szCs w:val="22"/>
          <w:color w:val="auto"/>
        </w:rPr>
        <w:t xml:space="preserve"> is hereby amended from the date hereto to include the following definitions, in addition to the definition of “</w:t>
      </w:r>
      <w:r>
        <w:rPr>
          <w:rFonts w:ascii="Arial" w:cs="Arial" w:eastAsia="Arial" w:hAnsi="Arial"/>
          <w:sz w:val="22"/>
          <w:szCs w:val="22"/>
          <w:u w:val="single" w:color="auto"/>
          <w:color w:val="auto"/>
        </w:rPr>
        <w:t>Target</w:t>
      </w:r>
      <w:r>
        <w:rPr>
          <w:rFonts w:ascii="Arial" w:cs="Arial" w:eastAsia="Arial" w:hAnsi="Arial"/>
          <w:sz w:val="22"/>
          <w:szCs w:val="22"/>
          <w:color w:val="auto"/>
        </w:rPr>
        <w:t>” which is unchanged:</w:t>
      </w:r>
    </w:p>
    <w:p>
      <w:pPr>
        <w:spacing w:after="0" w:line="173" w:lineRule="exact"/>
        <w:rPr>
          <w:sz w:val="20"/>
          <w:szCs w:val="20"/>
          <w:color w:val="auto"/>
        </w:rPr>
      </w:pPr>
    </w:p>
    <w:p>
      <w:pPr>
        <w:ind w:left="1080"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List of Targets</w:t>
      </w:r>
      <w:r>
        <w:rPr>
          <w:rFonts w:ascii="Arial" w:cs="Arial" w:eastAsia="Arial" w:hAnsi="Arial"/>
          <w:sz w:val="22"/>
          <w:szCs w:val="22"/>
          <w:color w:val="auto"/>
        </w:rPr>
        <w:t>’ means the Kowa list of [***] healthcare professionals that was approved by the JSC on or about May 2, 2017.”</w:t>
      </w:r>
    </w:p>
    <w:p>
      <w:pPr>
        <w:spacing w:after="0" w:line="173" w:lineRule="exact"/>
        <w:rPr>
          <w:sz w:val="20"/>
          <w:szCs w:val="20"/>
          <w:color w:val="auto"/>
        </w:rPr>
      </w:pPr>
    </w:p>
    <w:p>
      <w:pPr>
        <w:jc w:val="both"/>
        <w:ind w:left="1060" w:hanging="331"/>
        <w:spacing w:after="0" w:line="275" w:lineRule="auto"/>
        <w:tabs>
          <w:tab w:leader="none" w:pos="106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Section 4.4 of the Agreement</w:t>
      </w:r>
      <w:r>
        <w:rPr>
          <w:rFonts w:ascii="Arial" w:cs="Arial" w:eastAsia="Arial" w:hAnsi="Arial"/>
          <w:sz w:val="19"/>
          <w:szCs w:val="19"/>
          <w:color w:val="auto"/>
        </w:rPr>
        <w:t xml:space="preserve"> is hereby amended from the date hereof to include a new subsection titled “Section 4.4.3 Amending List of Targets” and which provides: “The Parties may agree, in the future, to amend the List of Targets, provided they do so in writing.” If Kowa proposes to amend the List of Targets, Amarin must respond in writing to the proposed amendment within fourteen (14) calendar days. If Amarin does not respond in writing to a proposed amendment within fourteen (14) calendar days, Amarin will be deemed to have accepted the proposed amendment. If Kowa proposes to amend its List of Targets, Kowa must send the proposed amendment to at least two Amarin JSC members to trigger the fourteen (14) day deadline above. The Parties shall reach an agreement on any proposed amendment to the List of Targets within thirty (30) calendar days of the written proposal.</w:t>
      </w:r>
    </w:p>
    <w:p>
      <w:pPr>
        <w:spacing w:after="0" w:line="158" w:lineRule="exact"/>
        <w:rPr>
          <w:sz w:val="20"/>
          <w:szCs w:val="20"/>
          <w:color w:val="auto"/>
        </w:rPr>
      </w:pPr>
    </w:p>
    <w:p>
      <w:pPr>
        <w:jc w:val="both"/>
        <w:ind w:left="1080" w:hanging="302"/>
        <w:spacing w:after="0"/>
        <w:rPr>
          <w:sz w:val="20"/>
          <w:szCs w:val="20"/>
          <w:color w:val="auto"/>
        </w:rPr>
      </w:pPr>
      <w:r>
        <w:rPr>
          <w:rFonts w:ascii="Arial" w:cs="Arial" w:eastAsia="Arial" w:hAnsi="Arial"/>
          <w:sz w:val="22"/>
          <w:szCs w:val="22"/>
          <w:color w:val="auto"/>
        </w:rPr>
        <w:t>If the Party to whom a proposed amendment is sent requests additional information, that Party must request the additional information in writing from the Party proposing the amendment within three (3) business days from receiving the proposed amendment. If such a request is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200660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121" w:right="239" w:bottom="1440" w:gutter="0" w:footer="0" w:header="0"/>
        </w:sectPr>
      </w:pPr>
    </w:p>
    <w:bookmarkStart w:id="95" w:name="page96"/>
    <w:bookmarkEnd w:id="95"/>
    <w:p>
      <w:pPr>
        <w:ind w:right="440" w:firstLine="273"/>
        <w:spacing w:after="0" w:line="261" w:lineRule="auto"/>
        <w:tabs>
          <w:tab w:leader="none" w:pos="7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HAS BEEN OMITTED AND FOR WHICH CONFIDENTIAL TREATMENT HAS BEEN REQUESTED. ALL SUCH OMITTED MATERIAL HAS BEEN FILED WITH THE SECURITIES AND EXCHANGE COMMISSION</w:t>
      </w: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PURSUANT TO RULE 24b-2 PROMULGATED UNDER THE SECURITIES EXCHANGE ACT OF 1934, AS AMENDED</w:t>
      </w:r>
    </w:p>
    <w:p>
      <w:pPr>
        <w:spacing w:after="0" w:line="204" w:lineRule="exact"/>
        <w:rPr>
          <w:sz w:val="20"/>
          <w:szCs w:val="20"/>
          <w:color w:val="auto"/>
        </w:rPr>
      </w:pPr>
    </w:p>
    <w:p>
      <w:pPr>
        <w:jc w:val="both"/>
        <w:ind w:left="1080"/>
        <w:spacing w:after="0" w:line="282" w:lineRule="auto"/>
        <w:rPr>
          <w:sz w:val="20"/>
          <w:szCs w:val="20"/>
          <w:color w:val="auto"/>
        </w:rPr>
      </w:pPr>
      <w:r>
        <w:rPr>
          <w:rFonts w:ascii="Arial" w:cs="Arial" w:eastAsia="Arial" w:hAnsi="Arial"/>
          <w:sz w:val="19"/>
          <w:szCs w:val="19"/>
          <w:color w:val="auto"/>
        </w:rPr>
        <w:t>made, the fourteen (14) calendar day period to respond in writing and the thirty (30) calendar day period to reach agreement shall begin to run on the day such information is received by the requesting Party. The Parties will discuss and agree to the content of such additional information to be sent at the first JSC meeting following the signing of this Amendment, which information shall be reasonably sufficient to inform a calculated business decision but not an unreasonable amount or unduly burdensome to the Party requesting the amendment.</w:t>
      </w:r>
    </w:p>
    <w:p>
      <w:pPr>
        <w:spacing w:after="0" w:line="148" w:lineRule="exact"/>
        <w:rPr>
          <w:sz w:val="20"/>
          <w:szCs w:val="20"/>
          <w:color w:val="auto"/>
        </w:rPr>
      </w:pPr>
    </w:p>
    <w:p>
      <w:pPr>
        <w:jc w:val="both"/>
        <w:ind w:left="1080"/>
        <w:spacing w:after="0" w:line="236" w:lineRule="auto"/>
        <w:rPr>
          <w:sz w:val="20"/>
          <w:szCs w:val="20"/>
          <w:color w:val="auto"/>
        </w:rPr>
      </w:pPr>
      <w:r>
        <w:rPr>
          <w:rFonts w:ascii="Arial" w:cs="Arial" w:eastAsia="Arial" w:hAnsi="Arial"/>
          <w:sz w:val="22"/>
          <w:szCs w:val="22"/>
          <w:color w:val="auto"/>
        </w:rPr>
        <w:t>If the Parties cannot agree on a proposed amendment to the List of Targets within thirty (30) days, then either Party may refer the dispute to the Parties’ executive officers for resolution, who must confer in good faith, including at least one face-to-face meeting, and use their best efforts to resolve the dispute. If the Parties’ executive officers cannot resolve the dispute within 14 days of its referral, then either Party may submit it to arbitration pursuant to Section 14 of the Agreement.</w:t>
      </w:r>
    </w:p>
    <w:p>
      <w:pPr>
        <w:spacing w:after="0" w:line="188" w:lineRule="exact"/>
        <w:rPr>
          <w:sz w:val="20"/>
          <w:szCs w:val="20"/>
          <w:color w:val="auto"/>
        </w:rPr>
      </w:pPr>
    </w:p>
    <w:p>
      <w:pPr>
        <w:ind w:left="1060" w:hanging="331"/>
        <w:spacing w:after="0" w:line="328" w:lineRule="auto"/>
        <w:tabs>
          <w:tab w:leader="none" w:pos="106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Section 4.3.2 of the Agreement</w:t>
      </w:r>
      <w:r>
        <w:rPr>
          <w:rFonts w:ascii="Arial" w:cs="Arial" w:eastAsia="Arial" w:hAnsi="Arial"/>
          <w:sz w:val="19"/>
          <w:szCs w:val="19"/>
          <w:color w:val="auto"/>
        </w:rPr>
        <w:t xml:space="preserve"> is hereby amended from the date hereof to include the following, which shall be referred to as “</w:t>
      </w:r>
      <w:r>
        <w:rPr>
          <w:rFonts w:ascii="Arial" w:cs="Arial" w:eastAsia="Arial" w:hAnsi="Arial"/>
          <w:sz w:val="19"/>
          <w:szCs w:val="19"/>
          <w:u w:val="single" w:color="auto"/>
          <w:color w:val="auto"/>
        </w:rPr>
        <w:t>Section 4.3.2 (e)</w:t>
      </w:r>
      <w:r>
        <w:rPr>
          <w:rFonts w:ascii="Arial" w:cs="Arial" w:eastAsia="Arial" w:hAnsi="Arial"/>
          <w:sz w:val="19"/>
          <w:szCs w:val="19"/>
          <w:color w:val="auto"/>
        </w:rPr>
        <w:t>” and shall not be read in any way to limit the existing terms of the Agreement:</w:t>
      </w:r>
    </w:p>
    <w:p>
      <w:pPr>
        <w:spacing w:after="0" w:line="105" w:lineRule="exact"/>
        <w:rPr>
          <w:rFonts w:ascii="Arial" w:cs="Arial" w:eastAsia="Arial" w:hAnsi="Arial"/>
          <w:sz w:val="19"/>
          <w:szCs w:val="19"/>
          <w:color w:val="auto"/>
        </w:rPr>
      </w:pPr>
    </w:p>
    <w:p>
      <w:pPr>
        <w:ind w:left="1640" w:hanging="559"/>
        <w:spacing w:after="0"/>
        <w:tabs>
          <w:tab w:leader="none" w:pos="1640" w:val="left"/>
        </w:tabs>
        <w:numPr>
          <w:ilvl w:val="1"/>
          <w:numId w:val="63"/>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40" w:hanging="559"/>
        <w:spacing w:after="0"/>
        <w:tabs>
          <w:tab w:leader="none" w:pos="1640" w:val="left"/>
        </w:tabs>
        <w:numPr>
          <w:ilvl w:val="1"/>
          <w:numId w:val="63"/>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40" w:hanging="559"/>
        <w:spacing w:after="0"/>
        <w:tabs>
          <w:tab w:leader="none" w:pos="1640" w:val="left"/>
        </w:tabs>
        <w:numPr>
          <w:ilvl w:val="1"/>
          <w:numId w:val="63"/>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40" w:hanging="559"/>
        <w:spacing w:after="0" w:line="287" w:lineRule="auto"/>
        <w:tabs>
          <w:tab w:leader="none" w:pos="1640"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Parties shall confer and determine, and present to JSC for approval on or before August 15, 2017, the following items with respect to performance in 2018: (1) training requirements for any Kowa Sales Representatives hired after September 20, 2017; and (2) refresher training requirements for Kowa Sales Representatives regarding Vascepa medical, marketing, and compliance.</w:t>
      </w:r>
    </w:p>
    <w:p>
      <w:pPr>
        <w:spacing w:after="0" w:line="143" w:lineRule="exact"/>
        <w:rPr>
          <w:rFonts w:ascii="Arial" w:cs="Arial" w:eastAsia="Arial" w:hAnsi="Arial"/>
          <w:sz w:val="19"/>
          <w:szCs w:val="19"/>
          <w:color w:val="auto"/>
        </w:rPr>
      </w:pPr>
    </w:p>
    <w:p>
      <w:pPr>
        <w:ind w:left="1640" w:right="20" w:hanging="559"/>
        <w:spacing w:after="0" w:line="251" w:lineRule="auto"/>
        <w:tabs>
          <w:tab w:leader="none" w:pos="1640" w:val="left"/>
        </w:tabs>
        <w:numPr>
          <w:ilvl w:val="1"/>
          <w:numId w:val="63"/>
        </w:numPr>
        <w:rPr>
          <w:rFonts w:ascii="Arial" w:cs="Arial" w:eastAsia="Arial" w:hAnsi="Arial"/>
          <w:sz w:val="22"/>
          <w:szCs w:val="22"/>
          <w:color w:val="auto"/>
        </w:rPr>
      </w:pPr>
      <w:r>
        <w:rPr>
          <w:rFonts w:ascii="Arial" w:cs="Arial" w:eastAsia="Arial" w:hAnsi="Arial"/>
          <w:sz w:val="22"/>
          <w:szCs w:val="22"/>
          <w:color w:val="auto"/>
        </w:rPr>
        <w:t>Any such requirements are in addition to any and all other rights and obligations in the Agreement, including but not limited to those set forth in Section 4.3.2 thereof.</w:t>
      </w:r>
    </w:p>
    <w:p>
      <w:pPr>
        <w:spacing w:after="0" w:line="173" w:lineRule="exact"/>
        <w:rPr>
          <w:rFonts w:ascii="Arial" w:cs="Arial" w:eastAsia="Arial" w:hAnsi="Arial"/>
          <w:sz w:val="22"/>
          <w:szCs w:val="22"/>
          <w:color w:val="auto"/>
        </w:rPr>
      </w:pPr>
    </w:p>
    <w:p>
      <w:pPr>
        <w:ind w:left="1060" w:hanging="331"/>
        <w:spacing w:after="0"/>
        <w:tabs>
          <w:tab w:leader="none" w:pos="106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Section 4.4.1 of the Agreement</w:t>
      </w:r>
      <w:r>
        <w:rPr>
          <w:rFonts w:ascii="Arial" w:cs="Arial" w:eastAsia="Arial" w:hAnsi="Arial"/>
          <w:sz w:val="19"/>
          <w:szCs w:val="19"/>
          <w:color w:val="auto"/>
        </w:rPr>
        <w:t xml:space="preserve"> is amended to include the following, which shall be referred to as “</w:t>
      </w:r>
      <w:r>
        <w:rPr>
          <w:rFonts w:ascii="Arial" w:cs="Arial" w:eastAsia="Arial" w:hAnsi="Arial"/>
          <w:sz w:val="19"/>
          <w:szCs w:val="19"/>
          <w:u w:val="single" w:color="auto"/>
          <w:color w:val="auto"/>
        </w:rPr>
        <w:t>Section 4.4.1</w:t>
      </w:r>
    </w:p>
    <w:p>
      <w:pPr>
        <w:spacing w:after="0" w:line="42" w:lineRule="exact"/>
        <w:rPr>
          <w:rFonts w:ascii="Arial" w:cs="Arial" w:eastAsia="Arial" w:hAnsi="Arial"/>
          <w:sz w:val="19"/>
          <w:szCs w:val="19"/>
          <w:color w:val="auto"/>
        </w:rPr>
      </w:pPr>
    </w:p>
    <w:p>
      <w:pPr>
        <w:ind w:left="1060"/>
        <w:spacing w:after="0"/>
        <w:rPr>
          <w:rFonts w:ascii="Arial" w:cs="Arial" w:eastAsia="Arial" w:hAnsi="Arial"/>
          <w:sz w:val="19"/>
          <w:szCs w:val="19"/>
          <w:color w:val="auto"/>
        </w:rPr>
      </w:pPr>
      <w:r>
        <w:rPr>
          <w:rFonts w:ascii="Arial" w:cs="Arial" w:eastAsia="Arial" w:hAnsi="Arial"/>
          <w:sz w:val="22"/>
          <w:szCs w:val="22"/>
          <w:u w:val="single" w:color="auto"/>
          <w:color w:val="auto"/>
        </w:rPr>
        <w:t>(c)</w:t>
      </w:r>
      <w:r>
        <w:rPr>
          <w:rFonts w:ascii="Arial" w:cs="Arial" w:eastAsia="Arial" w:hAnsi="Arial"/>
          <w:sz w:val="22"/>
          <w:szCs w:val="22"/>
          <w:color w:val="auto"/>
        </w:rPr>
        <w:t>” and shall not be read in any way to limit the existing terms of the Agreement:</w:t>
      </w:r>
    </w:p>
    <w:p>
      <w:pPr>
        <w:spacing w:after="0" w:line="200" w:lineRule="exact"/>
        <w:rPr>
          <w:sz w:val="20"/>
          <w:szCs w:val="20"/>
          <w:color w:val="auto"/>
        </w:rPr>
      </w:pPr>
    </w:p>
    <w:p>
      <w:pPr>
        <w:spacing w:after="0" w:line="204"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1060" w:hanging="331"/>
        <w:spacing w:after="0"/>
        <w:tabs>
          <w:tab w:leader="none" w:pos="106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Section 4.4.1 of the Agreement</w:t>
      </w:r>
      <w:r>
        <w:rPr>
          <w:rFonts w:ascii="Arial" w:cs="Arial" w:eastAsia="Arial" w:hAnsi="Arial"/>
          <w:sz w:val="19"/>
          <w:szCs w:val="19"/>
          <w:color w:val="auto"/>
        </w:rPr>
        <w:t xml:space="preserve"> is amended to include the following, which shall be referred to as “</w:t>
      </w:r>
      <w:r>
        <w:rPr>
          <w:rFonts w:ascii="Arial" w:cs="Arial" w:eastAsia="Arial" w:hAnsi="Arial"/>
          <w:sz w:val="19"/>
          <w:szCs w:val="19"/>
          <w:u w:val="single" w:color="auto"/>
          <w:color w:val="auto"/>
        </w:rPr>
        <w:t>Section 4.4.1</w:t>
      </w:r>
    </w:p>
    <w:p>
      <w:pPr>
        <w:spacing w:after="0" w:line="42" w:lineRule="exact"/>
        <w:rPr>
          <w:rFonts w:ascii="Arial" w:cs="Arial" w:eastAsia="Arial" w:hAnsi="Arial"/>
          <w:sz w:val="19"/>
          <w:szCs w:val="19"/>
          <w:color w:val="auto"/>
        </w:rPr>
      </w:pPr>
    </w:p>
    <w:p>
      <w:pPr>
        <w:ind w:left="1060"/>
        <w:spacing w:after="0"/>
        <w:rPr>
          <w:rFonts w:ascii="Arial" w:cs="Arial" w:eastAsia="Arial" w:hAnsi="Arial"/>
          <w:sz w:val="19"/>
          <w:szCs w:val="19"/>
          <w:color w:val="auto"/>
        </w:rPr>
      </w:pPr>
      <w:r>
        <w:rPr>
          <w:rFonts w:ascii="Arial" w:cs="Arial" w:eastAsia="Arial" w:hAnsi="Arial"/>
          <w:sz w:val="22"/>
          <w:szCs w:val="22"/>
          <w:u w:val="single" w:color="auto"/>
          <w:color w:val="auto"/>
        </w:rPr>
        <w:t>(d)</w:t>
      </w:r>
      <w:r>
        <w:rPr>
          <w:rFonts w:ascii="Arial" w:cs="Arial" w:eastAsia="Arial" w:hAnsi="Arial"/>
          <w:sz w:val="22"/>
          <w:szCs w:val="22"/>
          <w:color w:val="auto"/>
        </w:rPr>
        <w:t>” and shall not be read in any way to limit the existing terms of the Agreement:</w:t>
      </w:r>
    </w:p>
    <w:p>
      <w:pPr>
        <w:spacing w:after="0" w:line="188"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1060" w:hanging="331"/>
        <w:spacing w:after="0"/>
        <w:tabs>
          <w:tab w:leader="none" w:pos="10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Subject to Section 2(a) of this Amendment, </w:t>
      </w:r>
      <w:r>
        <w:rPr>
          <w:rFonts w:ascii="Arial" w:cs="Arial" w:eastAsia="Arial" w:hAnsi="Arial"/>
          <w:sz w:val="22"/>
          <w:szCs w:val="22"/>
          <w:u w:val="single" w:color="auto"/>
          <w:color w:val="auto"/>
        </w:rPr>
        <w:t>Schedule 5.2 of the Agreement</w:t>
      </w:r>
      <w:r>
        <w:rPr>
          <w:rFonts w:ascii="Arial" w:cs="Arial" w:eastAsia="Arial" w:hAnsi="Arial"/>
          <w:sz w:val="22"/>
          <w:szCs w:val="22"/>
          <w:color w:val="auto"/>
        </w:rPr>
        <w:t>, “4. Year 2017” and “5. Year 2018,” are hereby superseded and replaced with the following [***] Co-Promote Fee applicable for performance in 2017 and 2018:</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200660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121" w:right="239" w:bottom="1440" w:gutter="0" w:footer="0" w:header="0"/>
        </w:sectPr>
      </w:pPr>
    </w:p>
    <w:bookmarkStart w:id="96" w:name="page97"/>
    <w:bookmarkEnd w:id="96"/>
    <w:p>
      <w:pPr>
        <w:ind w:left="-273" w:right="440" w:firstLine="273"/>
        <w:spacing w:after="0" w:line="261" w:lineRule="auto"/>
        <w:tabs>
          <w:tab w:leader="none" w:pos="428"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HAS BEEN OMITTED AND FOR WHICH CONFIDENTIAL TREATMENT HAS BEEN REQUESTED. ALL SUCH OMITTED MATERIAL HAS BEEN FILED WITH THE SECURITIES AND EXCHANGE COMMISSION</w:t>
      </w:r>
    </w:p>
    <w:p>
      <w:pPr>
        <w:ind w:left="247"/>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PURSUANT TO RULE 24b-2 PROMULGATED UNDER THE SECURITIES EXCHANGE ACT OF 1934, AS AMENDED</w:t>
      </w:r>
    </w:p>
    <w:p>
      <w:pPr>
        <w:spacing w:after="0" w:line="205" w:lineRule="exact"/>
        <w:rPr>
          <w:sz w:val="20"/>
          <w:szCs w:val="20"/>
          <w:color w:val="auto"/>
        </w:rPr>
      </w:pPr>
    </w:p>
    <w:tbl>
      <w:tblPr>
        <w:tblLayout w:type="fixed"/>
        <w:tblInd w:w="3407"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right w:val="single" w:sz="8" w:color="auto"/>
            </w:tcBorders>
          </w:tcPr>
          <w:p>
            <w:pPr>
              <w:spacing w:after="0"/>
              <w:rPr>
                <w:sz w:val="3"/>
                <w:szCs w:val="3"/>
                <w:color w:val="auto"/>
              </w:rPr>
            </w:pPr>
          </w:p>
        </w:tc>
      </w:tr>
      <w:tr>
        <w:trPr>
          <w:trHeight w:val="261"/>
        </w:trPr>
        <w:tc>
          <w:tcPr>
            <w:tcW w:w="40" w:type="dxa"/>
            <w:vAlign w:val="bottom"/>
            <w:tcBorders>
              <w:right w:val="single" w:sz="8" w:color="auto"/>
            </w:tcBorders>
            <w:shd w:val="clear" w:color="auto" w:fill="000000"/>
          </w:tcPr>
          <w:p>
            <w:pPr>
              <w:spacing w:after="0"/>
              <w:rPr>
                <w:sz w:val="22"/>
                <w:szCs w:val="22"/>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22"/>
                <w:szCs w:val="22"/>
                <w:b w:val="1"/>
                <w:bCs w:val="1"/>
                <w:color w:val="auto"/>
              </w:rPr>
              <w:t>Year 2017</w:t>
            </w:r>
          </w:p>
        </w:tc>
        <w:tc>
          <w:tcPr>
            <w:tcW w:w="128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18%</w:t>
            </w:r>
          </w:p>
        </w:tc>
      </w:tr>
      <w:tr>
        <w:trPr>
          <w:trHeight w:val="192"/>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880" w:type="dxa"/>
            <w:vAlign w:val="bottom"/>
            <w:tcBorders>
              <w:bottom w:val="single" w:sz="8" w:color="auto"/>
              <w:right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r>
      <w:tr>
        <w:trPr>
          <w:trHeight w:val="274"/>
        </w:trPr>
        <w:tc>
          <w:tcPr>
            <w:tcW w:w="40" w:type="dxa"/>
            <w:vAlign w:val="bottom"/>
            <w:tcBorders>
              <w:right w:val="single" w:sz="8" w:color="auto"/>
            </w:tcBorders>
            <w:shd w:val="clear" w:color="auto" w:fill="000000"/>
          </w:tcPr>
          <w:p>
            <w:pPr>
              <w:spacing w:after="0"/>
              <w:rPr>
                <w:sz w:val="23"/>
                <w:szCs w:val="23"/>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22"/>
                <w:szCs w:val="22"/>
                <w:b w:val="1"/>
                <w:bCs w:val="1"/>
                <w:color w:val="auto"/>
              </w:rPr>
              <w:t>Year 2018</w:t>
            </w:r>
          </w:p>
        </w:tc>
        <w:tc>
          <w:tcPr>
            <w:tcW w:w="128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w:t>
            </w:r>
          </w:p>
        </w:tc>
      </w:tr>
      <w:tr>
        <w:trPr>
          <w:trHeight w:val="192"/>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880" w:type="dxa"/>
            <w:vAlign w:val="bottom"/>
            <w:tcBorders>
              <w:bottom w:val="single" w:sz="8" w:color="auto"/>
              <w:right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787" w:hanging="331"/>
        <w:spacing w:after="0" w:line="251" w:lineRule="auto"/>
        <w:tabs>
          <w:tab w:leader="none" w:pos="787"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Section 5.3.1 of the Agreement</w:t>
      </w:r>
      <w:r>
        <w:rPr>
          <w:rFonts w:ascii="Arial" w:cs="Arial" w:eastAsia="Arial" w:hAnsi="Arial"/>
          <w:sz w:val="22"/>
          <w:szCs w:val="22"/>
          <w:color w:val="auto"/>
        </w:rPr>
        <w:t xml:space="preserve"> is hereby superseded and replaced with the following [***] Co-Promote Fee Tail Payment:</w:t>
      </w:r>
    </w:p>
    <w:p>
      <w:pPr>
        <w:spacing w:after="0" w:line="173" w:lineRule="exact"/>
        <w:rPr>
          <w:sz w:val="20"/>
          <w:szCs w:val="20"/>
          <w:color w:val="auto"/>
        </w:rPr>
      </w:pPr>
    </w:p>
    <w:p>
      <w:pPr>
        <w:jc w:val="both"/>
        <w:ind w:left="1587"/>
        <w:spacing w:after="0"/>
        <w:rPr>
          <w:sz w:val="20"/>
          <w:szCs w:val="20"/>
          <w:color w:val="auto"/>
        </w:rPr>
      </w:pPr>
      <w:r>
        <w:rPr>
          <w:rFonts w:ascii="Arial" w:cs="Arial" w:eastAsia="Arial" w:hAnsi="Arial"/>
          <w:sz w:val="22"/>
          <w:szCs w:val="22"/>
          <w:u w:val="single" w:color="auto"/>
          <w:color w:val="auto"/>
        </w:rPr>
        <w:t>Upon Expiration</w:t>
      </w:r>
      <w:r>
        <w:rPr>
          <w:rFonts w:ascii="Arial" w:cs="Arial" w:eastAsia="Arial" w:hAnsi="Arial"/>
          <w:sz w:val="22"/>
          <w:szCs w:val="22"/>
          <w:color w:val="auto"/>
        </w:rPr>
        <w:t>. In the event that this Agreement expires in accordance with Section 12.1, and subject to Section 2.2, then Amarin shall pay Kowa the following “</w:t>
      </w:r>
      <w:r>
        <w:rPr>
          <w:rFonts w:ascii="Arial" w:cs="Arial" w:eastAsia="Arial" w:hAnsi="Arial"/>
          <w:sz w:val="22"/>
          <w:szCs w:val="22"/>
          <w:b w:val="1"/>
          <w:bCs w:val="1"/>
          <w:color w:val="auto"/>
        </w:rPr>
        <w:t>Co-Promote Fee Tail Payment</w:t>
      </w:r>
      <w:r>
        <w:rPr>
          <w:rFonts w:ascii="Arial" w:cs="Arial" w:eastAsia="Arial" w:hAnsi="Arial"/>
          <w:sz w:val="22"/>
          <w:szCs w:val="22"/>
          <w:color w:val="auto"/>
        </w:rPr>
        <w:t>” in accordance with Section 13.5(a):</w:t>
      </w:r>
    </w:p>
    <w:p>
      <w:pPr>
        <w:spacing w:after="0" w:line="188" w:lineRule="exact"/>
        <w:rPr>
          <w:sz w:val="20"/>
          <w:szCs w:val="20"/>
          <w:color w:val="auto"/>
        </w:rPr>
      </w:pPr>
    </w:p>
    <w:tbl>
      <w:tblPr>
        <w:tblLayout w:type="fixed"/>
        <w:tblInd w:w="1037" w:type="dxa"/>
        <w:tblCellMar>
          <w:top w:w="0" w:type="dxa"/>
          <w:left w:w="0" w:type="dxa"/>
          <w:bottom w:w="0" w:type="dxa"/>
          <w:right w:w="0" w:type="dxa"/>
        </w:tblCellMar>
      </w:tblPr>
      <w:tr>
        <w:trPr>
          <w:trHeight w:val="40"/>
        </w:trPr>
        <w:tc>
          <w:tcPr>
            <w:tcW w:w="3060" w:type="dxa"/>
            <w:vAlign w:val="bottom"/>
            <w:tcBorders>
              <w:top w:val="single" w:sz="8" w:color="auto"/>
              <w:left w:val="single" w:sz="8" w:color="auto"/>
              <w:bottom w:val="single" w:sz="8" w:color="auto"/>
            </w:tcBorders>
          </w:tcPr>
          <w:p>
            <w:pPr>
              <w:spacing w:after="0"/>
              <w:rPr>
                <w:sz w:val="3"/>
                <w:szCs w:val="3"/>
                <w:color w:val="auto"/>
              </w:rPr>
            </w:pPr>
          </w:p>
        </w:tc>
        <w:tc>
          <w:tcPr>
            <w:tcW w:w="4900" w:type="dxa"/>
            <w:vAlign w:val="bottom"/>
            <w:tcBorders>
              <w:top w:val="single" w:sz="8" w:color="auto"/>
              <w:bottom w:val="single" w:sz="8" w:color="auto"/>
              <w:right w:val="single" w:sz="8" w:color="auto"/>
            </w:tcBorders>
          </w:tcPr>
          <w:p>
            <w:pPr>
              <w:spacing w:after="0"/>
              <w:rPr>
                <w:sz w:val="3"/>
                <w:szCs w:val="3"/>
                <w:color w:val="auto"/>
              </w:rPr>
            </w:pPr>
          </w:p>
        </w:tc>
      </w:tr>
      <w:tr>
        <w:trPr>
          <w:trHeight w:val="261"/>
        </w:trPr>
        <w:tc>
          <w:tcPr>
            <w:tcW w:w="306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22"/>
                <w:szCs w:val="22"/>
                <w:b w:val="1"/>
                <w:bCs w:val="1"/>
                <w:color w:val="auto"/>
              </w:rPr>
              <w:t>Relevant Period</w:t>
            </w:r>
          </w:p>
        </w:tc>
        <w:tc>
          <w:tcPr>
            <w:tcW w:w="4900" w:type="dxa"/>
            <w:vAlign w:val="bottom"/>
            <w:tcBorders>
              <w:right w:val="single" w:sz="8" w:color="auto"/>
            </w:tcBorders>
          </w:tcPr>
          <w:p>
            <w:pPr>
              <w:ind w:left="1140"/>
              <w:spacing w:after="0"/>
              <w:rPr>
                <w:sz w:val="20"/>
                <w:szCs w:val="20"/>
                <w:color w:val="auto"/>
              </w:rPr>
            </w:pPr>
            <w:r>
              <w:rPr>
                <w:rFonts w:ascii="Arial" w:cs="Arial" w:eastAsia="Arial" w:hAnsi="Arial"/>
                <w:sz w:val="22"/>
                <w:szCs w:val="22"/>
                <w:b w:val="1"/>
                <w:bCs w:val="1"/>
                <w:color w:val="auto"/>
              </w:rPr>
              <w:t>co-promote fee tail payment</w:t>
            </w:r>
          </w:p>
        </w:tc>
      </w:tr>
      <w:tr>
        <w:trPr>
          <w:trHeight w:val="192"/>
        </w:trPr>
        <w:tc>
          <w:tcPr>
            <w:tcW w:w="3060" w:type="dxa"/>
            <w:vAlign w:val="bottom"/>
            <w:tcBorders>
              <w:left w:val="single" w:sz="8" w:color="auto"/>
              <w:bottom w:val="single" w:sz="8" w:color="auto"/>
              <w:right w:val="single" w:sz="8" w:color="auto"/>
            </w:tcBorders>
          </w:tcPr>
          <w:p>
            <w:pPr>
              <w:spacing w:after="0"/>
              <w:rPr>
                <w:sz w:val="16"/>
                <w:szCs w:val="16"/>
                <w:color w:val="auto"/>
              </w:rPr>
            </w:pPr>
          </w:p>
        </w:tc>
        <w:tc>
          <w:tcPr>
            <w:tcW w:w="4900" w:type="dxa"/>
            <w:vAlign w:val="bottom"/>
            <w:tcBorders>
              <w:bottom w:val="single" w:sz="8" w:color="auto"/>
              <w:right w:val="single" w:sz="8" w:color="auto"/>
            </w:tcBorders>
          </w:tcPr>
          <w:p>
            <w:pPr>
              <w:spacing w:after="0"/>
              <w:rPr>
                <w:sz w:val="16"/>
                <w:szCs w:val="16"/>
                <w:color w:val="auto"/>
              </w:rPr>
            </w:pPr>
          </w:p>
        </w:tc>
      </w:tr>
      <w:tr>
        <w:trPr>
          <w:trHeight w:val="209"/>
        </w:trPr>
        <w:tc>
          <w:tcPr>
            <w:tcW w:w="3060" w:type="dxa"/>
            <w:vAlign w:val="bottom"/>
            <w:tcBorders>
              <w:left w:val="single" w:sz="8" w:color="auto"/>
              <w:right w:val="single" w:sz="8" w:color="auto"/>
            </w:tcBorders>
          </w:tcPr>
          <w:p>
            <w:pPr>
              <w:ind w:left="40"/>
              <w:spacing w:after="0" w:line="209" w:lineRule="exact"/>
              <w:rPr>
                <w:sz w:val="20"/>
                <w:szCs w:val="20"/>
                <w:color w:val="auto"/>
              </w:rPr>
            </w:pPr>
            <w:r>
              <w:rPr>
                <w:rFonts w:ascii="Arial" w:cs="Arial" w:eastAsia="Arial" w:hAnsi="Arial"/>
                <w:sz w:val="22"/>
                <w:szCs w:val="22"/>
                <w:b w:val="1"/>
                <w:bCs w:val="1"/>
                <w:color w:val="auto"/>
              </w:rPr>
              <w:t>First 12 months after</w:t>
            </w:r>
          </w:p>
        </w:tc>
        <w:tc>
          <w:tcPr>
            <w:tcW w:w="4900" w:type="dxa"/>
            <w:vAlign w:val="bottom"/>
            <w:tcBorders>
              <w:right w:val="single" w:sz="8" w:color="auto"/>
            </w:tcBorders>
          </w:tcPr>
          <w:p>
            <w:pPr>
              <w:spacing w:after="0" w:line="209" w:lineRule="exact"/>
              <w:rPr>
                <w:sz w:val="20"/>
                <w:szCs w:val="20"/>
                <w:color w:val="auto"/>
              </w:rPr>
            </w:pPr>
            <w:r>
              <w:rPr>
                <w:rFonts w:ascii="Arial" w:cs="Arial" w:eastAsia="Arial" w:hAnsi="Arial"/>
                <w:sz w:val="22"/>
                <w:szCs w:val="22"/>
                <w:color w:val="auto"/>
                <w:w w:val="92"/>
              </w:rPr>
              <w:t>[***]% of the Co-Promote Fee paid to Kowa during the</w:t>
            </w:r>
          </w:p>
        </w:tc>
      </w:tr>
      <w:tr>
        <w:trPr>
          <w:trHeight w:val="271"/>
        </w:trPr>
        <w:tc>
          <w:tcPr>
            <w:tcW w:w="3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expiration:</w:t>
            </w:r>
          </w:p>
        </w:tc>
        <w:tc>
          <w:tcPr>
            <w:tcW w:w="4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last Year of the Term</w:t>
            </w:r>
          </w:p>
        </w:tc>
      </w:tr>
      <w:tr>
        <w:trPr>
          <w:trHeight w:val="209"/>
        </w:trPr>
        <w:tc>
          <w:tcPr>
            <w:tcW w:w="3060" w:type="dxa"/>
            <w:vAlign w:val="bottom"/>
            <w:tcBorders>
              <w:left w:val="single" w:sz="8" w:color="auto"/>
              <w:right w:val="single" w:sz="8" w:color="auto"/>
            </w:tcBorders>
          </w:tcPr>
          <w:p>
            <w:pPr>
              <w:ind w:left="40"/>
              <w:spacing w:after="0" w:line="209" w:lineRule="exact"/>
              <w:rPr>
                <w:sz w:val="20"/>
                <w:szCs w:val="20"/>
                <w:color w:val="auto"/>
              </w:rPr>
            </w:pPr>
            <w:r>
              <w:rPr>
                <w:rFonts w:ascii="Arial" w:cs="Arial" w:eastAsia="Arial" w:hAnsi="Arial"/>
                <w:sz w:val="22"/>
                <w:szCs w:val="22"/>
                <w:b w:val="1"/>
                <w:bCs w:val="1"/>
                <w:color w:val="auto"/>
              </w:rPr>
              <w:t>Second 12 months after</w:t>
            </w:r>
          </w:p>
        </w:tc>
        <w:tc>
          <w:tcPr>
            <w:tcW w:w="4900" w:type="dxa"/>
            <w:vAlign w:val="bottom"/>
            <w:tcBorders>
              <w:right w:val="single" w:sz="8" w:color="auto"/>
            </w:tcBorders>
          </w:tcPr>
          <w:p>
            <w:pPr>
              <w:spacing w:after="0" w:line="209" w:lineRule="exact"/>
              <w:rPr>
                <w:sz w:val="20"/>
                <w:szCs w:val="20"/>
                <w:color w:val="auto"/>
              </w:rPr>
            </w:pPr>
            <w:r>
              <w:rPr>
                <w:rFonts w:ascii="Arial" w:cs="Arial" w:eastAsia="Arial" w:hAnsi="Arial"/>
                <w:sz w:val="22"/>
                <w:szCs w:val="22"/>
                <w:color w:val="auto"/>
                <w:w w:val="92"/>
              </w:rPr>
              <w:t>[***]% of the Co-Promote Fee paid to Kowa during the</w:t>
            </w:r>
          </w:p>
        </w:tc>
      </w:tr>
      <w:tr>
        <w:trPr>
          <w:trHeight w:val="271"/>
        </w:trPr>
        <w:tc>
          <w:tcPr>
            <w:tcW w:w="3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expiration:</w:t>
            </w:r>
          </w:p>
        </w:tc>
        <w:tc>
          <w:tcPr>
            <w:tcW w:w="4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last Year of the Term</w:t>
            </w:r>
          </w:p>
        </w:tc>
      </w:tr>
      <w:tr>
        <w:trPr>
          <w:trHeight w:val="209"/>
        </w:trPr>
        <w:tc>
          <w:tcPr>
            <w:tcW w:w="3060" w:type="dxa"/>
            <w:vAlign w:val="bottom"/>
            <w:tcBorders>
              <w:left w:val="single" w:sz="8" w:color="auto"/>
              <w:right w:val="single" w:sz="8" w:color="auto"/>
            </w:tcBorders>
          </w:tcPr>
          <w:p>
            <w:pPr>
              <w:ind w:left="40"/>
              <w:spacing w:after="0" w:line="209" w:lineRule="exact"/>
              <w:rPr>
                <w:sz w:val="20"/>
                <w:szCs w:val="20"/>
                <w:color w:val="auto"/>
              </w:rPr>
            </w:pPr>
            <w:r>
              <w:rPr>
                <w:rFonts w:ascii="Arial" w:cs="Arial" w:eastAsia="Arial" w:hAnsi="Arial"/>
                <w:sz w:val="22"/>
                <w:szCs w:val="22"/>
                <w:b w:val="1"/>
                <w:bCs w:val="1"/>
                <w:color w:val="auto"/>
              </w:rPr>
              <w:t>Third 12 months after</w:t>
            </w:r>
          </w:p>
        </w:tc>
        <w:tc>
          <w:tcPr>
            <w:tcW w:w="4900" w:type="dxa"/>
            <w:vAlign w:val="bottom"/>
            <w:tcBorders>
              <w:right w:val="single" w:sz="8" w:color="auto"/>
            </w:tcBorders>
          </w:tcPr>
          <w:p>
            <w:pPr>
              <w:spacing w:after="0" w:line="209" w:lineRule="exact"/>
              <w:rPr>
                <w:sz w:val="20"/>
                <w:szCs w:val="20"/>
                <w:color w:val="auto"/>
              </w:rPr>
            </w:pPr>
            <w:r>
              <w:rPr>
                <w:rFonts w:ascii="Arial" w:cs="Arial" w:eastAsia="Arial" w:hAnsi="Arial"/>
                <w:sz w:val="22"/>
                <w:szCs w:val="22"/>
                <w:color w:val="auto"/>
                <w:w w:val="92"/>
              </w:rPr>
              <w:t>[***]% of the Co-Promote Fee paid to Kowa during the</w:t>
            </w:r>
          </w:p>
        </w:tc>
      </w:tr>
      <w:tr>
        <w:trPr>
          <w:trHeight w:val="271"/>
        </w:trPr>
        <w:tc>
          <w:tcPr>
            <w:tcW w:w="3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expiration:</w:t>
            </w:r>
          </w:p>
        </w:tc>
        <w:tc>
          <w:tcPr>
            <w:tcW w:w="4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last Year of the Term</w:t>
            </w:r>
          </w:p>
        </w:tc>
      </w:tr>
      <w:tr>
        <w:trPr>
          <w:trHeight w:val="20"/>
        </w:trPr>
        <w:tc>
          <w:tcPr>
            <w:tcW w:w="3060" w:type="dxa"/>
            <w:vAlign w:val="bottom"/>
            <w:tcBorders>
              <w:left w:val="single" w:sz="8" w:color="auto"/>
              <w:bottom w:val="single" w:sz="8" w:color="auto"/>
            </w:tcBorders>
          </w:tcPr>
          <w:p>
            <w:pPr>
              <w:spacing w:after="0" w:line="20" w:lineRule="exact"/>
              <w:rPr>
                <w:sz w:val="1"/>
                <w:szCs w:val="1"/>
                <w:color w:val="auto"/>
              </w:rPr>
            </w:pPr>
          </w:p>
        </w:tc>
        <w:tc>
          <w:tcPr>
            <w:tcW w:w="4900" w:type="dxa"/>
            <w:vAlign w:val="bottom"/>
            <w:tcBorders>
              <w:bottom w:val="single" w:sz="8" w:color="auto"/>
              <w:right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787" w:hanging="331"/>
        <w:spacing w:after="0"/>
        <w:tabs>
          <w:tab w:leader="none" w:pos="787"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Section 7.5 of the Agreement</w:t>
      </w:r>
      <w:r>
        <w:rPr>
          <w:rFonts w:ascii="Arial" w:cs="Arial" w:eastAsia="Arial" w:hAnsi="Arial"/>
          <w:sz w:val="19"/>
          <w:szCs w:val="19"/>
          <w:color w:val="auto"/>
        </w:rPr>
        <w:t xml:space="preserve"> is hereby amended to include the following, which shall be referred to as “</w:t>
      </w:r>
      <w:r>
        <w:rPr>
          <w:rFonts w:ascii="Arial" w:cs="Arial" w:eastAsia="Arial" w:hAnsi="Arial"/>
          <w:sz w:val="19"/>
          <w:szCs w:val="19"/>
          <w:u w:val="single" w:color="auto"/>
          <w:color w:val="auto"/>
        </w:rPr>
        <w:t>Section</w:t>
      </w:r>
    </w:p>
    <w:p>
      <w:pPr>
        <w:spacing w:after="0" w:line="42" w:lineRule="exact"/>
        <w:rPr>
          <w:rFonts w:ascii="Arial" w:cs="Arial" w:eastAsia="Arial" w:hAnsi="Arial"/>
          <w:sz w:val="19"/>
          <w:szCs w:val="19"/>
          <w:color w:val="auto"/>
        </w:rPr>
      </w:pPr>
    </w:p>
    <w:p>
      <w:pPr>
        <w:ind w:left="787"/>
        <w:spacing w:after="0"/>
        <w:rPr>
          <w:rFonts w:ascii="Arial" w:cs="Arial" w:eastAsia="Arial" w:hAnsi="Arial"/>
          <w:sz w:val="19"/>
          <w:szCs w:val="19"/>
          <w:color w:val="auto"/>
        </w:rPr>
      </w:pPr>
      <w:r>
        <w:rPr>
          <w:rFonts w:ascii="Arial" w:cs="Arial" w:eastAsia="Arial" w:hAnsi="Arial"/>
          <w:sz w:val="22"/>
          <w:szCs w:val="22"/>
          <w:u w:val="single" w:color="auto"/>
          <w:color w:val="auto"/>
        </w:rPr>
        <w:t>7.5.7</w:t>
      </w:r>
      <w:r>
        <w:rPr>
          <w:rFonts w:ascii="Arial" w:cs="Arial" w:eastAsia="Arial" w:hAnsi="Arial"/>
          <w:sz w:val="22"/>
          <w:szCs w:val="22"/>
          <w:color w:val="auto"/>
        </w:rPr>
        <w:t>” and shall not be read in any way to limit the existing terms of the Agreement:</w:t>
      </w:r>
    </w:p>
    <w:p>
      <w:pPr>
        <w:spacing w:after="0" w:line="188" w:lineRule="exact"/>
        <w:rPr>
          <w:sz w:val="20"/>
          <w:szCs w:val="20"/>
          <w:color w:val="auto"/>
        </w:rPr>
      </w:pPr>
    </w:p>
    <w:p>
      <w:pPr>
        <w:ind w:left="1467"/>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713" w:firstLine="769"/>
        <w:spacing w:after="0" w:line="235" w:lineRule="auto"/>
        <w:tabs>
          <w:tab w:leader="none" w:pos="1183"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Effect on the Agreement</w:t>
      </w:r>
      <w:r>
        <w:rPr>
          <w:rFonts w:ascii="Arial" w:cs="Arial" w:eastAsia="Arial" w:hAnsi="Arial"/>
          <w:sz w:val="22"/>
          <w:szCs w:val="22"/>
          <w:color w:val="auto"/>
        </w:rPr>
        <w:t>. On and after the date hereof, each reference in the Agreement to “this Agreement”, “herein”, “hereof”, “hereunder” or words of similar import shall mean and be a reference to the Agreement as amended hereby. Except as expressly modified and amended by this Amendment, all terms, covenants and conditions of the Agreement shall remain in full force and effect in accordance with their terms, and the Agreement, as amended by this Amendment, is hereby ratified and confirmed in all respects. This Amendment shall supersede all previous writings and understandings between or among the parties.</w:t>
      </w:r>
    </w:p>
    <w:p>
      <w:pPr>
        <w:spacing w:after="0" w:line="188" w:lineRule="exact"/>
        <w:rPr>
          <w:rFonts w:ascii="Arial" w:cs="Arial" w:eastAsia="Arial" w:hAnsi="Arial"/>
          <w:sz w:val="22"/>
          <w:szCs w:val="22"/>
          <w:color w:val="auto"/>
        </w:rPr>
      </w:pPr>
    </w:p>
    <w:p>
      <w:pPr>
        <w:jc w:val="both"/>
        <w:ind w:left="-713" w:firstLine="769"/>
        <w:spacing w:after="0" w:line="238" w:lineRule="auto"/>
        <w:tabs>
          <w:tab w:leader="none" w:pos="1183"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Governing Law; Arbitration</w:t>
      </w:r>
      <w:r>
        <w:rPr>
          <w:rFonts w:ascii="Arial" w:cs="Arial" w:eastAsia="Arial" w:hAnsi="Arial"/>
          <w:sz w:val="22"/>
          <w:szCs w:val="22"/>
          <w:color w:val="auto"/>
        </w:rPr>
        <w:t xml:space="preserve">. This Amendment will be subject to all terms and provisions of the Agreement, including, without limitation, Section 14 (Governing Law; Dispute Resolution; and Arbitration) of the Agreement as if fully set forth in this Amendment,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Section 14.2.2 shall not apply to any dispute between the Parties under Section 3(b) or 3(j) of this Amendment.</w:t>
      </w:r>
    </w:p>
    <w:p>
      <w:pPr>
        <w:spacing w:after="0" w:line="185" w:lineRule="exact"/>
        <w:rPr>
          <w:rFonts w:ascii="Arial" w:cs="Arial" w:eastAsia="Arial" w:hAnsi="Arial"/>
          <w:sz w:val="22"/>
          <w:szCs w:val="22"/>
          <w:color w:val="auto"/>
        </w:rPr>
      </w:pPr>
    </w:p>
    <w:p>
      <w:pPr>
        <w:jc w:val="both"/>
        <w:ind w:left="-713" w:firstLine="769"/>
        <w:spacing w:after="0" w:line="282" w:lineRule="auto"/>
        <w:tabs>
          <w:tab w:leader="none" w:pos="1183"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simultaneously in any number of counterparts, any one of which need not contain the signature of more than one Party, but all such counterparts taken together shall constitute one and the same instrument. This Amendment may be executed and delivered by facsimile or electronic mail transmission, and such transmission shall constitute an original. Each Party shall execute, acknowledge and deliver such further instruments, and do such other acts, as may be necessary or appropriate in order to carry out the purposes and intent of this Amendment.</w:t>
      </w:r>
    </w:p>
    <w:p>
      <w:pPr>
        <w:spacing w:after="0" w:line="148" w:lineRule="exact"/>
        <w:rPr>
          <w:sz w:val="20"/>
          <w:szCs w:val="20"/>
          <w:color w:val="auto"/>
        </w:rPr>
      </w:pPr>
    </w:p>
    <w:p>
      <w:pPr>
        <w:ind w:left="10607"/>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236855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07"/>
          </w:cols>
          <w:pgMar w:left="953" w:top="121" w:right="239" w:bottom="1440" w:gutter="0" w:footer="0" w:header="0"/>
        </w:sectPr>
      </w:pPr>
    </w:p>
    <w:bookmarkStart w:id="97" w:name="page98"/>
    <w:bookmarkEnd w:id="97"/>
    <w:p>
      <w:pPr>
        <w:ind w:right="440" w:firstLine="273"/>
        <w:spacing w:after="0" w:line="261" w:lineRule="auto"/>
        <w:tabs>
          <w:tab w:leader="none" w:pos="7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HAS BEEN OMITTED AND FOR WHICH CONFIDENTIAL TREATMENT HAS BEEN REQUESTED. ALL SUCH OMITTED MATERIAL HAS BEEN FILED WITH THE SECURITIES AND EXCHANGE COMMISSION</w:t>
      </w: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PURSUANT TO RULE 24b-2 PROMULGATED UNDER THE SECURITIES EXCHANGE ACT OF 1934, AS AMENDED</w:t>
      </w:r>
    </w:p>
    <w:p>
      <w:pPr>
        <w:spacing w:after="0" w:line="198" w:lineRule="exact"/>
        <w:rPr>
          <w:sz w:val="20"/>
          <w:szCs w:val="20"/>
          <w:color w:val="auto"/>
        </w:rPr>
      </w:pPr>
    </w:p>
    <w:p>
      <w:pPr>
        <w:ind w:left="3700"/>
        <w:spacing w:after="0"/>
        <w:tabs>
          <w:tab w:leader="none" w:pos="4440" w:val="left"/>
          <w:tab w:leader="none" w:pos="5200" w:val="left"/>
          <w:tab w:leader="none" w:pos="5960" w:val="left"/>
          <w:tab w:leader="none" w:pos="6720" w:val="left"/>
        </w:tabs>
        <w:rPr>
          <w:sz w:val="20"/>
          <w:szCs w:val="20"/>
          <w:color w:val="auto"/>
        </w:rPr>
      </w:pP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w:t>
      </w:r>
    </w:p>
    <w:p>
      <w:pPr>
        <w:spacing w:after="0" w:line="212" w:lineRule="exact"/>
        <w:rPr>
          <w:sz w:val="20"/>
          <w:szCs w:val="20"/>
          <w:color w:val="auto"/>
        </w:rPr>
      </w:pPr>
    </w:p>
    <w:p>
      <w:pPr>
        <w:ind w:left="2300"/>
        <w:spacing w:after="0"/>
        <w:rPr>
          <w:sz w:val="20"/>
          <w:szCs w:val="20"/>
          <w:color w:val="auto"/>
        </w:rPr>
      </w:pPr>
      <w:r>
        <w:rPr>
          <w:rFonts w:ascii="Arial" w:cs="Arial" w:eastAsia="Arial" w:hAnsi="Arial"/>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200660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121" w:right="239" w:bottom="1440" w:gutter="0" w:footer="0" w:header="0"/>
        </w:sectPr>
      </w:pPr>
    </w:p>
    <w:bookmarkStart w:id="98" w:name="page99"/>
    <w:bookmarkEnd w:id="98"/>
    <w:p>
      <w:pPr>
        <w:ind w:left="440" w:right="440" w:firstLine="273"/>
        <w:spacing w:after="0" w:line="261" w:lineRule="auto"/>
        <w:tabs>
          <w:tab w:leader="none" w:pos="11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HAS BEEN OMITTED AND FOR WHICH CONFIDENTIAL TREATMENT HAS BEEN REQUESTED. ALL SUCH OMITTED MATERIAL HAS BEEN FILED WITH THE SECURITIES AND EXCHANGE COMMISSION</w:t>
      </w:r>
    </w:p>
    <w:p>
      <w:pPr>
        <w:ind w:left="9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PURSUANT TO RULE 24b-2 PROMULGATED UNDER THE SECURITIES EXCHANGE ACT OF 1934, AS AMENDED</w:t>
      </w:r>
    </w:p>
    <w:p>
      <w:pPr>
        <w:spacing w:after="0" w:line="200" w:lineRule="exact"/>
        <w:rPr>
          <w:sz w:val="20"/>
          <w:szCs w:val="20"/>
          <w:color w:val="auto"/>
        </w:rPr>
      </w:pPr>
    </w:p>
    <w:p>
      <w:pPr>
        <w:spacing w:after="0" w:line="220"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IN WITNESS WHEREOF, each Party has caused this Amendment to be executed by its duly authorized representative as of the day and year first above written.</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KOWA PHARMACEUTICALS AMERICA, INC.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By: /s/ Ben Stakely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 Ben Stakely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AMARIN PHARMA, INC.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By: /s/ John Thero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 John Thero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AMARIN PHARMACEUTICALS IRELAND LIMITED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By: /s/ Patrick O’Sullivan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 Patrick O’Sullivan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1615440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ind w:firstLine="273"/>
        <w:spacing w:after="0" w:line="261" w:lineRule="auto"/>
        <w:tabs>
          <w:tab w:leader="none" w:pos="7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HAS BEEN OMITTED AND FOR WHICH CONFIDENTIAL TREATMENT HAS BEEN REQUESTED. ALL SUCH OMITTED MATERIAL HAS BEEN FILED WITH THE SECURITIES AND EXCHANGE COMMISSION</w:t>
      </w: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PURSUANT TO RULE 24b-2 PROMULGATED UNDER THE SECURITIES EXCHANGE ACT OF 1934, AS AMENDED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431800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680" w:top="121" w:right="679" w:bottom="1440" w:gutter="0" w:footer="0" w:header="0"/>
        </w:sectPr>
      </w:pPr>
    </w:p>
    <w:bookmarkStart w:id="100" w:name="page101"/>
    <w:bookmarkEnd w:id="100"/>
    <w:p>
      <w:pPr>
        <w:ind w:firstLine="273"/>
        <w:spacing w:after="0" w:line="261" w:lineRule="auto"/>
        <w:tabs>
          <w:tab w:leader="none" w:pos="7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HAS BEEN OMITTED AND FOR WHICH CONFIDENTIAL TREATMENT HAS BEEN REQUESTED. ALL SUCH OMITTED MATERIAL HAS BEEN FILED WITH THE SECURITIES AND EXCHANGE COMMISSION</w:t>
      </w: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PURSUANT TO RULE 24b-2 PROMULGATED UNDER THE SECURITIES EXCHANGE ACT OF 1934, AS AMENDED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540"/>
          </w:cols>
          <w:pgMar w:left="680" w:top="121" w:right="67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117"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 August 2, 2017</w:t>
            </w:r>
          </w:p>
        </w:tc>
        <w:tc>
          <w:tcPr>
            <w:tcW w:w="560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/s/  John F. Thero</w:t>
            </w:r>
          </w:p>
        </w:tc>
      </w:tr>
      <w:tr>
        <w:trPr>
          <w:trHeight w:val="195"/>
        </w:trPr>
        <w:tc>
          <w:tcPr>
            <w:tcW w:w="5820" w:type="dxa"/>
            <w:vAlign w:val="bottom"/>
          </w:tcPr>
          <w:p>
            <w:pPr>
              <w:spacing w:after="0"/>
              <w:rPr>
                <w:sz w:val="16"/>
                <w:szCs w:val="16"/>
                <w:color w:val="auto"/>
              </w:rPr>
            </w:pPr>
          </w:p>
        </w:tc>
        <w:tc>
          <w:tcPr>
            <w:tcW w:w="5600" w:type="dxa"/>
            <w:vAlign w:val="bottom"/>
          </w:tcPr>
          <w:p>
            <w:pPr>
              <w:jc w:val="center"/>
              <w:spacing w:after="0" w:line="195" w:lineRule="exact"/>
              <w:rPr>
                <w:sz w:val="20"/>
                <w:szCs w:val="20"/>
                <w:color w:val="auto"/>
              </w:rPr>
            </w:pPr>
            <w:r>
              <w:rPr>
                <w:rFonts w:ascii="Arial" w:cs="Arial" w:eastAsia="Arial" w:hAnsi="Arial"/>
                <w:sz w:val="18"/>
                <w:szCs w:val="18"/>
                <w:color w:val="auto"/>
                <w:w w:val="89"/>
              </w:rPr>
              <w:t>John F. Thero</w:t>
            </w:r>
          </w:p>
        </w:tc>
      </w:tr>
      <w:tr>
        <w:trPr>
          <w:trHeight w:val="216"/>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58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420"/>
          </w:cols>
          <w:pgMar w:left="240" w:top="12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W. Kalb, certify that:</w:t>
      </w:r>
    </w:p>
    <w:p>
      <w:pPr>
        <w:spacing w:after="0" w:line="117" w:lineRule="exact"/>
        <w:rPr>
          <w:sz w:val="20"/>
          <w:szCs w:val="20"/>
          <w:color w:val="auto"/>
        </w:rPr>
      </w:pPr>
    </w:p>
    <w:p>
      <w:pPr>
        <w:ind w:left="520" w:hanging="512"/>
        <w:spacing w:after="0"/>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 August 2, 2017</w:t>
            </w: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W. Kalb</w:t>
            </w:r>
          </w:p>
        </w:tc>
      </w:tr>
      <w:tr>
        <w:trPr>
          <w:trHeight w:val="195"/>
        </w:trPr>
        <w:tc>
          <w:tcPr>
            <w:tcW w:w="5820" w:type="dxa"/>
            <w:vAlign w:val="bottom"/>
          </w:tcPr>
          <w:p>
            <w:pPr>
              <w:spacing w:after="0"/>
              <w:rPr>
                <w:sz w:val="16"/>
                <w:szCs w:val="16"/>
                <w:color w:val="auto"/>
              </w:rPr>
            </w:pPr>
          </w:p>
        </w:tc>
        <w:tc>
          <w:tcPr>
            <w:tcW w:w="5600" w:type="dxa"/>
            <w:vAlign w:val="bottom"/>
          </w:tcPr>
          <w:p>
            <w:pPr>
              <w:jc w:val="center"/>
              <w:spacing w:after="0" w:line="195" w:lineRule="exact"/>
              <w:rPr>
                <w:sz w:val="20"/>
                <w:szCs w:val="20"/>
                <w:color w:val="auto"/>
              </w:rPr>
            </w:pPr>
            <w:r>
              <w:rPr>
                <w:rFonts w:ascii="Arial" w:cs="Arial" w:eastAsia="Arial" w:hAnsi="Arial"/>
                <w:sz w:val="18"/>
                <w:szCs w:val="18"/>
                <w:color w:val="auto"/>
                <w:w w:val="93"/>
              </w:rPr>
              <w:t>Michael W. Kalb</w:t>
            </w:r>
          </w:p>
        </w:tc>
      </w:tr>
      <w:tr>
        <w:trPr>
          <w:trHeight w:val="216"/>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58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11420"/>
          </w:cols>
          <w:pgMar w:left="240" w:top="12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and Section 1350 of Chapter 63 of Title 18 of the United States Code (18 U.S.C. §1350), John F. Thero,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79" w:lineRule="exact"/>
        <w:rPr>
          <w:sz w:val="20"/>
          <w:szCs w:val="20"/>
          <w:color w:val="auto"/>
        </w:rPr>
      </w:pPr>
    </w:p>
    <w:p>
      <w:pPr>
        <w:ind w:left="520" w:right="620" w:hanging="512"/>
        <w:spacing w:after="0" w:line="308" w:lineRule="auto"/>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2017, to which this Certification is attached as Exhibit 32.1 (the “Quarterly Report”) fully complies with the requirements of Section 13(a) or 15(d) of the Securities Exchange Act of 1934; and</w:t>
      </w:r>
    </w:p>
    <w:p>
      <w:pPr>
        <w:spacing w:after="0" w:line="38" w:lineRule="exact"/>
        <w:rPr>
          <w:rFonts w:ascii="Arial" w:cs="Arial" w:eastAsia="Arial" w:hAnsi="Arial"/>
          <w:sz w:val="17"/>
          <w:szCs w:val="17"/>
          <w:color w:val="auto"/>
        </w:rPr>
      </w:pPr>
    </w:p>
    <w:p>
      <w:pPr>
        <w:ind w:left="520" w:right="500" w:hanging="512"/>
        <w:spacing w:after="0" w:line="277"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vMerge w:val="restart"/>
          </w:tcPr>
          <w:p>
            <w:pPr>
              <w:spacing w:after="0"/>
              <w:rPr>
                <w:sz w:val="20"/>
                <w:szCs w:val="20"/>
                <w:color w:val="auto"/>
              </w:rPr>
            </w:pPr>
            <w:r>
              <w:rPr>
                <w:rFonts w:ascii="Arial" w:cs="Arial" w:eastAsia="Arial" w:hAnsi="Arial"/>
                <w:sz w:val="18"/>
                <w:szCs w:val="18"/>
                <w:color w:val="auto"/>
              </w:rPr>
              <w:t>Date: August 2, 2017</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John F. Thero</w:t>
            </w:r>
          </w:p>
        </w:tc>
        <w:tc>
          <w:tcPr>
            <w:tcW w:w="0" w:type="dxa"/>
            <w:vAlign w:val="bottom"/>
          </w:tcPr>
          <w:p>
            <w:pPr>
              <w:spacing w:after="0"/>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John F. Thero</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5820" w:type="dxa"/>
            <w:vAlign w:val="bottom"/>
            <w:vMerge w:val="restart"/>
          </w:tcPr>
          <w:p>
            <w:pPr>
              <w:spacing w:after="0"/>
              <w:rPr>
                <w:sz w:val="20"/>
                <w:szCs w:val="20"/>
                <w:color w:val="auto"/>
              </w:rPr>
            </w:pPr>
            <w:r>
              <w:rPr>
                <w:rFonts w:ascii="Arial" w:cs="Arial" w:eastAsia="Arial" w:hAnsi="Arial"/>
                <w:sz w:val="18"/>
                <w:szCs w:val="18"/>
                <w:color w:val="auto"/>
              </w:rPr>
              <w:t>Date: August 2, 2017</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Michael W. Kalb</w:t>
            </w:r>
          </w:p>
        </w:tc>
        <w:tc>
          <w:tcPr>
            <w:tcW w:w="0" w:type="dxa"/>
            <w:vAlign w:val="bottom"/>
          </w:tcPr>
          <w:p>
            <w:pPr>
              <w:spacing w:after="0"/>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Michael W. Kalb</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decimal"/>
      <w:start w:val="1"/>
    </w:lvl>
  </w:abstractNum>
  <w:abstractNum w:abstractNumId="3">
    <w:nsid w:val="2D517796"/>
    <w:multiLevelType w:val="hybridMultilevel"/>
    <w:lvl w:ilvl="0">
      <w:lvlJc w:val="left"/>
      <w:lvlText w:val="(%1)"/>
      <w:numFmt w:val="decimal"/>
      <w:start w:val="2"/>
    </w:lvl>
  </w:abstractNum>
  <w:abstractNum w:abstractNumId="4">
    <w:nsid w:val="580BD78F"/>
    <w:multiLevelType w:val="hybridMultilevel"/>
    <w:lvl w:ilvl="0">
      <w:lvlJc w:val="left"/>
      <w:lvlText w:val="(%1)"/>
      <w:numFmt w:val="lowerRoman"/>
      <w:start w:val="1"/>
    </w:lvl>
  </w:abstractNum>
  <w:abstractNum w:abstractNumId="5">
    <w:nsid w:val="153EA438"/>
    <w:multiLevelType w:val="hybridMultilevel"/>
    <w:lvl w:ilvl="0">
      <w:lvlJc w:val="left"/>
      <w:lvlText w:val="(%1)"/>
      <w:numFmt w:val="lowerLetter"/>
      <w:start w:val="2"/>
    </w:lvl>
  </w:abstractNum>
  <w:abstractNum w:abstractNumId="6">
    <w:nsid w:val="3855585C"/>
    <w:multiLevelType w:val="hybridMultilevel"/>
    <w:lvl w:ilvl="0">
      <w:lvlJc w:val="left"/>
      <w:lvlText w:val="(%1)"/>
      <w:numFmt w:val="decimal"/>
      <w:start w:val="2"/>
    </w:lvl>
  </w:abstractNum>
  <w:abstractNum w:abstractNumId="7">
    <w:nsid w:val="70A64E2A"/>
    <w:multiLevelType w:val="hybridMultilevel"/>
    <w:lvl w:ilvl="0">
      <w:lvlJc w:val="left"/>
      <w:lvlText w:val="(%1)"/>
      <w:numFmt w:val="lowerRoman"/>
      <w:start w:val="1"/>
    </w:lvl>
  </w:abstractNum>
  <w:abstractNum w:abstractNumId="8">
    <w:nsid w:val="6A2342EC"/>
    <w:multiLevelType w:val="hybridMultilevel"/>
    <w:lvl w:ilvl="0">
      <w:lvlJc w:val="left"/>
      <w:lvlText w:val="(%1)"/>
      <w:numFmt w:val="decimal"/>
      <w:start w:val="3"/>
    </w:lvl>
  </w:abstractNum>
  <w:abstractNum w:abstractNumId="9">
    <w:nsid w:val="2A487CB0"/>
    <w:multiLevelType w:val="hybridMultilevel"/>
    <w:lvl w:ilvl="0">
      <w:lvlJc w:val="left"/>
      <w:lvlText w:val="(%1)"/>
      <w:numFmt w:val="decimal"/>
      <w:start w:val="4"/>
    </w:lvl>
  </w:abstractNum>
  <w:abstractNum w:abstractNumId="10">
    <w:nsid w:val="1D4ED43B"/>
    <w:multiLevelType w:val="hybridMultilevel"/>
    <w:lvl w:ilvl="0">
      <w:lvlJc w:val="left"/>
      <w:lvlText w:val="(%1)"/>
      <w:numFmt w:val="decimal"/>
      <w:start w:val="5"/>
    </w:lvl>
  </w:abstractNum>
  <w:abstractNum w:abstractNumId="11">
    <w:nsid w:val="725A06FB"/>
    <w:multiLevelType w:val="hybridMultilevel"/>
    <w:lvl w:ilvl="0">
      <w:lvlJc w:val="left"/>
      <w:lvlText w:val="(%1)"/>
      <w:numFmt w:val="decimal"/>
      <w:start w:val="6"/>
    </w:lvl>
  </w:abstractNum>
  <w:abstractNum w:abstractNumId="12">
    <w:nsid w:val="2CD89A32"/>
    <w:multiLevelType w:val="hybridMultilevel"/>
    <w:lvl w:ilvl="0">
      <w:lvlJc w:val="left"/>
      <w:lvlText w:val="(%1)"/>
      <w:numFmt w:val="decimal"/>
      <w:start w:val="7"/>
    </w:lvl>
  </w:abstractNum>
  <w:abstractNum w:abstractNumId="13">
    <w:nsid w:val="57E4CCAF"/>
    <w:multiLevelType w:val="hybridMultilevel"/>
    <w:lvl w:ilvl="0">
      <w:lvlJc w:val="left"/>
      <w:lvlText w:val="(%1)"/>
      <w:numFmt w:val="lowerLetter"/>
      <w:start w:val="1"/>
    </w:lvl>
  </w:abstractNum>
  <w:abstractNum w:abstractNumId="14">
    <w:nsid w:val="7A6D8D3C"/>
    <w:multiLevelType w:val="hybridMultilevel"/>
    <w:lvl w:ilvl="0">
      <w:lvlJc w:val="left"/>
      <w:lvlText w:val="(%1)"/>
      <w:numFmt w:val="decimal"/>
      <w:start w:val="8"/>
    </w:lvl>
  </w:abstractNum>
  <w:abstractNum w:abstractNumId="15">
    <w:nsid w:val="4B588F54"/>
    <w:multiLevelType w:val="hybridMultilevel"/>
    <w:lvl w:ilvl="0">
      <w:lvlJc w:val="left"/>
      <w:lvlText w:val="(%1)"/>
      <w:numFmt w:val="decimal"/>
      <w:start w:val="9"/>
    </w:lvl>
  </w:abstractNum>
  <w:abstractNum w:abstractNumId="16">
    <w:nsid w:val="542289EC"/>
    <w:multiLevelType w:val="hybridMultilevel"/>
    <w:lvl w:ilvl="0">
      <w:lvlJc w:val="left"/>
      <w:lvlText w:val="(%1)"/>
      <w:numFmt w:val="decimal"/>
      <w:start w:val="10"/>
    </w:lvl>
  </w:abstractNum>
  <w:abstractNum w:abstractNumId="17">
    <w:nsid w:val="6DE91B18"/>
    <w:multiLevelType w:val="hybridMultilevel"/>
    <w:lvl w:ilvl="0">
      <w:lvlJc w:val="left"/>
      <w:lvlText w:val="(%1)"/>
      <w:numFmt w:val="lowerRoman"/>
      <w:start w:val="2"/>
    </w:lvl>
  </w:abstractNum>
  <w:abstractNum w:abstractNumId="18">
    <w:nsid w:val="38437FDB"/>
    <w:multiLevelType w:val="hybridMultilevel"/>
    <w:lvl w:ilvl="0">
      <w:lvlJc w:val="left"/>
      <w:lvlText w:val="(%1)"/>
      <w:numFmt w:val="lowerRoman"/>
      <w:start w:val="1"/>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1)"/>
      <w:numFmt w:val="decimal"/>
      <w:start w:val="2"/>
    </w:lvl>
  </w:abstractNum>
  <w:abstractNum w:abstractNumId="21">
    <w:nsid w:val="684A481A"/>
    <w:multiLevelType w:val="hybridMultilevel"/>
    <w:lvl w:ilvl="0">
      <w:lvlJc w:val="left"/>
      <w:lvlText w:val="(%1)"/>
      <w:numFmt w:val="decimal"/>
      <w:start w:val="1"/>
    </w:lvl>
  </w:abstractNum>
  <w:abstractNum w:abstractNumId="22">
    <w:nsid w:val="579478FE"/>
    <w:multiLevelType w:val="hybridMultilevel"/>
    <w:lvl w:ilvl="0">
      <w:lvlJc w:val="left"/>
      <w:lvlText w:val="(%1)"/>
      <w:numFmt w:val="decimal"/>
      <w:start w:val="1"/>
    </w:lvl>
  </w:abstractNum>
  <w:abstractNum w:abstractNumId="23">
    <w:nsid w:val="749ABB43"/>
    <w:multiLevelType w:val="hybridMultilevel"/>
    <w:lvl w:ilvl="0">
      <w:lvlJc w:val="left"/>
      <w:lvlText w:val="(%1)"/>
      <w:numFmt w:val="decimal"/>
      <w:start w:val="1"/>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1)"/>
      <w:numFmt w:val="decimal"/>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1)"/>
      <w:numFmt w:val="lowerLetter"/>
      <w:start w:val="1"/>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1."/>
      <w:numFmt w:val="decimal"/>
      <w:start w:val="3"/>
    </w:lvl>
    <w:lvl w:ilvl="1">
      <w:lvlJc w:val="left"/>
      <w:lvlText w:val="(%2)"/>
      <w:numFmt w:val="lowerLetter"/>
      <w:start w:val="1"/>
    </w:lvl>
  </w:abstractNum>
  <w:abstractNum w:abstractNumId="46">
    <w:nsid w:val="3F6AB60F"/>
    <w:multiLevelType w:val="hybridMultilevel"/>
    <w:lvl w:ilvl="0">
      <w:lvlJc w:val="left"/>
      <w:lvlText w:val="%1"/>
      <w:numFmt w:val="decimal"/>
      <w:start w:val="1"/>
    </w:lvl>
    <w:lvl w:ilvl="1">
      <w:lvlJc w:val="left"/>
      <w:lvlText w:val="(%2)"/>
      <w:numFmt w:val="lowerLetter"/>
      <w:start w:val="2"/>
    </w:lvl>
  </w:abstractNum>
  <w:abstractNum w:abstractNumId="47">
    <w:nsid w:val="61574095"/>
    <w:multiLevelType w:val="hybridMultilevel"/>
    <w:lvl w:ilvl="0">
      <w:lvlJc w:val="left"/>
      <w:lvlText w:val="%1."/>
      <w:numFmt w:val="decimal"/>
      <w:start w:val="5"/>
    </w:lvl>
    <w:lvl w:ilvl="1">
      <w:lvlJc w:val="left"/>
      <w:lvlText w:val="%2"/>
      <w:numFmt w:val="lowerLetter"/>
      <w:start w:val="1"/>
    </w:lvl>
  </w:abstractNum>
  <w:abstractNum w:abstractNumId="48">
    <w:nsid w:val="7E0C57B1"/>
    <w:multiLevelType w:val="hybridMultilevel"/>
    <w:lvl w:ilvl="0">
      <w:lvlJc w:val="left"/>
      <w:lvlText w:val="%1."/>
      <w:numFmt w:val="decimal"/>
      <w:start w:val="8"/>
    </w:lvl>
  </w:abstractNum>
  <w:abstractNum w:abstractNumId="49">
    <w:nsid w:val="77AE35EB"/>
    <w:multiLevelType w:val="hybridMultilevel"/>
    <w:lvl w:ilvl="0">
      <w:lvlJc w:val="left"/>
      <w:lvlText w:val="%1."/>
      <w:numFmt w:val="decimal"/>
      <w:start w:val="9"/>
    </w:lvl>
  </w:abstractNum>
  <w:abstractNum w:abstractNumId="50">
    <w:nsid w:val="579BE4F1"/>
    <w:multiLevelType w:val="hybridMultilevel"/>
    <w:lvl w:ilvl="0">
      <w:lvlJc w:val="left"/>
      <w:lvlText w:val="%1."/>
      <w:numFmt w:val="decimal"/>
      <w:start w:val="12"/>
    </w:lvl>
  </w:abstractNum>
  <w:abstractNum w:abstractNumId="51">
    <w:nsid w:val="310C50B3"/>
    <w:multiLevelType w:val="hybridMultilevel"/>
    <w:lvl w:ilvl="0">
      <w:lvlJc w:val="left"/>
      <w:lvlText w:val="%1."/>
      <w:numFmt w:val="decimal"/>
      <w:start w:val="14"/>
    </w:lvl>
  </w:abstractNum>
  <w:abstractNum w:abstractNumId="52">
    <w:nsid w:val="5FF87E05"/>
    <w:multiLevelType w:val="hybridMultilevel"/>
    <w:lvl w:ilvl="0">
      <w:lvlJc w:val="left"/>
      <w:lvlText w:val="%1."/>
      <w:numFmt w:val="decimal"/>
      <w:start w:val="2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1."/>
      <w:numFmt w:val="upperLetter"/>
      <w:start w:val="1"/>
    </w:lvl>
  </w:abstractNum>
  <w:abstractNum w:abstractNumId="55">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6">
    <w:nsid w:val="4AD084E9"/>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57">
    <w:nsid w:val="1F48EAA1"/>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58">
    <w:nsid w:val="1381823A"/>
    <w:multiLevelType w:val="hybridMultilevel"/>
    <w:lvl w:ilvl="0">
      <w:lvlJc w:val="left"/>
      <w:lvlText w:val="%1."/>
      <w:numFmt w:val="decimal"/>
      <w:start w:val="3"/>
    </w:lvl>
  </w:abstractNum>
  <w:abstractNum w:abstractNumId="59">
    <w:nsid w:val="5DB70AE5"/>
    <w:multiLevelType w:val="hybridMultilevel"/>
    <w:lvl w:ilvl="0">
      <w:lvlJc w:val="left"/>
      <w:lvlText w:val="%1."/>
      <w:numFmt w:val="lowerLetter"/>
      <w:start w:val="1"/>
    </w:lvl>
  </w:abstractNum>
  <w:abstractNum w:abstractNumId="60">
    <w:nsid w:val="100F8FCA"/>
    <w:multiLevelType w:val="hybridMultilevel"/>
    <w:lvl w:ilvl="0">
      <w:lvlJc w:val="left"/>
      <w:lvlText w:val="%1."/>
      <w:numFmt w:val="lowerLetter"/>
      <w:start w:val="2"/>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1."/>
      <w:numFmt w:val="lowerLetter"/>
      <w:start w:val="3"/>
    </w:lvl>
    <w:lvl w:ilvl="1">
      <w:lvlJc w:val="left"/>
      <w:lvlText w:val="%2."/>
      <w:numFmt w:val="lowerRoman"/>
      <w:start w:val="1"/>
    </w:lvl>
  </w:abstractNum>
  <w:abstractNum w:abstractNumId="63">
    <w:nsid w:val="5F5E7FD0"/>
    <w:multiLevelType w:val="hybridMultilevel"/>
    <w:lvl w:ilvl="0">
      <w:lvlJc w:val="left"/>
      <w:lvlText w:val="%1."/>
      <w:numFmt w:val="lowerLetter"/>
      <w:start w:val="5"/>
    </w:lvl>
  </w:abstractNum>
  <w:abstractNum w:abstractNumId="64">
    <w:nsid w:val="98A3148"/>
    <w:multiLevelType w:val="hybridMultilevel"/>
    <w:lvl w:ilvl="0">
      <w:lvlJc w:val="left"/>
      <w:lvlText w:val="%1."/>
      <w:numFmt w:val="lowerLetter"/>
      <w:start w:val="6"/>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1."/>
      <w:numFmt w:val="lowerLetter"/>
      <w:start w:val="7"/>
    </w:lvl>
  </w:abstractNum>
  <w:abstractNum w:abstractNumId="67">
    <w:nsid w:val="42C296BD"/>
    <w:multiLevelType w:val="hybridMultilevel"/>
    <w:lvl w:ilvl="0">
      <w:lvlJc w:val="left"/>
      <w:lvlText w:val="%1."/>
      <w:numFmt w:val="lowerLetter"/>
      <w:start w:val="8"/>
    </w:lvl>
  </w:abstractNum>
  <w:abstractNum w:abstractNumId="68">
    <w:nsid w:val="168E121F"/>
    <w:multiLevelType w:val="hybridMultilevel"/>
    <w:lvl w:ilvl="0">
      <w:lvlJc w:val="left"/>
      <w:lvlText w:val="%1."/>
      <w:numFmt w:val="decimal"/>
      <w:start w:val="4"/>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2019-12-29T05:08:20Z</dcterms:created>
  <dcterms:modified xsi:type="dcterms:W3CDTF">2019-12-29T05:08:20Z</dcterms:modified>
</cp:coreProperties>
</file>