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t>UNITED STATES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107315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88" w:lineRule="exact"/>
        <w:rPr>
          <w:sz w:val="24"/>
          <w:szCs w:val="24"/>
          <w:color w:val="auto"/>
        </w:rPr>
      </w:pPr>
    </w:p>
    <w:p>
      <w:pPr>
        <w:ind w:left="3880" w:right="1600" w:hanging="3872"/>
        <w:spacing w:after="0" w:line="262" w:lineRule="auto"/>
        <w:tabs>
          <w:tab w:leader="none" w:pos="435"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2025</w:t>
      </w:r>
    </w:p>
    <w:p>
      <w:pPr>
        <w:spacing w:after="0" w:line="173"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3" w:lineRule="exact"/>
        <w:rPr>
          <w:sz w:val="24"/>
          <w:szCs w:val="24"/>
          <w:color w:val="auto"/>
        </w:rPr>
      </w:pPr>
    </w:p>
    <w:p>
      <w:pPr>
        <w:ind w:left="342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3677285</wp:posOffset>
            </wp:positionH>
            <wp:positionV relativeFrom="paragraph">
              <wp:posOffset>-20320</wp:posOffset>
            </wp:positionV>
            <wp:extent cx="571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No. 000-21392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Amarin Corporation plc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4" w:lineRule="exact"/>
        <w:rPr>
          <w:sz w:val="24"/>
          <w:szCs w:val="24"/>
          <w:color w:val="auto"/>
        </w:rPr>
      </w:pPr>
    </w:p>
    <w:tbl>
      <w:tblPr>
        <w:tblLayout w:type="fixed"/>
        <w:tblInd w:w="1540" w:type="dxa"/>
        <w:tblCellMar>
          <w:top w:w="0" w:type="dxa"/>
          <w:left w:w="0" w:type="dxa"/>
          <w:bottom w:w="0" w:type="dxa"/>
          <w:right w:w="0" w:type="dxa"/>
        </w:tblCellMar>
      </w:tblPr>
      <w:tr>
        <w:trPr>
          <w:trHeight w:val="214"/>
        </w:trPr>
        <w:tc>
          <w:tcPr>
            <w:tcW w:w="4300" w:type="dxa"/>
            <w:vAlign w:val="bottom"/>
          </w:tcPr>
          <w:p>
            <w:pPr>
              <w:jc w:val="center"/>
              <w:ind w:right="1759"/>
              <w:spacing w:after="0"/>
              <w:rPr>
                <w:sz w:val="20"/>
                <w:szCs w:val="20"/>
                <w:color w:val="auto"/>
              </w:rPr>
            </w:pPr>
            <w:r>
              <w:rPr>
                <w:rFonts w:ascii="Times New Roman" w:cs="Times New Roman" w:eastAsia="Times New Roman" w:hAnsi="Times New Roman"/>
                <w:sz w:val="18"/>
                <w:szCs w:val="18"/>
                <w:b w:val="1"/>
                <w:bCs w:val="1"/>
                <w:color w:val="auto"/>
                <w:w w:val="99"/>
              </w:rPr>
              <w:t>England and Wales</w:t>
            </w:r>
          </w:p>
        </w:tc>
        <w:tc>
          <w:tcPr>
            <w:tcW w:w="3480" w:type="dxa"/>
            <w:vAlign w:val="bottom"/>
          </w:tcPr>
          <w:p>
            <w:pPr>
              <w:jc w:val="center"/>
              <w:ind w:left="1759"/>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48"/>
        </w:trPr>
        <w:tc>
          <w:tcPr>
            <w:tcW w:w="4300" w:type="dxa"/>
            <w:vAlign w:val="bottom"/>
          </w:tcPr>
          <w:p>
            <w:pPr>
              <w:jc w:val="center"/>
              <w:ind w:right="17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480" w:type="dxa"/>
            <w:vAlign w:val="bottom"/>
          </w:tcPr>
          <w:p>
            <w:pPr>
              <w:jc w:val="center"/>
              <w:ind w:left="1759"/>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300" w:type="dxa"/>
            <w:vAlign w:val="bottom"/>
          </w:tcPr>
          <w:p>
            <w:pPr>
              <w:jc w:val="center"/>
              <w:ind w:right="177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480" w:type="dxa"/>
            <w:vAlign w:val="bottom"/>
          </w:tcPr>
          <w:p>
            <w:pPr>
              <w:jc w:val="center"/>
              <w:ind w:left="1739"/>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12"/>
        </w:trPr>
        <w:tc>
          <w:tcPr>
            <w:tcW w:w="430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rPr>
              <w:t>8th Floor, One Central Plaza,</w:t>
            </w:r>
          </w:p>
        </w:tc>
        <w:tc>
          <w:tcPr>
            <w:tcW w:w="3480" w:type="dxa"/>
            <w:vAlign w:val="bottom"/>
          </w:tcPr>
          <w:p>
            <w:pPr>
              <w:jc w:val="center"/>
              <w:ind w:left="1759"/>
              <w:spacing w:after="0"/>
              <w:rPr>
                <w:sz w:val="20"/>
                <w:szCs w:val="20"/>
                <w:color w:val="auto"/>
              </w:rPr>
            </w:pPr>
            <w:r>
              <w:rPr>
                <w:rFonts w:ascii="Times New Roman" w:cs="Times New Roman" w:eastAsia="Times New Roman" w:hAnsi="Times New Roman"/>
                <w:sz w:val="18"/>
                <w:szCs w:val="18"/>
                <w:b w:val="1"/>
                <w:bCs w:val="1"/>
                <w:color w:val="auto"/>
                <w:w w:val="99"/>
              </w:rPr>
              <w:t>Dublin 2, Co. Dublin,</w:t>
            </w:r>
          </w:p>
        </w:tc>
      </w:tr>
      <w:tr>
        <w:trPr>
          <w:trHeight w:val="214"/>
        </w:trPr>
        <w:tc>
          <w:tcPr>
            <w:tcW w:w="4300" w:type="dxa"/>
            <w:vAlign w:val="bottom"/>
          </w:tcPr>
          <w:p>
            <w:pPr>
              <w:jc w:val="center"/>
              <w:ind w:right="1779"/>
              <w:spacing w:after="0"/>
              <w:rPr>
                <w:sz w:val="20"/>
                <w:szCs w:val="20"/>
                <w:color w:val="auto"/>
              </w:rPr>
            </w:pPr>
            <w:r>
              <w:rPr>
                <w:rFonts w:ascii="Times New Roman" w:cs="Times New Roman" w:eastAsia="Times New Roman" w:hAnsi="Times New Roman"/>
                <w:sz w:val="18"/>
                <w:szCs w:val="18"/>
                <w:b w:val="1"/>
                <w:bCs w:val="1"/>
                <w:color w:val="auto"/>
              </w:rPr>
              <w:t>Dame Street</w:t>
            </w:r>
          </w:p>
        </w:tc>
        <w:tc>
          <w:tcPr>
            <w:tcW w:w="3480" w:type="dxa"/>
            <w:vAlign w:val="bottom"/>
          </w:tcPr>
          <w:p>
            <w:pPr>
              <w:jc w:val="center"/>
              <w:ind w:left="1739"/>
              <w:spacing w:after="0"/>
              <w:rPr>
                <w:sz w:val="20"/>
                <w:szCs w:val="20"/>
                <w:color w:val="auto"/>
              </w:rPr>
            </w:pPr>
            <w:r>
              <w:rPr>
                <w:rFonts w:ascii="Times New Roman" w:cs="Times New Roman" w:eastAsia="Times New Roman" w:hAnsi="Times New Roman"/>
                <w:sz w:val="18"/>
                <w:szCs w:val="18"/>
                <w:b w:val="1"/>
                <w:bCs w:val="1"/>
                <w:color w:val="auto"/>
                <w:w w:val="98"/>
              </w:rPr>
              <w:t>D02 K7K5, Ireland</w:t>
            </w:r>
          </w:p>
        </w:tc>
      </w:tr>
      <w:tr>
        <w:trPr>
          <w:trHeight w:val="190"/>
        </w:trPr>
        <w:tc>
          <w:tcPr>
            <w:tcW w:w="4300" w:type="dxa"/>
            <w:vAlign w:val="bottom"/>
          </w:tcPr>
          <w:p>
            <w:pPr>
              <w:jc w:val="center"/>
              <w:ind w:right="17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480" w:type="dxa"/>
            <w:vAlign w:val="bottom"/>
          </w:tcPr>
          <w:p>
            <w:pPr>
              <w:jc w:val="center"/>
              <w:ind w:left="1739"/>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+353 (0) 1 6699 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102235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99" w:lineRule="exact"/>
        <w:rPr>
          <w:sz w:val="24"/>
          <w:szCs w:val="24"/>
          <w:color w:val="auto"/>
        </w:rPr>
      </w:pPr>
    </w:p>
    <w:tbl>
      <w:tblPr>
        <w:tblLayout w:type="fixed"/>
        <w:tblInd w:w="10" w:type="dxa"/>
        <w:tblCellMar>
          <w:top w:w="0" w:type="dxa"/>
          <w:left w:w="0" w:type="dxa"/>
          <w:bottom w:w="0" w:type="dxa"/>
          <w:right w:w="0" w:type="dxa"/>
        </w:tblCellMar>
      </w:tblPr>
      <w:tr>
        <w:trPr>
          <w:trHeight w:val="240"/>
        </w:trPr>
        <w:tc>
          <w:tcPr>
            <w:tcW w:w="50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1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40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30"/>
        </w:trPr>
        <w:tc>
          <w:tcPr>
            <w:tcW w:w="5080" w:type="dxa"/>
            <w:vAlign w:val="bottom"/>
            <w:tcBorders>
              <w:left w:val="single" w:sz="8" w:color="auto"/>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r>
      <w:tr>
        <w:trPr>
          <w:trHeight w:val="212"/>
        </w:trPr>
        <w:tc>
          <w:tcPr>
            <w:tcW w:w="50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American Depositary Shares (ADS(s)), each ADS</w:t>
            </w:r>
          </w:p>
        </w:tc>
        <w:tc>
          <w:tcPr>
            <w:tcW w:w="2140" w:type="dxa"/>
            <w:vAlign w:val="bottom"/>
            <w:tcBorders>
              <w:right w:val="single" w:sz="8" w:color="auto"/>
            </w:tcBorders>
          </w:tcPr>
          <w:p>
            <w:pPr>
              <w:spacing w:after="0"/>
              <w:rPr>
                <w:sz w:val="18"/>
                <w:szCs w:val="18"/>
                <w:color w:val="auto"/>
              </w:rPr>
            </w:pPr>
          </w:p>
        </w:tc>
        <w:tc>
          <w:tcPr>
            <w:tcW w:w="4020" w:type="dxa"/>
            <w:vAlign w:val="bottom"/>
            <w:tcBorders>
              <w:right w:val="single" w:sz="8" w:color="auto"/>
            </w:tcBorders>
          </w:tcPr>
          <w:p>
            <w:pPr>
              <w:spacing w:after="0"/>
              <w:rPr>
                <w:sz w:val="18"/>
                <w:szCs w:val="18"/>
                <w:color w:val="auto"/>
              </w:rPr>
            </w:pPr>
          </w:p>
        </w:tc>
      </w:tr>
      <w:tr>
        <w:trPr>
          <w:trHeight w:val="203"/>
        </w:trPr>
        <w:tc>
          <w:tcPr>
            <w:tcW w:w="50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representing the right to receive twenty (20) Ordinary Share of</w:t>
            </w:r>
          </w:p>
        </w:tc>
        <w:tc>
          <w:tcPr>
            <w:tcW w:w="2140" w:type="dxa"/>
            <w:vAlign w:val="bottom"/>
            <w:tcBorders>
              <w:right w:val="single" w:sz="8" w:color="auto"/>
            </w:tcBorders>
          </w:tcPr>
          <w:p>
            <w:pPr>
              <w:spacing w:after="0"/>
              <w:rPr>
                <w:sz w:val="17"/>
                <w:szCs w:val="17"/>
                <w:color w:val="auto"/>
              </w:rPr>
            </w:pPr>
          </w:p>
        </w:tc>
        <w:tc>
          <w:tcPr>
            <w:tcW w:w="4020" w:type="dxa"/>
            <w:vAlign w:val="bottom"/>
            <w:tcBorders>
              <w:right w:val="single" w:sz="8" w:color="auto"/>
            </w:tcBorders>
          </w:tcPr>
          <w:p>
            <w:pPr>
              <w:spacing w:after="0"/>
              <w:rPr>
                <w:sz w:val="17"/>
                <w:szCs w:val="17"/>
                <w:color w:val="auto"/>
              </w:rPr>
            </w:pPr>
          </w:p>
        </w:tc>
      </w:tr>
      <w:tr>
        <w:trPr>
          <w:trHeight w:val="210"/>
        </w:trPr>
        <w:tc>
          <w:tcPr>
            <w:tcW w:w="50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Amarin Corporation plc</w:t>
            </w: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AMRN</w:t>
            </w:r>
          </w:p>
        </w:tc>
        <w:tc>
          <w:tcPr>
            <w:tcW w:w="4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Nasdaq Stock Market LLC</w:t>
            </w:r>
          </w:p>
        </w:tc>
      </w:tr>
      <w:tr>
        <w:trPr>
          <w:trHeight w:val="33"/>
        </w:trPr>
        <w:tc>
          <w:tcPr>
            <w:tcW w:w="5080" w:type="dxa"/>
            <w:vAlign w:val="bottom"/>
            <w:tcBorders>
              <w:left w:val="single" w:sz="8" w:color="auto"/>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r>
    </w:tbl>
    <w:p>
      <w:pPr>
        <w:spacing w:after="0" w:line="90" w:lineRule="exact"/>
        <w:rPr>
          <w:sz w:val="24"/>
          <w:szCs w:val="24"/>
          <w:color w:val="auto"/>
        </w:rPr>
      </w:pPr>
    </w:p>
    <w:p>
      <w:pPr>
        <w:ind w:right="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1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0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Accelerated filer</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0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10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pacing w:after="0" w:line="75"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4"/>
          <w:szCs w:val="24"/>
          <w:color w:val="auto"/>
        </w:rPr>
      </w:pPr>
    </w:p>
    <w:p>
      <w:pPr>
        <w:spacing w:after="0" w:line="207" w:lineRule="exact"/>
        <w:tabs>
          <w:tab w:leader="none" w:pos="7580" w:val="left"/>
          <w:tab w:leader="none" w:pos="836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58" w:lineRule="exact"/>
        <w:rPr>
          <w:sz w:val="24"/>
          <w:szCs w:val="24"/>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413,655,521 Ordinary Shares, 50 pence par value per share, were outstanding as of July 25, 2025, including 20,279,018 Ordinary Shares held as American Depositary Shares (ADSs), each representing 20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873125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0"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INDEX TO FORM 10-Q</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90"/>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740" w:type="dxa"/>
            <w:vAlign w:val="bottom"/>
            <w:gridSpan w:val="12"/>
          </w:tcPr>
          <w:p>
            <w:pPr>
              <w:jc w:val="center"/>
              <w:ind w:right="3260"/>
              <w:spacing w:after="0"/>
              <w:rPr>
                <w:sz w:val="20"/>
                <w:szCs w:val="20"/>
                <w:color w:val="auto"/>
              </w:rPr>
            </w:pPr>
            <w:r>
              <w:rPr>
                <w:rFonts w:ascii="Times New Roman" w:cs="Times New Roman" w:eastAsia="Times New Roman" w:hAnsi="Times New Roman"/>
                <w:sz w:val="18"/>
                <w:szCs w:val="18"/>
                <w:b w:val="1"/>
                <w:bCs w:val="1"/>
                <w:color w:val="0000FF"/>
                <w:w w:val="99"/>
              </w:rPr>
              <w:t>PART I – Financial Information</w:t>
            </w:r>
          </w:p>
        </w:tc>
        <w:tc>
          <w:tcPr>
            <w:tcW w:w="1020" w:type="dxa"/>
            <w:vAlign w:val="bottom"/>
          </w:tcPr>
          <w:p>
            <w:pPr>
              <w:spacing w:after="0"/>
              <w:rPr>
                <w:sz w:val="24"/>
                <w:szCs w:val="24"/>
                <w:color w:val="auto"/>
              </w:rPr>
            </w:pPr>
          </w:p>
        </w:tc>
      </w:tr>
      <w:tr>
        <w:trPr>
          <w:trHeight w:val="340"/>
        </w:trPr>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31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Financial Statements (unaudited):</w:t>
            </w:r>
          </w:p>
        </w:tc>
        <w:tc>
          <w:tcPr>
            <w:tcW w:w="2480" w:type="dxa"/>
            <w:vAlign w:val="bottom"/>
            <w:tcBorders>
              <w:top w:val="single" w:sz="8" w:color="0000FF"/>
            </w:tcBorders>
            <w:gridSpan w:val="6"/>
          </w:tcPr>
          <w:p>
            <w:pPr>
              <w:spacing w:after="0"/>
              <w:rPr>
                <w:sz w:val="24"/>
                <w:szCs w:val="24"/>
                <w:color w:val="auto"/>
              </w:rPr>
            </w:pPr>
          </w:p>
        </w:tc>
        <w:tc>
          <w:tcPr>
            <w:tcW w:w="3260" w:type="dxa"/>
            <w:vAlign w:val="bottom"/>
            <w:gridSpan w:val="6"/>
          </w:tcPr>
          <w:p>
            <w:pPr>
              <w:spacing w:after="0"/>
              <w:rPr>
                <w:sz w:val="24"/>
                <w:szCs w:val="24"/>
                <w:color w:val="auto"/>
              </w:rPr>
            </w:pPr>
          </w:p>
        </w:tc>
        <w:tc>
          <w:tcPr>
            <w:tcW w:w="1020" w:type="dxa"/>
            <w:vAlign w:val="bottom"/>
          </w:tcPr>
          <w:p>
            <w:pPr>
              <w:spacing w:after="0"/>
              <w:rPr>
                <w:sz w:val="24"/>
                <w:szCs w:val="24"/>
                <w:color w:val="auto"/>
              </w:rPr>
            </w:pPr>
          </w:p>
        </w:tc>
      </w:tr>
      <w:tr>
        <w:trPr>
          <w:trHeight w:val="194"/>
        </w:trPr>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80" w:type="dxa"/>
            <w:vAlign w:val="bottom"/>
            <w:gridSpan w:val="19"/>
          </w:tcPr>
          <w:p>
            <w:pPr>
              <w:spacing w:after="0" w:line="194" w:lineRule="exact"/>
              <w:rPr>
                <w:sz w:val="20"/>
                <w:szCs w:val="20"/>
                <w:color w:val="auto"/>
              </w:rPr>
            </w:pPr>
            <w:r>
              <w:rPr>
                <w:rFonts w:ascii="Times New Roman" w:cs="Times New Roman" w:eastAsia="Times New Roman" w:hAnsi="Times New Roman"/>
                <w:sz w:val="18"/>
                <w:szCs w:val="18"/>
                <w:color w:val="0000FF"/>
              </w:rPr>
              <w:t>Condensed Consolidated Balance Sheets as of June 30, 2025 and December 31, 2024</w:t>
            </w:r>
          </w:p>
        </w:tc>
        <w:tc>
          <w:tcPr>
            <w:tcW w:w="10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600" w:type="dxa"/>
            <w:vAlign w:val="bottom"/>
            <w:tcBorders>
              <w:right w:val="single" w:sz="8" w:color="0000EE"/>
            </w:tcBorders>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Operations for the three and six months ended June 30, 2025 and 2024</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 of Changes in Stockholders’ Equity for the six months ended June 30, 2025 and 2024</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740" w:type="dxa"/>
            <w:vAlign w:val="bottom"/>
            <w:tcBorders>
              <w:top w:val="single" w:sz="8" w:color="0000FF"/>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Cash Flows for the six months ended June 30, 2025 and 2024</w:t>
            </w:r>
          </w:p>
        </w:tc>
        <w:tc>
          <w:tcPr>
            <w:tcW w:w="14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80" w:type="dxa"/>
            <w:vAlign w:val="bottom"/>
            <w:tcBorders>
              <w:top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1600" w:type="dxa"/>
            <w:vAlign w:val="bottom"/>
            <w:gridSpan w:val="3"/>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13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420" w:type="dxa"/>
            <w:vAlign w:val="bottom"/>
            <w:gridSpan w:val="4"/>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196"/>
        </w:trPr>
        <w:tc>
          <w:tcPr>
            <w:tcW w:w="13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0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580" w:type="dxa"/>
            <w:vAlign w:val="bottom"/>
            <w:gridSpan w:val="9"/>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r>
      <w:tr>
        <w:trPr>
          <w:trHeight w:val="196"/>
        </w:trPr>
        <w:tc>
          <w:tcPr>
            <w:tcW w:w="13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88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r>
      <w:tr>
        <w:trPr>
          <w:trHeight w:val="318"/>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1380" w:type="dxa"/>
            <w:vAlign w:val="bottom"/>
          </w:tcPr>
          <w:p>
            <w:pPr>
              <w:spacing w:after="0"/>
              <w:rPr>
                <w:sz w:val="24"/>
                <w:szCs w:val="24"/>
                <w:color w:val="auto"/>
              </w:rPr>
            </w:pPr>
          </w:p>
        </w:tc>
        <w:tc>
          <w:tcPr>
            <w:tcW w:w="5740" w:type="dxa"/>
            <w:vAlign w:val="bottom"/>
            <w:gridSpan w:val="12"/>
          </w:tcPr>
          <w:p>
            <w:pPr>
              <w:jc w:val="center"/>
              <w:ind w:right="3240"/>
              <w:spacing w:after="0"/>
              <w:rPr>
                <w:sz w:val="20"/>
                <w:szCs w:val="20"/>
                <w:color w:val="auto"/>
              </w:rPr>
            </w:pPr>
            <w:r>
              <w:rPr>
                <w:rFonts w:ascii="Times New Roman" w:cs="Times New Roman" w:eastAsia="Times New Roman" w:hAnsi="Times New Roman"/>
                <w:sz w:val="18"/>
                <w:szCs w:val="18"/>
                <w:b w:val="1"/>
                <w:bCs w:val="1"/>
                <w:color w:val="0000FF"/>
                <w:w w:val="99"/>
              </w:rPr>
              <w:t>PART II – Other Information</w:t>
            </w:r>
          </w:p>
        </w:tc>
        <w:tc>
          <w:tcPr>
            <w:tcW w:w="1020" w:type="dxa"/>
            <w:vAlign w:val="bottom"/>
          </w:tcPr>
          <w:p>
            <w:pPr>
              <w:spacing w:after="0"/>
              <w:rPr>
                <w:sz w:val="24"/>
                <w:szCs w:val="24"/>
                <w:color w:val="auto"/>
              </w:rPr>
            </w:pPr>
          </w:p>
        </w:tc>
      </w:tr>
      <w:tr>
        <w:trPr>
          <w:trHeight w:val="318"/>
        </w:trPr>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32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2300" w:type="dxa"/>
            <w:vAlign w:val="bottom"/>
            <w:tcBorders>
              <w:top w:val="single" w:sz="8" w:color="0000FF"/>
            </w:tcBorders>
            <w:gridSpan w:val="4"/>
          </w:tcPr>
          <w:p>
            <w:pPr>
              <w:spacing w:after="0"/>
              <w:rPr>
                <w:sz w:val="24"/>
                <w:szCs w:val="24"/>
                <w:color w:val="auto"/>
              </w:rPr>
            </w:pPr>
          </w:p>
        </w:tc>
        <w:tc>
          <w:tcPr>
            <w:tcW w:w="3340" w:type="dxa"/>
            <w:vAlign w:val="bottom"/>
            <w:gridSpan w:val="7"/>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196"/>
        </w:trPr>
        <w:tc>
          <w:tcPr>
            <w:tcW w:w="13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7"/>
              </w:rPr>
              <w:t>Risk Factors</w:t>
            </w:r>
          </w:p>
        </w:tc>
        <w:tc>
          <w:tcPr>
            <w:tcW w:w="20" w:type="dxa"/>
            <w:vAlign w:val="bottom"/>
            <w:tcBorders>
              <w:top w:val="single" w:sz="8" w:color="0000FF"/>
              <w:bottom w:val="single" w:sz="8" w:color="0000EE"/>
            </w:tcBorders>
          </w:tcPr>
          <w:p>
            <w:pPr>
              <w:spacing w:after="0"/>
              <w:rPr>
                <w:sz w:val="17"/>
                <w:szCs w:val="17"/>
                <w:color w:val="auto"/>
              </w:rPr>
            </w:pPr>
          </w:p>
        </w:tc>
        <w:tc>
          <w:tcPr>
            <w:tcW w:w="400" w:type="dxa"/>
            <w:vAlign w:val="bottom"/>
            <w:tcBorders>
              <w:top w:val="single" w:sz="8" w:color="0000FF"/>
            </w:tcBorders>
            <w:gridSpan w:val="2"/>
          </w:tcPr>
          <w:p>
            <w:pPr>
              <w:spacing w:after="0"/>
              <w:rPr>
                <w:sz w:val="17"/>
                <w:szCs w:val="17"/>
                <w:color w:val="auto"/>
              </w:rPr>
            </w:pPr>
          </w:p>
        </w:tc>
        <w:tc>
          <w:tcPr>
            <w:tcW w:w="7560" w:type="dxa"/>
            <w:vAlign w:val="bottom"/>
            <w:gridSpan w:val="14"/>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r>
      <w:tr>
        <w:trPr>
          <w:trHeight w:val="196"/>
        </w:trPr>
        <w:tc>
          <w:tcPr>
            <w:tcW w:w="13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434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540" w:type="dxa"/>
            <w:vAlign w:val="bottom"/>
            <w:gridSpan w:val="8"/>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250"/>
        </w:trPr>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88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196"/>
        </w:trPr>
        <w:tc>
          <w:tcPr>
            <w:tcW w:w="13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7580" w:type="dxa"/>
            <w:vAlign w:val="bottom"/>
            <w:gridSpan w:val="15"/>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r>
      <w:tr>
        <w:trPr>
          <w:trHeight w:val="318"/>
        </w:trPr>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668"/>
        </w:trPr>
        <w:tc>
          <w:tcPr>
            <w:tcW w:w="112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4340" w:type="dxa"/>
            <w:vAlign w:val="bottom"/>
            <w:gridSpan w:val="11"/>
          </w:tcPr>
          <w:p>
            <w:pPr>
              <w:ind w:left="4240"/>
              <w:spacing w:after="0"/>
              <w:rPr>
                <w:sz w:val="20"/>
                <w:szCs w:val="20"/>
                <w:color w:val="auto"/>
              </w:rPr>
            </w:pPr>
            <w:r>
              <w:rPr>
                <w:rFonts w:ascii="Times New Roman" w:cs="Times New Roman" w:eastAsia="Times New Roman" w:hAnsi="Times New Roman"/>
                <w:sz w:val="18"/>
                <w:szCs w:val="18"/>
                <w:color w:val="auto"/>
                <w:w w:val="88"/>
              </w:rPr>
              <w:t>2</w:t>
            </w: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763"/>
        </w:trPr>
        <w:tc>
          <w:tcPr>
            <w:tcW w:w="1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AMARIN CORPORATION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amounts)</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0" w:type="dxa"/>
            <w:vAlign w:val="bottom"/>
          </w:tcPr>
          <w:p>
            <w:pPr>
              <w:spacing w:after="0"/>
              <w:rPr>
                <w:sz w:val="15"/>
                <w:szCs w:val="15"/>
                <w:color w:val="auto"/>
              </w:rPr>
            </w:pPr>
          </w:p>
        </w:tc>
        <w:tc>
          <w:tcPr>
            <w:tcW w:w="17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09"/>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147,877</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121,038</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Short-term investments</w:t>
            </w: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150,827</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173,182</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119,130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122,279</w:t>
            </w: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Inventory</w:t>
            </w: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171,244</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166,048</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17,441</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12,552</w:t>
            </w:r>
          </w:p>
        </w:tc>
        <w:tc>
          <w:tcPr>
            <w:tcW w:w="100" w:type="dxa"/>
            <w:vAlign w:val="bottom"/>
          </w:tcPr>
          <w:p>
            <w:pPr>
              <w:spacing w:after="0"/>
              <w:rPr>
                <w:sz w:val="18"/>
                <w:szCs w:val="18"/>
                <w:color w:val="auto"/>
              </w:rPr>
            </w:pPr>
          </w:p>
        </w:tc>
      </w:tr>
      <w:tr>
        <w:trPr>
          <w:trHeight w:val="210"/>
        </w:trPr>
        <w:tc>
          <w:tcPr>
            <w:tcW w:w="754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606,819</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595,399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Long-term inventory</w:t>
            </w: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39,586</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64,740</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7,592</w:t>
            </w: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Other long-term assets</w:t>
            </w: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Intangible asset, net</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14,932</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16,389</w:t>
            </w:r>
          </w:p>
        </w:tc>
        <w:tc>
          <w:tcPr>
            <w:tcW w:w="100" w:type="dxa"/>
            <w:vAlign w:val="bottom"/>
          </w:tcPr>
          <w:p>
            <w:pPr>
              <w:spacing w:after="0"/>
              <w:rPr>
                <w:sz w:val="18"/>
                <w:szCs w:val="18"/>
                <w:color w:val="auto"/>
              </w:rPr>
            </w:pPr>
          </w:p>
        </w:tc>
      </w:tr>
      <w:tr>
        <w:trPr>
          <w:trHeight w:val="249"/>
        </w:trPr>
        <w:tc>
          <w:tcPr>
            <w:tcW w:w="754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670,126</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685,349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754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44,711</w:t>
            </w:r>
          </w:p>
        </w:tc>
        <w:tc>
          <w:tcPr>
            <w:tcW w:w="2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40,366</w:t>
            </w:r>
          </w:p>
        </w:tc>
        <w:tc>
          <w:tcPr>
            <w:tcW w:w="100" w:type="dxa"/>
            <w:vAlign w:val="bottom"/>
          </w:tcPr>
          <w:p>
            <w:pPr>
              <w:spacing w:after="0"/>
              <w:rPr>
                <w:sz w:val="18"/>
                <w:szCs w:val="18"/>
                <w:color w:val="auto"/>
              </w:rPr>
            </w:pPr>
          </w:p>
        </w:tc>
      </w:tr>
      <w:tr>
        <w:trPr>
          <w:trHeight w:val="216"/>
        </w:trPr>
        <w:tc>
          <w:tcPr>
            <w:tcW w:w="75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141,235</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139,583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5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185,946</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179,949</w:t>
            </w:r>
          </w:p>
        </w:tc>
        <w:tc>
          <w:tcPr>
            <w:tcW w:w="100" w:type="dxa"/>
            <w:vAlign w:val="bottom"/>
          </w:tcPr>
          <w:p>
            <w:pPr>
              <w:spacing w:after="0"/>
              <w:rPr>
                <w:sz w:val="18"/>
                <w:szCs w:val="18"/>
                <w:color w:val="auto"/>
              </w:rPr>
            </w:pPr>
          </w:p>
        </w:tc>
      </w:tr>
      <w:tr>
        <w:trPr>
          <w:trHeight w:val="209"/>
        </w:trPr>
        <w:tc>
          <w:tcPr>
            <w:tcW w:w="7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Long-Term Liabilities:</w:t>
            </w: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Long-term operating lease liability</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7,723</w:t>
            </w:r>
          </w:p>
        </w:tc>
        <w:tc>
          <w:tcPr>
            <w:tcW w:w="100" w:type="dxa"/>
            <w:vAlign w:val="bottom"/>
          </w:tcPr>
          <w:p>
            <w:pPr>
              <w:spacing w:after="0"/>
              <w:rPr>
                <w:sz w:val="18"/>
                <w:szCs w:val="18"/>
                <w:color w:val="auto"/>
              </w:rPr>
            </w:pPr>
          </w:p>
        </w:tc>
      </w:tr>
      <w:tr>
        <w:trPr>
          <w:trHeight w:val="216"/>
        </w:trPr>
        <w:tc>
          <w:tcPr>
            <w:tcW w:w="75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11,918</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5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205,202</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199,173</w:t>
            </w:r>
          </w:p>
        </w:tc>
        <w:tc>
          <w:tcPr>
            <w:tcW w:w="100" w:type="dxa"/>
            <w:vAlign w:val="bottom"/>
          </w:tcPr>
          <w:p>
            <w:pPr>
              <w:spacing w:after="0"/>
              <w:rPr>
                <w:sz w:val="18"/>
                <w:szCs w:val="18"/>
                <w:color w:val="auto"/>
              </w:rPr>
            </w:pPr>
          </w:p>
        </w:tc>
      </w:tr>
      <w:tr>
        <w:trPr>
          <w:trHeight w:val="210"/>
        </w:trPr>
        <w:tc>
          <w:tcPr>
            <w:tcW w:w="7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Commitments and contingencies (Note 5)</w:t>
            </w: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540" w:type="dxa"/>
            <w:vAlign w:val="bottom"/>
            <w:shd w:val="clear" w:color="auto" w:fill="CFF0FC"/>
          </w:tcPr>
          <w:p>
            <w:pPr>
              <w:ind w:left="280"/>
              <w:spacing w:after="0" w:line="198" w:lineRule="exact"/>
              <w:rPr>
                <w:sz w:val="20"/>
                <w:szCs w:val="20"/>
                <w:color w:val="auto"/>
              </w:rPr>
            </w:pPr>
            <w:r>
              <w:rPr>
                <w:rFonts w:ascii="Times New Roman" w:cs="Times New Roman" w:eastAsia="Times New Roman" w:hAnsi="Times New Roman"/>
                <w:sz w:val="18"/>
                <w:szCs w:val="18"/>
                <w:color w:val="auto"/>
              </w:rPr>
              <w:t>Ordinary Shares, £0.50 par value per share, unlimited authorized; 428,714,819 shares issued,</w:t>
            </w:r>
          </w:p>
        </w:tc>
        <w:tc>
          <w:tcPr>
            <w:tcW w:w="2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5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415,401,497 shares outstanding as of June 30, 2025; 422,256,900 shares issued,</w:t>
            </w: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5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411,584,851 shares outstanding as of December 31, 2024</w:t>
            </w:r>
          </w:p>
        </w:tc>
        <w:tc>
          <w:tcPr>
            <w:tcW w:w="22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309,421</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305,298</w:t>
            </w:r>
          </w:p>
        </w:tc>
        <w:tc>
          <w:tcPr>
            <w:tcW w:w="100" w:type="dxa"/>
            <w:vAlign w:val="bottom"/>
            <w:shd w:val="clear" w:color="auto" w:fill="CFF0FC"/>
          </w:tcPr>
          <w:p>
            <w:pPr>
              <w:spacing w:after="0"/>
              <w:rPr>
                <w:sz w:val="20"/>
                <w:szCs w:val="20"/>
                <w:color w:val="auto"/>
              </w:rPr>
            </w:pPr>
          </w:p>
        </w:tc>
      </w:tr>
      <w:tr>
        <w:trPr>
          <w:trHeight w:val="216"/>
        </w:trPr>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1,920,993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1,914,750</w:t>
            </w:r>
          </w:p>
        </w:tc>
        <w:tc>
          <w:tcPr>
            <w:tcW w:w="100" w:type="dxa"/>
            <w:vAlign w:val="bottom"/>
          </w:tcPr>
          <w:p>
            <w:pPr>
              <w:spacing w:after="0"/>
              <w:rPr>
                <w:sz w:val="18"/>
                <w:szCs w:val="18"/>
                <w:color w:val="auto"/>
              </w:rPr>
            </w:pPr>
          </w:p>
        </w:tc>
      </w:tr>
      <w:tr>
        <w:trPr>
          <w:trHeight w:val="198"/>
        </w:trPr>
        <w:tc>
          <w:tcPr>
            <w:tcW w:w="7540" w:type="dxa"/>
            <w:vAlign w:val="bottom"/>
            <w:shd w:val="clear" w:color="auto" w:fill="CFF0FC"/>
          </w:tcPr>
          <w:p>
            <w:pPr>
              <w:ind w:left="280"/>
              <w:spacing w:after="0" w:line="198" w:lineRule="exact"/>
              <w:rPr>
                <w:sz w:val="20"/>
                <w:szCs w:val="20"/>
                <w:color w:val="auto"/>
              </w:rPr>
            </w:pPr>
            <w:r>
              <w:rPr>
                <w:rFonts w:ascii="Times New Roman" w:cs="Times New Roman" w:eastAsia="Times New Roman" w:hAnsi="Times New Roman"/>
                <w:sz w:val="18"/>
                <w:szCs w:val="18"/>
                <w:color w:val="auto"/>
              </w:rPr>
              <w:t>Treasury stock; 13,313,322 shares as of June 30, 2025; 10,672,049 shares as of December 31,</w:t>
            </w:r>
          </w:p>
        </w:tc>
        <w:tc>
          <w:tcPr>
            <w:tcW w:w="2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5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(67,108)</w:t>
            </w:r>
          </w:p>
        </w:tc>
        <w:tc>
          <w:tcPr>
            <w:tcW w:w="200" w:type="dxa"/>
            <w:vAlign w:val="bottom"/>
            <w:shd w:val="clear" w:color="auto" w:fill="CFF0FC"/>
          </w:tcPr>
          <w:p>
            <w:pPr>
              <w:spacing w:after="0"/>
              <w:rPr>
                <w:sz w:val="20"/>
                <w:szCs w:val="20"/>
                <w:color w:val="auto"/>
              </w:rPr>
            </w:pP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(65,326)</w:t>
            </w:r>
          </w:p>
        </w:tc>
      </w:tr>
      <w:tr>
        <w:trPr>
          <w:trHeight w:val="216"/>
        </w:trPr>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(1,698,382)</w:t>
            </w:r>
          </w:p>
        </w:tc>
        <w:tc>
          <w:tcPr>
            <w:tcW w:w="200" w:type="dxa"/>
            <w:vAlign w:val="bottom"/>
          </w:tcPr>
          <w:p>
            <w:pPr>
              <w:spacing w:after="0"/>
              <w:rPr>
                <w:sz w:val="18"/>
                <w:szCs w:val="18"/>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(1,668,546)</w:t>
            </w:r>
          </w:p>
        </w:tc>
      </w:tr>
      <w:tr>
        <w:trPr>
          <w:trHeight w:val="210"/>
        </w:trPr>
        <w:tc>
          <w:tcPr>
            <w:tcW w:w="754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464,924</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486,176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54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670,126</w:t>
            </w:r>
          </w:p>
        </w:tc>
        <w:tc>
          <w:tcPr>
            <w:tcW w:w="26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685,349</w:t>
            </w:r>
          </w:p>
        </w:tc>
        <w:tc>
          <w:tcPr>
            <w:tcW w:w="100" w:type="dxa"/>
            <w:vAlign w:val="bottom"/>
          </w:tcPr>
          <w:p>
            <w:pPr>
              <w:spacing w:after="0"/>
              <w:rPr>
                <w:sz w:val="18"/>
                <w:szCs w:val="18"/>
                <w:color w:val="auto"/>
              </w:rPr>
            </w:pPr>
          </w:p>
        </w:tc>
      </w:tr>
      <w:tr>
        <w:trPr>
          <w:trHeight w:val="20"/>
        </w:trPr>
        <w:tc>
          <w:tcPr>
            <w:tcW w:w="7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-3685540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-3685540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-2845435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-2828290</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-2845435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-2828290</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-2270760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-2270760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-1704975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-1704975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-170815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AMARIN CORPORATION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per share amounts)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40" w:type="dxa"/>
            <w:vAlign w:val="bottom"/>
            <w:gridSpan w:val="6"/>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20" w:type="dxa"/>
            <w:vAlign w:val="bottom"/>
            <w:gridSpan w:val="6"/>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revenue, net</w:t>
            </w:r>
          </w:p>
        </w:tc>
        <w:tc>
          <w:tcPr>
            <w:tcW w:w="11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46,617</w:t>
            </w:r>
          </w:p>
        </w:tc>
        <w:tc>
          <w:tcPr>
            <w:tcW w:w="16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47,514</w:t>
            </w:r>
          </w:p>
        </w:tc>
        <w:tc>
          <w:tcPr>
            <w:tcW w:w="16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87,652</w:t>
            </w:r>
          </w:p>
        </w:tc>
        <w:tc>
          <w:tcPr>
            <w:tcW w:w="14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102,670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Licensing and royalty revenue</w:t>
            </w:r>
          </w:p>
        </w:tc>
        <w:tc>
          <w:tcPr>
            <w:tcW w:w="8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26,124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19,977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27,105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 revenue, net</w:t>
            </w:r>
          </w:p>
        </w:tc>
        <w:tc>
          <w:tcPr>
            <w:tcW w:w="8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72,741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67,491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114,757</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124,010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Less: Cost of goods sold</w:t>
            </w:r>
          </w:p>
        </w:tc>
        <w:tc>
          <w:tcPr>
            <w:tcW w:w="8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22,379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39,266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8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50,362</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42,769</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75,491</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74,673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38,673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38,547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75,247</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Restructuring</w:t>
            </w:r>
          </w:p>
        </w:tc>
        <w:tc>
          <w:tcPr>
            <w:tcW w:w="8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22,759</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22,759</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80" w:type="dxa"/>
            <w:vAlign w:val="bottom"/>
            <w:tcBorders>
              <w:top w:val="single" w:sz="8" w:color="CFF0FC"/>
            </w:tcBorders>
          </w:tcPr>
          <w:p>
            <w:pPr>
              <w:ind w:left="1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40" w:type="dxa"/>
            <w:vAlign w:val="bottom"/>
            <w:tcBorders>
              <w:top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66,347</w:t>
            </w: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43,293</w:t>
            </w: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108,233</w:t>
            </w: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88,780</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8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(15,985)</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(32,742)</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8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8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(Loss) income from operations before taxes</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(13,450)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(27,081)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(689)</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(1,370)</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(2,755)</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(2,667)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8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84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(14,139)</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16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(29,836)</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9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(Loss) earnings per Ordinary Share:</w:t>
            </w:r>
          </w:p>
        </w:tc>
        <w:tc>
          <w:tcPr>
            <w:tcW w:w="8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Basic</w:t>
            </w:r>
          </w:p>
        </w:tc>
        <w:tc>
          <w:tcPr>
            <w:tcW w:w="11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(0.03)</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6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(0.07)</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Diluted</w:t>
            </w:r>
          </w:p>
        </w:tc>
        <w:tc>
          <w:tcPr>
            <w:tcW w:w="11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(0.03)</w:t>
            </w: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6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(0.07)</w:t>
            </w: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Ordinary Shares:</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Basic</w:t>
            </w:r>
          </w:p>
        </w:tc>
        <w:tc>
          <w:tcPr>
            <w:tcW w:w="8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414,477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410,851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414,008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410,565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Diluted</w:t>
            </w: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414,477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411,395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414,008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410,565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3944620</wp:posOffset>
            </wp:positionH>
            <wp:positionV relativeFrom="paragraph">
              <wp:posOffset>-2411095</wp:posOffset>
            </wp:positionV>
            <wp:extent cx="768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4981575</wp:posOffset>
            </wp:positionH>
            <wp:positionV relativeFrom="paragraph">
              <wp:posOffset>-2411095</wp:posOffset>
            </wp:positionV>
            <wp:extent cx="768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5993130</wp:posOffset>
            </wp:positionH>
            <wp:positionV relativeFrom="paragraph">
              <wp:posOffset>-2411095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6996430</wp:posOffset>
            </wp:positionH>
            <wp:positionV relativeFrom="paragraph">
              <wp:posOffset>-2411095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3944620</wp:posOffset>
            </wp:positionH>
            <wp:positionV relativeFrom="paragraph">
              <wp:posOffset>-1854200</wp:posOffset>
            </wp:positionV>
            <wp:extent cx="768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4981575</wp:posOffset>
            </wp:positionH>
            <wp:positionV relativeFrom="paragraph">
              <wp:posOffset>-1854200</wp:posOffset>
            </wp:positionV>
            <wp:extent cx="768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5993130</wp:posOffset>
            </wp:positionH>
            <wp:positionV relativeFrom="paragraph">
              <wp:posOffset>-1854200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6996430</wp:posOffset>
            </wp:positionH>
            <wp:positionV relativeFrom="paragraph">
              <wp:posOffset>-1854200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3944620</wp:posOffset>
            </wp:positionH>
            <wp:positionV relativeFrom="paragraph">
              <wp:posOffset>-1288415</wp:posOffset>
            </wp:positionV>
            <wp:extent cx="768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4981575</wp:posOffset>
            </wp:positionH>
            <wp:positionV relativeFrom="paragraph">
              <wp:posOffset>-1288415</wp:posOffset>
            </wp:positionV>
            <wp:extent cx="768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5993130</wp:posOffset>
            </wp:positionH>
            <wp:positionV relativeFrom="paragraph">
              <wp:posOffset>-1288415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6996430</wp:posOffset>
            </wp:positionH>
            <wp:positionV relativeFrom="paragraph">
              <wp:posOffset>-1288415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3944620</wp:posOffset>
            </wp:positionH>
            <wp:positionV relativeFrom="paragraph">
              <wp:posOffset>-1005205</wp:posOffset>
            </wp:positionV>
            <wp:extent cx="7683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4981575</wp:posOffset>
            </wp:positionH>
            <wp:positionV relativeFrom="paragraph">
              <wp:posOffset>-1005205</wp:posOffset>
            </wp:positionV>
            <wp:extent cx="7683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5993130</wp:posOffset>
            </wp:positionH>
            <wp:positionV relativeFrom="paragraph">
              <wp:posOffset>-1005205</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6996430</wp:posOffset>
            </wp:positionH>
            <wp:positionV relativeFrom="paragraph">
              <wp:posOffset>-1005205</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473075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981" w:right="39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AMARIN CORPORATION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tcPr>
          <w:p>
            <w:pPr>
              <w:spacing w:after="0"/>
              <w:rPr>
                <w:sz w:val="12"/>
                <w:szCs w:val="12"/>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Ordinary</w:t>
            </w:r>
          </w:p>
        </w:tc>
        <w:tc>
          <w:tcPr>
            <w:tcW w:w="260" w:type="dxa"/>
            <w:vAlign w:val="bottom"/>
          </w:tcPr>
          <w:p>
            <w:pPr>
              <w:spacing w:after="0"/>
              <w:rPr>
                <w:sz w:val="12"/>
                <w:szCs w:val="12"/>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20" w:type="dxa"/>
            <w:vAlign w:val="bottom"/>
          </w:tcPr>
          <w:p>
            <w:pPr>
              <w:spacing w:after="0"/>
              <w:rPr>
                <w:sz w:val="12"/>
                <w:szCs w:val="12"/>
                <w:color w:val="auto"/>
              </w:rPr>
            </w:pPr>
          </w:p>
        </w:tc>
        <w:tc>
          <w:tcPr>
            <w:tcW w:w="780" w:type="dxa"/>
            <w:vAlign w:val="bottom"/>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rPr>
              <w:t>Ordinary</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20" w:type="dxa"/>
            <w:vAlign w:val="bottom"/>
          </w:tcPr>
          <w:p>
            <w:pPr>
              <w:spacing w:after="0"/>
              <w:rPr>
                <w:sz w:val="12"/>
                <w:szCs w:val="12"/>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80" w:type="dxa"/>
            <w:vAlign w:val="bottom"/>
          </w:tcPr>
          <w:p>
            <w:pPr>
              <w:spacing w:after="0"/>
              <w:rPr>
                <w:sz w:val="12"/>
                <w:szCs w:val="12"/>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84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6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rPr>
              <w:t>Stock</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1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422,256,900</w:t>
            </w:r>
          </w:p>
        </w:tc>
        <w:tc>
          <w:tcPr>
            <w:tcW w:w="1580" w:type="dxa"/>
            <w:vAlign w:val="bottom"/>
            <w:gridSpan w:val="3"/>
            <w:shd w:val="clear" w:color="auto" w:fill="CFF0FC"/>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(10,672,049)</w:t>
            </w: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305,298</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1,914,750</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(65,326)</w:t>
            </w:r>
          </w:p>
        </w:tc>
        <w:tc>
          <w:tcPr>
            <w:tcW w:w="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(1,668,546)</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486,176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Vesting of restricted stock units</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4,585,679</w:t>
            </w:r>
          </w:p>
        </w:tc>
        <w:tc>
          <w:tcPr>
            <w:tcW w:w="158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(1,805,341)</w:t>
            </w: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2,854</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(2,854)</w:t>
            </w:r>
          </w:p>
        </w:tc>
        <w:tc>
          <w:tcPr>
            <w:tcW w:w="120" w:type="dxa"/>
            <w:vAlign w:val="bottom"/>
          </w:tcPr>
          <w:p>
            <w:pPr>
              <w:spacing w:after="0"/>
              <w:rPr>
                <w:sz w:val="12"/>
                <w:szCs w:val="12"/>
                <w:color w:val="auto"/>
              </w:rPr>
            </w:pPr>
          </w:p>
        </w:tc>
        <w:tc>
          <w:tcPr>
            <w:tcW w:w="9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(1,119)</w:t>
            </w:r>
          </w:p>
        </w:tc>
        <w:tc>
          <w:tcPr>
            <w:tcW w:w="8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(1,119)</w:t>
            </w:r>
          </w:p>
        </w:tc>
        <w:tc>
          <w:tcPr>
            <w:tcW w:w="0" w:type="dxa"/>
            <w:vAlign w:val="bottom"/>
          </w:tcPr>
          <w:p>
            <w:pPr>
              <w:spacing w:after="0"/>
              <w:rPr>
                <w:sz w:val="1"/>
                <w:szCs w:val="1"/>
                <w:color w:val="auto"/>
              </w:rPr>
            </w:pPr>
          </w:p>
        </w:tc>
      </w:tr>
      <w:tr>
        <w:trPr>
          <w:trHeight w:val="148"/>
        </w:trPr>
        <w:tc>
          <w:tcPr>
            <w:tcW w:w="28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4,327</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4,327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Loss for the period</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(15,697)</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(15,697)</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8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2025</w:t>
            </w:r>
          </w:p>
        </w:tc>
        <w:tc>
          <w:tcPr>
            <w:tcW w:w="1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426,842,579</w:t>
            </w:r>
          </w:p>
        </w:tc>
        <w:tc>
          <w:tcPr>
            <w:tcW w:w="26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(12,477,390)</w:t>
            </w:r>
          </w:p>
        </w:tc>
        <w:tc>
          <w:tcPr>
            <w:tcW w:w="12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308,152</w:t>
            </w:r>
          </w:p>
        </w:tc>
        <w:tc>
          <w:tcPr>
            <w:tcW w:w="34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1,916,223</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(66,445)</w:t>
            </w:r>
          </w:p>
        </w:tc>
        <w:tc>
          <w:tcPr>
            <w:tcW w:w="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(1,684,243)</w:t>
            </w:r>
          </w:p>
        </w:tc>
        <w:tc>
          <w:tcPr>
            <w:tcW w:w="28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473,687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2840" w:type="dxa"/>
            <w:vAlign w:val="bottom"/>
            <w:tcBorders>
              <w:top w:val="single" w:sz="8" w:color="CFF0FC"/>
            </w:tcBorders>
          </w:tcPr>
          <w:p>
            <w:pPr>
              <w:spacing w:after="0" w:line="106" w:lineRule="exact"/>
              <w:rPr>
                <w:sz w:val="20"/>
                <w:szCs w:val="20"/>
                <w:color w:val="auto"/>
              </w:rPr>
            </w:pPr>
            <w:r>
              <w:rPr>
                <w:rFonts w:ascii="Times New Roman" w:cs="Times New Roman" w:eastAsia="Times New Roman" w:hAnsi="Times New Roman"/>
                <w:sz w:val="12"/>
                <w:szCs w:val="12"/>
                <w:color w:val="auto"/>
              </w:rPr>
              <w:t>Issuance of common stock under employee</w:t>
            </w:r>
          </w:p>
        </w:tc>
        <w:tc>
          <w:tcPr>
            <w:tcW w:w="1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CFF0FC"/>
            </w:tcBorders>
            <w:vMerge w:val="restart"/>
          </w:tcPr>
          <w:p>
            <w:pPr>
              <w:spacing w:after="0"/>
              <w:rPr>
                <w:sz w:val="9"/>
                <w:szCs w:val="9"/>
                <w:color w:val="auto"/>
              </w:rPr>
            </w:pPr>
          </w:p>
        </w:tc>
        <w:tc>
          <w:tcPr>
            <w:tcW w:w="10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97,520</w:t>
            </w:r>
          </w:p>
        </w:tc>
        <w:tc>
          <w:tcPr>
            <w:tcW w:w="24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FF0FC"/>
            </w:tcBorders>
            <w:vMerge w:val="restart"/>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22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FF0FC"/>
            </w:tcBorders>
            <w:vMerge w:val="restart"/>
          </w:tcPr>
          <w:p>
            <w:pPr>
              <w:spacing w:after="0"/>
              <w:rPr>
                <w:sz w:val="9"/>
                <w:szCs w:val="9"/>
                <w:color w:val="auto"/>
              </w:rPr>
            </w:pPr>
          </w:p>
        </w:tc>
        <w:tc>
          <w:tcPr>
            <w:tcW w:w="80" w:type="dxa"/>
            <w:vAlign w:val="bottom"/>
            <w:tcBorders>
              <w:top w:val="single" w:sz="8" w:color="CFF0FC"/>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stock purchase plan</w:t>
            </w:r>
          </w:p>
        </w:tc>
        <w:tc>
          <w:tcPr>
            <w:tcW w:w="110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Vesting of restricted stock units</w:t>
            </w: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1,872,240</w:t>
            </w:r>
          </w:p>
        </w:tc>
        <w:tc>
          <w:tcPr>
            <w:tcW w:w="1580" w:type="dxa"/>
            <w:vAlign w:val="bottom"/>
            <w:gridSpan w:val="3"/>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(933,452)</w:t>
            </w: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1,269</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(1,269)</w:t>
            </w:r>
          </w:p>
        </w:tc>
        <w:tc>
          <w:tcPr>
            <w:tcW w:w="1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(720)</w:t>
            </w:r>
          </w:p>
        </w:tc>
        <w:tc>
          <w:tcPr>
            <w:tcW w:w="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(720)</w:t>
            </w:r>
          </w:p>
        </w:tc>
        <w:tc>
          <w:tcPr>
            <w:tcW w:w="0" w:type="dxa"/>
            <w:vAlign w:val="bottom"/>
          </w:tcPr>
          <w:p>
            <w:pPr>
              <w:spacing w:after="0"/>
              <w:rPr>
                <w:sz w:val="1"/>
                <w:szCs w:val="1"/>
                <w:color w:val="auto"/>
              </w:rPr>
            </w:pPr>
          </w:p>
        </w:tc>
      </w:tr>
      <w:tr>
        <w:trPr>
          <w:trHeight w:val="148"/>
        </w:trPr>
        <w:tc>
          <w:tcPr>
            <w:tcW w:w="2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3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6,039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6,039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Loss for the period</w:t>
            </w: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(14,139)</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(14,139)</w:t>
            </w:r>
          </w:p>
        </w:tc>
        <w:tc>
          <w:tcPr>
            <w:tcW w:w="0" w:type="dxa"/>
            <w:vAlign w:val="bottom"/>
          </w:tcPr>
          <w:p>
            <w:pPr>
              <w:spacing w:after="0"/>
              <w:rPr>
                <w:sz w:val="1"/>
                <w:szCs w:val="1"/>
                <w:color w:val="auto"/>
              </w:rPr>
            </w:pPr>
          </w:p>
        </w:tc>
      </w:tr>
      <w:tr>
        <w:trPr>
          <w:trHeight w:val="20"/>
        </w:trPr>
        <w:tc>
          <w:tcPr>
            <w:tcW w:w="284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8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June 30, 2025</w:t>
            </w:r>
          </w:p>
        </w:tc>
        <w:tc>
          <w:tcPr>
            <w:tcW w:w="1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428,714,819</w:t>
            </w:r>
          </w:p>
        </w:tc>
        <w:tc>
          <w:tcPr>
            <w:tcW w:w="260" w:type="dxa"/>
            <w:vAlign w:val="bottom"/>
          </w:tcPr>
          <w:p>
            <w:pPr>
              <w:spacing w:after="0"/>
              <w:rPr>
                <w:sz w:val="12"/>
                <w:szCs w:val="12"/>
                <w:color w:val="auto"/>
              </w:rPr>
            </w:pPr>
          </w:p>
        </w:tc>
        <w:tc>
          <w:tcPr>
            <w:tcW w:w="132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(13,313,322)</w:t>
            </w:r>
          </w:p>
        </w:tc>
        <w:tc>
          <w:tcPr>
            <w:tcW w:w="12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309,421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1,920,993</w:t>
            </w:r>
          </w:p>
        </w:tc>
        <w:tc>
          <w:tcPr>
            <w:tcW w:w="220" w:type="dxa"/>
            <w:vAlign w:val="bottom"/>
          </w:tcPr>
          <w:p>
            <w:pPr>
              <w:spacing w:after="0"/>
              <w:rPr>
                <w:sz w:val="12"/>
                <w:szCs w:val="12"/>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(67,108)</w:t>
            </w:r>
          </w:p>
        </w:tc>
        <w:tc>
          <w:tcPr>
            <w:tcW w:w="80" w:type="dxa"/>
            <w:vAlign w:val="bottom"/>
          </w:tcPr>
          <w:p>
            <w:pPr>
              <w:spacing w:after="0"/>
              <w:rPr>
                <w:sz w:val="12"/>
                <w:szCs w:val="12"/>
                <w:color w:val="auto"/>
              </w:rPr>
            </w:pPr>
          </w:p>
        </w:tc>
        <w:tc>
          <w:tcPr>
            <w:tcW w:w="104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(1,698,382)</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464,924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2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rPr>
                <w:sz w:val="12"/>
                <w:szCs w:val="12"/>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Ordinary</w:t>
            </w:r>
          </w:p>
        </w:tc>
        <w:tc>
          <w:tcPr>
            <w:tcW w:w="260" w:type="dxa"/>
            <w:vAlign w:val="bottom"/>
          </w:tcPr>
          <w:p>
            <w:pPr>
              <w:spacing w:after="0"/>
              <w:rPr>
                <w:sz w:val="12"/>
                <w:szCs w:val="12"/>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20" w:type="dxa"/>
            <w:vAlign w:val="bottom"/>
          </w:tcPr>
          <w:p>
            <w:pPr>
              <w:spacing w:after="0"/>
              <w:rPr>
                <w:sz w:val="12"/>
                <w:szCs w:val="12"/>
                <w:color w:val="auto"/>
              </w:rPr>
            </w:pPr>
          </w:p>
        </w:tc>
        <w:tc>
          <w:tcPr>
            <w:tcW w:w="780" w:type="dxa"/>
            <w:vAlign w:val="bottom"/>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rPr>
              <w:t>Ordinary</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20" w:type="dxa"/>
            <w:vAlign w:val="bottom"/>
          </w:tcPr>
          <w:p>
            <w:pPr>
              <w:spacing w:after="0"/>
              <w:rPr>
                <w:sz w:val="12"/>
                <w:szCs w:val="12"/>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80" w:type="dxa"/>
            <w:vAlign w:val="bottom"/>
          </w:tcPr>
          <w:p>
            <w:pPr>
              <w:spacing w:after="0"/>
              <w:rPr>
                <w:sz w:val="12"/>
                <w:szCs w:val="12"/>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84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6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rPr>
              <w:t>Stock</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2023</w:t>
            </w:r>
          </w:p>
        </w:tc>
        <w:tc>
          <w:tcPr>
            <w:tcW w:w="1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418,141,295</w:t>
            </w:r>
          </w:p>
        </w:tc>
        <w:tc>
          <w:tcPr>
            <w:tcW w:w="1580" w:type="dxa"/>
            <w:vAlign w:val="bottom"/>
            <w:gridSpan w:val="3"/>
            <w:shd w:val="clear" w:color="auto" w:fill="CFF0FC"/>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(9,317,202)</w:t>
            </w:r>
          </w:p>
        </w:tc>
        <w:tc>
          <w:tcPr>
            <w:tcW w:w="12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302,756</w:t>
            </w:r>
          </w:p>
        </w:tc>
        <w:tc>
          <w:tcPr>
            <w:tcW w:w="34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1,899,456</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(63,752)</w:t>
            </w:r>
          </w:p>
        </w:tc>
        <w:tc>
          <w:tcPr>
            <w:tcW w:w="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(1,586,363)</w:t>
            </w:r>
          </w:p>
        </w:tc>
        <w:tc>
          <w:tcPr>
            <w:tcW w:w="28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552,097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9,500</w:t>
            </w:r>
          </w:p>
        </w:tc>
        <w:tc>
          <w:tcPr>
            <w:tcW w:w="260" w:type="dxa"/>
            <w:vAlign w:val="bottom"/>
          </w:tcPr>
          <w:p>
            <w:pPr>
              <w:spacing w:after="0"/>
              <w:rPr>
                <w:sz w:val="12"/>
                <w:szCs w:val="12"/>
                <w:color w:val="auto"/>
              </w:rPr>
            </w:pPr>
          </w:p>
        </w:tc>
        <w:tc>
          <w:tcPr>
            <w:tcW w:w="13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Vesting of restricted stock units</w:t>
            </w: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3,119,637</w:t>
            </w:r>
          </w:p>
        </w:tc>
        <w:tc>
          <w:tcPr>
            <w:tcW w:w="1580" w:type="dxa"/>
            <w:vAlign w:val="bottom"/>
            <w:gridSpan w:val="3"/>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(1,217,450)</w:t>
            </w: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1,980</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(1,980)</w:t>
            </w:r>
          </w:p>
        </w:tc>
        <w:tc>
          <w:tcPr>
            <w:tcW w:w="1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(1,436)</w:t>
            </w:r>
          </w:p>
        </w:tc>
        <w:tc>
          <w:tcPr>
            <w:tcW w:w="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(1,436)</w:t>
            </w:r>
          </w:p>
        </w:tc>
        <w:tc>
          <w:tcPr>
            <w:tcW w:w="0" w:type="dxa"/>
            <w:vAlign w:val="bottom"/>
          </w:tcPr>
          <w:p>
            <w:pPr>
              <w:spacing w:after="0"/>
              <w:rPr>
                <w:sz w:val="1"/>
                <w:szCs w:val="1"/>
                <w:color w:val="auto"/>
              </w:rPr>
            </w:pPr>
          </w:p>
        </w:tc>
      </w:tr>
      <w:tr>
        <w:trPr>
          <w:trHeight w:val="148"/>
        </w:trPr>
        <w:tc>
          <w:tcPr>
            <w:tcW w:w="2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3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5,218</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Loss for the period</w:t>
            </w: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(9,953)</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(9,953)</w:t>
            </w:r>
          </w:p>
        </w:tc>
        <w:tc>
          <w:tcPr>
            <w:tcW w:w="0" w:type="dxa"/>
            <w:vAlign w:val="bottom"/>
          </w:tcPr>
          <w:p>
            <w:pPr>
              <w:spacing w:after="0"/>
              <w:rPr>
                <w:sz w:val="1"/>
                <w:szCs w:val="1"/>
                <w:color w:val="auto"/>
              </w:rPr>
            </w:pPr>
          </w:p>
        </w:tc>
      </w:tr>
      <w:tr>
        <w:trPr>
          <w:trHeight w:val="20"/>
        </w:trPr>
        <w:tc>
          <w:tcPr>
            <w:tcW w:w="284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8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2024</w:t>
            </w:r>
          </w:p>
        </w:tc>
        <w:tc>
          <w:tcPr>
            <w:tcW w:w="1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421,270,432</w:t>
            </w:r>
          </w:p>
        </w:tc>
        <w:tc>
          <w:tcPr>
            <w:tcW w:w="260" w:type="dxa"/>
            <w:vAlign w:val="bottom"/>
          </w:tcPr>
          <w:p>
            <w:pPr>
              <w:spacing w:after="0"/>
              <w:rPr>
                <w:sz w:val="12"/>
                <w:szCs w:val="12"/>
                <w:color w:val="auto"/>
              </w:rPr>
            </w:pPr>
          </w:p>
        </w:tc>
        <w:tc>
          <w:tcPr>
            <w:tcW w:w="132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(10,534,652)</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304,742</w:t>
            </w:r>
          </w:p>
        </w:tc>
        <w:tc>
          <w:tcPr>
            <w:tcW w:w="34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1,902,698</w:t>
            </w:r>
          </w:p>
        </w:tc>
        <w:tc>
          <w:tcPr>
            <w:tcW w:w="220" w:type="dxa"/>
            <w:vAlign w:val="bottom"/>
          </w:tcPr>
          <w:p>
            <w:pPr>
              <w:spacing w:after="0"/>
              <w:rPr>
                <w:sz w:val="12"/>
                <w:szCs w:val="12"/>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(65,188)</w:t>
            </w:r>
          </w:p>
        </w:tc>
        <w:tc>
          <w:tcPr>
            <w:tcW w:w="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(1,596,316)</w:t>
            </w:r>
          </w:p>
        </w:tc>
        <w:tc>
          <w:tcPr>
            <w:tcW w:w="28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545,936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840" w:type="dxa"/>
            <w:vAlign w:val="bottom"/>
            <w:shd w:val="clear" w:color="auto" w:fill="CFF0FC"/>
          </w:tcPr>
          <w:p>
            <w:pPr>
              <w:spacing w:after="0" w:line="106" w:lineRule="exact"/>
              <w:rPr>
                <w:sz w:val="20"/>
                <w:szCs w:val="20"/>
                <w:color w:val="auto"/>
              </w:rPr>
            </w:pPr>
            <w:r>
              <w:rPr>
                <w:rFonts w:ascii="Times New Roman" w:cs="Times New Roman" w:eastAsia="Times New Roman" w:hAnsi="Times New Roman"/>
                <w:sz w:val="12"/>
                <w:szCs w:val="12"/>
                <w:color w:val="auto"/>
              </w:rPr>
              <w:t>Issuance of common stock under employee</w:t>
            </w: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139,982</w:t>
            </w:r>
          </w:p>
        </w:tc>
        <w:tc>
          <w:tcPr>
            <w:tcW w:w="260" w:type="dxa"/>
            <w:vAlign w:val="bottom"/>
            <w:shd w:val="clear" w:color="auto" w:fill="CFF0FC"/>
          </w:tcPr>
          <w:p>
            <w:pPr>
              <w:spacing w:after="0"/>
              <w:rPr>
                <w:sz w:val="9"/>
                <w:szCs w:val="9"/>
                <w:color w:val="auto"/>
              </w:rPr>
            </w:pPr>
          </w:p>
        </w:tc>
        <w:tc>
          <w:tcPr>
            <w:tcW w:w="132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9"/>
                <w:szCs w:val="9"/>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98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9"/>
                <w:szCs w:val="9"/>
                <w:color w:val="auto"/>
              </w:rPr>
            </w:pPr>
          </w:p>
        </w:tc>
        <w:tc>
          <w:tcPr>
            <w:tcW w:w="104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8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stock purchase plan</w:t>
            </w:r>
          </w:p>
        </w:tc>
        <w:tc>
          <w:tcPr>
            <w:tcW w:w="110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2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Vesting of restricted stock units</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340,936</w:t>
            </w:r>
          </w:p>
        </w:tc>
        <w:tc>
          <w:tcPr>
            <w:tcW w:w="158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(102,928)</w:t>
            </w: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215</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(215)</w:t>
            </w:r>
          </w:p>
        </w:tc>
        <w:tc>
          <w:tcPr>
            <w:tcW w:w="120" w:type="dxa"/>
            <w:vAlign w:val="bottom"/>
          </w:tcPr>
          <w:p>
            <w:pPr>
              <w:spacing w:after="0"/>
              <w:rPr>
                <w:sz w:val="12"/>
                <w:szCs w:val="12"/>
                <w:color w:val="auto"/>
              </w:rPr>
            </w:pPr>
          </w:p>
        </w:tc>
        <w:tc>
          <w:tcPr>
            <w:tcW w:w="9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(88)</w:t>
            </w:r>
          </w:p>
        </w:tc>
        <w:tc>
          <w:tcPr>
            <w:tcW w:w="8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148"/>
        </w:trPr>
        <w:tc>
          <w:tcPr>
            <w:tcW w:w="28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4,387</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4,387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Income for the period</w:t>
            </w:r>
          </w:p>
        </w:tc>
        <w:tc>
          <w:tcPr>
            <w:tcW w:w="11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1,522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1,522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8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June 30, 2024</w:t>
            </w:r>
          </w:p>
        </w:tc>
        <w:tc>
          <w:tcPr>
            <w:tcW w:w="1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421,751,350</w:t>
            </w:r>
          </w:p>
        </w:tc>
        <w:tc>
          <w:tcPr>
            <w:tcW w:w="26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(10,637,580)</w:t>
            </w:r>
          </w:p>
        </w:tc>
        <w:tc>
          <w:tcPr>
            <w:tcW w:w="12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305,046</w:t>
            </w:r>
          </w:p>
        </w:tc>
        <w:tc>
          <w:tcPr>
            <w:tcW w:w="34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1,906,903</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(65,276)</w:t>
            </w:r>
          </w:p>
        </w:tc>
        <w:tc>
          <w:tcPr>
            <w:tcW w:w="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(1,594,794)</w:t>
            </w:r>
          </w:p>
        </w:tc>
        <w:tc>
          <w:tcPr>
            <w:tcW w:w="28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551,879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4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-2253615</wp:posOffset>
            </wp:positionV>
            <wp:extent cx="774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-2236470</wp:posOffset>
            </wp:positionV>
            <wp:extent cx="77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-2253615</wp:posOffset>
            </wp:positionV>
            <wp:extent cx="774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-2236470</wp:posOffset>
            </wp:positionV>
            <wp:extent cx="77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-2253615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-2236470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-2253615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-2236470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-2253615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-2236470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-2253615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-2236470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-2253615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-2236470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-1757045</wp:posOffset>
            </wp:positionV>
            <wp:extent cx="774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-1757045</wp:posOffset>
            </wp:positionV>
            <wp:extent cx="77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-1757045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-1757045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-1757045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-1757045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-1757045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-728345</wp:posOffset>
            </wp:positionV>
            <wp:extent cx="774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-728345</wp:posOffset>
            </wp:positionV>
            <wp:extent cx="774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-728345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-728345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-728345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-728345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-728345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-25400</wp:posOffset>
            </wp:positionV>
            <wp:extent cx="7747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-7620</wp:posOffset>
            </wp:positionV>
            <wp:extent cx="774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-25400</wp:posOffset>
            </wp:positionV>
            <wp:extent cx="7747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-7620</wp:posOffset>
            </wp:positionV>
            <wp:extent cx="774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-25400</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-7620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-25400</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-7620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-25400</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-7620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-25400</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-7620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AMARIN CORPORATION PLC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76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702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(29,836)</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(8,431)</w:t>
            </w:r>
          </w:p>
        </w:tc>
        <w:tc>
          <w:tcPr>
            <w:tcW w:w="0" w:type="dxa"/>
            <w:vAlign w:val="bottom"/>
          </w:tcPr>
          <w:p>
            <w:pPr>
              <w:spacing w:after="0"/>
              <w:rPr>
                <w:sz w:val="1"/>
                <w:szCs w:val="1"/>
                <w:color w:val="auto"/>
              </w:rPr>
            </w:pPr>
          </w:p>
        </w:tc>
      </w:tr>
      <w:tr>
        <w:trPr>
          <w:trHeight w:val="216"/>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loss to net cash used in operating activities:</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Accretion of investments</w:t>
            </w:r>
          </w:p>
        </w:tc>
        <w:tc>
          <w:tcPr>
            <w:tcW w:w="3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(2,189)</w:t>
            </w: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(2,745)</w:t>
            </w:r>
          </w:p>
        </w:tc>
        <w:tc>
          <w:tcPr>
            <w:tcW w:w="0" w:type="dxa"/>
            <w:vAlign w:val="bottom"/>
          </w:tcPr>
          <w:p>
            <w:pPr>
              <w:spacing w:after="0"/>
              <w:rPr>
                <w:sz w:val="1"/>
                <w:szCs w:val="1"/>
                <w:color w:val="auto"/>
              </w:rPr>
            </w:pPr>
          </w:p>
        </w:tc>
      </w:tr>
      <w:tr>
        <w:trPr>
          <w:trHeight w:val="216"/>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10,366</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Amortization of intangible asset</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Accounts receivable, net</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3,149</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9,872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Inventory</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19,958</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3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(5,239)</w:t>
            </w: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(19,934)</w:t>
            </w:r>
          </w:p>
        </w:tc>
        <w:tc>
          <w:tcPr>
            <w:tcW w:w="0" w:type="dxa"/>
            <w:vAlign w:val="bottom"/>
          </w:tcPr>
          <w:p>
            <w:pPr>
              <w:spacing w:after="0"/>
              <w:rPr>
                <w:sz w:val="1"/>
                <w:szCs w:val="1"/>
                <w:color w:val="auto"/>
              </w:rPr>
            </w:pPr>
          </w:p>
        </w:tc>
      </w:tr>
      <w:tr>
        <w:trPr>
          <w:trHeight w:val="216"/>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long-term assets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receivable</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(4,850)</w:t>
            </w:r>
          </w:p>
        </w:tc>
        <w:tc>
          <w:tcPr>
            <w:tcW w:w="0" w:type="dxa"/>
            <w:vAlign w:val="bottom"/>
          </w:tcPr>
          <w:p>
            <w:pPr>
              <w:spacing w:after="0"/>
              <w:rPr>
                <w:sz w:val="1"/>
                <w:szCs w:val="1"/>
                <w:color w:val="auto"/>
              </w:rPr>
            </w:pPr>
          </w:p>
        </w:tc>
      </w:tr>
      <w:tr>
        <w:trPr>
          <w:trHeight w:val="216"/>
        </w:trPr>
        <w:tc>
          <w:tcPr>
            <w:tcW w:w="7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5,997</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(26,394)</w:t>
            </w:r>
          </w:p>
        </w:tc>
        <w:tc>
          <w:tcPr>
            <w:tcW w:w="0" w:type="dxa"/>
            <w:vAlign w:val="bottom"/>
          </w:tcPr>
          <w:p>
            <w:pPr>
              <w:spacing w:after="0"/>
              <w:rPr>
                <w:sz w:val="1"/>
                <w:szCs w:val="1"/>
                <w:color w:val="auto"/>
              </w:rPr>
            </w:pPr>
          </w:p>
        </w:tc>
      </w:tr>
      <w:tr>
        <w:trPr>
          <w:trHeight w:val="216"/>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4,147</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(15,350)</w:t>
            </w:r>
          </w:p>
        </w:tc>
        <w:tc>
          <w:tcPr>
            <w:tcW w:w="0" w:type="dxa"/>
            <w:vAlign w:val="bottom"/>
          </w:tcPr>
          <w:p>
            <w:pPr>
              <w:spacing w:after="0"/>
              <w:rPr>
                <w:sz w:val="1"/>
                <w:szCs w:val="1"/>
                <w:color w:val="auto"/>
              </w:rPr>
            </w:pPr>
          </w:p>
        </w:tc>
      </w:tr>
      <w:tr>
        <w:trPr>
          <w:trHeight w:val="209"/>
        </w:trPr>
        <w:tc>
          <w:tcPr>
            <w:tcW w:w="70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Maturities of securities</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105,300</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Purchases of securities</w:t>
            </w:r>
          </w:p>
        </w:tc>
        <w:tc>
          <w:tcPr>
            <w:tcW w:w="3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(80,826)</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(99,586)</w:t>
            </w:r>
          </w:p>
        </w:tc>
        <w:tc>
          <w:tcPr>
            <w:tcW w:w="0" w:type="dxa"/>
            <w:vAlign w:val="bottom"/>
          </w:tcPr>
          <w:p>
            <w:pPr>
              <w:spacing w:after="0"/>
              <w:rPr>
                <w:sz w:val="1"/>
                <w:szCs w:val="1"/>
                <w:color w:val="auto"/>
              </w:rPr>
            </w:pPr>
          </w:p>
        </w:tc>
      </w:tr>
      <w:tr>
        <w:trPr>
          <w:trHeight w:val="209"/>
        </w:trPr>
        <w:tc>
          <w:tcPr>
            <w:tcW w:w="70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24,474</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33,414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Proceeds from issuance of common stock under employee stock purchase plan</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2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Taxes paid related to stock-based awards</w:t>
            </w:r>
          </w:p>
        </w:tc>
        <w:tc>
          <w:tcPr>
            <w:tcW w:w="3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(1,839)</w:t>
            </w: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(1,524)</w:t>
            </w:r>
          </w:p>
        </w:tc>
        <w:tc>
          <w:tcPr>
            <w:tcW w:w="0" w:type="dxa"/>
            <w:vAlign w:val="bottom"/>
          </w:tcPr>
          <w:p>
            <w:pPr>
              <w:spacing w:after="0"/>
              <w:rPr>
                <w:sz w:val="1"/>
                <w:szCs w:val="1"/>
                <w:color w:val="auto"/>
              </w:rPr>
            </w:pPr>
          </w:p>
        </w:tc>
      </w:tr>
      <w:tr>
        <w:trPr>
          <w:trHeight w:val="20"/>
        </w:trPr>
        <w:tc>
          <w:tcPr>
            <w:tcW w:w="70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(1,782)</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(1,392)</w:t>
            </w:r>
          </w:p>
        </w:tc>
        <w:tc>
          <w:tcPr>
            <w:tcW w:w="0" w:type="dxa"/>
            <w:vAlign w:val="bottom"/>
          </w:tcPr>
          <w:p>
            <w:pPr>
              <w:spacing w:after="0"/>
              <w:rPr>
                <w:sz w:val="1"/>
                <w:szCs w:val="1"/>
                <w:color w:val="auto"/>
              </w:rPr>
            </w:pPr>
          </w:p>
        </w:tc>
      </w:tr>
      <w:tr>
        <w:trPr>
          <w:trHeight w:val="191"/>
        </w:trPr>
        <w:tc>
          <w:tcPr>
            <w:tcW w:w="702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NET INCREASE IN CASH AND CASH EQUIVALENTS AND</w:t>
            </w:r>
          </w:p>
        </w:tc>
        <w:tc>
          <w:tcPr>
            <w:tcW w:w="320" w:type="dxa"/>
            <w:vAlign w:val="bottom"/>
            <w:tcBorders>
              <w:top w:val="single" w:sz="8" w:color="auto"/>
            </w:tcBorders>
            <w:shd w:val="clear" w:color="auto" w:fill="CFF0FC"/>
          </w:tcPr>
          <w:p>
            <w:pPr>
              <w:spacing w:after="0"/>
              <w:rPr>
                <w:sz w:val="16"/>
                <w:szCs w:val="16"/>
                <w:color w:val="auto"/>
              </w:rPr>
            </w:pPr>
          </w:p>
        </w:tc>
        <w:tc>
          <w:tcPr>
            <w:tcW w:w="106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106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0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26,839</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16,672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CASH AND CASH EQUIVALENTS AND RESTRICTED CASH, BEGINNING OF</w:t>
            </w:r>
          </w:p>
        </w:tc>
        <w:tc>
          <w:tcPr>
            <w:tcW w:w="32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121,338</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199,777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PERIOD</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END OF PERIOD</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148,177</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216,449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 paid during the year for:</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taxes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(147)</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(669)</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Supplemental disclosure of non-cash transactions:</w:t>
            </w: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Initial recognition of operating lease right-of-use asset</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240" w:type="dxa"/>
            <w:vAlign w:val="bottom"/>
          </w:tcPr>
          <w:p>
            <w:pPr>
              <w:spacing w:after="0"/>
              <w:rPr>
                <w:sz w:val="18"/>
                <w:szCs w:val="18"/>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-2725420</wp:posOffset>
            </wp:positionV>
            <wp:extent cx="603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-2725420</wp:posOffset>
            </wp:positionV>
            <wp:extent cx="603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-2159635</wp:posOffset>
            </wp:positionV>
            <wp:extent cx="603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-2159635</wp:posOffset>
            </wp:positionV>
            <wp:extent cx="603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-1602105</wp:posOffset>
            </wp:positionV>
            <wp:extent cx="603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-1602105</wp:posOffset>
            </wp:positionV>
            <wp:extent cx="603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-762000</wp:posOffset>
            </wp:positionV>
            <wp:extent cx="603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-744855</wp:posOffset>
            </wp:positionV>
            <wp:extent cx="603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-762000</wp:posOffset>
            </wp:positionV>
            <wp:extent cx="603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-744855</wp:posOffset>
            </wp:positionV>
            <wp:extent cx="603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473075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981" w:right="89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AMARIN CORPORATION PLC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(1)</w:t>
        <w:tab/>
        <w:t>Nature of Business and Basis of Presentation</w:t>
      </w:r>
    </w:p>
    <w:p>
      <w:pPr>
        <w:spacing w:after="0" w:line="2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Nature of Business</w:t>
      </w:r>
    </w:p>
    <w:p>
      <w:pPr>
        <w:spacing w:after="0" w:line="121"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18"/>
          <w:szCs w:val="18"/>
          <w:color w:val="auto"/>
        </w:rPr>
        <w:t>Amarin Corporation plc, or Amarin, or the Company, is a pharmaceutical company focused on the commercialization and development of therapeutics to improve cardiovascular, or CV, health and reduce CV risk. The Company is commercialized in the United States, or the U.S., under the brand name VASCEPA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(icosapent ethyl), or VASCEPA. The Company is also commercialized in various European countries, including the United Kingdom, or the UK, and Spain, under the brand name VAZKEPA, hereinafter along with VASCEPA, collectively referred to as VASCEPA. The Company’s operations outside of the U.S. and Europe are in varying stages of development and commercialization with reliance on third-party commercial partners in select geographies, including China, Australia and Canada.</w:t>
      </w:r>
    </w:p>
    <w:p>
      <w:pPr>
        <w:spacing w:after="0" w:line="90"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8"/>
          <w:szCs w:val="18"/>
          <w:color w:val="auto"/>
        </w:rPr>
        <w:t>VASCEPA was first approved by the U.S. Food and Drug Administration, or U.S. FDA, in July 2012 for use as an adjunct to diet to reduce triglyceride, or TG, levels in adult patients with severe (</w:t>
      </w:r>
      <w:r>
        <w:rPr>
          <w:rFonts w:ascii="Times New Roman" w:cs="Times New Roman" w:eastAsia="Times New Roman" w:hAnsi="Times New Roman"/>
          <w:sz w:val="18"/>
          <w:szCs w:val="18"/>
          <w:u w:val="single" w:color="auto"/>
          <w:color w:val="auto"/>
        </w:rPr>
        <w:t>&gt;</w:t>
      </w:r>
      <w:r>
        <w:rPr>
          <w:rFonts w:ascii="Times New Roman" w:cs="Times New Roman" w:eastAsia="Times New Roman" w:hAnsi="Times New Roman"/>
          <w:sz w:val="18"/>
          <w:szCs w:val="18"/>
          <w:color w:val="auto"/>
        </w:rPr>
        <w:t>500 mg/dL) hypertriglyceridemia, or the MARINE indication. In January 2013, the Company launched 1-gram size VASCEPA in the U.S. and in October 2016, introduced a 0.5-gram capsule size. On December 13, 2019, the U.S. FDA approved another indication and label expansion for VASCEPA based on the results of the Company’s long-term cardiovascular outcomes trial, REDUCE-IT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or Reduction of Cardiovascular Events with EPA – Intervention Trial. VASCEPA is approved by the U.S. FDA as an adjunct to maximally tolerated statin therapy for reducing persistent cardiovascular risk in select high risk patients, or the REDUCE-IT indication.</w:t>
      </w:r>
    </w:p>
    <w:p>
      <w:pPr>
        <w:spacing w:after="0" w:line="9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March 30, 2020, following conclusion of a trial in late January 2020, the U.S. District Court for the District of Nevada, or the Nevada Court, issued a ruling in favor of two generic drug companies, Dr. Reddy’s Laboratories, Inc., or Dr. Reddy’s, and Hikma Pharmaceuticals USA Inc., or Hikma, and certain of their affiliates, or, collectively, the Defendants, that declared as invalid several of the Company's patents covering the MARINE indication. The Company sought appeals of the Nevada Court judgment up to the U.S. Supreme Court, but the Company was unsuccessful. As a result, the following generic versions of icosapent ethyl have obtained U.S. FDA approval with labeling consistent with the MARINE indication of VASCEPA and have entered the U.S. market:</w:t>
      </w:r>
    </w:p>
    <w:p>
      <w:pPr>
        <w:spacing w:after="0" w:line="16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260" w:type="dxa"/>
            <w:vAlign w:val="bottom"/>
          </w:tcPr>
          <w:p>
            <w:pPr>
              <w:spacing w:after="0"/>
              <w:rPr>
                <w:sz w:val="13"/>
                <w:szCs w:val="13"/>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FDA MARINE Indication</w:t>
            </w:r>
          </w:p>
        </w:tc>
        <w:tc>
          <w:tcPr>
            <w:tcW w:w="260" w:type="dxa"/>
            <w:vAlign w:val="bottom"/>
          </w:tcPr>
          <w:p>
            <w:pPr>
              <w:spacing w:after="0"/>
              <w:rPr>
                <w:sz w:val="13"/>
                <w:szCs w:val="13"/>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1-gram Launch Date</w:t>
            </w:r>
          </w:p>
        </w:tc>
        <w:tc>
          <w:tcPr>
            <w:tcW w:w="260" w:type="dxa"/>
            <w:vAlign w:val="bottom"/>
          </w:tcPr>
          <w:p>
            <w:pPr>
              <w:spacing w:after="0"/>
              <w:rPr>
                <w:sz w:val="13"/>
                <w:szCs w:val="13"/>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0.5-gram Launch Date</w:t>
            </w:r>
          </w:p>
        </w:tc>
        <w:tc>
          <w:tcPr>
            <w:tcW w:w="0" w:type="dxa"/>
            <w:vAlign w:val="bottom"/>
          </w:tcPr>
          <w:p>
            <w:pPr>
              <w:spacing w:after="0"/>
              <w:rPr>
                <w:sz w:val="1"/>
                <w:szCs w:val="1"/>
                <w:color w:val="auto"/>
              </w:rPr>
            </w:pPr>
          </w:p>
        </w:tc>
      </w:tr>
      <w:tr>
        <w:trPr>
          <w:trHeight w:val="173"/>
        </w:trPr>
        <w:tc>
          <w:tcPr>
            <w:tcW w:w="386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Approval</w:t>
            </w:r>
          </w:p>
        </w:tc>
        <w:tc>
          <w:tcPr>
            <w:tcW w:w="260" w:type="dxa"/>
            <w:vAlign w:val="bottom"/>
          </w:tcPr>
          <w:p>
            <w:pPr>
              <w:spacing w:after="0"/>
              <w:rPr>
                <w:sz w:val="15"/>
                <w:szCs w:val="15"/>
                <w:color w:val="auto"/>
              </w:rPr>
            </w:pPr>
          </w:p>
        </w:tc>
        <w:tc>
          <w:tcPr>
            <w:tcW w:w="176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17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Hikma Pharmaceuticals USA Inc.</w:t>
            </w:r>
          </w:p>
        </w:tc>
        <w:tc>
          <w:tcPr>
            <w:tcW w:w="260" w:type="dxa"/>
            <w:vAlign w:val="bottom"/>
            <w:shd w:val="clear" w:color="auto" w:fill="CFF0FC"/>
          </w:tcPr>
          <w:p>
            <w:pPr>
              <w:spacing w:after="0"/>
              <w:rPr>
                <w:sz w:val="18"/>
                <w:szCs w:val="18"/>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May 2020</w:t>
            </w:r>
          </w:p>
        </w:tc>
        <w:tc>
          <w:tcPr>
            <w:tcW w:w="260" w:type="dxa"/>
            <w:vAlign w:val="bottom"/>
            <w:shd w:val="clear" w:color="auto" w:fill="CFF0FC"/>
          </w:tcPr>
          <w:p>
            <w:pPr>
              <w:spacing w:after="0"/>
              <w:rPr>
                <w:sz w:val="18"/>
                <w:szCs w:val="18"/>
                <w:color w:val="auto"/>
              </w:rPr>
            </w:pPr>
          </w:p>
        </w:tc>
        <w:tc>
          <w:tcPr>
            <w:tcW w:w="1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November 2020</w:t>
            </w:r>
          </w:p>
        </w:tc>
        <w:tc>
          <w:tcPr>
            <w:tcW w:w="260" w:type="dxa"/>
            <w:vAlign w:val="bottom"/>
            <w:shd w:val="clear" w:color="auto" w:fill="CFF0FC"/>
          </w:tcPr>
          <w:p>
            <w:pPr>
              <w:spacing w:after="0"/>
              <w:rPr>
                <w:sz w:val="18"/>
                <w:szCs w:val="18"/>
                <w:color w:val="auto"/>
              </w:rPr>
            </w:pPr>
          </w:p>
        </w:tc>
        <w:tc>
          <w:tcPr>
            <w:tcW w:w="1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2023</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Dr. Reddy’s Laboratories, Inc.</w:t>
            </w:r>
          </w:p>
        </w:tc>
        <w:tc>
          <w:tcPr>
            <w:tcW w:w="26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2020</w:t>
            </w:r>
          </w:p>
        </w:tc>
        <w:tc>
          <w:tcPr>
            <w:tcW w:w="26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June 2021</w:t>
            </w:r>
          </w:p>
        </w:tc>
        <w:tc>
          <w:tcPr>
            <w:tcW w:w="26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June 2023</w:t>
            </w:r>
          </w:p>
        </w:tc>
        <w:tc>
          <w:tcPr>
            <w:tcW w:w="0" w:type="dxa"/>
            <w:vAlign w:val="bottom"/>
          </w:tcPr>
          <w:p>
            <w:pPr>
              <w:spacing w:after="0"/>
              <w:rPr>
                <w:sz w:val="1"/>
                <w:szCs w:val="1"/>
                <w:color w:val="auto"/>
              </w:rPr>
            </w:pPr>
          </w:p>
        </w:tc>
      </w:tr>
      <w:tr>
        <w:trPr>
          <w:trHeight w:val="216"/>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Teva Pharmaceuticals USA, Inc.</w:t>
            </w:r>
          </w:p>
        </w:tc>
        <w:tc>
          <w:tcPr>
            <w:tcW w:w="260" w:type="dxa"/>
            <w:vAlign w:val="bottom"/>
            <w:shd w:val="clear" w:color="auto" w:fill="CFF0FC"/>
          </w:tcPr>
          <w:p>
            <w:pPr>
              <w:spacing w:after="0"/>
              <w:rPr>
                <w:sz w:val="18"/>
                <w:szCs w:val="18"/>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September 2020</w:t>
            </w:r>
          </w:p>
        </w:tc>
        <w:tc>
          <w:tcPr>
            <w:tcW w:w="260" w:type="dxa"/>
            <w:vAlign w:val="bottom"/>
            <w:shd w:val="clear" w:color="auto" w:fill="CFF0FC"/>
          </w:tcPr>
          <w:p>
            <w:pPr>
              <w:spacing w:after="0"/>
              <w:rPr>
                <w:sz w:val="18"/>
                <w:szCs w:val="18"/>
                <w:color w:val="auto"/>
              </w:rPr>
            </w:pPr>
          </w:p>
        </w:tc>
        <w:tc>
          <w:tcPr>
            <w:tcW w:w="1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January 2023</w:t>
            </w:r>
          </w:p>
        </w:tc>
        <w:tc>
          <w:tcPr>
            <w:tcW w:w="260" w:type="dxa"/>
            <w:vAlign w:val="bottom"/>
            <w:shd w:val="clear" w:color="auto" w:fill="CFF0FC"/>
          </w:tcPr>
          <w:p>
            <w:pPr>
              <w:spacing w:after="0"/>
              <w:rPr>
                <w:sz w:val="18"/>
                <w:szCs w:val="18"/>
                <w:color w:val="auto"/>
              </w:rPr>
            </w:pPr>
          </w:p>
        </w:tc>
        <w:tc>
          <w:tcPr>
            <w:tcW w:w="1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September 2022</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Apotex, Inc.</w:t>
            </w:r>
          </w:p>
        </w:tc>
        <w:tc>
          <w:tcPr>
            <w:tcW w:w="26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June 2021</w:t>
            </w:r>
          </w:p>
        </w:tc>
        <w:tc>
          <w:tcPr>
            <w:tcW w:w="26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2022</w:t>
            </w:r>
          </w:p>
        </w:tc>
        <w:tc>
          <w:tcPr>
            <w:tcW w:w="26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Zydus Lifesciences</w:t>
            </w:r>
          </w:p>
        </w:tc>
        <w:tc>
          <w:tcPr>
            <w:tcW w:w="260" w:type="dxa"/>
            <w:vAlign w:val="bottom"/>
            <w:shd w:val="clear" w:color="auto" w:fill="CFF0FC"/>
          </w:tcPr>
          <w:p>
            <w:pPr>
              <w:spacing w:after="0"/>
              <w:rPr>
                <w:sz w:val="18"/>
                <w:szCs w:val="18"/>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April 2023</w:t>
            </w:r>
          </w:p>
        </w:tc>
        <w:tc>
          <w:tcPr>
            <w:tcW w:w="260" w:type="dxa"/>
            <w:vAlign w:val="bottom"/>
            <w:shd w:val="clear" w:color="auto" w:fill="CFF0FC"/>
          </w:tcPr>
          <w:p>
            <w:pPr>
              <w:spacing w:after="0"/>
              <w:rPr>
                <w:sz w:val="18"/>
                <w:szCs w:val="18"/>
                <w:color w:val="auto"/>
              </w:rPr>
            </w:pPr>
          </w:p>
        </w:tc>
        <w:tc>
          <w:tcPr>
            <w:tcW w:w="1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18"/>
                <w:szCs w:val="18"/>
                <w:color w:val="auto"/>
              </w:rPr>
            </w:pPr>
          </w:p>
        </w:tc>
        <w:tc>
          <w:tcPr>
            <w:tcW w:w="1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June 2024</w:t>
            </w:r>
          </w:p>
        </w:tc>
        <w:tc>
          <w:tcPr>
            <w:tcW w:w="0" w:type="dxa"/>
            <w:vAlign w:val="bottom"/>
          </w:tcPr>
          <w:p>
            <w:pPr>
              <w:spacing w:after="0"/>
              <w:rPr>
                <w:sz w:val="1"/>
                <w:szCs w:val="1"/>
                <w:color w:val="auto"/>
              </w:rPr>
            </w:pPr>
          </w:p>
        </w:tc>
      </w:tr>
      <w:tr>
        <w:trPr>
          <w:trHeight w:val="216"/>
        </w:trPr>
        <w:tc>
          <w:tcPr>
            <w:tcW w:w="38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Strides Pharma </w:t>
            </w:r>
            <w:r>
              <w:rPr>
                <w:rFonts w:ascii="Times New Roman" w:cs="Times New Roman" w:eastAsia="Times New Roman" w:hAnsi="Times New Roman"/>
                <w:sz w:val="24"/>
                <w:szCs w:val="24"/>
                <w:color w:val="auto"/>
                <w:vertAlign w:val="superscript"/>
              </w:rPr>
              <w:t>(1)</w:t>
            </w:r>
          </w:p>
        </w:tc>
        <w:tc>
          <w:tcPr>
            <w:tcW w:w="26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September 2023</w:t>
            </w:r>
          </w:p>
        </w:tc>
        <w:tc>
          <w:tcPr>
            <w:tcW w:w="26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2024</w:t>
            </w:r>
          </w:p>
        </w:tc>
        <w:tc>
          <w:tcPr>
            <w:tcW w:w="26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2024</w:t>
            </w:r>
          </w:p>
        </w:tc>
        <w:tc>
          <w:tcPr>
            <w:tcW w:w="0" w:type="dxa"/>
            <w:vAlign w:val="bottom"/>
          </w:tcPr>
          <w:p>
            <w:pPr>
              <w:spacing w:after="0"/>
              <w:rPr>
                <w:sz w:val="1"/>
                <w:szCs w:val="1"/>
                <w:color w:val="auto"/>
              </w:rPr>
            </w:pPr>
          </w:p>
        </w:tc>
      </w:tr>
      <w:tr>
        <w:trPr>
          <w:trHeight w:val="216"/>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Epic Pharma</w:t>
            </w:r>
          </w:p>
        </w:tc>
        <w:tc>
          <w:tcPr>
            <w:tcW w:w="260" w:type="dxa"/>
            <w:vAlign w:val="bottom"/>
            <w:shd w:val="clear" w:color="auto" w:fill="CFF0FC"/>
          </w:tcPr>
          <w:p>
            <w:pPr>
              <w:spacing w:after="0"/>
              <w:rPr>
                <w:sz w:val="18"/>
                <w:szCs w:val="18"/>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December 2023</w:t>
            </w:r>
          </w:p>
        </w:tc>
        <w:tc>
          <w:tcPr>
            <w:tcW w:w="260" w:type="dxa"/>
            <w:vAlign w:val="bottom"/>
            <w:shd w:val="clear" w:color="auto" w:fill="CFF0FC"/>
          </w:tcPr>
          <w:p>
            <w:pPr>
              <w:spacing w:after="0"/>
              <w:rPr>
                <w:sz w:val="18"/>
                <w:szCs w:val="18"/>
                <w:color w:val="auto"/>
              </w:rPr>
            </w:pPr>
          </w:p>
        </w:tc>
        <w:tc>
          <w:tcPr>
            <w:tcW w:w="1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2024</w:t>
            </w:r>
          </w:p>
        </w:tc>
        <w:tc>
          <w:tcPr>
            <w:tcW w:w="260" w:type="dxa"/>
            <w:vAlign w:val="bottom"/>
            <w:shd w:val="clear" w:color="auto" w:fill="CFF0FC"/>
          </w:tcPr>
          <w:p>
            <w:pPr>
              <w:spacing w:after="0"/>
              <w:rPr>
                <w:sz w:val="18"/>
                <w:szCs w:val="18"/>
                <w:color w:val="auto"/>
              </w:rPr>
            </w:pPr>
          </w:p>
        </w:tc>
        <w:tc>
          <w:tcPr>
            <w:tcW w:w="1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38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Ascent Pharmaceuticals, Inc. </w:t>
            </w:r>
            <w:r>
              <w:rPr>
                <w:rFonts w:ascii="Times New Roman" w:cs="Times New Roman" w:eastAsia="Times New Roman" w:hAnsi="Times New Roman"/>
                <w:sz w:val="24"/>
                <w:szCs w:val="24"/>
                <w:color w:val="auto"/>
                <w:vertAlign w:val="superscript"/>
              </w:rPr>
              <w:t>(2)</w:t>
            </w:r>
          </w:p>
        </w:tc>
        <w:tc>
          <w:tcPr>
            <w:tcW w:w="26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2023</w:t>
            </w:r>
          </w:p>
        </w:tc>
        <w:tc>
          <w:tcPr>
            <w:tcW w:w="26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2024</w:t>
            </w:r>
          </w:p>
        </w:tc>
        <w:tc>
          <w:tcPr>
            <w:tcW w:w="26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2024</w:t>
            </w:r>
          </w:p>
        </w:tc>
        <w:tc>
          <w:tcPr>
            <w:tcW w:w="0" w:type="dxa"/>
            <w:vAlign w:val="bottom"/>
          </w:tcPr>
          <w:p>
            <w:pPr>
              <w:spacing w:after="0"/>
              <w:rPr>
                <w:sz w:val="1"/>
                <w:szCs w:val="1"/>
                <w:color w:val="auto"/>
              </w:rPr>
            </w:pPr>
          </w:p>
        </w:tc>
      </w:tr>
      <w:tr>
        <w:trPr>
          <w:trHeight w:val="216"/>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Qilu Pharmaceutical Co Ltd</w:t>
            </w:r>
          </w:p>
        </w:tc>
        <w:tc>
          <w:tcPr>
            <w:tcW w:w="260" w:type="dxa"/>
            <w:vAlign w:val="bottom"/>
            <w:shd w:val="clear" w:color="auto" w:fill="CFF0FC"/>
          </w:tcPr>
          <w:p>
            <w:pPr>
              <w:spacing w:after="0"/>
              <w:rPr>
                <w:sz w:val="18"/>
                <w:szCs w:val="18"/>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November 2024</w:t>
            </w:r>
          </w:p>
        </w:tc>
        <w:tc>
          <w:tcPr>
            <w:tcW w:w="260" w:type="dxa"/>
            <w:vAlign w:val="bottom"/>
            <w:shd w:val="clear" w:color="auto" w:fill="CFF0FC"/>
          </w:tcPr>
          <w:p>
            <w:pPr>
              <w:spacing w:after="0"/>
              <w:rPr>
                <w:sz w:val="18"/>
                <w:szCs w:val="18"/>
                <w:color w:val="auto"/>
              </w:rPr>
            </w:pPr>
          </w:p>
        </w:tc>
        <w:tc>
          <w:tcPr>
            <w:tcW w:w="1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18"/>
                <w:szCs w:val="18"/>
                <w:color w:val="auto"/>
              </w:rPr>
            </w:pPr>
          </w:p>
        </w:tc>
        <w:tc>
          <w:tcPr>
            <w:tcW w:w="1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Spriaso LLC</w:t>
            </w:r>
          </w:p>
        </w:tc>
        <w:tc>
          <w:tcPr>
            <w:tcW w:w="26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2024</w:t>
            </w:r>
          </w:p>
        </w:tc>
        <w:tc>
          <w:tcPr>
            <w:tcW w:w="260" w:type="dxa"/>
            <w:vAlign w:val="bottom"/>
          </w:tcPr>
          <w:p>
            <w:pPr>
              <w:spacing w:after="0"/>
              <w:rPr>
                <w:sz w:val="20"/>
                <w:szCs w:val="20"/>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1020" w:hanging="26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Strides Pharma licensed its rights to the generic version of icosapent ethyl to Amneal Pharmaceuticals.</w:t>
      </w:r>
    </w:p>
    <w:p>
      <w:pPr>
        <w:spacing w:after="0" w:line="117" w:lineRule="exact"/>
        <w:rPr>
          <w:rFonts w:ascii="Times New Roman" w:cs="Times New Roman" w:eastAsia="Times New Roman" w:hAnsi="Times New Roman"/>
          <w:sz w:val="18"/>
          <w:szCs w:val="18"/>
          <w:color w:val="auto"/>
        </w:rPr>
      </w:pPr>
    </w:p>
    <w:p>
      <w:pPr>
        <w:ind w:left="760" w:right="540" w:hanging="3"/>
        <w:spacing w:after="0" w:line="282" w:lineRule="auto"/>
        <w:tabs>
          <w:tab w:leader="none" w:pos="10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Ascent Pharmaceuticals, Inc. licensed its rights to the generic version of icosapent ethyl to Camber Pharmaceuticals, Inc. and XL Care Pharmaceuticals, Inc.</w:t>
      </w:r>
    </w:p>
    <w:p>
      <w:pPr>
        <w:spacing w:after="0" w:line="5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March 26, 2021, the European Commission, or EC, approved the marketing authorization application for VAZKEPA, in the European Union, or EU, to reduce the risk of cardiovascular events in high-risk, statin-treated adult patients who have elevated triglycerides (</w:t>
      </w:r>
      <w:r>
        <w:rPr>
          <w:rFonts w:ascii="Times New Roman" w:cs="Times New Roman" w:eastAsia="Times New Roman" w:hAnsi="Times New Roman"/>
          <w:sz w:val="18"/>
          <w:szCs w:val="18"/>
          <w:u w:val="single" w:color="auto"/>
          <w:color w:val="auto"/>
        </w:rPr>
        <w:t>&gt;</w:t>
      </w:r>
      <w:r>
        <w:rPr>
          <w:rFonts w:ascii="Times New Roman" w:cs="Times New Roman" w:eastAsia="Times New Roman" w:hAnsi="Times New Roman"/>
          <w:sz w:val="18"/>
          <w:szCs w:val="18"/>
          <w:color w:val="auto"/>
        </w:rPr>
        <w:t>150 mg/dL) and either established cardiovascular disease or diabetes and at least one additional cardiovascular risk event. On April 22, 2021, the Company announced that the Medicines and Healthcare Products Regulatory Agency, or MHRA, approved VAZKEPA in England, Scotland and Wales to reduce cardiovascular risk. Collectively, CHMP, EMA, EC and MHRA are referred to herein as the European Regulatory Authorities.</w:t>
      </w:r>
    </w:p>
    <w:p>
      <w:pPr>
        <w:spacing w:after="0" w:line="7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On June 24, 2025, the Company announced the execution of an exclusive long-term license and supply agreement with Recordati Industria Chimica e Farmaceutica S.p.A., or Recordati, to develop and commercialize VAZKEPA in multiple countries, focused in Europe.</w:t>
      </w:r>
    </w:p>
    <w:p>
      <w:pPr>
        <w:spacing w:after="0" w:line="108"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On June 1, 2023, the Company announced that the National Medical Products Administration, or NMPA, granted approval for VASCEPA under the MARINE indication and the Company's partner, Eddingpharm (Asia) Macao Commercial Offshore Limited, or Edding, launched commercially in October 2023. On June 28, 2024, Edding received NMPA approval for VASCEPA in Mainland</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7" w:name="page8"/>
    <w:bookmarkEnd w:id="7"/>
    <w:p>
      <w:pPr>
        <w:ind w:right="320"/>
        <w:spacing w:after="0" w:line="282" w:lineRule="auto"/>
        <w:rPr>
          <w:sz w:val="20"/>
          <w:szCs w:val="20"/>
          <w:color w:val="auto"/>
        </w:rPr>
      </w:pPr>
      <w:r>
        <w:rPr>
          <w:rFonts w:ascii="Times New Roman" w:cs="Times New Roman" w:eastAsia="Times New Roman" w:hAnsi="Times New Roman"/>
          <w:sz w:val="18"/>
          <w:szCs w:val="18"/>
          <w:color w:val="auto"/>
        </w:rPr>
        <w:t>China for the REDUCE-IT indication. On February 23, 2022, the Hong Kong Department of Health concluded their evaluation and approved the use of VASCEPA under the REDUCE-IT indication.</w:t>
      </w:r>
    </w:p>
    <w:p>
      <w:pPr>
        <w:spacing w:after="0" w:line="5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Amarin is responsible for supplying VASCEPA to all markets in which the branded product is sold, including countries where the drug is promoted and sold via collaboration with third-party partners that compensate Amarin for such supply. Amarin is not responsible for providing any generic company with drug product. The Company operates in one business segment.</w:t>
      </w:r>
    </w:p>
    <w:p>
      <w:pPr>
        <w:spacing w:after="0" w:line="1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Basis of Presentation</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condensed consolidated financial statements included herein have been prepared by the Company in accordance with U.S. Generally Accepted Accounting Principles, or GAAP, and pursuant to the rules and regulations of the Securities and Exchange Commission, or the SEC. Certain information in the footnote disclosures of the financial statements has been condensed or omitted where it substantially duplicates information provided in the Company’s latest audited consolidated financial statements, in accordance with the rules and regulations of the SEC. These condensed consolidated financial statements should be read in conjunction with the Company’s audited consolidated financial statements and notes included in its Annual Report on Form</w:t>
      </w:r>
    </w:p>
    <w:p>
      <w:pPr>
        <w:spacing w:after="0" w:line="3"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10-K for the fiscal year ended December 31, 2024, or the Form 10-K, filed with the SEC. The balance sheet amounts in this report were derived from the Company’s audited consolidated financial statements included in the Form 10-K.</w:t>
      </w:r>
    </w:p>
    <w:p>
      <w:pPr>
        <w:spacing w:after="0" w:line="7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condensed consolidated financial statements reflect all adjustments of a normal and recurring nature that, in the opinion of management, are necessary to present fairly the Company’s financial position, results of operations and cash flows for the periods indicated. The preparation of the Company’s condensed consolidated financial statements in conformity with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The results of operations for the three and six months ended June 30, 2025 are not necessarily indicative of the results for any future period. Certain numbers presented throughout this document may not add precisely to the totals provided due to rounding. Absolute and percentage changes are calculated using the underlying amounts in thousands. The condensed consolidated financial statements include the accounts of the Company and its wholly-owned subsidiaries. All intercompany accounts and transactions have been eliminated in consolidation.</w:t>
      </w:r>
    </w:p>
    <w:p>
      <w:pPr>
        <w:spacing w:after="0" w:line="8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Effective as of April 11, 2025, the Company implemented an adjustment to the ratio of its American Depository Shares, or ADSs, to Ordinary Shares from one ADS representing one Ordinary Share to one ADS representing 20 Ordinary Shares, or the ADS Ratio Change. The ADS Ratio Change does not change the Ordinary Shares outstanding. Holders of fractional ADSs resulting from the ADS Ratio Change received a cash payment in lieu of such fractional ADSs. The rate for the cash payment was set when the depositary bank aggregated the fractional ADSs and sold them in one or more market trades. All references to ADSs in the accompanying notes to the financial statements give retroactive effect to the per-share and share amounts for the ADS Ratio Change for all periods presented herein, unless otherwise specified. In addition, the exercise prices and the numbers of ADSs issuable upon the exercise of any outstanding options or restricted stock units, or RSUs, were proportionately adjusted.</w:t>
      </w:r>
    </w:p>
    <w:p>
      <w:pPr>
        <w:spacing w:after="0" w:line="81"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of the Company and subsidiaries have been prepared on a basis which assumes that the Company will continue as a going concern, which contemplates the realization of assets and the satisfaction of liabilities and commitments in the normal course of business.</w:t>
      </w:r>
    </w:p>
    <w:p>
      <w:pPr>
        <w:spacing w:after="0" w:line="6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As of June 30, 2025, the Company had total assets of $670.1 million, of which $298.7 million consisted of cash and short-term investments. More specifically, the Company had current assets of $606.8 million, including cash and cash equivalents of $147.9 million, short-term investments of $150.8 million, accounts receivable, net, of $119.1 million and current inventory of $171.2 million. In addition, as of June 30, 2025, the Company had long-term inventory of $39.6 million. As of June 30, 2025, the Company had no outstanding debt.</w:t>
      </w:r>
    </w:p>
    <w:p>
      <w:pPr>
        <w:spacing w:after="0" w:line="28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Significant Accounting Policies</w:t>
      </w:r>
    </w:p>
    <w:p>
      <w:pPr>
        <w:spacing w:after="0" w:line="2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Revenue Recognition</w:t>
      </w:r>
    </w:p>
    <w:p>
      <w:pPr>
        <w:spacing w:after="0" w:line="11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In accordance with Accounting Standards Codification, or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or Topic 606, the Company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Topic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that the entity will collect the consideration it is entitled to in exchange for the goods or services it transfers to the customer. At contract inception, once the contract is determined to be within the scope of Topic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8" w:name="page9"/>
    <w:bookmarkEnd w:id="8"/>
    <w:p>
      <w:pPr>
        <w:ind w:right="740"/>
        <w:spacing w:after="0" w:line="282" w:lineRule="auto"/>
        <w:rPr>
          <w:sz w:val="20"/>
          <w:szCs w:val="20"/>
          <w:color w:val="auto"/>
        </w:rPr>
      </w:pPr>
      <w:r>
        <w:rPr>
          <w:rFonts w:ascii="Times New Roman" w:cs="Times New Roman" w:eastAsia="Times New Roman" w:hAnsi="Times New Roman"/>
          <w:sz w:val="18"/>
          <w:szCs w:val="18"/>
          <w:color w:val="auto"/>
        </w:rPr>
        <w:t>performance obligation is satisfied. For a complete discussion of accounting for net product revenue and licensing revenue, see Note 7—Revenue Recognition.</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Cash and Cash Equivalents and Restricted Cash</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Cash and cash equivalents consist of cash, deposits with banks and short-term highly liquid money market instruments with original maturities at the date of purchase of 90 days or less. Restricted cash represents cash and cash equivalents pledged to guarantee repayment of certain expenses which may be incurred for business travel under corporate credit cards held by employees.</w:t>
      </w:r>
    </w:p>
    <w:p>
      <w:pPr>
        <w:spacing w:after="0" w:line="19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Accounts Receivable, net</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Accounts receivable, net, comprised of trade receivables, are generally due within 45 days and are stated at amounts due from customers. The Company recognizes an allowance for losses on accounts receivable in an amount equal to the estimated probable credit losses net of any recoveries. The allowance is based primarily on assessment of specific identifiable customer accounts considered at risk or uncollectible, as well as an analysis of current receivables aging and expected future write-offs. The expense associated with the allowance for doubtful accounts is recognized as selling, general, and administrative expense. The Company has not historically experienced any significant credit losses. All customer accounts are actively managed and no losses in excess of amounts reserved are currently expected.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impact of accounts receivable reserves on the gross trade accounts receivable balances as of June 30,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w:t>
      </w:r>
    </w:p>
    <w:p>
      <w:pPr>
        <w:spacing w:after="0" w:line="200" w:lineRule="exact"/>
        <w:rPr>
          <w:sz w:val="20"/>
          <w:szCs w:val="20"/>
          <w:color w:val="auto"/>
        </w:rPr>
      </w:pPr>
    </w:p>
    <w:tbl>
      <w:tblPr>
        <w:tblLayout w:type="fixed"/>
        <w:tblInd w:w="1420" w:type="dxa"/>
        <w:tblCellMar>
          <w:top w:w="0" w:type="dxa"/>
          <w:left w:w="0" w:type="dxa"/>
          <w:bottom w:w="0" w:type="dxa"/>
          <w:right w:w="0" w:type="dxa"/>
        </w:tblCellMar>
      </w:tblPr>
      <w:tr>
        <w:trPr>
          <w:trHeight w:val="173"/>
        </w:trPr>
        <w:tc>
          <w:tcPr>
            <w:tcW w:w="53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00" w:type="dxa"/>
            <w:vAlign w:val="bottom"/>
          </w:tcPr>
          <w:p>
            <w:pPr>
              <w:spacing w:after="0"/>
              <w:rPr>
                <w:sz w:val="15"/>
                <w:szCs w:val="15"/>
                <w:color w:val="auto"/>
              </w:rPr>
            </w:pPr>
          </w:p>
        </w:tc>
        <w:tc>
          <w:tcPr>
            <w:tcW w:w="150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4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09"/>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trade accounts receivable</w:t>
            </w:r>
          </w:p>
        </w:tc>
        <w:tc>
          <w:tcPr>
            <w:tcW w:w="20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134,104</w:t>
            </w:r>
          </w:p>
        </w:tc>
        <w:tc>
          <w:tcPr>
            <w:tcW w:w="200" w:type="dxa"/>
            <w:vAlign w:val="bottom"/>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133,072</w:t>
            </w:r>
          </w:p>
        </w:tc>
        <w:tc>
          <w:tcPr>
            <w:tcW w:w="80" w:type="dxa"/>
            <w:vAlign w:val="bottom"/>
            <w:shd w:val="clear" w:color="auto" w:fill="CFF0FC"/>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Trade allowances</w:t>
            </w:r>
          </w:p>
        </w:tc>
        <w:tc>
          <w:tcPr>
            <w:tcW w:w="20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(13,626)</w:t>
            </w:r>
          </w:p>
        </w:tc>
        <w:tc>
          <w:tcPr>
            <w:tcW w:w="4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(9,433)</w:t>
            </w:r>
          </w:p>
        </w:tc>
      </w:tr>
      <w:tr>
        <w:trPr>
          <w:trHeight w:val="21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Chargebacks</w:t>
            </w:r>
          </w:p>
        </w:tc>
        <w:tc>
          <w:tcPr>
            <w:tcW w:w="2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(1,348)</w:t>
            </w:r>
          </w:p>
        </w:tc>
        <w:tc>
          <w:tcPr>
            <w:tcW w:w="4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(1,360)</w:t>
            </w:r>
          </w:p>
        </w:tc>
      </w:tr>
      <w:tr>
        <w:trPr>
          <w:trHeight w:val="209"/>
        </w:trPr>
        <w:tc>
          <w:tcPr>
            <w:tcW w:w="53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119,130</w:t>
            </w:r>
          </w:p>
        </w:tc>
        <w:tc>
          <w:tcPr>
            <w:tcW w:w="200" w:type="dxa"/>
            <w:vAlign w:val="bottom"/>
            <w:tcBorders>
              <w:top w:val="single" w:sz="8" w:color="CFF0FC"/>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24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122,279</w:t>
            </w:r>
          </w:p>
        </w:tc>
        <w:tc>
          <w:tcPr>
            <w:tcW w:w="80" w:type="dxa"/>
            <w:vAlign w:val="bottom"/>
            <w:tcBorders>
              <w:top w:val="single" w:sz="8" w:color="CFF0FC"/>
            </w:tcBorders>
          </w:tcPr>
          <w:p>
            <w:pPr>
              <w:spacing w:after="0"/>
              <w:rPr>
                <w:sz w:val="18"/>
                <w:szCs w:val="18"/>
                <w:color w:val="auto"/>
              </w:rPr>
            </w:pPr>
          </w:p>
        </w:tc>
      </w:tr>
      <w:tr>
        <w:trPr>
          <w:trHeight w:val="20"/>
        </w:trPr>
        <w:tc>
          <w:tcPr>
            <w:tcW w:w="5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-170815</wp:posOffset>
            </wp:positionV>
            <wp:extent cx="514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-170815</wp:posOffset>
            </wp:positionV>
            <wp:extent cx="514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Inventory</w:t>
      </w:r>
    </w:p>
    <w:p>
      <w:pPr>
        <w:spacing w:after="0" w:line="121"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The Company states inventory at the lower of cost or net realizable value. Cost is determined based on actual cost using the average cost method. Net realizable value is the estimated selling price in the ordinary course of business, less reasonably predictable costs of completion, disposal, and transportation. The Company classifies inventory as long-term inventory when consumption of the inventory is expected beyond the next 12 months. The Company classifies finished goods expected to be sold within the next 12 months, and all of VASCEPA's active pharmaceutical ingredient, or API, as current inventory. An allowance is established when management determines that certain inventories may not be saleable. If inventory cost exceeds expected net realizable value due to obsolescence, damage or quantities in excess of expected demand, changes in price levels or other causes, the Company will reduce the carrying value of such inventory to net realizable value and recognize the difference as a component of cost of goods sold in the period in which it occurs. The Company capitalizes inventory purchases of saleable product from approved suppliers while inventory purchases from suppliers prior to regulatory approval are included as a component of research and development expense. The Company expenses inventory identified for use as marketing samples when they are packaged. The average cost reflects the actual purchase price of VASCEPA API.</w:t>
      </w:r>
    </w:p>
    <w:p>
      <w:pPr>
        <w:spacing w:after="0" w:line="2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Income Taxes</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Deferred tax assets and liabilities are recognized for the future tax consequences of differences between the carrying amounts and tax bases of assets and liabilities and operating loss carryforwards and other tax attributes using enacted rates expected to be in effect when those differences reverse. Valuation allowances are provided against deferred tax assets that are not more likely than not to be realized. Deferred tax assets and liabilities are classified as non-current in the condensed consolidated balance sheet.</w:t>
      </w:r>
    </w:p>
    <w:p>
      <w:pPr>
        <w:spacing w:after="0" w:line="7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provides reserves for potential payments of tax to various tax authorities and does not recognize tax benefits related to uncertain tax positions and other issues. Tax benefits for uncertain tax positions are based on a determination of whether a tax benefit taken by the Company in its tax filings or positions is more likely than not to be realized, assuming that the matter in question will be decided based on its technical merits. The Company’s policy is to record interest and penalties in the provision for income taxes, as applicable.</w:t>
      </w:r>
    </w:p>
    <w:p>
      <w:pPr>
        <w:spacing w:after="0" w:line="72"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The Company regularly assesses its ability to realize deferred tax assets. Changes in historical earnings performance, future earnings projections, and changes in tax laws, among other factors, may cause the Company to adjust its valuation allowance on deferred tax assets, which would impact the Company’s income tax expense in the period in which it is determined that these factors have changed.</w:t>
      </w:r>
    </w:p>
    <w:p>
      <w:pPr>
        <w:spacing w:after="0" w:line="68"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Excess tax benefits and deficiencies that arise upon vesting or exercise of stock-based payments are recognized as an income tax benefit and expense, respectively, in the condensed consolidated statement of operations. Excess income tax benefits are classified as</w:t>
      </w: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 w:name="page10"/>
    <w:bookmarkEnd w:id="9"/>
    <w:p>
      <w:pPr>
        <w:ind w:right="220"/>
        <w:spacing w:after="0" w:line="282" w:lineRule="auto"/>
        <w:rPr>
          <w:sz w:val="20"/>
          <w:szCs w:val="20"/>
          <w:color w:val="auto"/>
        </w:rPr>
      </w:pPr>
      <w:r>
        <w:rPr>
          <w:rFonts w:ascii="Times New Roman" w:cs="Times New Roman" w:eastAsia="Times New Roman" w:hAnsi="Times New Roman"/>
          <w:sz w:val="18"/>
          <w:szCs w:val="18"/>
          <w:color w:val="auto"/>
        </w:rPr>
        <w:t>cash flows from operating activities and cash paid to taxing authorities arising from the withholding of Ordinary Shares from employees are classified as cash flows from financing activities.</w:t>
      </w:r>
    </w:p>
    <w:p>
      <w:pPr>
        <w:spacing w:after="0" w:line="5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Company’s and its subsidiaries’ income tax returns are periodically examined by various tax authorities, including the Internal Revenue Service, or IRS, and state tax authorities. The Company is currently under audit by the IRS for its 2018 and 2019 U.S. income tax returns. Although the outcome of tax audits is always uncertain and could result in significant cash tax payments, the Company does not believe the outcome of these audits will have a material adverse effect on its condensed consolidated financial position or results of operations.</w:t>
      </w:r>
    </w:p>
    <w:p>
      <w:pPr>
        <w:spacing w:after="0" w:line="2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(Loss) Earnings per Share</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Basic net (loss) earnings per share is determined by dividing net (loss) income by the weighted average number of Ordinary Shares outstanding during the period. Diluted net (loss) earnings per share is determined by dividing net (loss) income by diluted weighted average number of Ordinary Shares outstanding. Diluted weighted average shares reflects the dilutive effect, if any, of potentially dilutive Ordinary Shares, such as from the exercise of stock options and vesting of RSUs calculated using the treasury stock method. In periods with reported net losses, all stock options and RSUs outstanding are deemed anti-dilutive such that basic and diluted net loss per share are equal.</w:t>
      </w:r>
    </w:p>
    <w:p>
      <w:pPr>
        <w:spacing w:after="0" w:line="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calculation of net (loss) income and the number of Ordinary Shares and ADSs used to compute basic and diluted net (loss) earnings per Ordinary Share and ADS for the three and six months ended June 30, 2025 and 2024 are as follows:</w:t>
      </w:r>
    </w:p>
    <w:p>
      <w:pPr>
        <w:spacing w:after="0" w:line="47"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00" w:type="dxa"/>
            <w:vAlign w:val="bottom"/>
            <w:gridSpan w:val="5"/>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60" w:type="dxa"/>
            <w:vAlign w:val="bottom"/>
            <w:gridSpan w:val="6"/>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42"/>
        </w:trPr>
        <w:tc>
          <w:tcPr>
            <w:tcW w:w="42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income—basic and diluted</w:t>
            </w: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(14,139)</w:t>
            </w: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(29,836)</w:t>
            </w:r>
          </w:p>
        </w:tc>
        <w:tc>
          <w:tcPr>
            <w:tcW w:w="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(8,431)</w:t>
            </w:r>
          </w:p>
        </w:tc>
        <w:tc>
          <w:tcPr>
            <w:tcW w:w="0" w:type="dxa"/>
            <w:vAlign w:val="bottom"/>
          </w:tcPr>
          <w:p>
            <w:pPr>
              <w:spacing w:after="0"/>
              <w:rPr>
                <w:sz w:val="1"/>
                <w:szCs w:val="1"/>
                <w:color w:val="auto"/>
              </w:rPr>
            </w:pPr>
          </w:p>
        </w:tc>
      </w:tr>
      <w:tr>
        <w:trPr>
          <w:trHeight w:val="198"/>
        </w:trPr>
        <w:tc>
          <w:tcPr>
            <w:tcW w:w="4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Ordinary Shares outstanding—basic</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and diluted</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414,477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410,851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414,008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410,565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2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shares outstanding—diluted</w:t>
            </w: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414,477</w:t>
            </w: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411,395</w:t>
            </w: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414,008</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410,565</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(Loss) earnings per Ordinary Share—basic and diluted </w:t>
            </w:r>
            <w:r>
              <w:rPr>
                <w:rFonts w:ascii="Times New Roman" w:cs="Times New Roman" w:eastAsia="Times New Roman" w:hAnsi="Times New Roman"/>
                <w:sz w:val="24"/>
                <w:szCs w:val="24"/>
                <w:color w:val="auto"/>
                <w:vertAlign w:val="superscript"/>
              </w:rPr>
              <w:t>(1)</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(0.03)</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(0.07)</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16"/>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ADS outstanding—basic and diluted</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20,723</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20,542</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20,700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20,528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(Loss) earnings per ADS—basic and diluted </w:t>
            </w:r>
            <w:r>
              <w:rPr>
                <w:rFonts w:ascii="Times New Roman" w:cs="Times New Roman" w:eastAsia="Times New Roman" w:hAnsi="Times New Roman"/>
                <w:sz w:val="24"/>
                <w:szCs w:val="24"/>
                <w:color w:val="auto"/>
                <w:vertAlign w:val="superscript"/>
              </w:rPr>
              <w:t>(1)</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(0.68)</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(1.44)</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-620395</wp:posOffset>
            </wp:positionV>
            <wp:extent cx="603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-620395</wp:posOffset>
            </wp:positionV>
            <wp:extent cx="603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-620395</wp:posOffset>
            </wp:positionV>
            <wp:extent cx="603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-620395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1" w:lineRule="exact"/>
        <w:rPr>
          <w:sz w:val="20"/>
          <w:szCs w:val="20"/>
          <w:color w:val="auto"/>
        </w:rPr>
      </w:pPr>
    </w:p>
    <w:p>
      <w:pPr>
        <w:ind w:left="600" w:right="200" w:firstLine="7"/>
        <w:spacing w:after="0" w:line="261" w:lineRule="auto"/>
        <w:tabs>
          <w:tab w:leader="none" w:pos="8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Excluding the licensing revenue change in estimates, discussed in </w:t>
      </w:r>
      <w:r>
        <w:rPr>
          <w:rFonts w:ascii="Times New Roman" w:cs="Times New Roman" w:eastAsia="Times New Roman" w:hAnsi="Times New Roman"/>
          <w:sz w:val="18"/>
          <w:szCs w:val="18"/>
          <w:i w:val="1"/>
          <w:iCs w:val="1"/>
          <w:color w:val="auto"/>
        </w:rPr>
        <w:t>Note 7 – Revenue Recognition</w:t>
      </w:r>
      <w:r>
        <w:rPr>
          <w:rFonts w:ascii="Times New Roman" w:cs="Times New Roman" w:eastAsia="Times New Roman" w:hAnsi="Times New Roman"/>
          <w:sz w:val="18"/>
          <w:szCs w:val="18"/>
          <w:color w:val="auto"/>
        </w:rPr>
        <w:t>, net earnings (loss) per ordinary share, basic and diluted, for the three and six months ended June 30, 2024 would have been net loss per share of $(0.01) and $(0.03), respectively and net earnings (loss) per ADS, basic and diluted for the three and six months ended June 30, 2024 would have been net loss per share of $(0.13) and $(0.61), respectively.</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and six months ended June 30, 2025 and 2024, the following potentially dilutive securities were not included in the computation of net (loss)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earnings per share because the effect would be anti-dilutive or because performance criteria were not yet met for awards contingent upon such measures:</w:t>
      </w:r>
    </w:p>
    <w:p>
      <w:pPr>
        <w:spacing w:after="0" w:line="200"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700" w:type="dxa"/>
            <w:vAlign w:val="bottom"/>
            <w:gridSpan w:val="3"/>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200" w:type="dxa"/>
            <w:vAlign w:val="bottom"/>
          </w:tcPr>
          <w:p>
            <w:pPr>
              <w:spacing w:after="0"/>
              <w:rPr>
                <w:sz w:val="15"/>
                <w:szCs w:val="15"/>
                <w:color w:val="auto"/>
              </w:rPr>
            </w:pPr>
          </w:p>
        </w:tc>
        <w:tc>
          <w:tcPr>
            <w:tcW w:w="284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42"/>
        </w:trPr>
        <w:tc>
          <w:tcPr>
            <w:tcW w:w="4360" w:type="dxa"/>
            <w:vAlign w:val="bottom"/>
            <w:vMerge w:val="continue"/>
          </w:tcPr>
          <w:p>
            <w:pPr>
              <w:spacing w:after="0"/>
              <w:rPr>
                <w:sz w:val="12"/>
                <w:szCs w:val="12"/>
                <w:color w:val="auto"/>
              </w:rPr>
            </w:pPr>
          </w:p>
        </w:tc>
        <w:tc>
          <w:tcPr>
            <w:tcW w:w="1260" w:type="dxa"/>
            <w:vAlign w:val="bottom"/>
            <w:tcBorders>
              <w:top w:val="single" w:sz="8" w:color="auto"/>
              <w:bottom w:val="single" w:sz="8" w:color="auto"/>
            </w:tcBorders>
          </w:tcPr>
          <w:p>
            <w:pPr>
              <w:jc w:val="right"/>
              <w:ind w:right="39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4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1260" w:type="dxa"/>
            <w:vAlign w:val="bottom"/>
            <w:tcBorders>
              <w:top w:val="single" w:sz="8" w:color="auto"/>
              <w:bottom w:val="single" w:sz="8" w:color="auto"/>
            </w:tcBorders>
          </w:tcPr>
          <w:p>
            <w:pPr>
              <w:jc w:val="right"/>
              <w:ind w:right="4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4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31,103</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24,792</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31,103</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25,337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19,279</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14,926</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19,279</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14,926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Stock options are anti-dilutive during periods of net earnings when the exercise price of the stock options exceeds the market price of the underlying securities on the last day of the reporting period. RSUs are anti-dilutive during periods of net earnings when underlying performance-based vesting requirements were not achieved as of the last day of the reporting period.</w:t>
      </w:r>
    </w:p>
    <w:p>
      <w:pPr>
        <w:spacing w:after="0" w:line="19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Concentration of Credit Risk</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credit risk consist primarily of cash and cash equivalents, short-term investments, and accounts receivable. The Company maintains substantially all of its cash and cash equivalents and short-term investments in financial institutions believed to be of high credit quality.</w:t>
      </w:r>
    </w:p>
    <w:p>
      <w:pPr>
        <w:spacing w:after="0" w:line="6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 significant portion of the Company’s sales are to wholesalers in the pharmaceutical industry. The Company monitors the creditworthiness of customers to whom it grants credit terms and has not experienced any credit losses. The Company does not require</w:t>
      </w: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 w:name="page11"/>
    <w:bookmarkEnd w:id="10"/>
    <w:p>
      <w:pPr>
        <w:ind w:right="20"/>
        <w:spacing w:after="0" w:line="256" w:lineRule="auto"/>
        <w:rPr>
          <w:sz w:val="20"/>
          <w:szCs w:val="20"/>
          <w:color w:val="auto"/>
        </w:rPr>
      </w:pPr>
      <w:r>
        <w:rPr>
          <w:rFonts w:ascii="Times New Roman" w:cs="Times New Roman" w:eastAsia="Times New Roman" w:hAnsi="Times New Roman"/>
          <w:sz w:val="18"/>
          <w:szCs w:val="18"/>
          <w:color w:val="auto"/>
        </w:rPr>
        <w:t>collateral or any other security to support credit sales. Three customers individually accounted for 10% or more of the Company’s gross product sales. Customers A, B, and C accounted for 32%, 29%, and 29%, respectively, of gross product sales for the six months ended June 30, 2025, and represented 35%, 23%, and 18%, respectively, of the gross accounts receivable balance as of June 30, 2025. Customers A, B, and C accounted for 28%, 34%, and 29%, respectively, of gross product sales for the six months ended June 30, 2024 and represented 40%, 30%, and 21%, respectively, of the gross accounts receivable balance as of June 30, 2024. The Company has not experienced any significant write-offs of its accounts receivable. All customer accounts are actively managed and no losses in excess of amounts reserved are currently expected.</w:t>
      </w:r>
    </w:p>
    <w:p>
      <w:pPr>
        <w:spacing w:after="0" w:line="2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Concentration of Suppliers</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has contractual freedom to source the API for VASCEPA and to procure other services supporting its supply chain and has entered into supply agreements with multiple suppliers. The Company’s supply of product for commercial sale and clinical trials is dependent upon relationships with third-party manufacturers and suppliers.</w:t>
      </w:r>
    </w:p>
    <w:p>
      <w:pPr>
        <w:spacing w:after="0" w:line="6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cannot provide assurance that its efforts to procure uninterrupted supply of VASCEPA to meet market demand will continue to be successful or that it will be able to renew current supply agreements on favorable terms or at all. Significant alteration to or disruption or termination of the Company’s current supply chain or the Company’s failure to enter into new and similar agreements in a timely fashion, if needed, could have a material adverse effect on its business, condition (financial and other), prospects or results of operations.</w:t>
      </w:r>
    </w:p>
    <w:p>
      <w:pPr>
        <w:spacing w:after="0" w:line="7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 currently has manufacturing agreements with multiple independent API manufacturers and several independent API encapsulators and packagers for VASCEPA manufacturing. Each of these API manufacturers, encapsulators and packagers is U.S. FDA-approved and certain of these API manufacturers, encapsulators and packagers are also approved by the European Regulatory Authorities for manufacturing VAZKEPA in Europe. These suppliers are also used by the Company to source supply to meet the clinical trial and commercial demands of its partners in other countries. Each of these suppliers has qualified and validated its manufacturing processes. There can be no guarantee that these or other suppliers with which the Company may contract in the future to manufacture VASCEPA or VASCEPA API will remain qualified to do so to its specifications or that these and any future suppliers will have the manufacturing capacity to meet potential global demand for VASCEPA.</w:t>
      </w:r>
    </w:p>
    <w:p>
      <w:pPr>
        <w:spacing w:after="0" w:line="2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Fair Value of Financial Instruments</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provides disclosure of financial assets and financial liabilities that are carried at fair value based on the price that would be received upon sale of an asset or paid to transfer a liability in an orderly transaction between market participants at the measurement date. Fair value measurements may be classified based on the amount of subjectivity associated with the inputs to fair valuation of these assets and liabilities using the following three levels:</w:t>
      </w:r>
    </w:p>
    <w:p>
      <w:pPr>
        <w:spacing w:after="0" w:line="68"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Level 1—Inputs are unadjusted quoted prices in active markets for identical assets or liabilities that the Company has the ability to access at the measurement date.</w:t>
      </w:r>
    </w:p>
    <w:p>
      <w:pPr>
        <w:spacing w:after="0" w:line="5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Level 2—Inputs include quoted prices for similar assets and liabilities in active markets, quoted prices for identical or similar assets or liabilities in markets that are not active, inputs other than quoted prices that are observable for the asset or liability (e.g., interest rates, yield curves) and inputs that are derived principally from or corroborated by observable market data by correlation or other means (market corroborated inputs).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3—Unobservable inputs that reflect the Company’s estimates of the assumptions that market participants would use in pricing the asset or liability.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develops these inputs based on the best information available, including its own data.</w:t>
      </w:r>
    </w:p>
    <w:p>
      <w:pPr>
        <w:spacing w:after="0" w:line="9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estimated fair value of the Company’s assets and liabilities as of June 30, 2025 and December 31, 2024, and indicate the fair value hierarchy of the valuation techniques the Company utilized to determine such fair value: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2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7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0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252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gridSpan w:val="2"/>
          </w:tcPr>
          <w:p>
            <w:pPr>
              <w:jc w:val="right"/>
              <w:ind w:right="68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gridSpan w:val="2"/>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2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2"/>
                <w:szCs w:val="12"/>
                <w:color w:val="auto"/>
              </w:rPr>
            </w:pPr>
          </w:p>
        </w:tc>
        <w:tc>
          <w:tcPr>
            <w:tcW w:w="1200" w:type="dxa"/>
            <w:vAlign w:val="bottom"/>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6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w:t>
            </w:r>
          </w:p>
        </w:tc>
        <w:tc>
          <w:tcPr>
            <w:tcW w:w="78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1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150,822</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150,822</w:t>
            </w:r>
          </w:p>
        </w:tc>
        <w:tc>
          <w:tcPr>
            <w:tcW w:w="5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w:t>
            </w:r>
          </w:p>
        </w:tc>
        <w:tc>
          <w:tcPr>
            <w:tcW w:w="7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58,470</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58,470</w:t>
            </w: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Repo Securities</w:t>
            </w: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5,000</w:t>
            </w:r>
          </w:p>
        </w:tc>
        <w:tc>
          <w:tcPr>
            <w:tcW w:w="300" w:type="dxa"/>
            <w:vAlign w:val="bottom"/>
          </w:tcPr>
          <w:p>
            <w:pPr>
              <w:spacing w:after="0"/>
              <w:rPr>
                <w:sz w:val="18"/>
                <w:szCs w:val="18"/>
                <w:color w:val="auto"/>
              </w:rPr>
            </w:pPr>
          </w:p>
        </w:tc>
        <w:tc>
          <w:tcPr>
            <w:tcW w:w="130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80" w:type="dxa"/>
            <w:vAlign w:val="bottom"/>
          </w:tcPr>
          <w:p>
            <w:pPr>
              <w:spacing w:after="0"/>
              <w:rPr>
                <w:sz w:val="19"/>
                <w:szCs w:val="19"/>
                <w:color w:val="auto"/>
              </w:rPr>
            </w:pPr>
          </w:p>
        </w:tc>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214,292</w:t>
            </w:r>
          </w:p>
        </w:tc>
        <w:tc>
          <w:tcPr>
            <w:tcW w:w="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209,292</w:t>
            </w:r>
          </w:p>
        </w:tc>
        <w:tc>
          <w:tcPr>
            <w:tcW w:w="5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5,000</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52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-796925</wp:posOffset>
            </wp:positionV>
            <wp:extent cx="6032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-779780</wp:posOffset>
            </wp:positionV>
            <wp:extent cx="6032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-796925</wp:posOffset>
            </wp:positionV>
            <wp:extent cx="6032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-779780</wp:posOffset>
            </wp:positionV>
            <wp:extent cx="6032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-796925</wp:posOffset>
            </wp:positionV>
            <wp:extent cx="6032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-779780</wp:posOffset>
            </wp:positionV>
            <wp:extent cx="6032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-796925</wp:posOffset>
            </wp:positionV>
            <wp:extent cx="6032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-779780</wp:posOffset>
            </wp:positionV>
            <wp:extent cx="6032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 w:name="page12"/>
    <w:bookmarkEnd w:id="11"/>
    <w:tbl>
      <w:tblPr>
        <w:tblLayout w:type="fixed"/>
        <w:tblInd w:w="580" w:type="dxa"/>
        <w:tblCellMar>
          <w:top w:w="0" w:type="dxa"/>
          <w:left w:w="0" w:type="dxa"/>
          <w:bottom w:w="0" w:type="dxa"/>
          <w:right w:w="0" w:type="dxa"/>
        </w:tblCellMar>
      </w:tblPr>
      <w:tr>
        <w:trPr>
          <w:trHeight w:val="173"/>
        </w:trPr>
        <w:tc>
          <w:tcPr>
            <w:tcW w:w="2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7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52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14"/>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456"/>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w:t>
            </w:r>
          </w:p>
        </w:tc>
        <w:tc>
          <w:tcPr>
            <w:tcW w:w="7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174,722</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174,722</w:t>
            </w:r>
          </w:p>
        </w:tc>
        <w:tc>
          <w:tcPr>
            <w:tcW w:w="7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w:t>
            </w:r>
          </w:p>
        </w:tc>
        <w:tc>
          <w:tcPr>
            <w:tcW w:w="7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67,456</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67,456</w:t>
            </w:r>
          </w:p>
        </w:tc>
        <w:tc>
          <w:tcPr>
            <w:tcW w:w="2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Repo Securities</w:t>
            </w:r>
          </w:p>
        </w:tc>
        <w:tc>
          <w:tcPr>
            <w:tcW w:w="7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247,178</w:t>
            </w:r>
          </w:p>
        </w:tc>
        <w:tc>
          <w:tcPr>
            <w:tcW w:w="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242,178</w:t>
            </w:r>
          </w:p>
        </w:tc>
        <w:tc>
          <w:tcPr>
            <w:tcW w:w="72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52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-25400</wp:posOffset>
            </wp:positionV>
            <wp:extent cx="5969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-7620</wp:posOffset>
            </wp:positionV>
            <wp:extent cx="5969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-25400</wp:posOffset>
            </wp:positionV>
            <wp:extent cx="603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-7620</wp:posOffset>
            </wp:positionV>
            <wp:extent cx="603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-25400</wp:posOffset>
            </wp:positionV>
            <wp:extent cx="603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-7620</wp:posOffset>
            </wp:positionV>
            <wp:extent cx="603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carrying amount of the Company’s cash and cash equivalents approximates fair value because of their short-term nature. The cash and cash equivalents consist of cash, deposits with banks and short-term highly liquid money market instruments with remaining maturities at the date of purchase of 90 days or less.</w:t>
      </w:r>
    </w:p>
    <w:p>
      <w:pPr>
        <w:spacing w:after="0" w:line="6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Company’s investments are stated at amortized cost, which approximates fair value. The Company does not intend to sell these investment securities and the contractual maturities are not greater than 24 months. Those with original maturities greater than 90 days and maturities less than 12 months are included in short-term investments on its condensed consolidated balance sheet. Those with remaining maturities in greater than 12 months are included in long-term investments on its condensed consolidated balance sheet.</w:t>
      </w:r>
    </w:p>
    <w:p>
      <w:pPr>
        <w:spacing w:after="0" w:line="7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Unrealized gains or losses are not recognized until maturity, except other-than-temporary unrealized losses, which are recognized in earnings in the period incurred. The Company evaluates securities with unrealized losses to determine whether such losses are other than temporary. The unrealized gain or loss for both the six months ended June 30, 2025 and 2024 were losses of less than $0.1 million. Interest on investments is reported in interest income in our condensed consolidated statement of operations. Interest receivable in investment securities is reported in prepaid and other current assets in our condensed consolidated balance sheet.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amounts of accounts payable and accrued liabilities approximate fair value because of their short-term nature.</w:t>
      </w:r>
    </w:p>
    <w:p>
      <w:pPr>
        <w:spacing w:after="0" w:line="2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Segment and Geographical Information</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financial information is available that is evaluated on a regular basis by the chief operating decision-maker, or CODM, in deciding how to allocate resources to an individual segment and in assessing performance of the segment. The Company currently operates in two business segments, U.S. and Europe, which are aggregated into a single reportable segment, for the development and commercialization of VASCEPA. A single management team that reports to the Company’s CODM, who is the Chief Executive Officer, comprehensively manages the business on an integrated basis for the purpose of allocating resources. The Company’s CODM does not currently assess segment performance or allocate resources based on a measure of total assets nor is it practical for the Company to disaggregate assets based on geography. Accordingly, a total asset measure has not been provided for segment disclosure. Therefore, the Company does not have separate reportable segments.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The table below is a summary of the reportable segment profit or loss, including significant reportable segment expenses: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80" w:type="dxa"/>
            <w:vAlign w:val="bottom"/>
          </w:tcPr>
          <w:p>
            <w:pPr>
              <w:spacing w:after="0"/>
              <w:rPr>
                <w:sz w:val="15"/>
                <w:szCs w:val="15"/>
                <w:color w:val="auto"/>
              </w:rPr>
            </w:pPr>
          </w:p>
        </w:tc>
        <w:tc>
          <w:tcPr>
            <w:tcW w:w="3140" w:type="dxa"/>
            <w:vAlign w:val="bottom"/>
            <w:gridSpan w:val="6"/>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100" w:type="dxa"/>
            <w:vAlign w:val="bottom"/>
            <w:gridSpan w:val="6"/>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42"/>
        </w:trPr>
        <w:tc>
          <w:tcPr>
            <w:tcW w:w="4220" w:type="dxa"/>
            <w:vAlign w:val="bottom"/>
            <w:vMerge w:val="continue"/>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5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US product revenue, net</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36,502</w:t>
            </w:r>
          </w:p>
        </w:tc>
        <w:tc>
          <w:tcPr>
            <w:tcW w:w="18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43,758</w:t>
            </w:r>
          </w:p>
        </w:tc>
        <w:tc>
          <w:tcPr>
            <w:tcW w:w="10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72,162</w:t>
            </w:r>
          </w:p>
        </w:tc>
        <w:tc>
          <w:tcPr>
            <w:tcW w:w="16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91,872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Europe product revenue, net</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RoW product revenue, net</w:t>
            </w:r>
          </w:p>
        </w:tc>
        <w:tc>
          <w:tcPr>
            <w:tcW w:w="2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3,543</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3,525</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Total product revenue, net</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46,617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87,652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Licensing and royalty revenue</w:t>
            </w:r>
          </w:p>
        </w:tc>
        <w:tc>
          <w:tcPr>
            <w:tcW w:w="2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26,124</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19,977</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27,105</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21,340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revenue, net</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72,741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67,491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114,757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Cost of goods sold</w:t>
            </w:r>
          </w:p>
        </w:tc>
        <w:tc>
          <w:tcPr>
            <w:tcW w:w="2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22,379</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24,722</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39,266</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49,337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50,362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75,491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Selling</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14,524</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9,390</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23,173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Payroll and payroll related expense</w:t>
            </w:r>
          </w:p>
        </w:tc>
        <w:tc>
          <w:tcPr>
            <w:tcW w:w="2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15,239</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17,667</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34,722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36,055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Non-cash stock-based compensation expense</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Restructuring</w:t>
            </w:r>
          </w:p>
        </w:tc>
        <w:tc>
          <w:tcPr>
            <w:tcW w:w="2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22,759</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22,759</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220" w:type="dxa"/>
            <w:vAlign w:val="bottom"/>
            <w:tcBorders>
              <w:top w:val="single" w:sz="8" w:color="CFF0FC"/>
            </w:tcBorders>
          </w:tcPr>
          <w:p>
            <w:pPr>
              <w:ind w:left="1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66,347</w:t>
            </w:r>
          </w:p>
        </w:tc>
        <w:tc>
          <w:tcPr>
            <w:tcW w:w="18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43,293</w:t>
            </w:r>
          </w:p>
        </w:tc>
        <w:tc>
          <w:tcPr>
            <w:tcW w:w="10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108,233</w:t>
            </w: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88,780</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8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(15,985)</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(524)</w:t>
            </w: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(32,742)</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(14,107)</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28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(Loss) income from operations before taxes</w:t>
            </w:r>
          </w:p>
        </w:tc>
        <w:tc>
          <w:tcPr>
            <w:tcW w:w="2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(13,450)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(27,081)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(5,764)</w:t>
            </w:r>
          </w:p>
        </w:tc>
        <w:tc>
          <w:tcPr>
            <w:tcW w:w="0" w:type="dxa"/>
            <w:vAlign w:val="bottom"/>
          </w:tcPr>
          <w:p>
            <w:pPr>
              <w:spacing w:after="0"/>
              <w:rPr>
                <w:sz w:val="1"/>
                <w:szCs w:val="1"/>
                <w:color w:val="auto"/>
              </w:rPr>
            </w:pPr>
          </w:p>
        </w:tc>
      </w:tr>
      <w:tr>
        <w:trPr>
          <w:trHeight w:val="216"/>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(689)</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(1,370)</w:t>
            </w: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(2,755)</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(2,667)</w:t>
            </w:r>
          </w:p>
        </w:tc>
        <w:tc>
          <w:tcPr>
            <w:tcW w:w="0" w:type="dxa"/>
            <w:vAlign w:val="bottom"/>
          </w:tcPr>
          <w:p>
            <w:pPr>
              <w:spacing w:after="0"/>
              <w:rPr>
                <w:sz w:val="1"/>
                <w:szCs w:val="1"/>
                <w:color w:val="auto"/>
              </w:rPr>
            </w:pPr>
          </w:p>
        </w:tc>
      </w:tr>
      <w:tr>
        <w:trPr>
          <w:trHeight w:val="20"/>
        </w:trPr>
        <w:tc>
          <w:tcPr>
            <w:tcW w:w="4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Segment &amp; consolidated net (loss) income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(14,139)</w:t>
            </w: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100" w:type="dxa"/>
            <w:vAlign w:val="bottom"/>
          </w:tcPr>
          <w:p>
            <w:pPr>
              <w:spacing w:after="0"/>
              <w:rPr>
                <w:sz w:val="18"/>
                <w:szCs w:val="18"/>
                <w:color w:val="auto"/>
              </w:rPr>
            </w:pP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(29,836)</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(8,431)</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-2700020</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-2700020</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-2700020</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-2700020</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-2416810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-2416810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-2416810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-2416810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-2133600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-2133600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-2133600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-2133600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-1019810</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-1019810</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-1019810</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-1019810</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-454025</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-454025</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-454025</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-454025</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-170815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-170815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-170815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Restructuring</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The Company identifies a restructuring event as a program that is planned and controlled by management, and materially changes either the scope of the Company's business or the manner in which that business is conducted. The accounting for involuntary termination benefits that are provided pursuant to a one-time benefit arrangement are accounted for under </w:t>
      </w:r>
      <w:r>
        <w:rPr>
          <w:rFonts w:ascii="Times New Roman" w:cs="Times New Roman" w:eastAsia="Times New Roman" w:hAnsi="Times New Roman"/>
          <w:sz w:val="18"/>
          <w:szCs w:val="18"/>
          <w:i w:val="1"/>
          <w:iCs w:val="1"/>
          <w:color w:val="auto"/>
        </w:rPr>
        <w:t>ASC 420 – Exit or Disposal Cost Obligations,</w:t>
      </w:r>
      <w:r>
        <w:rPr>
          <w:rFonts w:ascii="Times New Roman" w:cs="Times New Roman" w:eastAsia="Times New Roman" w:hAnsi="Times New Roman"/>
          <w:sz w:val="18"/>
          <w:szCs w:val="18"/>
          <w:color w:val="auto"/>
        </w:rPr>
        <w:t xml:space="preserve"> whereas involuntary termination benefits that are part of an ongoing written or substantive plan are accounted for under </w:t>
      </w:r>
      <w:r>
        <w:rPr>
          <w:rFonts w:ascii="Times New Roman" w:cs="Times New Roman" w:eastAsia="Times New Roman" w:hAnsi="Times New Roman"/>
          <w:sz w:val="18"/>
          <w:szCs w:val="18"/>
          <w:i w:val="1"/>
          <w:iCs w:val="1"/>
          <w:color w:val="auto"/>
        </w:rPr>
        <w:t>ASC 712 – Compensation – Nonretirement Postemployment Benefits.</w:t>
      </w:r>
      <w:r>
        <w:rPr>
          <w:rFonts w:ascii="Times New Roman" w:cs="Times New Roman" w:eastAsia="Times New Roman" w:hAnsi="Times New Roman"/>
          <w:sz w:val="18"/>
          <w:szCs w:val="18"/>
          <w:color w:val="auto"/>
        </w:rPr>
        <w:t xml:space="preserve"> The Company accrues a liability for termination benefits under ASC 712 when it is probable that a liability has been incurred and the amount can be reasonably estimated and under ASC 420 when the termination benefits are communicated.</w:t>
      </w:r>
    </w:p>
    <w:p>
      <w:pPr>
        <w:spacing w:after="0" w:line="7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On June 24, 2025, the Company announced a global restructuring plan, in connection with the execution of an exclusive long-term license and supply agreement with Recordati, with the vast majority of estimated cost savings to come from the elimination of commercial roles in the Company’s European operations. The Company anticipates that it will incur between approximately $30.0 million and $37.0 million in charges related to the restructuring, substantially all of which will be cash expenditures. During the three and six months ended June 30, 2025, the Company recognized approximately $22.8 million of restructuring expense reflected on the condensed consolidated statement of operations related to the reduction in force, substantially all of which are cash expenditures.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components of the Company's restructuring charges for the three and six months ended June 30, 2024 (none in 2024):</w:t>
      </w:r>
    </w:p>
    <w:p>
      <w:pPr>
        <w:spacing w:after="0" w:line="273"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8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220" w:type="dxa"/>
            <w:vAlign w:val="bottom"/>
          </w:tcPr>
          <w:p>
            <w:pPr>
              <w:spacing w:after="0"/>
              <w:rPr>
                <w:sz w:val="15"/>
                <w:szCs w:val="15"/>
                <w:color w:val="auto"/>
              </w:rPr>
            </w:pPr>
          </w:p>
        </w:tc>
        <w:tc>
          <w:tcPr>
            <w:tcW w:w="27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42"/>
        </w:trPr>
        <w:tc>
          <w:tcPr>
            <w:tcW w:w="320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2840" w:type="dxa"/>
            <w:vAlign w:val="bottom"/>
            <w:tcBorders>
              <w:top w:val="single" w:sz="8" w:color="auto"/>
              <w:bottom w:val="single" w:sz="8" w:color="auto"/>
            </w:tcBorders>
          </w:tcPr>
          <w:p>
            <w:pPr>
              <w:jc w:val="right"/>
              <w:ind w:right="13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2640" w:type="dxa"/>
            <w:vAlign w:val="bottom"/>
            <w:tcBorders>
              <w:top w:val="single" w:sz="8" w:color="auto"/>
              <w:bottom w:val="single" w:sz="8" w:color="auto"/>
            </w:tcBorders>
          </w:tcPr>
          <w:p>
            <w:pPr>
              <w:jc w:val="right"/>
              <w:ind w:right="11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Restructuring expense</w:t>
            </w:r>
          </w:p>
        </w:tc>
        <w:tc>
          <w:tcPr>
            <w:tcW w:w="8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12,714</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12,714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Vendor contract charges</w:t>
            </w:r>
          </w:p>
        </w:tc>
        <w:tc>
          <w:tcPr>
            <w:tcW w:w="6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10,045</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restructuring expense</w:t>
            </w:r>
          </w:p>
        </w:tc>
        <w:tc>
          <w:tcPr>
            <w:tcW w:w="6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2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22,759</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2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22,759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Accelerated stock vesting</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8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(2,575)</w:t>
            </w:r>
          </w:p>
        </w:tc>
        <w:tc>
          <w:tcPr>
            <w:tcW w:w="220" w:type="dxa"/>
            <w:vAlign w:val="bottom"/>
          </w:tcPr>
          <w:p>
            <w:pPr>
              <w:spacing w:after="0"/>
              <w:rPr>
                <w:sz w:val="17"/>
                <w:szCs w:val="17"/>
                <w:color w:val="auto"/>
              </w:rPr>
            </w:pPr>
          </w:p>
        </w:tc>
        <w:tc>
          <w:tcPr>
            <w:tcW w:w="274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(2,575)</w:t>
            </w:r>
          </w:p>
        </w:tc>
        <w:tc>
          <w:tcPr>
            <w:tcW w:w="0" w:type="dxa"/>
            <w:vAlign w:val="bottom"/>
          </w:tcPr>
          <w:p>
            <w:pPr>
              <w:spacing w:after="0"/>
              <w:rPr>
                <w:sz w:val="1"/>
                <w:szCs w:val="1"/>
                <w:color w:val="auto"/>
              </w:rPr>
            </w:pPr>
          </w:p>
        </w:tc>
      </w:tr>
      <w:tr>
        <w:trPr>
          <w:trHeight w:val="249"/>
        </w:trPr>
        <w:tc>
          <w:tcPr>
            <w:tcW w:w="32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restructuring costs incurred</w:t>
            </w:r>
          </w:p>
        </w:tc>
        <w:tc>
          <w:tcPr>
            <w:tcW w:w="6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20,184</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20,184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-333375</wp:posOffset>
            </wp:positionV>
            <wp:extent cx="603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-316230</wp:posOffset>
            </wp:positionV>
            <wp:extent cx="603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-333375</wp:posOffset>
            </wp:positionV>
            <wp:extent cx="603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-316230</wp:posOffset>
            </wp:positionV>
            <wp:extent cx="603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-24765</wp:posOffset>
            </wp:positionV>
            <wp:extent cx="6032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-7620</wp:posOffset>
            </wp:positionV>
            <wp:extent cx="603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change in restructuring liability, which is included within accrued expenses and other current liabilities: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3" w:name="page14"/>
    <w:bookmarkEnd w:id="13"/>
    <w:tbl>
      <w:tblPr>
        <w:tblLayout w:type="fixed"/>
        <w:tblInd w:w="580" w:type="dxa"/>
        <w:tblCellMar>
          <w:top w:w="0" w:type="dxa"/>
          <w:left w:w="0" w:type="dxa"/>
          <w:bottom w:w="0" w:type="dxa"/>
          <w:right w:w="0" w:type="dxa"/>
        </w:tblCellMar>
      </w:tblPr>
      <w:tr>
        <w:trPr>
          <w:trHeight w:val="173"/>
        </w:trPr>
        <w:tc>
          <w:tcPr>
            <w:tcW w:w="57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740" w:type="dxa"/>
            <w:vAlign w:val="bottom"/>
            <w:tcBorders>
              <w:bottom w:val="single" w:sz="8" w:color="auto"/>
            </w:tcBorders>
          </w:tcPr>
          <w:p>
            <w:pPr>
              <w:spacing w:after="0"/>
              <w:rPr>
                <w:sz w:val="15"/>
                <w:szCs w:val="15"/>
                <w:color w:val="auto"/>
              </w:rPr>
            </w:pPr>
          </w:p>
        </w:tc>
        <w:tc>
          <w:tcPr>
            <w:tcW w:w="3480" w:type="dxa"/>
            <w:vAlign w:val="bottom"/>
            <w:tcBorders>
              <w:bottom w:val="single" w:sz="8" w:color="auto"/>
            </w:tcBorders>
          </w:tcPr>
          <w:p>
            <w:pPr>
              <w:jc w:val="right"/>
              <w:ind w:right="1314"/>
              <w:spacing w:after="0"/>
              <w:rPr>
                <w:sz w:val="20"/>
                <w:szCs w:val="20"/>
                <w:color w:val="auto"/>
              </w:rPr>
            </w:pPr>
            <w:r>
              <w:rPr>
                <w:rFonts w:ascii="Times New Roman" w:cs="Times New Roman" w:eastAsia="Times New Roman" w:hAnsi="Times New Roman"/>
                <w:sz w:val="14"/>
                <w:szCs w:val="14"/>
                <w:b w:val="1"/>
                <w:bCs w:val="1"/>
                <w:color w:val="auto"/>
              </w:rPr>
              <w:t>Restructuring Liability</w:t>
            </w:r>
          </w:p>
        </w:tc>
        <w:tc>
          <w:tcPr>
            <w:tcW w:w="100" w:type="dxa"/>
            <w:vAlign w:val="bottom"/>
          </w:tcPr>
          <w:p>
            <w:pPr>
              <w:spacing w:after="0"/>
              <w:rPr>
                <w:sz w:val="15"/>
                <w:szCs w:val="15"/>
                <w:color w:val="auto"/>
              </w:rPr>
            </w:pPr>
          </w:p>
        </w:tc>
      </w:tr>
      <w:tr>
        <w:trPr>
          <w:trHeight w:val="210"/>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740" w:type="dxa"/>
            <w:vAlign w:val="bottom"/>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3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Costs incurred</w:t>
            </w:r>
          </w:p>
        </w:tc>
        <w:tc>
          <w:tcPr>
            <w:tcW w:w="740" w:type="dxa"/>
            <w:vAlign w:val="bottom"/>
          </w:tcPr>
          <w:p>
            <w:pPr>
              <w:spacing w:after="0"/>
              <w:rPr>
                <w:sz w:val="18"/>
                <w:szCs w:val="18"/>
                <w:color w:val="auto"/>
              </w:rPr>
            </w:pP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20,184</w:t>
            </w:r>
          </w:p>
        </w:tc>
        <w:tc>
          <w:tcPr>
            <w:tcW w:w="100" w:type="dxa"/>
            <w:vAlign w:val="bottom"/>
          </w:tcPr>
          <w:p>
            <w:pPr>
              <w:spacing w:after="0"/>
              <w:rPr>
                <w:sz w:val="18"/>
                <w:szCs w:val="18"/>
                <w:color w:val="auto"/>
              </w:rPr>
            </w:pPr>
          </w:p>
        </w:tc>
      </w:tr>
      <w:tr>
        <w:trPr>
          <w:trHeight w:val="216"/>
        </w:trPr>
        <w:tc>
          <w:tcPr>
            <w:tcW w:w="57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740" w:type="dxa"/>
            <w:vAlign w:val="bottom"/>
            <w:tcBorders>
              <w:bottom w:val="single" w:sz="8" w:color="auto"/>
            </w:tcBorders>
            <w:shd w:val="clear" w:color="auto" w:fill="CFF0FC"/>
          </w:tcPr>
          <w:p>
            <w:pPr>
              <w:spacing w:after="0"/>
              <w:rPr>
                <w:sz w:val="18"/>
                <w:szCs w:val="18"/>
                <w:color w:val="auto"/>
              </w:rPr>
            </w:pPr>
          </w:p>
        </w:tc>
        <w:tc>
          <w:tcPr>
            <w:tcW w:w="3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June 30, 2025</w:t>
            </w:r>
          </w:p>
        </w:tc>
        <w:tc>
          <w:tcPr>
            <w:tcW w:w="7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3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20,521</w:t>
            </w:r>
          </w:p>
        </w:tc>
        <w:tc>
          <w:tcPr>
            <w:tcW w:w="100" w:type="dxa"/>
            <w:vAlign w:val="bottom"/>
          </w:tcPr>
          <w:p>
            <w:pPr>
              <w:spacing w:after="0"/>
              <w:rPr>
                <w:sz w:val="18"/>
                <w:szCs w:val="18"/>
                <w:color w:val="auto"/>
              </w:rPr>
            </w:pPr>
          </w:p>
        </w:tc>
      </w:tr>
      <w:tr>
        <w:trPr>
          <w:trHeight w:val="20"/>
        </w:trPr>
        <w:tc>
          <w:tcPr>
            <w:tcW w:w="57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Recent Accounting Pronouncements</w:t>
      </w:r>
    </w:p>
    <w:p>
      <w:pPr>
        <w:spacing w:after="0" w:line="12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or FASB, and are adopted early by the Company or adopted as of the specified effective date.</w:t>
      </w:r>
    </w:p>
    <w:p>
      <w:pPr>
        <w:spacing w:after="0" w:line="5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740)—Improvements to Income Tax Disclosures</w:t>
      </w:r>
      <w:r>
        <w:rPr>
          <w:rFonts w:ascii="Times New Roman" w:cs="Times New Roman" w:eastAsia="Times New Roman" w:hAnsi="Times New Roman"/>
          <w:sz w:val="18"/>
          <w:szCs w:val="18"/>
          <w:color w:val="auto"/>
        </w:rPr>
        <w:t>, which provides more transparency about income tax information through improvements to income tax disclosures primarily related to the rate reconciliation and income taxes paid information. This change is effective for annual periods beginning after December 15, 2024. The Company expects adoption of this ASU will result in additional annual disclosures in line with the requirements of ASU 2023-09.</w:t>
      </w:r>
    </w:p>
    <w:p>
      <w:pPr>
        <w:spacing w:after="0" w:line="7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w:t>
      </w:r>
      <w:r>
        <w:rPr>
          <w:rFonts w:ascii="Times New Roman" w:cs="Times New Roman" w:eastAsia="Times New Roman" w:hAnsi="Times New Roman"/>
          <w:sz w:val="18"/>
          <w:szCs w:val="18"/>
          <w:color w:val="auto"/>
        </w:rPr>
        <w:t>, which requires a public business entity to disclose specific information about certain costs and expenses in the notes to its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for interim and annual reporting periods beginning after December 15, 2026. The Company is currently evaluating the impact that the adoption of ASU 2024-03 will have on the Company’s consolidated financial statements.</w:t>
      </w:r>
    </w:p>
    <w:p>
      <w:pPr>
        <w:spacing w:after="0" w:line="74"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Company believes that the impact of other recently issued but not yet adopted accounting pronouncements will not have a material impact on the Company’s consolidated financial position, results of operations, and cash flows, or do not apply to the Company’s operations.</w:t>
      </w:r>
    </w:p>
    <w:p>
      <w:pPr>
        <w:spacing w:after="0" w:line="26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(3)</w:t>
        <w:tab/>
        <w:t>Intangible Asset</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Intangible asset consists of internal-use software, website development costs and milestone payments to the former shareholders of Laxdale related to the 2004 acquisition of the rights to VASCEPA, which is the result of VASCEPA receiving marketing approval in the U.S. for the MARINE indication in 2012, the REDUCE-IT indication in 2019 and marketing approval in Europe in 2021. In accordance with ASC 350, the Company evaluates the remaining useful life of the intangible asset at each reporting period to determine if any events or circumstances warrant a revision to the remaining period of amortization. As of June 30, 2025, the intangible assets have an estimated weighted-average remaining useful life of 5.7 years. The carrying value as of June 30, 2025 and December 31, 2024 is as follows:</w:t>
      </w:r>
    </w:p>
    <w:p>
      <w:pPr>
        <w:spacing w:after="0" w:line="181"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38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9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15"/>
                <w:szCs w:val="15"/>
                <w:color w:val="auto"/>
              </w:rPr>
            </w:pPr>
          </w:p>
        </w:tc>
      </w:tr>
      <w:tr>
        <w:trPr>
          <w:trHeight w:val="209"/>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Technology rights</w:t>
            </w:r>
          </w:p>
        </w:tc>
        <w:tc>
          <w:tcPr>
            <w:tcW w:w="2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33,188</w:t>
            </w:r>
          </w:p>
        </w:tc>
        <w:tc>
          <w:tcPr>
            <w:tcW w:w="10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33,188</w:t>
            </w:r>
          </w:p>
        </w:tc>
        <w:tc>
          <w:tcPr>
            <w:tcW w:w="80" w:type="dxa"/>
            <w:vAlign w:val="bottom"/>
            <w:shd w:val="clear" w:color="auto" w:fill="CFF0FC"/>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(18,256)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(16,799)</w:t>
            </w:r>
          </w:p>
        </w:tc>
      </w:tr>
      <w:tr>
        <w:trPr>
          <w:trHeight w:val="20"/>
        </w:trPr>
        <w:tc>
          <w:tcPr>
            <w:tcW w:w="38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 net</w:t>
            </w:r>
          </w:p>
        </w:tc>
        <w:tc>
          <w:tcPr>
            <w:tcW w:w="2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14,932</w:t>
            </w:r>
          </w:p>
        </w:tc>
        <w:tc>
          <w:tcPr>
            <w:tcW w:w="10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16,389</w:t>
            </w:r>
          </w:p>
        </w:tc>
        <w:tc>
          <w:tcPr>
            <w:tcW w:w="80" w:type="dxa"/>
            <w:vAlign w:val="bottom"/>
            <w:shd w:val="clear" w:color="auto" w:fill="CFF0FC"/>
          </w:tcPr>
          <w:p>
            <w:pPr>
              <w:spacing w:after="0"/>
              <w:rPr>
                <w:sz w:val="19"/>
                <w:szCs w:val="19"/>
                <w:color w:val="auto"/>
              </w:rPr>
            </w:pPr>
          </w:p>
        </w:tc>
      </w:tr>
      <w:tr>
        <w:trPr>
          <w:trHeight w:val="20"/>
        </w:trPr>
        <w:tc>
          <w:tcPr>
            <w:tcW w:w="3820" w:type="dxa"/>
            <w:vAlign w:val="bottom"/>
            <w:tcBorders>
              <w:top w:val="single" w:sz="8" w:color="CFF0FC"/>
            </w:tcBorders>
            <w:shd w:val="clear" w:color="auto" w:fill="CFF0FC"/>
          </w:tcPr>
          <w:p>
            <w:pPr>
              <w:spacing w:after="0" w:line="20" w:lineRule="exact"/>
              <w:rPr>
                <w:sz w:val="1"/>
                <w:szCs w:val="1"/>
                <w:color w:val="auto"/>
              </w:rPr>
            </w:pPr>
          </w:p>
        </w:tc>
        <w:tc>
          <w:tcPr>
            <w:tcW w:w="19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-24765</wp:posOffset>
            </wp:positionV>
            <wp:extent cx="514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-8255</wp:posOffset>
            </wp:positionV>
            <wp:extent cx="5143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(4)</w:t>
        <w:tab/>
        <w:t>Inventory</w:t>
      </w:r>
    </w:p>
    <w:p>
      <w:pPr>
        <w:spacing w:after="0" w:line="12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Company capitalizes its purchases of saleable inventory of VASCEPA from suppliers that have been qualified by the U.S. FDA and other global regulatory agencies. Inventories as of June 30, 2025 and December 31, 2024 consist of the following:</w:t>
      </w:r>
    </w:p>
    <w:p>
      <w:pPr>
        <w:spacing w:after="0" w:line="155"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15"/>
                <w:szCs w:val="15"/>
                <w:color w:val="auto"/>
              </w:rPr>
            </w:pPr>
          </w:p>
        </w:tc>
      </w:tr>
      <w:tr>
        <w:trPr>
          <w:trHeight w:val="209"/>
        </w:trPr>
        <w:tc>
          <w:tcPr>
            <w:tcW w:w="20" w:type="dxa"/>
            <w:vAlign w:val="bottom"/>
          </w:tcPr>
          <w:p>
            <w:pPr>
              <w:spacing w:after="0"/>
              <w:rPr>
                <w:sz w:val="18"/>
                <w:szCs w:val="18"/>
                <w:color w:val="auto"/>
              </w:rPr>
            </w:pPr>
          </w:p>
        </w:tc>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93,208</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91,421</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22,374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30,482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95,248</w:t>
            </w:r>
          </w:p>
        </w:tc>
        <w:tc>
          <w:tcPr>
            <w:tcW w:w="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108,885</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720" w:type="dxa"/>
            <w:vAlign w:val="bottom"/>
          </w:tcPr>
          <w:p>
            <w:pPr>
              <w:spacing w:after="0" w:line="210" w:lineRule="exact"/>
              <w:rPr>
                <w:sz w:val="20"/>
                <w:szCs w:val="20"/>
                <w:color w:val="auto"/>
              </w:rPr>
            </w:pPr>
            <w:r>
              <w:rPr>
                <w:rFonts w:ascii="Times New Roman" w:cs="Times New Roman" w:eastAsia="Times New Roman" w:hAnsi="Times New Roman"/>
                <w:sz w:val="18"/>
                <w:szCs w:val="18"/>
                <w:color w:val="auto"/>
              </w:rPr>
              <w:t xml:space="preserve">Total inventory </w:t>
            </w:r>
            <w:r>
              <w:rPr>
                <w:rFonts w:ascii="Times New Roman" w:cs="Times New Roman" w:eastAsia="Times New Roman" w:hAnsi="Times New Roman"/>
                <w:sz w:val="24"/>
                <w:szCs w:val="24"/>
                <w:color w:val="auto"/>
                <w:vertAlign w:val="superscript"/>
              </w:rPr>
              <w:t>1</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210,830</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230,788</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-170815</wp:posOffset>
            </wp:positionV>
            <wp:extent cx="5143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70" w:lineRule="exact"/>
        <w:rPr>
          <w:sz w:val="20"/>
          <w:szCs w:val="20"/>
          <w:color w:val="auto"/>
        </w:rPr>
      </w:pPr>
    </w:p>
    <w:p>
      <w:pPr>
        <w:ind w:left="1360" w:right="1420" w:hanging="4"/>
        <w:spacing w:after="0" w:line="261" w:lineRule="auto"/>
        <w:tabs>
          <w:tab w:leader="none" w:pos="16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inventory consists of both current inventory and long-term inventory. During both the three and six months ended June 30, 2025, approximately $0.4 million of inventory was expensed through cost of goods sold for product dating inventory. During the six months ended June 30, 2024, approximately $1.5 million of inventory was expensed through cost of goods sold for product dating inventory.</w:t>
      </w:r>
    </w:p>
    <w:p>
      <w:pPr>
        <w:spacing w:after="0" w:line="72"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As of June 30, 2025 and December 31, 2024, the Company had $39.6 million and $64.7 million of long-term inventory, respectively, as consumption is expected beyond the Company's operating cycle of 12 months.</w:t>
      </w: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79" w:right="379" w:bottom="1440" w:gutter="0" w:footer="0" w:header="0"/>
        </w:sectPr>
      </w:pPr>
    </w:p>
    <w:bookmarkStart w:id="14" w:name="page15"/>
    <w:bookmarkEnd w:id="14"/>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(5)</w:t>
        <w:tab/>
        <w:t>Commitments and Contingencies</w:t>
      </w:r>
    </w:p>
    <w:p>
      <w:pPr>
        <w:spacing w:after="0" w:line="12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Amarin accrues a liability for legal contingencies when it believes that it is both probable that a liability has been incurred and that it can reasonably estimate the amount of the loss. Amarin reviews these accruals and adjusts them to reflect ongoing negotiations, settlements, rulings, advice of legal counsel and other relevant information. To the extent new information is obtained and Amarin’s views on the probable outcomes of claims, suits, assessments, investigations or legal proceedings change, changes in Amarin’s accrued liabilities would be recorded in the period in which such determination is made. For the matters referenced below, the amount of liability is not probable nor can the amount be reasonably estimated; therefore, accruals have not been made. In addition, in accordance with the relevant authoritative guidance, for matters in which the likelihood of material loss is at least reasonably possible, Amarin provides disclosure of the possible loss or range of loss. If a reasonable estimate cannot be made, however, Amarin will provide disclosure to that effect.</w:t>
      </w:r>
    </w:p>
    <w:p>
      <w:pPr>
        <w:spacing w:after="0" w:line="2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Litigation Updates</w:t>
      </w:r>
    </w:p>
    <w:p>
      <w:pPr>
        <w:spacing w:after="0" w:line="119"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Amarin intends to vigorously enforce its intellectual property rights relating to VASCEPA, but cannot predict the outcome of such lawsuits or other proceedings described in the Company's Form 10-K. Except as described below, there have been no material updates to our litigation as reported in the Company’s Form 10-K.</w:t>
      </w:r>
    </w:p>
    <w:p>
      <w:pPr>
        <w:spacing w:after="0" w:line="68"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On November 30, 2020, the Company filed a patent infringement lawsuit against Hikma for making, selling, offering to sell, and importing generic icosapent ethyl capsules in and into the U.S. in a manner that the Company alleges induced the infringement of patents covering the use of VASCEPA to reduce specified CV risk. On January 4, 2022, the district court for the District of Delaware granted a motion to dismiss the Company's lawsuit for failure to state a claim. Thereafter, the Company appealed to the Court of Appeals for the Federal Circuit. On June 25, 2024, the Federal Circuit issued a decision reversing the district court, finding that the Company's allegations against Hikma plausibly state a claim alleging Hikma actively induced infringement of the asserted patents. Hikma filed a petition for rehearing en banc on August 22, 2024, which was denied on October 17, 2024. On February 14, 2025, Hikma filed a Petition for a Writ of Certiorari with the Supreme Court of the United States seeking review of the Federal Circuit decision reversing the district court. The infringement case continues to proceed within the district court during the pendency of the Petition.</w:t>
      </w:r>
    </w:p>
    <w:p>
      <w:pPr>
        <w:spacing w:after="0" w:line="8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On March 31, 2023, the Company’s former chief executive officer, Karim Mikhail, filed a complaint against the Company and certain of its affiliates in the Superior Court of New Jersey, Law Division – Somerset County, captioned </w:t>
      </w:r>
      <w:r>
        <w:rPr>
          <w:rFonts w:ascii="Times New Roman" w:cs="Times New Roman" w:eastAsia="Times New Roman" w:hAnsi="Times New Roman"/>
          <w:sz w:val="18"/>
          <w:szCs w:val="18"/>
          <w:i w:val="1"/>
          <w:iCs w:val="1"/>
          <w:color w:val="auto"/>
        </w:rPr>
        <w:t>Mikhail v. Amarin Corporation, plc</w:t>
      </w:r>
      <w:r>
        <w:rPr>
          <w:rFonts w:ascii="Times New Roman" w:cs="Times New Roman" w:eastAsia="Times New Roman" w:hAnsi="Times New Roman"/>
          <w:sz w:val="18"/>
          <w:szCs w:val="18"/>
          <w:color w:val="auto"/>
        </w:rPr>
        <w:t xml:space="preserve"> (Docket No. SOM-L-000366-23), concerning Mr. Mikhail’s alleged “constructive termination” from the Company. The complaint seeks unspecified damages arising from claims for breaches of his employment agreement, Executive Severance and Change of Control Plan, and the implied covenant of good faith and fair dealing. On April 3, 2023, the case moved to the U.S. District Court for the District of New Jersey (Civ. No. 3:23-cv-01856). On June 30, 2023, all defendants moved to dismiss this case without prejudice due to lack of jurisdiction. On March 4, 2024, the District Court granted the motion in part and denied the motion in part, permitting the parties to pursue limited discovery on the issue of personal jurisdiction. On March 20, 2025, the Company filed a new Motion to Dismiss for failure of plaintiff to state a claim. The Company believes it has valid defenses and will vigorously defend against the claims but cannot predict the outcome. The Company is unable to reasonably estimate the loss exposure, if any, associated with these claims.</w:t>
      </w:r>
    </w:p>
    <w:p>
      <w:pPr>
        <w:spacing w:after="0" w:line="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to the above, in the ordinary course of business, the Company is from time to time involved in lawsuits, claims, investigations, proceedings, and threats of litigation relating to intellectual property, commercial arrangements and other matters.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Milestone and Supply Purchase Obligations</w:t>
      </w:r>
    </w:p>
    <w:p>
      <w:pPr>
        <w:spacing w:after="0" w:line="119"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Company currently has long-term supply agreements with multiple API suppliers and encapsulators. The Company is relying on these suppliers to meet current and potential future global demand for VASCEPA. Certain supply agreements require annual minimum volume commitments by the Company and certain volume shortfalls may require payments for such shortfalls.</w:t>
      </w:r>
    </w:p>
    <w:p>
      <w:pPr>
        <w:spacing w:after="0" w:line="68"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These agreements include requirements for the suppliers to meet certain product specifications and qualify their materials and facilities with applicable regulatory authorities, including the U.S. FDA. The Company has incurred certain costs associated with the qualification of product produced by these suppliers.</w:t>
      </w:r>
    </w:p>
    <w:p>
      <w:pPr>
        <w:spacing w:after="0" w:line="6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Company continues to negotiate with contract suppliers to align its supply arrangements with current and future global demand, which may result in additional costs to the Company. As of the date of filing of this Quarterly Report, the Company has a total of approximately $208.0 million in future contractual purchase obligations without consideration to ongoing discussions with other suppliers.</w:t>
      </w:r>
    </w:p>
    <w:p>
      <w:pPr>
        <w:spacing w:after="0" w:line="6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Under the Laxdale agreement, upon receipt of a marketing approval in Europe for a further indication of VASCEPA (or further indication of any other product acquired from Laxdale in 2004), the Company must make an aggregate stock or cash payment (at the sole option of each such former shareholder) of £5.0 million (approximately $6.9 million as of June 30, 2025).</w:t>
      </w:r>
    </w:p>
    <w:p>
      <w:pPr>
        <w:spacing w:after="0" w:line="68" w:lineRule="exact"/>
        <w:rPr>
          <w:sz w:val="20"/>
          <w:szCs w:val="20"/>
          <w:color w:val="auto"/>
        </w:rPr>
      </w:pPr>
    </w:p>
    <w:p>
      <w:pPr>
        <w:ind w:left="5540" w:right="1980" w:hanging="5525"/>
        <w:spacing w:after="0" w:line="282" w:lineRule="auto"/>
        <w:rPr>
          <w:sz w:val="20"/>
          <w:szCs w:val="20"/>
          <w:color w:val="auto"/>
        </w:rPr>
      </w:pPr>
      <w:r>
        <w:rPr>
          <w:rFonts w:ascii="Times New Roman" w:cs="Times New Roman" w:eastAsia="Times New Roman" w:hAnsi="Times New Roman"/>
          <w:sz w:val="18"/>
          <w:szCs w:val="18"/>
          <w:color w:val="auto"/>
        </w:rPr>
        <w:t>The Company has no provision for any of these obligations since the amounts are either not paid or payable as of June 30, 2025.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15" w:name="page16"/>
    <w:bookmarkEnd w:id="15"/>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Equity</w:t>
      </w:r>
    </w:p>
    <w:p>
      <w:pPr>
        <w:spacing w:after="0" w:line="2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ADSs</w:t>
      </w:r>
    </w:p>
    <w:p>
      <w:pPr>
        <w:spacing w:after="0" w:line="22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On April 11, 2025, the Company effected its ADS Ratio Change on its ADSs from one ADS representing one Ordinary Share, to the new ratio of one ADS representing 20 Ordinary Shares.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six months ended June 30, 2025 and 2024, except as described above, the Company did not engage in any transactions involving its ADSs.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Incentive Equity Awards</w:t>
      </w:r>
      <w:r>
        <w:rPr>
          <w:rFonts w:ascii="Times New Roman" w:cs="Times New Roman" w:eastAsia="Times New Roman" w:hAnsi="Times New Roman"/>
          <w:sz w:val="18"/>
          <w:szCs w:val="18"/>
          <w:color w:val="auto"/>
        </w:rPr>
        <w:t xml:space="preserve"> below for discussions of Ordinary Shares issued as a result of stock option exercises and vesting of RSUs.</w:t>
      </w:r>
    </w:p>
    <w:p>
      <w:pPr>
        <w:spacing w:after="0" w:line="2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Ordinary Shares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There was no Ordinary Share activity during the six months ended June 30, 2025 and 2024, except as described in </w:t>
      </w:r>
      <w:r>
        <w:rPr>
          <w:rFonts w:ascii="Times New Roman" w:cs="Times New Roman" w:eastAsia="Times New Roman" w:hAnsi="Times New Roman"/>
          <w:sz w:val="18"/>
          <w:szCs w:val="18"/>
          <w:i w:val="1"/>
          <w:iCs w:val="1"/>
          <w:color w:val="auto"/>
        </w:rPr>
        <w:t>Incentive Equity Awards</w:t>
      </w:r>
      <w:r>
        <w:rPr>
          <w:rFonts w:ascii="Times New Roman" w:cs="Times New Roman" w:eastAsia="Times New Roman" w:hAnsi="Times New Roman"/>
          <w:sz w:val="18"/>
          <w:szCs w:val="18"/>
          <w:color w:val="auto"/>
        </w:rPr>
        <w:t xml:space="preserve"> below.</w:t>
      </w:r>
    </w:p>
    <w:p>
      <w:pPr>
        <w:spacing w:after="0" w:line="2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Incentive Equity Awards</w:t>
      </w:r>
    </w:p>
    <w:p>
      <w:pPr>
        <w:spacing w:after="0" w:line="11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aggregate number of Ordinary Shares underlying stock options and RSUs outstanding under the Amarin Corporation plc 2020 Stock Incentive Plan, as amended, or the 2020 Plan, as of June 30, 2025:</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340" w:type="dxa"/>
            <w:vAlign w:val="bottom"/>
            <w:tcBorders>
              <w:bottom w:val="single" w:sz="8" w:color="auto"/>
            </w:tcBorders>
          </w:tcPr>
          <w:p>
            <w:pPr>
              <w:jc w:val="right"/>
              <w:ind w:right="1188"/>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60" w:type="dxa"/>
            <w:vAlign w:val="bottom"/>
            <w:gridSpan w:val="2"/>
          </w:tcPr>
          <w:p>
            <w:pPr>
              <w:spacing w:after="0"/>
              <w:rPr>
                <w:sz w:val="15"/>
                <w:szCs w:val="15"/>
                <w:color w:val="auto"/>
              </w:rPr>
            </w:pPr>
          </w:p>
        </w:tc>
      </w:tr>
      <w:tr>
        <w:trPr>
          <w:trHeight w:val="209"/>
        </w:trPr>
        <w:tc>
          <w:tcPr>
            <w:tcW w:w="7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stock options</w:t>
            </w:r>
          </w:p>
        </w:tc>
        <w:tc>
          <w:tcPr>
            <w:tcW w:w="37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31,103,246</w:t>
            </w:r>
          </w:p>
        </w:tc>
        <w:tc>
          <w:tcPr>
            <w:tcW w:w="100" w:type="dxa"/>
            <w:vAlign w:val="bottom"/>
            <w:shd w:val="clear" w:color="auto" w:fill="CFF0FC"/>
          </w:tcPr>
          <w:p>
            <w:pPr>
              <w:spacing w:after="0"/>
              <w:rPr>
                <w:sz w:val="18"/>
                <w:szCs w:val="18"/>
                <w:color w:val="auto"/>
              </w:rPr>
            </w:pP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of outstanding on a fully-diluted basis</w:t>
            </w:r>
          </w:p>
        </w:tc>
        <w:tc>
          <w:tcPr>
            <w:tcW w:w="38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7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RSUs</w:t>
            </w:r>
          </w:p>
        </w:tc>
        <w:tc>
          <w:tcPr>
            <w:tcW w:w="37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19,278,889</w:t>
            </w:r>
          </w:p>
        </w:tc>
        <w:tc>
          <w:tcPr>
            <w:tcW w:w="100" w:type="dxa"/>
            <w:vAlign w:val="bottom"/>
            <w:shd w:val="clear" w:color="auto" w:fill="CFF0FC"/>
          </w:tcPr>
          <w:p>
            <w:pPr>
              <w:spacing w:after="0"/>
              <w:rPr>
                <w:sz w:val="18"/>
                <w:szCs w:val="18"/>
                <w:color w:val="auto"/>
              </w:rPr>
            </w:pPr>
          </w:p>
        </w:tc>
      </w:tr>
      <w:tr>
        <w:trPr>
          <w:trHeight w:val="234"/>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of outstanding on a fully-diluted basis</w:t>
            </w:r>
          </w:p>
        </w:tc>
        <w:tc>
          <w:tcPr>
            <w:tcW w:w="38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r>
      <w:tr>
        <w:trPr>
          <w:trHeight w:val="306"/>
        </w:trPr>
        <w:tc>
          <w:tcPr>
            <w:tcW w:w="112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following table represents equity awards activity during the six months ended June 30, 2025 and 2024:</w:t>
            </w:r>
          </w:p>
        </w:tc>
      </w:tr>
      <w:tr>
        <w:trPr>
          <w:trHeight w:val="432"/>
        </w:trPr>
        <w:tc>
          <w:tcPr>
            <w:tcW w:w="5840" w:type="dxa"/>
            <w:vAlign w:val="bottom"/>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24"/>
                <w:szCs w:val="24"/>
                <w:color w:val="auto"/>
              </w:rPr>
            </w:pPr>
          </w:p>
        </w:tc>
      </w:tr>
      <w:tr>
        <w:trPr>
          <w:trHeight w:val="210"/>
        </w:trPr>
        <w:tc>
          <w:tcPr>
            <w:tcW w:w="7440" w:type="dxa"/>
            <w:vAlign w:val="bottom"/>
            <w:gridSpan w:val="2"/>
          </w:tcPr>
          <w:p>
            <w:pPr>
              <w:ind w:left="69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40" w:type="dxa"/>
            <w:vAlign w:val="bottom"/>
            <w:gridSpan w:val="2"/>
          </w:tcPr>
          <w:p>
            <w:pPr>
              <w:jc w:val="right"/>
              <w:ind w:right="9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0</wp:posOffset>
            </wp:positionV>
            <wp:extent cx="155130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551305" cy="825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Ordinary Shares issued for stock option exercises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right="900"/>
        <w:spacing w:after="0" w:line="249" w:lineRule="auto"/>
        <w:rPr>
          <w:sz w:val="20"/>
          <w:szCs w:val="20"/>
          <w:color w:val="auto"/>
        </w:rPr>
      </w:pPr>
      <w:r>
        <w:rPr>
          <w:rFonts w:ascii="Times New Roman" w:cs="Times New Roman" w:eastAsia="Times New Roman" w:hAnsi="Times New Roman"/>
          <w:sz w:val="18"/>
          <w:szCs w:val="18"/>
          <w:color w:val="auto"/>
        </w:rPr>
        <w:t>Gross and net proceeds from stock option exercises $ Ordinary Shares issued in settlement of vested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371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right="1300"/>
        <w:spacing w:after="0" w:line="231" w:lineRule="auto"/>
        <w:rPr>
          <w:sz w:val="20"/>
          <w:szCs w:val="20"/>
          <w:color w:val="auto"/>
        </w:rPr>
      </w:pPr>
      <w:r>
        <w:rPr>
          <w:rFonts w:ascii="Times New Roman" w:cs="Times New Roman" w:eastAsia="Times New Roman" w:hAnsi="Times New Roman"/>
          <w:sz w:val="18"/>
          <w:szCs w:val="18"/>
          <w:color w:val="auto"/>
        </w:rPr>
        <w:t xml:space="preserve">Ordinary Shares retained for settlement of employee tax obligations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RSUs Ordinary Shares issued in settlement of vested Performance-based RSUs </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Ordinary Shares retained for settlement of employee tax obligations ─ Performance-based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7132320" cy="13716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1140" w:type="dxa"/>
            <w:vAlign w:val="bottom"/>
          </w:tcPr>
          <w:p>
            <w:pPr>
              <w:jc w:val="right"/>
              <w:ind w:right="330"/>
              <w:spacing w:after="0" w:line="191"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9,500</w:t>
            </w:r>
          </w:p>
        </w:tc>
      </w:tr>
      <w:tr>
        <w:trPr>
          <w:trHeight w:val="216"/>
        </w:trPr>
        <w:tc>
          <w:tcPr>
            <w:tcW w:w="11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10,260</w:t>
            </w:r>
          </w:p>
        </w:tc>
      </w:tr>
      <w:tr>
        <w:trPr>
          <w:trHeight w:val="216"/>
        </w:trPr>
        <w:tc>
          <w:tcPr>
            <w:tcW w:w="11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97"/>
              </w:rPr>
              <w:t>6,200,419</w:t>
            </w:r>
          </w:p>
        </w:tc>
        <w:tc>
          <w:tcPr>
            <w:tcW w:w="9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2,992,343</w:t>
            </w:r>
          </w:p>
        </w:tc>
      </w:tr>
      <w:tr>
        <w:trPr>
          <w:trHeight w:val="216"/>
        </w:trPr>
        <w:tc>
          <w:tcPr>
            <w:tcW w:w="11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97"/>
              </w:rPr>
              <w:t>2,620,895</w:t>
            </w:r>
          </w:p>
        </w:tc>
        <w:tc>
          <w:tcPr>
            <w:tcW w:w="9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1,092,998</w:t>
            </w:r>
          </w:p>
        </w:tc>
      </w:tr>
      <w:tr>
        <w:trPr>
          <w:trHeight w:val="234"/>
        </w:trPr>
        <w:tc>
          <w:tcPr>
            <w:tcW w:w="11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257,500</w:t>
            </w:r>
          </w:p>
        </w:tc>
        <w:tc>
          <w:tcPr>
            <w:tcW w:w="9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468,230</w:t>
            </w:r>
          </w:p>
        </w:tc>
      </w:tr>
      <w:tr>
        <w:trPr>
          <w:trHeight w:val="324"/>
        </w:trPr>
        <w:tc>
          <w:tcPr>
            <w:tcW w:w="11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117,898</w:t>
            </w:r>
          </w:p>
        </w:tc>
        <w:tc>
          <w:tcPr>
            <w:tcW w:w="90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227,380</w:t>
            </w:r>
          </w:p>
        </w:tc>
      </w:tr>
    </w:tbl>
    <w:p>
      <w:pPr>
        <w:spacing w:after="0" w:line="197" w:lineRule="exact"/>
        <w:rPr>
          <w:sz w:val="20"/>
          <w:szCs w:val="20"/>
          <w:color w:val="auto"/>
        </w:rPr>
      </w:pPr>
    </w:p>
    <w:p>
      <w:pPr>
        <w:sectPr>
          <w:pgSz w:w="11900" w:h="16838" w:orient="portrait"/>
          <w:cols w:equalWidth="0" w:num="2">
            <w:col w:w="6840" w:space="720"/>
            <w:col w:w="3680"/>
          </w:cols>
          <w:pgMar w:left="320" w:top="1305" w:right="339" w:bottom="1440" w:gutter="0" w:footer="0" w:header="0"/>
          <w:type w:val="continuous"/>
        </w:sectPr>
      </w:pPr>
    </w:p>
    <w:p>
      <w:pPr>
        <w:ind w:left="380"/>
        <w:spacing w:after="0"/>
        <w:tabs>
          <w:tab w:leader="none" w:pos="74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Performance-based RSUs vested in connection with the achievement of certain performance conditions during the year.</w:t>
      </w:r>
    </w:p>
    <w:p>
      <w:pPr>
        <w:spacing w:after="0" w:line="11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 June 2025, the Company granted to Aaron Berg (i) RSUs for 1,500,000 Ordinary Shares that vested upon the date of grant; and (ii) stock options and RSUs of 750,000 and 250,000 Ordinary Shares that vest 50% on both June 26, 2026 and December 26, 2026, respectively.</w:t>
      </w:r>
    </w:p>
    <w:p>
      <w:pPr>
        <w:spacing w:after="0" w:line="54"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In January 2025, the Company granted RSUs for a total of 10,646,844 Ordinary Shares and stock options for a total of 3,313,059 Ordinary Shares to employees under the 2020 Plan. The RSUs and stock options vest 50% on both January 1, 2026 and July 1, 2026, respectively.</w:t>
      </w:r>
    </w:p>
    <w:p>
      <w:pPr>
        <w:spacing w:after="0" w:line="5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 July 2024, the Company granted stock options for 5,000,000 Ordinary Shares to Aaron Berg in connection with his appointment as President and Chief Executive Officer, which will vest upon achievement of specified stock price conditions for the Company.</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April 2024, the Company granted RSUs for a total of 492,296 Ordinary Shares and stock options for a total of 1,438,360 Ordinary Shares to members of the Company's Board of Directors. The RSUs vest annually over a three-year period and the stock options vest quarterly over a four-year period with a one-year cliff vesting.</w:t>
      </w:r>
    </w:p>
    <w:p>
      <w:pPr>
        <w:spacing w:after="0" w:line="6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February 2024, the Company granted RSUs for a total of 6,800,500 Ordinary Shares and stock options for a total of 2,662,000 Ordinary Shares to employees under the 2020 Plan. The RSUs vest annually over a three-year period and the stock options vest quarterly over a four-year period with a one-year cliff vesting.</w:t>
      </w:r>
    </w:p>
    <w:p>
      <w:pPr>
        <w:spacing w:after="0" w:line="28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(7)</w:t>
        <w:tab/>
        <w:t>Revenue Recognition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type w:val="continuous"/>
        </w:sectPr>
      </w:pPr>
    </w:p>
    <w:bookmarkStart w:id="16" w:name="page17"/>
    <w:bookmarkEnd w:id="16"/>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sells VASCEPA principally to a limited number of major wholesalers, as well as selected regional wholesalers and specialty retail pharmacy providers in the U.S. and Europe, or collectively, its distributors or its customers, most of whom in turn resell VASCEPA to retail pharmacies for subsequent resale to patients and healthcare providers. Patients are required to have a prescription in order to purchase VASCEPA. In addition to distribution agreements with distributors, the Company enters into arrangements with health care providers and payors that provide for government-mandated and/or privately-negotiated rebates, chargebacks and discounts with respect to the purchase of the Company’s product.</w:t>
      </w:r>
    </w:p>
    <w:p>
      <w:pPr>
        <w:spacing w:after="0" w:line="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Revenues from product sales are recognized when the distributor obtains control of the Company’s product, which occurs at a point in time, typically upon delivery to the distributor and in certain instances upon shipment. Payments from distributors are generally received 45 days from the date of sale. The Company evaluates the creditworthiness of each of its distributors to determine whether revenues can be recognized upon delivery, subject to satisfaction of the other requirements, or whether recognition is required to be delayed until receipt of payment</w:t>
      </w:r>
      <w:r>
        <w:rPr>
          <w:rFonts w:ascii="Times New Roman" w:cs="Times New Roman" w:eastAsia="Times New Roman" w:hAnsi="Times New Roman"/>
          <w:sz w:val="18"/>
          <w:szCs w:val="18"/>
          <w:color w:val="00B050"/>
        </w:rPr>
        <w:t>.</w:t>
      </w:r>
      <w:r>
        <w:rPr>
          <w:rFonts w:ascii="Times New Roman" w:cs="Times New Roman" w:eastAsia="Times New Roman" w:hAnsi="Times New Roman"/>
          <w:sz w:val="18"/>
          <w:szCs w:val="18"/>
          <w:color w:val="auto"/>
        </w:rPr>
        <w:t xml:space="preserve"> The Company calculates gross product revenues generally based on the wholesale acquisition cost or list price that the Company charges its distributors for VASCEPA.</w:t>
      </w:r>
    </w:p>
    <w:p>
      <w:pPr>
        <w:spacing w:after="0" w:line="2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Reserves for Variable Consideration</w:t>
      </w:r>
    </w:p>
    <w:p>
      <w:pPr>
        <w:spacing w:after="0" w:line="11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Revenues from product sales are recorded at the net sales price (transaction price), which includes estimates of variable consideration for which reserves are established and which result from (a) trade allowances, such as invoice discounts for prompt pay and distributor fees, (b) estimated government and private payor rebates and chargebacks and discounts, such as Medicaid reimbursements, (c) reserves for expected product returns and (d) estimated costs of incentives that are offered within contracts between the Company and its distributors, health care providers, payors and other indirect customers relating to the Company’s sales of its product. These reserves are based on the amounts earned or to be claimed on the related sales and are classified as reductions of accounts receivable (if the amount is payable to the distributor) or as a current liability (if the amount is payable to a party other than a distributor). Where appropriate, these estimates take into consideration a range of possible outcomes which are probability-weighted for relevant factors such as the Company’s historical experience, current contractual and statutory requirements, specific known market events and trends, industry data and forecasted customer buying and payment patterns. Overall, these reserves reflect the Company’s best estimates of the amount of consideration to which it is entitled based on the terms of the contract. The amount of variable consideration which is included in the transaction price may be constrained, and is included in the net sales price only to the extent that it is probable that a significant reversal in the amount of the cumulative revenue recognized will not occur in a future period. Actual amounts of consideration ultimately received may differ from the Company’s estimates. If actual results in the future vary from the Company’s estimates, the Company adjusts these estimates, which would affect net product revenue and earnings in the period such variances become known.</w:t>
      </w:r>
    </w:p>
    <w:p>
      <w:pPr>
        <w:spacing w:after="0" w:line="87" w:lineRule="exact"/>
        <w:rPr>
          <w:sz w:val="20"/>
          <w:szCs w:val="20"/>
          <w:color w:val="auto"/>
        </w:rPr>
      </w:pPr>
    </w:p>
    <w:p>
      <w:pPr>
        <w:ind w:left="520" w:right="4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Trade Allowances: </w:t>
      </w:r>
      <w:r>
        <w:rPr>
          <w:rFonts w:ascii="Times New Roman" w:cs="Times New Roman" w:eastAsia="Times New Roman" w:hAnsi="Times New Roman"/>
          <w:sz w:val="18"/>
          <w:szCs w:val="18"/>
          <w:color w:val="auto"/>
        </w:rPr>
        <w:t>The Company generally provides invoice discounts on VASCEPA sales to its distributors for prompt payment and fees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distribution services, such as fees for certain data that distributors provide to the Company. The payment terms for sales to distributors in the U.S. and Europe generally include a 2-3% discount for prompt payment while the fees for distribution services are based on contractual rates agreed with the respective distributors. Based on historical data, the Company expects its distributors to earn these discounts and fees and deducts the full amount of these discounts and fees from its gross product revenues and accounts receivable at the time such revenues are recognized.</w:t>
      </w:r>
    </w:p>
    <w:p>
      <w:pPr>
        <w:spacing w:after="0" w:line="75" w:lineRule="exact"/>
        <w:rPr>
          <w:sz w:val="20"/>
          <w:szCs w:val="20"/>
          <w:color w:val="auto"/>
        </w:rPr>
      </w:pPr>
    </w:p>
    <w:p>
      <w:pPr>
        <w:ind w:left="520" w:firstLine="509"/>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Rebates, Chargebacks and Discounts: </w:t>
      </w:r>
      <w:r>
        <w:rPr>
          <w:rFonts w:ascii="Times New Roman" w:cs="Times New Roman" w:eastAsia="Times New Roman" w:hAnsi="Times New Roman"/>
          <w:sz w:val="18"/>
          <w:szCs w:val="18"/>
          <w:color w:val="auto"/>
        </w:rPr>
        <w:t>The Company contracts with Medicaid, Medicare, other government agencies and various private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organizations, or collectively, Third-party Payors, so that VASCEPA will be eligible for purchase by, or partial or full reimbursement from, such Third-party Payors. We have withdrawn from the Medicaid Drug Rebate program and the 340B drug pricing program effective October 1, 2024. The Company estimates the rebates, chargebacks and discounts it will provide to Third-party Payors and deducts these estimated amounts from its gross product revenues at the time the revenues are recognized. The Company estimates these reserves based upon a range of possible outcomes that are probability-weighted for the estimated payor mix. These reserves are recorded in the same period the revenue is recognized, resulting in a reduction of product revenue and the establishment of a current liability, which is included in accrued expenses and other current liabilities on the condensed consolidated balance sheets. For Medicare, the Company also estimates the number of patients in the prescription drug coverage gap for whom the Company will owe an additional liability under the Medicare Part D program. The Company estimates the rebates, chargebacks and discounts that it will provide to Third-party Payors based upon (i) the Company’s contracts with these Third-party Payors, (ii) the government-mandated discounts applicable to government-funded programs, (iii) information obtained from the Company’s distributors and (iv) information obtained from other third parties regarding the payor mix for VASCEPA. The Company’s liability for these rebates consists of invoices received for claims from prior quarters that have not been paid or for which an invoice has not yet been received, estimates of claims for the current quarter, and estimated future claims that will be made for product that has been recognized as revenue, but remains in the distribution channel inventories at the end of each reporting period.</w:t>
      </w:r>
    </w:p>
    <w:p>
      <w:pPr>
        <w:spacing w:after="0" w:line="88" w:lineRule="exact"/>
        <w:rPr>
          <w:sz w:val="20"/>
          <w:szCs w:val="20"/>
          <w:color w:val="auto"/>
        </w:rPr>
      </w:pPr>
    </w:p>
    <w:p>
      <w:pPr>
        <w:ind w:left="520" w:right="6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Product Returns: </w:t>
      </w:r>
      <w:r>
        <w:rPr>
          <w:rFonts w:ascii="Times New Roman" w:cs="Times New Roman" w:eastAsia="Times New Roman" w:hAnsi="Times New Roman"/>
          <w:sz w:val="18"/>
          <w:szCs w:val="18"/>
          <w:color w:val="auto"/>
        </w:rPr>
        <w:t>The Company’s distributors have the right to return unopened unprescribed VASCEPA during the 18-month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beginning six months prior to the labeled expiration date and ending 12 months after the labeled expiration date. The expiration date for VASCEPA 1-gram and 0.5-gram size capsules is currently four years and three years, respectively, after being converted into capsule form, which is the last step in the manufacturing process for VASCEPA and generally occurs</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7" w:name="page18"/>
    <w:bookmarkEnd w:id="17"/>
    <w:p>
      <w:pPr>
        <w:ind w:left="520"/>
        <w:spacing w:after="0"/>
        <w:rPr>
          <w:sz w:val="20"/>
          <w:szCs w:val="20"/>
          <w:color w:val="auto"/>
        </w:rPr>
      </w:pPr>
      <w:r>
        <w:rPr>
          <w:rFonts w:ascii="Times New Roman" w:cs="Times New Roman" w:eastAsia="Times New Roman" w:hAnsi="Times New Roman"/>
          <w:sz w:val="18"/>
          <w:szCs w:val="18"/>
          <w:color w:val="auto"/>
        </w:rPr>
        <w:t>within a few months before VASCEPA is delivered to distributors. The Company estimates future product returns on sales of VASCEPA based on</w:t>
      </w:r>
    </w:p>
    <w:p>
      <w:pPr>
        <w:spacing w:after="0" w:line="27" w:lineRule="exact"/>
        <w:rPr>
          <w:sz w:val="20"/>
          <w:szCs w:val="20"/>
          <w:color w:val="auto"/>
        </w:rPr>
      </w:pPr>
    </w:p>
    <w:p>
      <w:pPr>
        <w:ind w:left="520" w:right="20" w:hanging="3"/>
        <w:spacing w:after="0" w:line="251" w:lineRule="auto"/>
        <w:tabs>
          <w:tab w:leader="none" w:pos="7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provided to the Company by its distributors (including weekly reporting of distributors’ sales and inventory held by distributors that provided the Company with visibility into the distribution channel in order to determine what quantities were sold to retail pharmacies and other providers), (ii) information provided to the Company from retail pharmacies, (iii) data provided to the Company by a third-party data provider which collects and publishes prescription data, and other third parties, (iv) historical industry information regarding return rates for similar pharmaceutical products, (v) the estimated remaining shelf life of VASCEPA previously shipped and currently being shipped to distributors and (vi) contractual agreements intended to limit the amount of inventory maintained by the Company’s distributors. These reserves are recorded in the same period the related revenue is recognized, resulting in a reduction of product revenue and the establishment of a current liability which is included in accrued expenses and other current liabilities on the condensed consolidated balance sheets.</w:t>
      </w:r>
    </w:p>
    <w:p>
      <w:pPr>
        <w:spacing w:after="0" w:line="84" w:lineRule="exact"/>
        <w:rPr>
          <w:sz w:val="20"/>
          <w:szCs w:val="20"/>
          <w:color w:val="auto"/>
        </w:rPr>
      </w:pPr>
    </w:p>
    <w:p>
      <w:pPr>
        <w:ind w:left="520" w:right="20"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Other Incentives: </w:t>
      </w:r>
      <w:r>
        <w:rPr>
          <w:rFonts w:ascii="Times New Roman" w:cs="Times New Roman" w:eastAsia="Times New Roman" w:hAnsi="Times New Roman"/>
          <w:sz w:val="18"/>
          <w:szCs w:val="18"/>
          <w:color w:val="auto"/>
        </w:rPr>
        <w:t>Other incentives that the Company offers to indirect customers include co-pay mitigation rebates provided by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commercially insured patients who have coverage for VASCEPA and who reside in states that permit co-pay mitigation programs. The Company’s co-pay mitigation program is intended to reduce each participating patient’s portion of the financial responsibility for VASCEPA’s purchase price to a specified dollar amount. Based upon the terms of the program and information regarding programs provided for similar specialty pharmaceutical products, the Company estimates the average co-pay mitigation amounts and the percentage of patients that it expects to participate in the program in order to establish its accruals for co-pay mitigation rebates. These reserves are recorded in the same period the related revenue is recognized, resulting in a reduction of product revenue and the establishment of a current liability, which is included in accrued expenses and other current liabilities on the condensed consolidated balance sheets. The Company adjusts its accruals for co-pay mitigation rebates based on actual redemption activity and estimates regarding the portion of issued co-pay mitigation rebates that it estimates will be redeemed.</w:t>
      </w:r>
    </w:p>
    <w:p>
      <w:pPr>
        <w:spacing w:after="0" w:line="8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summarize activity in each of the net product revenue allowance and reserve categories described above for the six months ended June 30, 2025 and 2024:</w:t>
      </w:r>
    </w:p>
    <w:p>
      <w:pPr>
        <w:spacing w:after="0" w:line="143"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3"/>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Trade</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Rebates,</w:t>
            </w:r>
          </w:p>
        </w:tc>
        <w:tc>
          <w:tcPr>
            <w:tcW w:w="160" w:type="dxa"/>
            <w:vAlign w:val="bottom"/>
          </w:tcPr>
          <w:p>
            <w:pPr>
              <w:spacing w:after="0"/>
              <w:rPr>
                <w:sz w:val="13"/>
                <w:szCs w:val="13"/>
                <w:color w:val="auto"/>
              </w:rPr>
            </w:pPr>
          </w:p>
        </w:tc>
        <w:tc>
          <w:tcPr>
            <w:tcW w:w="9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120" w:type="dxa"/>
            <w:vAlign w:val="bottom"/>
          </w:tcPr>
          <w:p>
            <w:pPr>
              <w:spacing w:after="0"/>
              <w:rPr>
                <w:sz w:val="13"/>
                <w:szCs w:val="13"/>
                <w:color w:val="auto"/>
              </w:rPr>
            </w:pPr>
          </w:p>
        </w:tc>
        <w:tc>
          <w:tcPr>
            <w:tcW w:w="980" w:type="dxa"/>
            <w:vAlign w:val="bottom"/>
            <w:gridSpan w:val="3"/>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Chargebacks</w:t>
            </w: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Allowances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and Discounts</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Returns</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Incentives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2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9,433</w:t>
            </w:r>
          </w:p>
        </w:tc>
        <w:tc>
          <w:tcPr>
            <w:tcW w:w="100" w:type="dxa"/>
            <w:vAlign w:val="bottom"/>
            <w:tcBorders>
              <w:right w:val="single" w:sz="8" w:color="CFF0FC"/>
            </w:tcBorders>
            <w:shd w:val="clear" w:color="auto" w:fill="CFF0FC"/>
          </w:tcPr>
          <w:p>
            <w:pPr>
              <w:spacing w:after="0"/>
              <w:rPr>
                <w:sz w:val="18"/>
                <w:szCs w:val="18"/>
                <w:color w:val="auto"/>
              </w:rPr>
            </w:pPr>
          </w:p>
        </w:tc>
        <w:tc>
          <w:tcPr>
            <w:tcW w:w="1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97,526</w:t>
            </w:r>
          </w:p>
        </w:tc>
        <w:tc>
          <w:tcPr>
            <w:tcW w:w="140" w:type="dxa"/>
            <w:vAlign w:val="bottom"/>
            <w:tcBorders>
              <w:right w:val="single" w:sz="8" w:color="CFF0FC"/>
            </w:tcBorders>
            <w:shd w:val="clear" w:color="auto" w:fill="CFF0FC"/>
          </w:tcPr>
          <w:p>
            <w:pPr>
              <w:spacing w:after="0"/>
              <w:rPr>
                <w:sz w:val="18"/>
                <w:szCs w:val="18"/>
                <w:color w:val="auto"/>
              </w:rPr>
            </w:pPr>
          </w:p>
        </w:tc>
        <w:tc>
          <w:tcPr>
            <w:tcW w:w="160" w:type="dxa"/>
            <w:vAlign w:val="bottom"/>
            <w:tcBorders>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4,734</w:t>
            </w:r>
          </w:p>
        </w:tc>
        <w:tc>
          <w:tcPr>
            <w:tcW w:w="14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1,548</w:t>
            </w:r>
          </w:p>
        </w:tc>
        <w:tc>
          <w:tcPr>
            <w:tcW w:w="120" w:type="dxa"/>
            <w:vAlign w:val="bottom"/>
            <w:tcBorders>
              <w:right w:val="single" w:sz="8" w:color="CFF0FC"/>
            </w:tcBorders>
            <w:shd w:val="clear" w:color="auto" w:fill="CFF0FC"/>
          </w:tcPr>
          <w:p>
            <w:pPr>
              <w:spacing w:after="0"/>
              <w:rPr>
                <w:sz w:val="18"/>
                <w:szCs w:val="18"/>
                <w:color w:val="auto"/>
              </w:rPr>
            </w:pP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113,241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Provision related to current period sales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34,338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314,792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7,382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357,306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Provision related to prior period sales</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tcBorders>
              <w:right w:val="single" w:sz="8" w:color="CFF0FC"/>
            </w:tcBorders>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tcBorders>
              <w:right w:val="single" w:sz="8" w:color="CFF0FC"/>
            </w:tcBorders>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(166)</w:t>
            </w:r>
          </w:p>
        </w:tc>
        <w:tc>
          <w:tcPr>
            <w:tcW w:w="160" w:type="dxa"/>
            <w:vAlign w:val="bottom"/>
            <w:tcBorders>
              <w:left w:val="single" w:sz="8" w:color="CFF0FC"/>
            </w:tcBorders>
            <w:shd w:val="clear" w:color="auto" w:fill="CFF0FC"/>
          </w:tcPr>
          <w:p>
            <w:pPr>
              <w:spacing w:after="0"/>
              <w:rPr>
                <w:sz w:val="18"/>
                <w:szCs w:val="18"/>
                <w:color w:val="auto"/>
              </w:rPr>
            </w:pPr>
          </w:p>
        </w:tc>
        <w:tc>
          <w:tcPr>
            <w:tcW w:w="9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left w:val="single" w:sz="8" w:color="CFF0FC"/>
            </w:tcBorders>
            <w:shd w:val="clear" w:color="auto" w:fill="CFF0FC"/>
          </w:tcPr>
          <w:p>
            <w:pPr>
              <w:spacing w:after="0"/>
              <w:rPr>
                <w:sz w:val="18"/>
                <w:szCs w:val="18"/>
                <w:color w:val="auto"/>
              </w:rPr>
            </w:pPr>
          </w:p>
        </w:tc>
        <w:tc>
          <w:tcPr>
            <w:tcW w:w="980" w:type="dxa"/>
            <w:vAlign w:val="bottom"/>
            <w:tcBorders>
              <w:right w:val="single" w:sz="8" w:color="CFF0FC"/>
            </w:tcBorders>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Credits/payments made for current period sales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(21,366)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(235,627)</w:t>
            </w: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8"/>
                <w:szCs w:val="18"/>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(5,441)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(262,484)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Credits/payments made for prior period sales</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tcBorders>
              <w:right w:val="single" w:sz="8" w:color="CFF0FC"/>
            </w:tcBorders>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(8,779)</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tcBorders>
              <w:right w:val="single" w:sz="8" w:color="CFF0FC"/>
            </w:tcBorders>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(95,273)</w:t>
            </w:r>
          </w:p>
        </w:tc>
        <w:tc>
          <w:tcPr>
            <w:tcW w:w="160" w:type="dxa"/>
            <w:vAlign w:val="bottom"/>
            <w:tcBorders>
              <w:left w:val="single" w:sz="8" w:color="CFF0FC"/>
            </w:tcBorders>
            <w:shd w:val="clear" w:color="auto" w:fill="CFF0FC"/>
          </w:tcPr>
          <w:p>
            <w:pPr>
              <w:spacing w:after="0"/>
              <w:rPr>
                <w:sz w:val="18"/>
                <w:szCs w:val="18"/>
                <w:color w:val="auto"/>
              </w:rPr>
            </w:pPr>
          </w:p>
        </w:tc>
        <w:tc>
          <w:tcPr>
            <w:tcW w:w="96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(2,334)</w:t>
            </w:r>
          </w:p>
        </w:tc>
        <w:tc>
          <w:tcPr>
            <w:tcW w:w="120" w:type="dxa"/>
            <w:vAlign w:val="bottom"/>
            <w:tcBorders>
              <w:left w:val="single" w:sz="8" w:color="CFF0FC"/>
            </w:tcBorders>
            <w:shd w:val="clear" w:color="auto" w:fill="CFF0FC"/>
          </w:tcPr>
          <w:p>
            <w:pPr>
              <w:spacing w:after="0"/>
              <w:rPr>
                <w:sz w:val="18"/>
                <w:szCs w:val="18"/>
                <w:color w:val="auto"/>
              </w:rPr>
            </w:pPr>
          </w:p>
        </w:tc>
        <w:tc>
          <w:tcPr>
            <w:tcW w:w="980" w:type="dxa"/>
            <w:vAlign w:val="bottom"/>
            <w:tcBorders>
              <w:right w:val="single" w:sz="8" w:color="CFF0FC"/>
            </w:tcBorders>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(1,703)</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(108,089)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tcBorders>
              <w:left w:val="single" w:sz="8" w:color="CFF0FC"/>
            </w:tcBorders>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tcBorders>
              <w:left w:val="single" w:sz="8" w:color="CFF0FC"/>
            </w:tcBorders>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2025</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13,626</w:t>
            </w:r>
          </w:p>
        </w:tc>
        <w:tc>
          <w:tcPr>
            <w:tcW w:w="100" w:type="dxa"/>
            <w:vAlign w:val="bottom"/>
          </w:tcPr>
          <w:p>
            <w:pPr>
              <w:spacing w:after="0"/>
              <w:rPr>
                <w:sz w:val="18"/>
                <w:szCs w:val="18"/>
                <w:color w:val="auto"/>
              </w:rPr>
            </w:pP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81,252</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3,144</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1,786</w:t>
            </w:r>
          </w:p>
        </w:tc>
        <w:tc>
          <w:tcPr>
            <w:tcW w:w="12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99,808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3"/>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Trade</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Rebates,</w:t>
            </w:r>
          </w:p>
        </w:tc>
        <w:tc>
          <w:tcPr>
            <w:tcW w:w="160" w:type="dxa"/>
            <w:vAlign w:val="bottom"/>
          </w:tcPr>
          <w:p>
            <w:pPr>
              <w:spacing w:after="0"/>
              <w:rPr>
                <w:sz w:val="24"/>
                <w:szCs w:val="24"/>
                <w:color w:val="auto"/>
              </w:rPr>
            </w:pPr>
          </w:p>
        </w:tc>
        <w:tc>
          <w:tcPr>
            <w:tcW w:w="9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120" w:type="dxa"/>
            <w:vAlign w:val="bottom"/>
          </w:tcPr>
          <w:p>
            <w:pPr>
              <w:spacing w:after="0"/>
              <w:rPr>
                <w:sz w:val="24"/>
                <w:szCs w:val="24"/>
                <w:color w:val="auto"/>
              </w:rPr>
            </w:pPr>
          </w:p>
        </w:tc>
        <w:tc>
          <w:tcPr>
            <w:tcW w:w="980" w:type="dxa"/>
            <w:vAlign w:val="bottom"/>
            <w:gridSpan w:val="3"/>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4"/>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Chargebacks</w:t>
            </w: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94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Allowances</w:t>
            </w:r>
          </w:p>
        </w:tc>
        <w:tc>
          <w:tcPr>
            <w:tcW w:w="220" w:type="dxa"/>
            <w:vAlign w:val="bottom"/>
            <w:gridSpan w:val="2"/>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and Discounts</w:t>
            </w:r>
          </w:p>
        </w:tc>
        <w:tc>
          <w:tcPr>
            <w:tcW w:w="240" w:type="dxa"/>
            <w:vAlign w:val="bottom"/>
            <w:gridSpan w:val="2"/>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Returns</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Incentives</w:t>
            </w:r>
          </w:p>
        </w:tc>
        <w:tc>
          <w:tcPr>
            <w:tcW w:w="200" w:type="dxa"/>
            <w:vAlign w:val="bottom"/>
            <w:gridSpan w:val="2"/>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18,834</w:t>
            </w:r>
          </w:p>
        </w:tc>
        <w:tc>
          <w:tcPr>
            <w:tcW w:w="120" w:type="dxa"/>
            <w:vAlign w:val="bottom"/>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spacing w:after="0"/>
              <w:rPr>
                <w:sz w:val="18"/>
                <w:szCs w:val="18"/>
                <w:color w:val="auto"/>
              </w:rPr>
            </w:pPr>
          </w:p>
        </w:tc>
        <w:tc>
          <w:tcPr>
            <w:tcW w:w="18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143,033</w:t>
            </w:r>
          </w:p>
        </w:tc>
        <w:tc>
          <w:tcPr>
            <w:tcW w:w="10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60" w:type="dxa"/>
            <w:vAlign w:val="bottom"/>
            <w:tcBorders>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7,732</w:t>
            </w:r>
          </w:p>
        </w:tc>
        <w:tc>
          <w:tcPr>
            <w:tcW w:w="14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1,902</w:t>
            </w:r>
          </w:p>
        </w:tc>
        <w:tc>
          <w:tcPr>
            <w:tcW w:w="8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171,501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Provision related to current period sales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413,252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463,359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Provision related to prior period sales</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tcBorders>
              <w:right w:val="single" w:sz="8" w:color="CFF0FC"/>
            </w:tcBorders>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(2,111)</w:t>
            </w:r>
          </w:p>
        </w:tc>
        <w:tc>
          <w:tcPr>
            <w:tcW w:w="140" w:type="dxa"/>
            <w:vAlign w:val="bottom"/>
            <w:tcBorders>
              <w:right w:val="single" w:sz="8" w:color="CFF0FC"/>
            </w:tcBorders>
            <w:shd w:val="clear" w:color="auto" w:fill="CFF0FC"/>
          </w:tcPr>
          <w:p>
            <w:pPr>
              <w:spacing w:after="0"/>
              <w:rPr>
                <w:sz w:val="18"/>
                <w:szCs w:val="18"/>
                <w:color w:val="auto"/>
              </w:rPr>
            </w:pPr>
          </w:p>
        </w:tc>
        <w:tc>
          <w:tcPr>
            <w:tcW w:w="160" w:type="dxa"/>
            <w:vAlign w:val="bottom"/>
            <w:tcBorders>
              <w:left w:val="single" w:sz="8" w:color="CFF0FC"/>
            </w:tcBorders>
            <w:shd w:val="clear" w:color="auto" w:fill="CFF0FC"/>
          </w:tcPr>
          <w:p>
            <w:pPr>
              <w:spacing w:after="0"/>
              <w:rPr>
                <w:sz w:val="18"/>
                <w:szCs w:val="18"/>
                <w:color w:val="auto"/>
              </w:rPr>
            </w:pPr>
          </w:p>
        </w:tc>
        <w:tc>
          <w:tcPr>
            <w:tcW w:w="9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left w:val="single" w:sz="8" w:color="CFF0FC"/>
            </w:tcBorders>
            <w:shd w:val="clear" w:color="auto" w:fill="CFF0FC"/>
          </w:tcPr>
          <w:p>
            <w:pPr>
              <w:spacing w:after="0"/>
              <w:rPr>
                <w:sz w:val="18"/>
                <w:szCs w:val="18"/>
                <w:color w:val="auto"/>
              </w:rPr>
            </w:pPr>
          </w:p>
        </w:tc>
        <w:tc>
          <w:tcPr>
            <w:tcW w:w="980" w:type="dxa"/>
            <w:vAlign w:val="bottom"/>
            <w:tcBorders>
              <w:right w:val="single" w:sz="8" w:color="CFF0FC"/>
            </w:tcBorders>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Credits/payments made for current period sales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(24,557)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(292,412)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(4,440)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(321,483)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Credits/payments made for prior period sales</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(18,169)</w:t>
            </w:r>
          </w:p>
        </w:tc>
        <w:tc>
          <w:tcPr>
            <w:tcW w:w="10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(133,453)</w:t>
            </w:r>
          </w:p>
        </w:tc>
        <w:tc>
          <w:tcPr>
            <w:tcW w:w="140" w:type="dxa"/>
            <w:vAlign w:val="bottom"/>
            <w:tcBorders>
              <w:right w:val="single" w:sz="8" w:color="CFF0FC"/>
            </w:tcBorders>
            <w:shd w:val="clear" w:color="auto" w:fill="CFF0FC"/>
          </w:tcPr>
          <w:p>
            <w:pPr>
              <w:spacing w:after="0"/>
              <w:rPr>
                <w:sz w:val="18"/>
                <w:szCs w:val="18"/>
                <w:color w:val="auto"/>
              </w:rPr>
            </w:pPr>
          </w:p>
        </w:tc>
        <w:tc>
          <w:tcPr>
            <w:tcW w:w="160" w:type="dxa"/>
            <w:vAlign w:val="bottom"/>
            <w:tcBorders>
              <w:left w:val="single" w:sz="8" w:color="CFF0FC"/>
            </w:tcBorders>
            <w:shd w:val="clear" w:color="auto" w:fill="CFF0FC"/>
          </w:tcPr>
          <w:p>
            <w:pPr>
              <w:spacing w:after="0"/>
              <w:rPr>
                <w:sz w:val="18"/>
                <w:szCs w:val="18"/>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(2,272)</w:t>
            </w:r>
          </w:p>
        </w:tc>
        <w:tc>
          <w:tcPr>
            <w:tcW w:w="14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left w:val="single" w:sz="8" w:color="CFF0FC"/>
            </w:tcBorders>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(1,986)</w:t>
            </w:r>
          </w:p>
        </w:tc>
        <w:tc>
          <w:tcPr>
            <w:tcW w:w="12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(155,880)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20" w:type="dxa"/>
            <w:vAlign w:val="bottom"/>
            <w:tcBorders>
              <w:right w:val="single" w:sz="8" w:color="CFF0FC"/>
            </w:tcBorders>
            <w:shd w:val="clear" w:color="auto" w:fill="000000"/>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2024</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19,347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gridSpan w:val="2"/>
          </w:tcPr>
          <w:p>
            <w:pPr>
              <w:jc w:val="right"/>
              <w:ind w:right="28"/>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128,309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6,389</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155,386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-1456690</wp:posOffset>
            </wp:positionV>
            <wp:extent cx="603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-1456690</wp:posOffset>
            </wp:positionV>
            <wp:extent cx="603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-1456690</wp:posOffset>
            </wp:positionV>
            <wp:extent cx="603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-1456690</wp:posOffset>
            </wp:positionV>
            <wp:extent cx="603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-1456690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-170815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-170815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-170815</wp:posOffset>
            </wp:positionV>
            <wp:extent cx="603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6032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-170815</wp:posOffset>
            </wp:positionV>
            <wp:extent cx="6032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8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Such net product revenue allowances and reserves are included within accrued expenses and other current liabilities within the condensed consolidated balance sheets, with the exception of trade allowances and chargebacks, which are included within accounts receivable, net, as discussed above.</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Licensing Revenue</w:t>
      </w:r>
    </w:p>
    <w:p>
      <w:pPr>
        <w:spacing w:after="0" w:line="119"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The Company enters into licensing agreements which are within the scope of Topic 606, under which it licenses certain rights to VASCEPA for uses that are currently commercialized and under development by the Company. The terms of these arrangements typically include payment to the Company of one or more of the following: non-refundable, upfront license fees; development, regulatory and commercial milestone payments; payments for manufacturing supply services the Company provides through its contract manufacturers; and royalties on net sales of licensed products. Each of these payments results in licensing and royalty revenues.</w:t>
      </w:r>
    </w:p>
    <w:p>
      <w:pPr>
        <w:spacing w:after="0" w:line="75" w:lineRule="exact"/>
        <w:rPr>
          <w:sz w:val="20"/>
          <w:szCs w:val="20"/>
          <w:color w:val="auto"/>
        </w:rPr>
      </w:pPr>
    </w:p>
    <w:p>
      <w:pPr>
        <w:ind w:right="360"/>
        <w:spacing w:after="0" w:line="257" w:lineRule="auto"/>
        <w:rPr>
          <w:sz w:val="20"/>
          <w:szCs w:val="20"/>
          <w:color w:val="auto"/>
        </w:rPr>
      </w:pPr>
      <w:r>
        <w:rPr>
          <w:rFonts w:ascii="Times New Roman" w:cs="Times New Roman" w:eastAsia="Times New Roman" w:hAnsi="Times New Roman"/>
          <w:sz w:val="18"/>
          <w:szCs w:val="18"/>
          <w:color w:val="auto"/>
        </w:rPr>
        <w:t>In determining the appropriate amount of revenue to be recognized as it fulfills its obligations under each of its agreements, the Company performs the following steps: (i) identification of the promised goods or services in the contract; (ii) determination of whether the promised goods or services are performance obligations including whether they are distinct in the context of the contract;</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8" w:name="page19"/>
    <w:bookmarkEnd w:id="18"/>
    <w:p>
      <w:pPr>
        <w:ind w:right="400" w:firstLine="8"/>
        <w:spacing w:after="0" w:line="282" w:lineRule="auto"/>
        <w:tabs>
          <w:tab w:leader="none" w:pos="3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measurement of the transaction price, including the constraint on variable consideration; (iv) allocation of the transaction price to the performance obligations; and (v) recognition of revenue when (or as) the Company satisfies each performance obligation.</w:t>
      </w:r>
    </w:p>
    <w:p>
      <w:pPr>
        <w:spacing w:after="0" w:line="54"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In determining performance obligations, management evaluates whether the license is distinct from the other performance obligations with the collaborative partner based on the consideration of the relevant facts and circumstances for each arrangement. Factors considered in the determination include the stage of development of the license delivered, research and development capabilities of the partner and the ability of partners to develop and commercialize VASCEPA independent of the Company.</w:t>
      </w:r>
    </w:p>
    <w:p>
      <w:pPr>
        <w:spacing w:after="0" w:line="7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Licenses of intellectual property: </w:t>
      </w:r>
      <w:r>
        <w:rPr>
          <w:rFonts w:ascii="Times New Roman" w:cs="Times New Roman" w:eastAsia="Times New Roman" w:hAnsi="Times New Roman"/>
          <w:sz w:val="18"/>
          <w:szCs w:val="18"/>
          <w:color w:val="auto"/>
        </w:rPr>
        <w:t>If the license to the Company’s intellectual property is determined to be distinct from the other performance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identified in the arrangement, the Company recognizes revenues from non-refundable, upfront fees allocated to the license when the license is transferred to the customer and the customer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The Company evaluates the measure of progress each reporting period and, if necessary, adjusts the measure of performance and related revenue recognition. During the three months ended June 30, 2024, the Company adjusted the measure of performance and recognized an additional $4.0 million of license revenue relating to Edding. Excluding this change in estimate, net loss per share basic and diluted for the six months ended June 30, 2024 would have been $(0.03). Refer to </w:t>
      </w:r>
      <w:r>
        <w:rPr>
          <w:rFonts w:ascii="Times New Roman" w:cs="Times New Roman" w:eastAsia="Times New Roman" w:hAnsi="Times New Roman"/>
          <w:sz w:val="18"/>
          <w:szCs w:val="18"/>
          <w:i w:val="1"/>
          <w:iCs w:val="1"/>
          <w:color w:val="auto"/>
        </w:rPr>
        <w:t>Note 8—Development, Commercialization and Supply Agreements</w:t>
      </w:r>
      <w:r>
        <w:rPr>
          <w:rFonts w:ascii="Times New Roman" w:cs="Times New Roman" w:eastAsia="Times New Roman" w:hAnsi="Times New Roman"/>
          <w:sz w:val="18"/>
          <w:szCs w:val="18"/>
          <w:color w:val="auto"/>
        </w:rPr>
        <w:t xml:space="preserve"> for further details.</w:t>
      </w:r>
    </w:p>
    <w:p>
      <w:pPr>
        <w:spacing w:after="0" w:line="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Milestone Payments: </w:t>
      </w:r>
      <w:r>
        <w:rPr>
          <w:rFonts w:ascii="Times New Roman" w:cs="Times New Roman" w:eastAsia="Times New Roman" w:hAnsi="Times New Roman"/>
          <w:sz w:val="18"/>
          <w:szCs w:val="18"/>
          <w:color w:val="auto"/>
        </w:rPr>
        <w:t>At the inception of each arrangement that includes development, regulatory and commercial milestone payments,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evaluates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licensee, such as regulatory approvals, are not considered probable of being achieved until those approvals are received. The Company evaluates factors such as the scientific, clinical, regulatory, commercial and other risks that must be overcome to achieve the respective milestone as well as the level of effort and investment required.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reevaluates the probability of achievement of such development, regulatory and commercial milestones and any related constraint, and if necessary, adjusts its estimate of the overall transaction price. Any such adjustments are recorded on a cumulative catch-up basis, which would affect licensing revenues and earnings in the period of adjustment.</w:t>
      </w:r>
    </w:p>
    <w:p>
      <w:pPr>
        <w:spacing w:after="0" w:line="7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receives payments from its customers based on billing schedules established in each contract. Upfront payments and fees are recorded as deferred revenue upon receipt or when due, and may require deferral of revenue recognition to a future period until the Company performs its obligations under these arrangements. Amounts are recorded as accounts receivable when the Company’s right to consideration is unconditional. The Company does not assess whether a contract has a significant financing component if the expectation at contract inception is such that the period between payment by the customer and the transfer of the promised goods or services to the customer will be one year or less.</w:t>
      </w:r>
    </w:p>
    <w:p>
      <w:pPr>
        <w:spacing w:after="0" w:line="28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(8)</w:t>
        <w:tab/>
        <w:t>Development, Commercialization and Supply Agreements</w:t>
      </w:r>
    </w:p>
    <w:p>
      <w:pPr>
        <w:spacing w:after="0" w:line="2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u w:val="single" w:color="auto"/>
          <w:color w:val="auto"/>
        </w:rPr>
        <w:t>In-licenses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u w:val="single" w:color="auto"/>
          <w:color w:val="auto"/>
        </w:rPr>
        <w:t>Mochida Pharmaceutical Co., Ltd.</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June 2018, the Company entered into a collaboration with Mochida Pharmaceutical Co., Ltd., or Mochida, related to the development and commercialization of drug products and indications based on the active pharmaceutical ingredient in VASCEPA, the omega-3 acid, EPA, or eicosapentaenoic acid. Among other terms in the agreement, the Company obtained an exclusive license to certain Mochida intellectual property to advance the Company’s interests in the U.S. and certain other territories and the parties will collaborate to research and develop new products and indications based on EPA for the Company’s commercialization in the U.S. and certain other territories. The potential new product and indication opportunities contemplated under this agreement are currently in early stages of development.</w:t>
      </w:r>
    </w:p>
    <w:p>
      <w:pPr>
        <w:spacing w:after="0" w:line="79"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Upon closing of the collaboration agreement, the Company made a non-refundable, non-creditable upfront payment of approximately $2.7 million. In addition, the agreement provides for the Company to pay milestone payments upon the achievement of certain product development milestones and royalties on net sales of future products arising from the collaboration, if any.</w:t>
      </w:r>
    </w:p>
    <w:p>
      <w:pPr>
        <w:spacing w:after="0" w:line="68" w:lineRule="exact"/>
        <w:rPr>
          <w:sz w:val="20"/>
          <w:szCs w:val="20"/>
          <w:color w:val="auto"/>
        </w:rPr>
      </w:pPr>
    </w:p>
    <w:p>
      <w:pPr>
        <w:ind w:right="500"/>
        <w:spacing w:after="0" w:line="261" w:lineRule="auto"/>
        <w:rPr>
          <w:sz w:val="20"/>
          <w:szCs w:val="20"/>
          <w:color w:val="auto"/>
        </w:rPr>
      </w:pPr>
      <w:r>
        <w:rPr>
          <w:rFonts w:ascii="Times New Roman" w:cs="Times New Roman" w:eastAsia="Times New Roman" w:hAnsi="Times New Roman"/>
          <w:sz w:val="18"/>
          <w:szCs w:val="18"/>
          <w:color w:val="auto"/>
        </w:rPr>
        <w:t>In February 2025 and January 2024, the Company exercised certain rights under the agreement, resulting in payments of $1.0 million in each of such periods to Mochida, which was recorded as research and development expense in the condensed consolidated statement of operations.</w:t>
      </w: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8"/>
          <w:szCs w:val="18"/>
          <w:i w:val="1"/>
          <w:iCs w:val="1"/>
          <w:u w:val="single" w:color="auto"/>
          <w:color w:val="auto"/>
        </w:rPr>
        <w:t>Out-licenses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u w:val="single" w:color="auto"/>
          <w:color w:val="auto"/>
        </w:rPr>
        <w:t>Eddingpharm (Asia) Macao Commercial Offshore Limited</w:t>
      </w:r>
    </w:p>
    <w:p>
      <w:pPr>
        <w:spacing w:after="0" w:line="11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February 2015, the Company entered into a Development, Commercialization and Supply Agreement, or the DCS Agreement, with Edding, related to the development and commercialization of VASCEPA in Mainland China, Hong Kong, Macau and Taiwan, or collectively, the China Territory. Under the terms of the DCS Agreement, the Company granted to Edding an exclusive (including as to the Company) license with the right to sublicense development and commercialization of VASCEPA in the China Territory for uses that are currently commercialized and under development by the Company based on the Company’s MARINE, ANCHOR and REDUCE-IT clinical trials of VASCEPA.</w:t>
      </w:r>
    </w:p>
    <w:p>
      <w:pPr>
        <w:spacing w:after="0" w:line="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Under the DCS Agreement, Edding is solely responsible for development and commercialization activities in the China Territory and associated expenses. The Company provides development assistance and is responsible for supplying finished and later bulk drug product at defined prices under negotiated terms. The Company retains all VASCEPA manufacturing rights. Edding agreed to certain restrictions regarding the commercialization of competitive products globally and the Company agreed to certain restrictions regarding the commercialization of competitive products in the China Territory.</w:t>
      </w:r>
    </w:p>
    <w:p>
      <w:pPr>
        <w:spacing w:after="0" w:line="7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assessed this arrangement in accordance with Topic 606 and concluded that the contract counterparty, Edding, is a customer. The Company identified the following performance obligations at the inception of the DCS Agreement: (1) the exclusive license to develop and commercialize VASCEPA in the China Territory for uses that are currently commercialized and under development by the Company; (2) the obligation to participate in various steering committees; and (3) ongoing development and regulatory assistance. Based on the analysis performed, the Company concluded that the identified performance obligations are not distinct and therefore a combined performance obligation.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transaction price is comprised of the following upfront payments and milestones: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2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In thousands</w:t>
            </w:r>
          </w:p>
        </w:tc>
        <w:tc>
          <w:tcPr>
            <w:tcW w:w="1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7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Transaction Price Components</w:t>
            </w:r>
          </w:p>
        </w:tc>
        <w:tc>
          <w:tcPr>
            <w:tcW w:w="180" w:type="dxa"/>
            <w:vAlign w:val="bottom"/>
          </w:tcPr>
          <w:p>
            <w:pPr>
              <w:spacing w:after="0"/>
              <w:rPr>
                <w:sz w:val="20"/>
                <w:szCs w:val="20"/>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Achieved</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r>
      <w:tr>
        <w:trPr>
          <w:trHeight w:val="209"/>
        </w:trPr>
        <w:tc>
          <w:tcPr>
            <w:tcW w:w="8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Upfront fee</w:t>
            </w:r>
          </w:p>
        </w:tc>
        <w:tc>
          <w:tcPr>
            <w:tcW w:w="1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February 2015</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15,000</w:t>
            </w:r>
          </w:p>
        </w:tc>
      </w:tr>
      <w:tr>
        <w:trPr>
          <w:trHeight w:val="216"/>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Submission of the CTA for the MARINE indication</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2016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8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Approval of VASCEPA under the MARINE indication</w:t>
            </w:r>
          </w:p>
        </w:tc>
        <w:tc>
          <w:tcPr>
            <w:tcW w:w="1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2017</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Submission of the CTA for the REDUCE-IT indication</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2023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3,000</w:t>
            </w:r>
          </w:p>
        </w:tc>
      </w:tr>
      <w:tr>
        <w:trPr>
          <w:trHeight w:val="216"/>
        </w:trPr>
        <w:tc>
          <w:tcPr>
            <w:tcW w:w="8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Approval of VASCEPA under the REDUCE-IT indication</w:t>
            </w:r>
          </w:p>
        </w:tc>
        <w:tc>
          <w:tcPr>
            <w:tcW w:w="1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June 2024</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15,000</w:t>
            </w:r>
          </w:p>
        </w:tc>
      </w:tr>
      <w:tr>
        <w:trPr>
          <w:trHeight w:val="216"/>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Regulatory Development Support</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Various</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00" w:type="dxa"/>
            <w:vAlign w:val="bottom"/>
          </w:tcPr>
          <w:p>
            <w:pPr>
              <w:spacing w:after="0"/>
              <w:rPr>
                <w:sz w:val="18"/>
                <w:szCs w:val="18"/>
                <w:color w:val="auto"/>
              </w:rPr>
            </w:pPr>
          </w:p>
        </w:tc>
      </w:tr>
      <w:tr>
        <w:trPr>
          <w:trHeight w:val="250"/>
        </w:trPr>
        <w:tc>
          <w:tcPr>
            <w:tcW w:w="8120" w:type="dxa"/>
            <w:vAlign w:val="bottom"/>
            <w:tcBorders>
              <w:bottom w:val="single" w:sz="8" w:color="CFF0FC"/>
            </w:tcBorders>
            <w:gridSpan w:val="2"/>
            <w:shd w:val="clear" w:color="auto" w:fill="CFF0FC"/>
          </w:tcPr>
          <w:p>
            <w:pPr>
              <w:ind w:left="6240"/>
              <w:spacing w:after="0"/>
              <w:rPr>
                <w:sz w:val="20"/>
                <w:szCs w:val="20"/>
                <w:color w:val="auto"/>
              </w:rPr>
            </w:pPr>
            <w:r>
              <w:rPr>
                <w:rFonts w:ascii="Times New Roman" w:cs="Times New Roman" w:eastAsia="Times New Roman" w:hAnsi="Times New Roman"/>
                <w:sz w:val="18"/>
                <w:szCs w:val="18"/>
                <w:color w:val="auto"/>
              </w:rPr>
              <w:t>Total Transaction Price</w:t>
            </w:r>
          </w:p>
        </w:tc>
        <w:tc>
          <w:tcPr>
            <w:tcW w:w="16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40,081</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addition to the non-refundable, upfront and regulatory milestone payments described above, the Company is entitled to receive tiered double-digit percentage royalties on net sales of VASCEPA in the China Territory escalating to the high teens. The achievement of sales-based milestone events occurs when annual aggregate net sales of VASCEPA in the China Territory equals or exceeds certain specified thresholds, and range from $5.0 million to $50.0 million, for a total of $120.0 million. Each such milestone payment shall be payable only once regardless of how many times the sales milestone event is achieved. Each such milestone payment is non-refundable and non-creditable against any other milestone payments.</w:t>
      </w:r>
    </w:p>
    <w:p>
      <w:pPr>
        <w:spacing w:after="0" w:line="7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None of the other clinical or regulatory milestones has been included in the transaction price, as all milestone amounts are fully constrained. As part of its evaluation of the constraint, the Company considered numerous factors, including that receipt of the milestones is outside the control of the Company and contingent upon success in future clinical trials and the licensee’s efforts. Any consideration related to sales-based milestones, including royalties, will be recognized when the related sales occur and therefore have also been excluded from the transaction price. The Company will reevaluate the transaction price in each reporting period and as uncertain events are resolved or other changes in circumstances occur.</w:t>
      </w:r>
    </w:p>
    <w:p>
      <w:pPr>
        <w:spacing w:after="0" w:line="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During the second quarter of 2024, Edding received approval in China under the REDUCE-IT indication. The REDUCE-IT indication approval concludes the Company's support for regulatory activities and, as noted above, pursuit of additional indications was deemed to be not probable. As a result, the Company reevaluated the performance period and determined that all remaining performance obligations were satisfied as of June 30, 2024, resulting in a decrease of the previous performance period of two years. The effect of this change in estimate from the previously received upfront payment and prior year milestone payments was an increase of $4.0 million in licensing revenue and a related reduction in net loss by $4.0 million in the six months ended June 30, 2024. In addition, the Company also recognized $15.0 million in the second quarter related to the REDUCE-IT indication approval milestone. The Company fully recognized the transaction price as of June 30, 2024.</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340" w:type="dxa"/>
            <w:vAlign w:val="bottom"/>
          </w:tcPr>
          <w:p>
            <w:pPr>
              <w:spacing w:after="0"/>
              <w:rPr>
                <w:sz w:val="20"/>
                <w:szCs w:val="20"/>
                <w:color w:val="auto"/>
              </w:rPr>
            </w:pPr>
            <w:r>
              <w:rPr>
                <w:rFonts w:ascii="Arial" w:cs="Arial" w:eastAsia="Arial" w:hAnsi="Arial"/>
                <w:sz w:val="16"/>
                <w:szCs w:val="16"/>
                <w:b w:val="1"/>
                <w:bCs w:val="1"/>
                <w:i w:val="1"/>
                <w:iCs w:val="1"/>
                <w:color w:val="auto"/>
              </w:rPr>
              <w:t>In thousands</w:t>
            </w:r>
          </w:p>
        </w:tc>
        <w:tc>
          <w:tcPr>
            <w:tcW w:w="3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r>
      <w:tr>
        <w:trPr>
          <w:trHeight w:val="210"/>
        </w:trPr>
        <w:tc>
          <w:tcPr>
            <w:tcW w:w="9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Licensing revenue recognized during the six months ended June 30, 2025 (1)</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Licensing revenue recognized during the six months ended June 30, 2024 (1)</w:t>
            </w:r>
          </w:p>
        </w:tc>
        <w:tc>
          <w:tcPr>
            <w:tcW w:w="3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19,450</w:t>
            </w:r>
          </w:p>
        </w:tc>
        <w:tc>
          <w:tcPr>
            <w:tcW w:w="100" w:type="dxa"/>
            <w:vAlign w:val="bottom"/>
          </w:tcPr>
          <w:p>
            <w:pPr>
              <w:spacing w:after="0"/>
              <w:rPr>
                <w:sz w:val="18"/>
                <w:szCs w:val="18"/>
                <w:color w:val="auto"/>
              </w:rPr>
            </w:pPr>
          </w:p>
        </w:tc>
      </w:tr>
      <w:tr>
        <w:trPr>
          <w:trHeight w:val="216"/>
        </w:trPr>
        <w:tc>
          <w:tcPr>
            <w:tcW w:w="9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Licensing revenue recognized from contract inception through both June 30, 2025 and December 31, 2024</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40,081</w:t>
            </w:r>
          </w:p>
        </w:tc>
        <w:tc>
          <w:tcPr>
            <w:tcW w:w="100" w:type="dxa"/>
            <w:vAlign w:val="bottom"/>
            <w:shd w:val="clear" w:color="auto" w:fill="CFF0FC"/>
          </w:tcPr>
          <w:p>
            <w:pPr>
              <w:spacing w:after="0"/>
              <w:rPr>
                <w:sz w:val="18"/>
                <w:szCs w:val="18"/>
                <w:color w:val="auto"/>
              </w:rPr>
            </w:pPr>
          </w:p>
        </w:tc>
      </w:tr>
      <w:tr>
        <w:trPr>
          <w:trHeight w:val="432"/>
        </w:trPr>
        <w:tc>
          <w:tcPr>
            <w:tcW w:w="934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20</w:t>
            </w: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93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6" w:right="339" w:bottom="1440" w:gutter="0" w:footer="0" w:header="0"/>
        </w:sectPr>
      </w:pPr>
    </w:p>
    <w:bookmarkStart w:id="20" w:name="page21"/>
    <w:bookmarkEnd w:id="20"/>
    <w:p>
      <w:pPr>
        <w:ind w:left="1020" w:right="520" w:hanging="503"/>
        <w:spacing w:after="0" w:line="26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Licensing revenue under the DCS Agreement is recognized concurrent with the input measure of support hours provided by Amarin to Edding in achieving the combined development and regulatory performance obligation, which in the Company’s judgment is the best measure of progress towards satisfying this performance obligation.</w:t>
      </w:r>
    </w:p>
    <w:p>
      <w:pPr>
        <w:spacing w:after="0" w:line="6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Company recognized net product revenue of $0.1 million and $3.4 million for the three and six months ended June 30, 2024, respectively, related to sales to Edding (none in 2025).</w:t>
      </w:r>
    </w:p>
    <w:p>
      <w:pPr>
        <w:spacing w:after="0" w:line="18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u w:val="single" w:color="auto"/>
          <w:color w:val="auto"/>
        </w:rPr>
        <w:t>Biologix FZCo</w:t>
      </w:r>
    </w:p>
    <w:p>
      <w:pPr>
        <w:spacing w:after="0" w:line="11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March 2016, the Company entered into an agreement with Biologix FZCo, or Biologix, a company incorporated under the laws of the United Arab Emirates, to register and commercialize VASCEPA in several Middle Eastern and North African countries. Under the terms of the distribution agreement, the Company granted Biologix a non-exclusive license to use its trademarks in connection with the importation, distribution, promotion, marketing and sale of VASCEPA in the Middle East and North Africa territory. Upon closing of the agreement, the Company received a non-refundable upfront payment, which has been fully recognized as of June 30, 2024. The Company is entitled to receive all payments based on total product sales and pays Biologix a service fee in exchange for its services, whereby the service fee represents a percentage of gross selling price which is subject to a minimum floor price.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received approval of VASCEPA under the MARINE and REDUCE-IT indications in the following countries: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280" w:type="dxa"/>
            <w:vAlign w:val="bottom"/>
          </w:tcPr>
          <w:p>
            <w:pPr>
              <w:spacing w:after="0"/>
              <w:rPr>
                <w:sz w:val="15"/>
                <w:szCs w:val="15"/>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MARINE</w:t>
            </w:r>
          </w:p>
        </w:tc>
        <w:tc>
          <w:tcPr>
            <w:tcW w:w="300" w:type="dxa"/>
            <w:vAlign w:val="bottom"/>
          </w:tcPr>
          <w:p>
            <w:pPr>
              <w:spacing w:after="0"/>
              <w:rPr>
                <w:sz w:val="15"/>
                <w:szCs w:val="15"/>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REDUCE-IT</w:t>
            </w:r>
          </w:p>
        </w:tc>
        <w:tc>
          <w:tcPr>
            <w:tcW w:w="300" w:type="dxa"/>
            <w:vAlign w:val="bottom"/>
          </w:tcPr>
          <w:p>
            <w:pPr>
              <w:spacing w:after="0"/>
              <w:rPr>
                <w:sz w:val="15"/>
                <w:szCs w:val="15"/>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Launch Date</w:t>
            </w:r>
          </w:p>
        </w:tc>
      </w:tr>
      <w:tr>
        <w:trPr>
          <w:trHeight w:val="210"/>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Lebanon</w:t>
            </w:r>
          </w:p>
        </w:tc>
        <w:tc>
          <w:tcPr>
            <w:tcW w:w="280" w:type="dxa"/>
            <w:vAlign w:val="bottom"/>
            <w:shd w:val="clear" w:color="auto" w:fill="CFF0FC"/>
          </w:tcPr>
          <w:p>
            <w:pPr>
              <w:spacing w:after="0"/>
              <w:rPr>
                <w:sz w:val="18"/>
                <w:szCs w:val="18"/>
                <w:color w:val="auto"/>
              </w:rPr>
            </w:pPr>
          </w:p>
        </w:tc>
        <w:tc>
          <w:tcPr>
            <w:tcW w:w="1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2018</w:t>
            </w:r>
          </w:p>
        </w:tc>
        <w:tc>
          <w:tcPr>
            <w:tcW w:w="300" w:type="dxa"/>
            <w:vAlign w:val="bottom"/>
            <w:shd w:val="clear" w:color="auto" w:fill="CFF0FC"/>
          </w:tcPr>
          <w:p>
            <w:pPr>
              <w:spacing w:after="0"/>
              <w:rPr>
                <w:sz w:val="18"/>
                <w:szCs w:val="18"/>
                <w:color w:val="auto"/>
              </w:rPr>
            </w:pP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August 2021</w:t>
            </w:r>
          </w:p>
        </w:tc>
        <w:tc>
          <w:tcPr>
            <w:tcW w:w="300" w:type="dxa"/>
            <w:vAlign w:val="bottom"/>
            <w:shd w:val="clear" w:color="auto" w:fill="CFF0FC"/>
          </w:tcPr>
          <w:p>
            <w:pPr>
              <w:spacing w:after="0"/>
              <w:rPr>
                <w:sz w:val="18"/>
                <w:szCs w:val="18"/>
                <w:color w:val="auto"/>
              </w:rPr>
            </w:pP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June 2018</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United Arab Emirates</w:t>
            </w:r>
          </w:p>
        </w:tc>
        <w:tc>
          <w:tcPr>
            <w:tcW w:w="28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2018</w:t>
            </w:r>
          </w:p>
        </w:tc>
        <w:tc>
          <w:tcPr>
            <w:tcW w:w="3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2021</w:t>
            </w:r>
          </w:p>
        </w:tc>
        <w:tc>
          <w:tcPr>
            <w:tcW w:w="3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2019</w:t>
            </w:r>
          </w:p>
        </w:tc>
      </w:tr>
      <w:tr>
        <w:trPr>
          <w:trHeight w:val="216"/>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Qatar</w:t>
            </w:r>
          </w:p>
        </w:tc>
        <w:tc>
          <w:tcPr>
            <w:tcW w:w="280" w:type="dxa"/>
            <w:vAlign w:val="bottom"/>
            <w:shd w:val="clear" w:color="auto" w:fill="CFF0FC"/>
          </w:tcPr>
          <w:p>
            <w:pPr>
              <w:spacing w:after="0"/>
              <w:rPr>
                <w:sz w:val="18"/>
                <w:szCs w:val="18"/>
                <w:color w:val="auto"/>
              </w:rPr>
            </w:pPr>
          </w:p>
        </w:tc>
        <w:tc>
          <w:tcPr>
            <w:tcW w:w="1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December 2019</w:t>
            </w:r>
          </w:p>
        </w:tc>
        <w:tc>
          <w:tcPr>
            <w:tcW w:w="300" w:type="dxa"/>
            <w:vAlign w:val="bottom"/>
            <w:shd w:val="clear" w:color="auto" w:fill="CFF0FC"/>
          </w:tcPr>
          <w:p>
            <w:pPr>
              <w:spacing w:after="0"/>
              <w:rPr>
                <w:sz w:val="18"/>
                <w:szCs w:val="18"/>
                <w:color w:val="auto"/>
              </w:rPr>
            </w:pP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April 2021</w:t>
            </w:r>
          </w:p>
        </w:tc>
        <w:tc>
          <w:tcPr>
            <w:tcW w:w="300" w:type="dxa"/>
            <w:vAlign w:val="bottom"/>
            <w:shd w:val="clear" w:color="auto" w:fill="CFF0FC"/>
          </w:tcPr>
          <w:p>
            <w:pPr>
              <w:spacing w:after="0"/>
              <w:rPr>
                <w:sz w:val="18"/>
                <w:szCs w:val="18"/>
                <w:color w:val="auto"/>
              </w:rPr>
            </w:pP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May 2022</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Bahrain</w:t>
            </w:r>
          </w:p>
        </w:tc>
        <w:tc>
          <w:tcPr>
            <w:tcW w:w="28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2021</w:t>
            </w:r>
          </w:p>
        </w:tc>
        <w:tc>
          <w:tcPr>
            <w:tcW w:w="3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2022</w:t>
            </w:r>
          </w:p>
        </w:tc>
        <w:tc>
          <w:tcPr>
            <w:tcW w:w="3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r>
      <w:tr>
        <w:trPr>
          <w:trHeight w:val="216"/>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Kuwait</w:t>
            </w:r>
          </w:p>
        </w:tc>
        <w:tc>
          <w:tcPr>
            <w:tcW w:w="280" w:type="dxa"/>
            <w:vAlign w:val="bottom"/>
            <w:shd w:val="clear" w:color="auto" w:fill="CFF0FC"/>
          </w:tcPr>
          <w:p>
            <w:pPr>
              <w:spacing w:after="0"/>
              <w:rPr>
                <w:sz w:val="18"/>
                <w:szCs w:val="18"/>
                <w:color w:val="auto"/>
              </w:rPr>
            </w:pPr>
          </w:p>
        </w:tc>
        <w:tc>
          <w:tcPr>
            <w:tcW w:w="1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December 2021</w:t>
            </w:r>
          </w:p>
        </w:tc>
        <w:tc>
          <w:tcPr>
            <w:tcW w:w="300" w:type="dxa"/>
            <w:vAlign w:val="bottom"/>
            <w:shd w:val="clear" w:color="auto" w:fill="CFF0FC"/>
          </w:tcPr>
          <w:p>
            <w:pPr>
              <w:spacing w:after="0"/>
              <w:rPr>
                <w:sz w:val="18"/>
                <w:szCs w:val="18"/>
                <w:color w:val="auto"/>
              </w:rPr>
            </w:pP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2023</w:t>
            </w:r>
          </w:p>
        </w:tc>
        <w:tc>
          <w:tcPr>
            <w:tcW w:w="300" w:type="dxa"/>
            <w:vAlign w:val="bottom"/>
            <w:shd w:val="clear" w:color="auto" w:fill="CFF0FC"/>
          </w:tcPr>
          <w:p>
            <w:pPr>
              <w:spacing w:after="0"/>
              <w:rPr>
                <w:sz w:val="18"/>
                <w:szCs w:val="18"/>
                <w:color w:val="auto"/>
              </w:rPr>
            </w:pP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Saudi Arabia</w:t>
            </w:r>
          </w:p>
        </w:tc>
        <w:tc>
          <w:tcPr>
            <w:tcW w:w="28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2022</w:t>
            </w:r>
          </w:p>
        </w:tc>
        <w:tc>
          <w:tcPr>
            <w:tcW w:w="3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2023</w:t>
            </w:r>
          </w:p>
        </w:tc>
        <w:tc>
          <w:tcPr>
            <w:tcW w:w="3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r>
    </w:tbl>
    <w:p>
      <w:pPr>
        <w:spacing w:after="0" w:line="7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Company recognized net product revenue of $2.8 million and $2.7 million for the three and six months ended June 30, 2025, respectively, related to sales to Biologix (none in 2024).</w:t>
      </w:r>
    </w:p>
    <w:p>
      <w:pPr>
        <w:spacing w:after="0" w:line="18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u w:val="single" w:color="auto"/>
          <w:color w:val="auto"/>
        </w:rPr>
        <w:t>HLS Therapeutics, Inc.</w:t>
      </w:r>
    </w:p>
    <w:p>
      <w:pPr>
        <w:spacing w:after="0" w:line="11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September 2017, the Company entered into an agreement with HLS Therapeutics, Inc., or HLS, a company incorporated under the laws of Canada, to register, commercialize and distribute VASCEPA in Canada. Under the agreement, HLS is responsible for regulatory and commercialization activities and associated costs. The Company is responsible for providing assistance towards local filings, supplying finished product under negotiated supply terms, maintaining intellectual property, and continuing the development and funding of REDUCE-IT related activities.</w:t>
      </w:r>
    </w:p>
    <w:p>
      <w:pPr>
        <w:spacing w:after="0" w:line="7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assessed this arrangement in accordance with Topic 606 and concluded that the contract counterparty, HLS, is a customer. The Company identified the following performance obligations at the inception of the contract: (1) license to HLS to develop, register, and commercialize VASCEPA in Canada; (2) support general development and regulatory activities; and (3) participate in various steering committees. Based on the analysis performed, the Company concluded that the identified performance obligations in the agreement are not distinct and therefore a combined performance obligation.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transaction price is comprised of the following upfront payments and milestones: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2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In thousands</w:t>
            </w:r>
          </w:p>
        </w:tc>
        <w:tc>
          <w:tcPr>
            <w:tcW w:w="1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7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Transaction Price Components</w:t>
            </w:r>
          </w:p>
        </w:tc>
        <w:tc>
          <w:tcPr>
            <w:tcW w:w="180" w:type="dxa"/>
            <w:vAlign w:val="bottom"/>
          </w:tcPr>
          <w:p>
            <w:pPr>
              <w:spacing w:after="0"/>
              <w:rPr>
                <w:sz w:val="20"/>
                <w:szCs w:val="20"/>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Achieved</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r>
      <w:tr>
        <w:trPr>
          <w:trHeight w:val="209"/>
        </w:trPr>
        <w:tc>
          <w:tcPr>
            <w:tcW w:w="8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Upfront fee</w:t>
            </w:r>
          </w:p>
        </w:tc>
        <w:tc>
          <w:tcPr>
            <w:tcW w:w="1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September 2017</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Achievement of the REDUCE-IT trial primary endpoint</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2018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w:t>
            </w:r>
          </w:p>
        </w:tc>
      </w:tr>
      <w:tr>
        <w:trPr>
          <w:trHeight w:val="216"/>
        </w:trPr>
        <w:tc>
          <w:tcPr>
            <w:tcW w:w="8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Approval from Health Canada</w:t>
            </w:r>
          </w:p>
        </w:tc>
        <w:tc>
          <w:tcPr>
            <w:tcW w:w="1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December 2019</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2,500</w:t>
            </w:r>
          </w:p>
        </w:tc>
      </w:tr>
      <w:tr>
        <w:trPr>
          <w:trHeight w:val="216"/>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Regulatory exclusivity from the Office of Patented Medicines and Liaison</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2020</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100" w:type="dxa"/>
            <w:vAlign w:val="bottom"/>
          </w:tcPr>
          <w:p>
            <w:pPr>
              <w:spacing w:after="0"/>
              <w:rPr>
                <w:sz w:val="18"/>
                <w:szCs w:val="18"/>
                <w:color w:val="auto"/>
              </w:rPr>
            </w:pPr>
          </w:p>
        </w:tc>
      </w:tr>
      <w:tr>
        <w:trPr>
          <w:trHeight w:val="250"/>
        </w:trPr>
        <w:tc>
          <w:tcPr>
            <w:tcW w:w="8120" w:type="dxa"/>
            <w:vAlign w:val="bottom"/>
            <w:tcBorders>
              <w:bottom w:val="single" w:sz="8" w:color="CFF0FC"/>
            </w:tcBorders>
            <w:gridSpan w:val="2"/>
            <w:shd w:val="clear" w:color="auto" w:fill="CFF0FC"/>
          </w:tcPr>
          <w:p>
            <w:pPr>
              <w:ind w:left="6240"/>
              <w:spacing w:after="0"/>
              <w:rPr>
                <w:sz w:val="20"/>
                <w:szCs w:val="20"/>
                <w:color w:val="auto"/>
              </w:rPr>
            </w:pPr>
            <w:r>
              <w:rPr>
                <w:rFonts w:ascii="Times New Roman" w:cs="Times New Roman" w:eastAsia="Times New Roman" w:hAnsi="Times New Roman"/>
                <w:sz w:val="18"/>
                <w:szCs w:val="18"/>
                <w:color w:val="auto"/>
              </w:rPr>
              <w:t>Total Transaction Price</w:t>
            </w:r>
          </w:p>
        </w:tc>
        <w:tc>
          <w:tcPr>
            <w:tcW w:w="16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13,800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addition to the non-refundable, upfront and regulatory milestone payments just described, the Company is entitled to receive certain sales-based milestone payments of up to an additional $50.0 million, as well as tiered double-digit royalties on net sales of VASCEPA in Canada. None of the other clinical or regulatory milestones has been included in the transaction price, as all milestone amounts are fully constrained. As part of its evaluation of the constraint, the Company considered numerous factors, including that receipt of the milestones is outside the control of the Company and contingent upon success in future clinical trials and the licensee’s efforts. Any consideration related to sales-based milestones, including royalties, will be recognized when the related sales occur and therefore have also been excluded from the transaction price.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fully recognized the transaction price as of June 30, 2023.</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1" w:name="page22"/>
    <w:bookmarkEnd w:id="21"/>
    <w:p>
      <w:pPr>
        <w:ind w:right="360"/>
        <w:spacing w:after="0" w:line="282" w:lineRule="auto"/>
        <w:rPr>
          <w:sz w:val="20"/>
          <w:szCs w:val="20"/>
          <w:color w:val="auto"/>
        </w:rPr>
      </w:pPr>
      <w:r>
        <w:rPr>
          <w:rFonts w:ascii="Times New Roman" w:cs="Times New Roman" w:eastAsia="Times New Roman" w:hAnsi="Times New Roman"/>
          <w:sz w:val="18"/>
          <w:szCs w:val="18"/>
          <w:color w:val="auto"/>
        </w:rPr>
        <w:t>The Company recognized net product revenue of nil and $1.9 million for the three and six months ended June 30, 2024, respectively, related to sales to HLS (none in 2025).</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CSL Seqirus</w:t>
      </w:r>
    </w:p>
    <w:p>
      <w:pPr>
        <w:spacing w:after="0" w:line="17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February 2023, the Company entered into an agreement with CSL Seqirus, or CSL, to secure pricing and reimbursement, commercialize and distribute VAZKEPA in Australia and New Zealand. The Company received an upfront payment of $0.5 million, which was fully recognized during the first quarter of 2023. In October 2024, CSL obtained listing of VAZKEPA on the Pharmaceutical Benefits Scheme, or PBS, in Australia, as a result the Company received a non-refundable $1.2 million milestone payment. In addition to the upfront payment, the Company will be eligible to receive event-related milestone payments of approximately $6.0 million and additional product-related milestone payments of approximately $4.0 million. The Company will be responsible for supplying finished product to CSL Seqirus at a price that is the greater of (i) a fixed transfer price, or (ii) a fixed percentage of the net selling price, as defined in the CSL agreement.</w:t>
      </w:r>
    </w:p>
    <w:p>
      <w:pPr>
        <w:spacing w:after="0" w:line="81"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Company assessed this arrangement in accordance with Topic 606 and concluded that the contract counterparty, CSL, is a customer. The Company identified the following distinct performance obligations at the inception of the contract: an exclusive license to use its trademarks in connection with the importation, distribution, promotion, marketing and sale of VASCEPA in the Australia and New Zealand territories.</w:t>
      </w:r>
    </w:p>
    <w:p>
      <w:pPr>
        <w:spacing w:after="0" w:line="6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transaction price includes the $0.5 million upfront consideration as well as the $1.2 million milestone payment received related to the listing of VAZKEPA on the PBS in Australia. Any consideration related to event-based or product-based milestones will be recognized when the related milestone events occur and therefore have also been excluded from the transaction price. The Company will reevaluate the transaction price in each reporting period and as uncertain events are resolved or other changes in circumstances occur.</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recognized net product revenue of $0.8 million for both the three and six months ended June 30, 2025 related to sales to CSL (none in 2024).</w:t>
      </w:r>
    </w:p>
    <w:p>
      <w:pPr>
        <w:spacing w:after="0" w:line="14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u w:val="single" w:color="auto"/>
          <w:color w:val="auto"/>
        </w:rPr>
        <w:t>Recordati Industria Chimica e Farmaceutica S.p.A.</w:t>
      </w:r>
    </w:p>
    <w:p>
      <w:pPr>
        <w:spacing w:after="0" w:line="11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June 2025, the Company entered into an exclusive long-term license and supply agreement with Recordati, or the Recordati EU Licensing Agreement, related to the development and commercialization of VASCEPA in 59 countries focused in Europe, the EU Territory. Under the terms of the Recordati EU Licensing Agreement, the Company granted Recordati an exclusive (including as to the Company) license with the right to sublicense development and commercialization of VASCEPA in the EU Territory for uses that are currently commercialized and under development by the Company based on the Company’s REDUCE-IT clinical trials of VASCEPA. The Company has received marketing authorization by the MHRA and the European Medicines Agency, or EMA, and subsequently made VAZKEPA available under individual reimbursement or received national reimbursement and launched commercial operations in the following countries, respectively.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280" w:type="dxa"/>
            <w:vAlign w:val="bottom"/>
          </w:tcPr>
          <w:p>
            <w:pPr>
              <w:spacing w:after="0"/>
              <w:rPr>
                <w:sz w:val="13"/>
                <w:szCs w:val="1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Individual</w:t>
            </w:r>
          </w:p>
        </w:tc>
        <w:tc>
          <w:tcPr>
            <w:tcW w:w="280" w:type="dxa"/>
            <w:vAlign w:val="bottom"/>
          </w:tcPr>
          <w:p>
            <w:pPr>
              <w:spacing w:after="0"/>
              <w:rPr>
                <w:sz w:val="13"/>
                <w:szCs w:val="13"/>
                <w:color w:val="auto"/>
              </w:rPr>
            </w:pP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National Reimbursement</w:t>
            </w:r>
          </w:p>
        </w:tc>
        <w:tc>
          <w:tcPr>
            <w:tcW w:w="280" w:type="dxa"/>
            <w:vAlign w:val="bottom"/>
          </w:tcPr>
          <w:p>
            <w:pPr>
              <w:spacing w:after="0"/>
              <w:rPr>
                <w:sz w:val="13"/>
                <w:szCs w:val="13"/>
                <w:color w:val="auto"/>
              </w:rPr>
            </w:pP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Product Availability</w:t>
            </w:r>
          </w:p>
        </w:tc>
        <w:tc>
          <w:tcPr>
            <w:tcW w:w="300" w:type="dxa"/>
            <w:vAlign w:val="bottom"/>
          </w:tcPr>
          <w:p>
            <w:pPr>
              <w:spacing w:after="0"/>
              <w:rPr>
                <w:sz w:val="13"/>
                <w:szCs w:val="13"/>
                <w:color w:val="auto"/>
              </w:rPr>
            </w:pP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Launch Date</w:t>
            </w:r>
          </w:p>
        </w:tc>
        <w:tc>
          <w:tcPr>
            <w:tcW w:w="0" w:type="dxa"/>
            <w:vAlign w:val="bottom"/>
          </w:tcPr>
          <w:p>
            <w:pPr>
              <w:spacing w:after="0"/>
              <w:rPr>
                <w:sz w:val="1"/>
                <w:szCs w:val="1"/>
                <w:color w:val="auto"/>
              </w:rPr>
            </w:pPr>
          </w:p>
        </w:tc>
      </w:tr>
      <w:tr>
        <w:trPr>
          <w:trHeight w:val="173"/>
        </w:trPr>
        <w:tc>
          <w:tcPr>
            <w:tcW w:w="3640" w:type="dxa"/>
            <w:vAlign w:val="bottom"/>
            <w:tcBorders>
              <w:bottom w:val="single" w:sz="8" w:color="auto"/>
            </w:tcBorders>
            <w:vMerge w:val="continue"/>
          </w:tcPr>
          <w:p>
            <w:pPr>
              <w:spacing w:after="0"/>
              <w:rPr>
                <w:sz w:val="15"/>
                <w:szCs w:val="15"/>
                <w:color w:val="auto"/>
              </w:rPr>
            </w:pPr>
          </w:p>
        </w:tc>
        <w:tc>
          <w:tcPr>
            <w:tcW w:w="280" w:type="dxa"/>
            <w:vAlign w:val="bottom"/>
          </w:tcPr>
          <w:p>
            <w:pPr>
              <w:spacing w:after="0"/>
              <w:rPr>
                <w:sz w:val="15"/>
                <w:szCs w:val="15"/>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Reimbursement</w:t>
            </w:r>
          </w:p>
        </w:tc>
        <w:tc>
          <w:tcPr>
            <w:tcW w:w="280" w:type="dxa"/>
            <w:vAlign w:val="bottom"/>
          </w:tcPr>
          <w:p>
            <w:pPr>
              <w:spacing w:after="0"/>
              <w:rPr>
                <w:sz w:val="15"/>
                <w:szCs w:val="15"/>
                <w:color w:val="auto"/>
              </w:rPr>
            </w:pPr>
          </w:p>
        </w:tc>
        <w:tc>
          <w:tcPr>
            <w:tcW w:w="1620" w:type="dxa"/>
            <w:vAlign w:val="bottom"/>
            <w:tcBorders>
              <w:bottom w:val="single" w:sz="8" w:color="auto"/>
            </w:tcBorders>
            <w:vMerge w:val="continue"/>
          </w:tcPr>
          <w:p>
            <w:pPr>
              <w:spacing w:after="0"/>
              <w:rPr>
                <w:sz w:val="15"/>
                <w:szCs w:val="15"/>
                <w:color w:val="auto"/>
              </w:rPr>
            </w:pPr>
          </w:p>
        </w:tc>
        <w:tc>
          <w:tcPr>
            <w:tcW w:w="280" w:type="dxa"/>
            <w:vAlign w:val="bottom"/>
          </w:tcPr>
          <w:p>
            <w:pPr>
              <w:spacing w:after="0"/>
              <w:rPr>
                <w:sz w:val="15"/>
                <w:szCs w:val="15"/>
                <w:color w:val="auto"/>
              </w:rPr>
            </w:pPr>
          </w:p>
        </w:tc>
        <w:tc>
          <w:tcPr>
            <w:tcW w:w="1620" w:type="dxa"/>
            <w:vAlign w:val="bottom"/>
            <w:tcBorders>
              <w:bottom w:val="single" w:sz="8" w:color="auto"/>
            </w:tcBorders>
            <w:vMerge w:val="continue"/>
          </w:tcPr>
          <w:p>
            <w:pPr>
              <w:spacing w:after="0"/>
              <w:rPr>
                <w:sz w:val="15"/>
                <w:szCs w:val="15"/>
                <w:color w:val="auto"/>
              </w:rPr>
            </w:pPr>
          </w:p>
        </w:tc>
        <w:tc>
          <w:tcPr>
            <w:tcW w:w="300" w:type="dxa"/>
            <w:vAlign w:val="bottom"/>
          </w:tcPr>
          <w:p>
            <w:pPr>
              <w:spacing w:after="0"/>
              <w:rPr>
                <w:sz w:val="15"/>
                <w:szCs w:val="15"/>
                <w:color w:val="auto"/>
              </w:rPr>
            </w:pPr>
          </w:p>
        </w:tc>
        <w:tc>
          <w:tcPr>
            <w:tcW w:w="16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Sweden</w:t>
            </w: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March 2022</w:t>
            </w: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2022</w:t>
            </w:r>
          </w:p>
        </w:tc>
        <w:tc>
          <w:tcPr>
            <w:tcW w:w="300" w:type="dxa"/>
            <w:vAlign w:val="bottom"/>
            <w:shd w:val="clear" w:color="auto" w:fill="CFF0FC"/>
          </w:tcPr>
          <w:p>
            <w:pPr>
              <w:spacing w:after="0"/>
              <w:rPr>
                <w:sz w:val="18"/>
                <w:szCs w:val="18"/>
                <w:color w:val="auto"/>
              </w:rPr>
            </w:pPr>
          </w:p>
        </w:tc>
        <w:tc>
          <w:tcPr>
            <w:tcW w:w="1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March 2022</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Finland</w:t>
            </w:r>
          </w:p>
        </w:tc>
        <w:tc>
          <w:tcPr>
            <w:tcW w:w="2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2022</w:t>
            </w:r>
          </w:p>
        </w:tc>
        <w:tc>
          <w:tcPr>
            <w:tcW w:w="2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2022</w:t>
            </w:r>
          </w:p>
        </w:tc>
        <w:tc>
          <w:tcPr>
            <w:tcW w:w="3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2022</w:t>
            </w:r>
          </w:p>
        </w:tc>
        <w:tc>
          <w:tcPr>
            <w:tcW w:w="0" w:type="dxa"/>
            <w:vAlign w:val="bottom"/>
          </w:tcPr>
          <w:p>
            <w:pPr>
              <w:spacing w:after="0"/>
              <w:rPr>
                <w:sz w:val="1"/>
                <w:szCs w:val="1"/>
                <w:color w:val="auto"/>
              </w:rPr>
            </w:pPr>
          </w:p>
        </w:tc>
      </w:tr>
      <w:tr>
        <w:trPr>
          <w:trHeight w:val="216"/>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England/Wales</w:t>
            </w: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July 2022</w:t>
            </w: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October 2022</w:t>
            </w:r>
          </w:p>
        </w:tc>
        <w:tc>
          <w:tcPr>
            <w:tcW w:w="300" w:type="dxa"/>
            <w:vAlign w:val="bottom"/>
            <w:shd w:val="clear" w:color="auto" w:fill="CFF0FC"/>
          </w:tcPr>
          <w:p>
            <w:pPr>
              <w:spacing w:after="0"/>
              <w:rPr>
                <w:sz w:val="18"/>
                <w:szCs w:val="18"/>
                <w:color w:val="auto"/>
              </w:rPr>
            </w:pPr>
          </w:p>
        </w:tc>
        <w:tc>
          <w:tcPr>
            <w:tcW w:w="1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October 2022</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Spain</w:t>
            </w:r>
          </w:p>
        </w:tc>
        <w:tc>
          <w:tcPr>
            <w:tcW w:w="2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2023</w:t>
            </w:r>
          </w:p>
        </w:tc>
        <w:tc>
          <w:tcPr>
            <w:tcW w:w="2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c>
          <w:tcPr>
            <w:tcW w:w="3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c>
          <w:tcPr>
            <w:tcW w:w="0" w:type="dxa"/>
            <w:vAlign w:val="bottom"/>
          </w:tcPr>
          <w:p>
            <w:pPr>
              <w:spacing w:after="0"/>
              <w:rPr>
                <w:sz w:val="1"/>
                <w:szCs w:val="1"/>
                <w:color w:val="auto"/>
              </w:rPr>
            </w:pPr>
          </w:p>
        </w:tc>
      </w:tr>
      <w:tr>
        <w:trPr>
          <w:trHeight w:val="216"/>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Netherlands</w:t>
            </w: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August 2023</w:t>
            </w: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c>
          <w:tcPr>
            <w:tcW w:w="300" w:type="dxa"/>
            <w:vAlign w:val="bottom"/>
            <w:shd w:val="clear" w:color="auto" w:fill="CFF0FC"/>
          </w:tcPr>
          <w:p>
            <w:pPr>
              <w:spacing w:after="0"/>
              <w:rPr>
                <w:sz w:val="18"/>
                <w:szCs w:val="18"/>
                <w:color w:val="auto"/>
              </w:rPr>
            </w:pPr>
          </w:p>
        </w:tc>
        <w:tc>
          <w:tcPr>
            <w:tcW w:w="1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Scotland</w:t>
            </w:r>
          </w:p>
        </w:tc>
        <w:tc>
          <w:tcPr>
            <w:tcW w:w="2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2023</w:t>
            </w:r>
          </w:p>
        </w:tc>
        <w:tc>
          <w:tcPr>
            <w:tcW w:w="2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2023</w:t>
            </w:r>
          </w:p>
        </w:tc>
        <w:tc>
          <w:tcPr>
            <w:tcW w:w="3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c>
          <w:tcPr>
            <w:tcW w:w="0" w:type="dxa"/>
            <w:vAlign w:val="bottom"/>
          </w:tcPr>
          <w:p>
            <w:pPr>
              <w:spacing w:after="0"/>
              <w:rPr>
                <w:sz w:val="1"/>
                <w:szCs w:val="1"/>
                <w:color w:val="auto"/>
              </w:rPr>
            </w:pPr>
          </w:p>
        </w:tc>
      </w:tr>
      <w:tr>
        <w:trPr>
          <w:trHeight w:val="216"/>
        </w:trPr>
        <w:tc>
          <w:tcPr>
            <w:tcW w:w="364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Greece </w:t>
            </w:r>
            <w:r>
              <w:rPr>
                <w:rFonts w:ascii="Times New Roman" w:cs="Times New Roman" w:eastAsia="Times New Roman" w:hAnsi="Times New Roman"/>
                <w:sz w:val="24"/>
                <w:szCs w:val="24"/>
                <w:color w:val="auto"/>
                <w:vertAlign w:val="superscript"/>
              </w:rPr>
              <w:t>(1)</w:t>
            </w: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May 2024</w:t>
            </w: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June 2024</w:t>
            </w:r>
          </w:p>
        </w:tc>
        <w:tc>
          <w:tcPr>
            <w:tcW w:w="300" w:type="dxa"/>
            <w:vAlign w:val="bottom"/>
            <w:shd w:val="clear" w:color="auto" w:fill="CFF0FC"/>
          </w:tcPr>
          <w:p>
            <w:pPr>
              <w:spacing w:after="0"/>
              <w:rPr>
                <w:sz w:val="18"/>
                <w:szCs w:val="18"/>
                <w:color w:val="auto"/>
              </w:rPr>
            </w:pPr>
          </w:p>
        </w:tc>
        <w:tc>
          <w:tcPr>
            <w:tcW w:w="1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June 2024</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Portugal</w:t>
            </w:r>
          </w:p>
        </w:tc>
        <w:tc>
          <w:tcPr>
            <w:tcW w:w="2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2024</w:t>
            </w:r>
          </w:p>
        </w:tc>
        <w:tc>
          <w:tcPr>
            <w:tcW w:w="2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2024</w:t>
            </w:r>
          </w:p>
        </w:tc>
        <w:tc>
          <w:tcPr>
            <w:tcW w:w="3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2024</w:t>
            </w:r>
          </w:p>
        </w:tc>
        <w:tc>
          <w:tcPr>
            <w:tcW w:w="0" w:type="dxa"/>
            <w:vAlign w:val="bottom"/>
          </w:tcPr>
          <w:p>
            <w:pPr>
              <w:spacing w:after="0"/>
              <w:rPr>
                <w:sz w:val="1"/>
                <w:szCs w:val="1"/>
                <w:color w:val="auto"/>
              </w:rPr>
            </w:pPr>
          </w:p>
        </w:tc>
      </w:tr>
      <w:tr>
        <w:trPr>
          <w:trHeight w:val="216"/>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Italy</w:t>
            </w: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December 2024</w:t>
            </w: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December 2024</w:t>
            </w:r>
          </w:p>
        </w:tc>
        <w:tc>
          <w:tcPr>
            <w:tcW w:w="300" w:type="dxa"/>
            <w:vAlign w:val="bottom"/>
            <w:shd w:val="clear" w:color="auto" w:fill="CFF0FC"/>
          </w:tcPr>
          <w:p>
            <w:pPr>
              <w:spacing w:after="0"/>
              <w:rPr>
                <w:sz w:val="18"/>
                <w:szCs w:val="18"/>
                <w:color w:val="auto"/>
              </w:rPr>
            </w:pPr>
          </w:p>
        </w:tc>
        <w:tc>
          <w:tcPr>
            <w:tcW w:w="1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January 2025</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Austria</w:t>
            </w:r>
          </w:p>
        </w:tc>
        <w:tc>
          <w:tcPr>
            <w:tcW w:w="2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2022</w:t>
            </w:r>
          </w:p>
        </w:tc>
        <w:tc>
          <w:tcPr>
            <w:tcW w:w="2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2025</w:t>
            </w:r>
          </w:p>
        </w:tc>
        <w:tc>
          <w:tcPr>
            <w:tcW w:w="2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2022</w:t>
            </w:r>
          </w:p>
        </w:tc>
        <w:tc>
          <w:tcPr>
            <w:tcW w:w="3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Denmark</w:t>
            </w: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June 2022</w:t>
            </w: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June 2022</w:t>
            </w:r>
          </w:p>
        </w:tc>
        <w:tc>
          <w:tcPr>
            <w:tcW w:w="300" w:type="dxa"/>
            <w:vAlign w:val="bottom"/>
            <w:shd w:val="clear" w:color="auto" w:fill="CFF0FC"/>
          </w:tcPr>
          <w:p>
            <w:pPr>
              <w:spacing w:after="0"/>
              <w:rPr>
                <w:sz w:val="18"/>
                <w:szCs w:val="18"/>
                <w:color w:val="auto"/>
              </w:rPr>
            </w:pPr>
          </w:p>
        </w:tc>
        <w:tc>
          <w:tcPr>
            <w:tcW w:w="1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assessed this arrangement in accordance with Topic 606 and concluded that the contract counterparty, Recordati, is a customer. The Company identified the following distinct performance obligations at the inception of the contract: an exclusive license to use its intellectual property, regulatory approvals, and regulatory documents in connection with the importation, distribution, promotion, marketing and sale of VAZKEPA in the EU Territory. The Company will be responsible for supplying finished product to Recordati at a set price, as defined in the Recordati EU Licensing Agreement.</w:t>
      </w:r>
    </w:p>
    <w:p>
      <w:pPr>
        <w:spacing w:after="0" w:line="72" w:lineRule="exact"/>
        <w:rPr>
          <w:sz w:val="20"/>
          <w:szCs w:val="20"/>
          <w:color w:val="auto"/>
        </w:rPr>
      </w:pPr>
    </w:p>
    <w:p>
      <w:pPr>
        <w:ind w:right="440"/>
        <w:spacing w:after="0" w:line="257" w:lineRule="auto"/>
        <w:rPr>
          <w:sz w:val="20"/>
          <w:szCs w:val="20"/>
          <w:color w:val="auto"/>
        </w:rPr>
      </w:pPr>
      <w:r>
        <w:rPr>
          <w:rFonts w:ascii="Times New Roman" w:cs="Times New Roman" w:eastAsia="Times New Roman" w:hAnsi="Times New Roman"/>
          <w:sz w:val="18"/>
          <w:szCs w:val="18"/>
          <w:color w:val="auto"/>
        </w:rPr>
        <w:t>The Company received an upfront payment of $25.0 million, which was fully recognized during the second quarter of 2025. In addition to the upfront payment, the Company will be eligible to receive sales-based milestone payments and royalties on net sales of VAZKEPA in the EU Territory. The achievement of sales-based milestone events occurs when annual aggregate net sales of</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2" w:name="page23"/>
    <w:bookmarkEnd w:id="22"/>
    <w:p>
      <w:pPr>
        <w:ind w:right="220"/>
        <w:spacing w:after="0" w:line="266" w:lineRule="auto"/>
        <w:rPr>
          <w:sz w:val="20"/>
          <w:szCs w:val="20"/>
          <w:color w:val="auto"/>
        </w:rPr>
      </w:pPr>
      <w:r>
        <w:rPr>
          <w:rFonts w:ascii="Times New Roman" w:cs="Times New Roman" w:eastAsia="Times New Roman" w:hAnsi="Times New Roman"/>
          <w:sz w:val="18"/>
          <w:szCs w:val="18"/>
          <w:color w:val="auto"/>
        </w:rPr>
        <w:t>VAZKEPA in the EU Territory equals or exceeds certain specified thresholds resulting in total payments of up to $150.0 million. Each such milestone payment shall be payable only once regardless of how many times the sales milestone event is achieved. Each such milestone payment is non-refundable and non-creditable against any other milestone payments.</w:t>
      </w:r>
    </w:p>
    <w:p>
      <w:pPr>
        <w:spacing w:after="0" w:line="68"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The transaction price includes the $25.0 million upfront consideration. Any consideration related to sales-based milestones, including royalties, will be recognized when the related sales occur and therefore have also been excluded from the transaction price. The Company will reevaluate the transaction price in each reporting period and as uncertain events are resolved or other changes in circumstances occur.</w:t>
      </w:r>
    </w:p>
    <w:p>
      <w:pPr>
        <w:spacing w:after="0" w:line="6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June 30, 2025, the Company recognized $25.0 million as licensing revenue related to the upfront payment received in connection with the Recordati EU Licensing Agreement (none in 2024).</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changes in the balances of the Company’s contract assets and liabilities during the six months ended June 30, 2025 and 2024:</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56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Balance at Beginning</w:t>
            </w: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Balance at</w:t>
            </w:r>
          </w:p>
        </w:tc>
      </w:tr>
      <w:tr>
        <w:trPr>
          <w:trHeight w:val="173"/>
        </w:trPr>
        <w:tc>
          <w:tcPr>
            <w:tcW w:w="35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360" w:type="dxa"/>
            <w:vAlign w:val="bottom"/>
          </w:tcPr>
          <w:p>
            <w:pPr>
              <w:spacing w:after="0"/>
              <w:rPr>
                <w:sz w:val="15"/>
                <w:szCs w:val="15"/>
                <w:color w:val="auto"/>
              </w:rPr>
            </w:pP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360" w:type="dxa"/>
            <w:vAlign w:val="bottom"/>
          </w:tcPr>
          <w:p>
            <w:pPr>
              <w:spacing w:after="0"/>
              <w:rPr>
                <w:sz w:val="15"/>
                <w:szCs w:val="15"/>
                <w:color w:val="auto"/>
              </w:rPr>
            </w:pPr>
          </w:p>
        </w:tc>
        <w:tc>
          <w:tcPr>
            <w:tcW w:w="13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320" w:type="dxa"/>
            <w:vAlign w:val="bottom"/>
          </w:tcPr>
          <w:p>
            <w:pPr>
              <w:spacing w:after="0"/>
              <w:rPr>
                <w:sz w:val="15"/>
                <w:szCs w:val="15"/>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End of Period</w:t>
            </w:r>
          </w:p>
        </w:tc>
      </w:tr>
      <w:tr>
        <w:trPr>
          <w:trHeight w:val="223"/>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Six months ended June 30, 2025:</w:t>
            </w:r>
          </w:p>
        </w:tc>
        <w:tc>
          <w:tcPr>
            <w:tcW w:w="1020" w:type="dxa"/>
            <w:vAlign w:val="bottom"/>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128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6"/>
        </w:trPr>
        <w:tc>
          <w:tcPr>
            <w:tcW w:w="3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Deferred revenue</w:t>
            </w:r>
          </w:p>
        </w:tc>
        <w:tc>
          <w:tcPr>
            <w:tcW w:w="128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5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3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Six months ended June 30, 2024:</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128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ind w:left="1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520" w:type="dxa"/>
            <w:vAlign w:val="bottom"/>
            <w:shd w:val="clear" w:color="auto" w:fill="CFF0FC"/>
          </w:tcPr>
          <w:p>
            <w:pPr>
              <w:ind w:left="100"/>
              <w:spacing w:after="0" w:line="216" w:lineRule="exact"/>
              <w:rPr>
                <w:sz w:val="20"/>
                <w:szCs w:val="20"/>
                <w:color w:val="auto"/>
              </w:rPr>
            </w:pPr>
            <w:r>
              <w:rPr>
                <w:rFonts w:ascii="Times New Roman" w:cs="Times New Roman" w:eastAsia="Times New Roman" w:hAnsi="Times New Roman"/>
                <w:sz w:val="18"/>
                <w:szCs w:val="18"/>
                <w:color w:val="auto"/>
              </w:rPr>
              <w:t xml:space="preserve">Deferred revenue </w:t>
            </w:r>
            <w:r>
              <w:rPr>
                <w:rFonts w:ascii="Times New Roman" w:cs="Times New Roman" w:eastAsia="Times New Roman" w:hAnsi="Times New Roman"/>
                <w:sz w:val="24"/>
                <w:szCs w:val="24"/>
                <w:color w:val="auto"/>
                <w:vertAlign w:val="superscript"/>
              </w:rPr>
              <w:t>(1)</w:t>
            </w:r>
          </w:p>
        </w:tc>
        <w:tc>
          <w:tcPr>
            <w:tcW w:w="128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4,850</w:t>
            </w:r>
          </w:p>
        </w:tc>
        <w:tc>
          <w:tcPr>
            <w:tcW w:w="3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(4,850)</w:t>
            </w:r>
          </w:p>
        </w:tc>
        <w:tc>
          <w:tcPr>
            <w:tcW w:w="3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ind w:left="1140"/>
              <w:spacing w:after="0"/>
              <w:rPr>
                <w:sz w:val="20"/>
                <w:szCs w:val="20"/>
                <w:color w:val="auto"/>
              </w:rPr>
            </w:pPr>
            <w:r>
              <w:rPr>
                <w:rFonts w:ascii="Times New Roman" w:cs="Times New Roman" w:eastAsia="Times New Roman" w:hAnsi="Times New Roman"/>
                <w:sz w:val="18"/>
                <w:szCs w:val="18"/>
                <w:color w:val="auto"/>
              </w:rPr>
              <w:t>—</w:t>
            </w:r>
          </w:p>
        </w:tc>
      </w:tr>
    </w:tbl>
    <w:p>
      <w:pPr>
        <w:spacing w:after="0" w:line="306" w:lineRule="exact"/>
        <w:rPr>
          <w:sz w:val="20"/>
          <w:szCs w:val="20"/>
          <w:color w:val="auto"/>
        </w:rPr>
      </w:pPr>
    </w:p>
    <w:p>
      <w:pPr>
        <w:ind w:left="1020" w:right="44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approximately $4.9 million reduction consists primarily of recognition of $4.0 million relating to the change in estimate for Edding during the three months ended June 30, 2024.</w:t>
      </w:r>
    </w:p>
    <w:p>
      <w:pPr>
        <w:spacing w:after="0" w:line="54"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2025 and 2024, the Company recognized the following revenues as a result of changes in the contract asset and contract liability balances in the respective periods: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9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756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 recognized in the period from:</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7"/>
                <w:szCs w:val="17"/>
                <w:color w:val="auto"/>
              </w:rPr>
            </w:pPr>
          </w:p>
        </w:tc>
      </w:tr>
      <w:tr>
        <w:trPr>
          <w:trHeight w:val="210"/>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Amounts included in contract liability at the beginning of the period</w:t>
            </w:r>
          </w:p>
        </w:tc>
        <w:tc>
          <w:tcPr>
            <w:tcW w:w="960" w:type="dxa"/>
            <w:vAlign w:val="bottom"/>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00" w:type="dxa"/>
            <w:vAlign w:val="bottom"/>
            <w:shd w:val="clear" w:color="auto" w:fill="CFF0FC"/>
          </w:tcPr>
          <w:p>
            <w:pPr>
              <w:spacing w:after="0"/>
              <w:rPr>
                <w:sz w:val="18"/>
                <w:szCs w:val="18"/>
                <w:color w:val="auto"/>
              </w:rPr>
            </w:pPr>
          </w:p>
        </w:tc>
      </w:tr>
      <w:tr>
        <w:trPr>
          <w:trHeight w:val="234"/>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Performance obligations satisfied in previous periods</w:t>
            </w:r>
          </w:p>
        </w:tc>
        <w:tc>
          <w:tcPr>
            <w:tcW w:w="96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3,670</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299" w:lineRule="exact"/>
        <w:rPr>
          <w:sz w:val="20"/>
          <w:szCs w:val="20"/>
          <w:color w:val="auto"/>
        </w:rPr>
      </w:pPr>
    </w:p>
    <w:p>
      <w:pPr>
        <w:ind w:left="520" w:right="10240" w:hanging="512"/>
        <w:spacing w:after="0" w:line="378" w:lineRule="auto"/>
        <w:tabs>
          <w:tab w:leader="none" w:pos="371"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Leases </w:t>
      </w:r>
      <w:r>
        <w:rPr>
          <w:rFonts w:ascii="Times New Roman" w:cs="Times New Roman" w:eastAsia="Times New Roman" w:hAnsi="Times New Roman"/>
          <w:sz w:val="18"/>
          <w:szCs w:val="18"/>
          <w:i w:val="1"/>
          <w:iCs w:val="1"/>
          <w:color w:val="auto"/>
        </w:rPr>
        <w:t>Lessee</w:t>
      </w: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 leases office space under operating leases. The lease liability is initially measured at the present value of the lease payments to be made over the lease term. Lease payments are comprised of the fixed and variable payments to be made by the Company to the lessor during the lease term minus any incentives or rebates or abatements receivable by the Company from the lessor or the owner. Payments for non-lease components do not form part of lease payments. The lease term includes renewal options only if these options are specified in the lease agreement and if failure to exercise the renewal option imposes a significant economic penalty for the Company. As there are no significant economic penalties, renewal cannot be reasonably assured and the lease terms for the office space do not include any renewal options. The Company has not entered into any leases with related parties. The Company accounts for short-term leases (i.e., lease term of 12 months or less) by making the short-term lease policy election and will not apply the recognition and measurement requirements of ASC 842.</w:t>
      </w:r>
    </w:p>
    <w:p>
      <w:pPr>
        <w:spacing w:after="0" w:line="84"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Company has determined that the rate implicit in the lease is not determinable and the Company does not have borrowings with similar terms and collateral. Therefore, the Company considered a variety of factors, including the Company’s credit rating, observable debt yields from comparable companies with a similar credit profile and the volatility in the debt market for securities with similar terms, in determining that 11.5% was reasonable to use as the incremental borrowing rate for purposes of the calculation of lease liabilities and a change of 1% would not result in a material change to the Company’s condensed consolidated financial statements.</w:t>
      </w:r>
    </w:p>
    <w:p>
      <w:pPr>
        <w:spacing w:after="0" w:line="7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On February 5, 2019, the Company entered into a lease agreement for new office space in Bridgewater, New Jersey, or the Lease. The Lease commenced on August 15, 2019, or the Commencement Date, for an 11-year period, with two five-year renewal options.</w:t>
      </w: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3" w:name="page24"/>
    <w:bookmarkEnd w:id="23"/>
    <w:p>
      <w:pPr>
        <w:ind w:right="80"/>
        <w:spacing w:after="0" w:line="237" w:lineRule="auto"/>
        <w:rPr>
          <w:sz w:val="20"/>
          <w:szCs w:val="20"/>
          <w:color w:val="auto"/>
        </w:rPr>
      </w:pPr>
      <w:r>
        <w:rPr>
          <w:rFonts w:ascii="Times New Roman" w:cs="Times New Roman" w:eastAsia="Times New Roman" w:hAnsi="Times New Roman"/>
          <w:sz w:val="18"/>
          <w:szCs w:val="18"/>
          <w:color w:val="auto"/>
        </w:rPr>
        <w:t>Subject to the terms of the Lease, Amarin will have a one-time option to terminate the agreement effective on the first day of the 97</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month after the Commencement Date upon advance written notice and a termination payment specified in the Lease. Under the Lease, the Company paid monthly rent of approximately $0.1 million for the first year following the Commencement Date, and such rent increases by a nominal percentage every year following the first anniversary of the Commencement Date. In addition, Amarin receives certain abatements subject to the limitations in the Lease.</w:t>
      </w:r>
    </w:p>
    <w:p>
      <w:pPr>
        <w:spacing w:after="0" w:line="93"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On November 17, 2021, the Company entered into a lease agreement for office space in Zug Switzerland, or the Zug Lease. The Zug Lease commenced on February 1, 2022, or the Zug Commencement Date, for a five-year period, with one five-year renewal option. Under the Zug Lease, the Company will pay annual rent of approximately $0.2 million for the first year following the Zug Commencement Date, and such rent increases by a nominal percentage every year following the first anniversary of the Zug Commencement Date.</w:t>
      </w:r>
    </w:p>
    <w:p>
      <w:pPr>
        <w:spacing w:after="0" w:line="72"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On September 13, 2022, the Company entered into a lease agreement for office space in Dublin, Ireland, or the Dublin Lease. The Dublin Lease commenced on October 1, 2022, or the Dublin Commencement Date, for a two-year period. Under the Dublin Lease, the Company paid annual rent of approximately $0.4 million during the duration of the lease term, which ended on September 30, 2024.</w:t>
      </w:r>
    </w:p>
    <w:p>
      <w:pPr>
        <w:spacing w:after="0" w:line="6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On April 26, 2024, the Company entered into a lease agreement for new office space in Dublin, Ireland, or the Subsequent Dublin Lease. The Subsequent Dublin Lease commenced on September 1, 2024, or the Subsequent Dublin Commencement Date, for a two-year period. Under the Subsequent Dublin Lease, the Company paid annual rent of approximately $0.5 million during the duration of the lease term, which was terminated effective on February 28, 2025.</w:t>
      </w:r>
    </w:p>
    <w:p>
      <w:pPr>
        <w:spacing w:after="0" w:line="7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February 11, 2025, the Company entered into an amended lease agreement, which amended the Subsequent Dublin Lease, for additional office space in Dublin, Ireland, or the Amended Subsequent Dublin Lease. The Amended Subsequent Dublin Lease commenced on March 1, 2025, or the Amended Subsequent Dublin Commencement Date, for a two-year period. Under the Amended Subsequent Dublin Lease, the Company will pay annual rent of approximately $0.9 million during the duration of the lease term.</w:t>
      </w:r>
    </w:p>
    <w:p>
      <w:pPr>
        <w:spacing w:after="0" w:line="7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Prior to the licensing agreement with Recordati, the Company had lease agreements for various vehicles with terms ranging from month-to-month up to 36 months within Europe.</w:t>
      </w:r>
    </w:p>
    <w:p>
      <w:pPr>
        <w:spacing w:after="0" w:line="5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total operating lease liability is $9.6 million and $9.7 million and the total operating lease right-of-use asset is $7.6 million and $7.6 million, as of June 30, 2025 and December 31, 2024, respectively.</w:t>
      </w:r>
    </w:p>
    <w:p>
      <w:pPr>
        <w:spacing w:after="0" w:line="5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lease expense for the three and six months ended June 30, 2025 is approximately $0.9 million and $1.8 million, respectively. The lease expense for the three and six months ended June 30, 2024 is approximately $0.8 million and $1.7 million, respectively.</w:t>
      </w:r>
    </w:p>
    <w:p>
      <w:pPr>
        <w:spacing w:after="0" w:line="54"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table below depicts a maturity analysis of the Company’s undiscounted payments for its operating lease liabilities and their reconciliation with the carrying amount of lease liability presented in the statement of financial position as of June 30, 2025:</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00" w:type="dxa"/>
            <w:vAlign w:val="bottom"/>
          </w:tcPr>
          <w:p>
            <w:pPr>
              <w:spacing w:after="0"/>
              <w:rPr>
                <w:sz w:val="15"/>
                <w:szCs w:val="15"/>
                <w:color w:val="auto"/>
              </w:rPr>
            </w:pPr>
          </w:p>
        </w:tc>
        <w:tc>
          <w:tcPr>
            <w:tcW w:w="1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Undiscounted lease payments</w:t>
            </w:r>
          </w:p>
        </w:tc>
        <w:tc>
          <w:tcPr>
            <w:tcW w:w="100" w:type="dxa"/>
            <w:vAlign w:val="bottom"/>
          </w:tcPr>
          <w:p>
            <w:pPr>
              <w:spacing w:after="0"/>
              <w:rPr>
                <w:sz w:val="15"/>
                <w:szCs w:val="15"/>
                <w:color w:val="auto"/>
              </w:rPr>
            </w:pPr>
          </w:p>
        </w:tc>
      </w:tr>
      <w:tr>
        <w:trPr>
          <w:trHeight w:val="209"/>
        </w:trPr>
        <w:tc>
          <w:tcPr>
            <w:tcW w:w="9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2025</w:t>
            </w:r>
          </w:p>
        </w:tc>
        <w:tc>
          <w:tcPr>
            <w:tcW w:w="920" w:type="dxa"/>
            <w:vAlign w:val="bottom"/>
            <w:gridSpan w:val="2"/>
            <w:shd w:val="clear" w:color="auto" w:fill="CFF0FC"/>
          </w:tcPr>
          <w:p>
            <w:pPr>
              <w:jc w:val="right"/>
              <w:ind w:right="568"/>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100" w:type="dxa"/>
            <w:vAlign w:val="bottom"/>
            <w:shd w:val="clear" w:color="auto" w:fill="CFF0FC"/>
          </w:tcPr>
          <w:p>
            <w:pPr>
              <w:spacing w:after="0"/>
              <w:rPr>
                <w:sz w:val="18"/>
                <w:szCs w:val="18"/>
                <w:color w:val="auto"/>
              </w:rPr>
            </w:pPr>
          </w:p>
        </w:tc>
      </w:tr>
      <w:tr>
        <w:trPr>
          <w:trHeight w:val="216"/>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3,219</w:t>
            </w:r>
          </w:p>
        </w:tc>
        <w:tc>
          <w:tcPr>
            <w:tcW w:w="100" w:type="dxa"/>
            <w:vAlign w:val="bottom"/>
          </w:tcPr>
          <w:p>
            <w:pPr>
              <w:spacing w:after="0"/>
              <w:rPr>
                <w:sz w:val="18"/>
                <w:szCs w:val="18"/>
                <w:color w:val="auto"/>
              </w:rPr>
            </w:pPr>
          </w:p>
        </w:tc>
      </w:tr>
      <w:tr>
        <w:trPr>
          <w:trHeight w:val="216"/>
        </w:trPr>
        <w:tc>
          <w:tcPr>
            <w:tcW w:w="9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2,142</w:t>
            </w:r>
          </w:p>
        </w:tc>
        <w:tc>
          <w:tcPr>
            <w:tcW w:w="100" w:type="dxa"/>
            <w:vAlign w:val="bottom"/>
            <w:shd w:val="clear" w:color="auto" w:fill="CFF0FC"/>
          </w:tcPr>
          <w:p>
            <w:pPr>
              <w:spacing w:after="0"/>
              <w:rPr>
                <w:sz w:val="18"/>
                <w:szCs w:val="18"/>
                <w:color w:val="auto"/>
              </w:rPr>
            </w:pPr>
          </w:p>
        </w:tc>
      </w:tr>
      <w:tr>
        <w:trPr>
          <w:trHeight w:val="216"/>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100" w:type="dxa"/>
            <w:vAlign w:val="bottom"/>
          </w:tcPr>
          <w:p>
            <w:pPr>
              <w:spacing w:after="0"/>
              <w:rPr>
                <w:sz w:val="18"/>
                <w:szCs w:val="18"/>
                <w:color w:val="auto"/>
              </w:rPr>
            </w:pPr>
          </w:p>
        </w:tc>
      </w:tr>
      <w:tr>
        <w:trPr>
          <w:trHeight w:val="216"/>
        </w:trPr>
        <w:tc>
          <w:tcPr>
            <w:tcW w:w="9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100" w:type="dxa"/>
            <w:vAlign w:val="bottom"/>
            <w:shd w:val="clear" w:color="auto" w:fill="CFF0FC"/>
          </w:tcPr>
          <w:p>
            <w:pPr>
              <w:spacing w:after="0"/>
              <w:rPr>
                <w:sz w:val="18"/>
                <w:szCs w:val="18"/>
                <w:color w:val="auto"/>
              </w:rPr>
            </w:pPr>
          </w:p>
        </w:tc>
      </w:tr>
      <w:tr>
        <w:trPr>
          <w:trHeight w:val="216"/>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2030 and thereafter</w:t>
            </w:r>
          </w:p>
        </w:tc>
        <w:tc>
          <w:tcPr>
            <w:tcW w:w="20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100" w:type="dxa"/>
            <w:vAlign w:val="bottom"/>
          </w:tcPr>
          <w:p>
            <w:pPr>
              <w:spacing w:after="0"/>
              <w:rPr>
                <w:sz w:val="18"/>
                <w:szCs w:val="18"/>
                <w:color w:val="auto"/>
              </w:rPr>
            </w:pPr>
          </w:p>
        </w:tc>
      </w:tr>
      <w:tr>
        <w:trPr>
          <w:trHeight w:val="210"/>
        </w:trPr>
        <w:tc>
          <w:tcPr>
            <w:tcW w:w="9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undiscounted payments</w:t>
            </w:r>
          </w:p>
        </w:tc>
        <w:tc>
          <w:tcPr>
            <w:tcW w:w="920" w:type="dxa"/>
            <w:vAlign w:val="bottom"/>
            <w:gridSpan w:val="2"/>
            <w:shd w:val="clear" w:color="auto" w:fill="CFF0FC"/>
          </w:tcPr>
          <w:p>
            <w:pPr>
              <w:jc w:val="right"/>
              <w:ind w:right="568"/>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12,194</w:t>
            </w:r>
          </w:p>
        </w:tc>
        <w:tc>
          <w:tcPr>
            <w:tcW w:w="100" w:type="dxa"/>
            <w:vAlign w:val="bottom"/>
            <w:shd w:val="clear" w:color="auto" w:fill="CFF0FC"/>
          </w:tcPr>
          <w:p>
            <w:pPr>
              <w:spacing w:after="0"/>
              <w:rPr>
                <w:sz w:val="18"/>
                <w:szCs w:val="18"/>
                <w:color w:val="auto"/>
              </w:rPr>
            </w:pPr>
          </w:p>
        </w:tc>
      </w:tr>
      <w:tr>
        <w:trPr>
          <w:trHeight w:val="20"/>
        </w:trPr>
        <w:tc>
          <w:tcPr>
            <w:tcW w:w="906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Discount Adjustments</w:t>
            </w:r>
          </w:p>
        </w:tc>
        <w:tc>
          <w:tcPr>
            <w:tcW w:w="920" w:type="dxa"/>
            <w:vAlign w:val="bottom"/>
            <w:gridSpan w:val="2"/>
          </w:tcPr>
          <w:p>
            <w:pPr>
              <w:jc w:val="right"/>
              <w:ind w:right="568"/>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(2,640)</w:t>
            </w:r>
          </w:p>
        </w:tc>
      </w:tr>
      <w:tr>
        <w:trPr>
          <w:trHeight w:val="20"/>
        </w:trPr>
        <w:tc>
          <w:tcPr>
            <w:tcW w:w="9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9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operating lease liability</w:t>
            </w:r>
          </w:p>
        </w:tc>
        <w:tc>
          <w:tcPr>
            <w:tcW w:w="920" w:type="dxa"/>
            <w:vAlign w:val="bottom"/>
            <w:gridSpan w:val="2"/>
            <w:shd w:val="clear" w:color="auto" w:fill="CFF0FC"/>
          </w:tcPr>
          <w:p>
            <w:pPr>
              <w:jc w:val="right"/>
              <w:ind w:right="568"/>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2,216</w:t>
            </w:r>
          </w:p>
        </w:tc>
        <w:tc>
          <w:tcPr>
            <w:tcW w:w="100" w:type="dxa"/>
            <w:vAlign w:val="bottom"/>
            <w:shd w:val="clear" w:color="auto" w:fill="CFF0FC"/>
          </w:tcPr>
          <w:p>
            <w:pPr>
              <w:spacing w:after="0"/>
              <w:rPr>
                <w:sz w:val="18"/>
                <w:szCs w:val="18"/>
                <w:color w:val="auto"/>
              </w:rPr>
            </w:pPr>
          </w:p>
        </w:tc>
      </w:tr>
      <w:tr>
        <w:trPr>
          <w:trHeight w:val="234"/>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Long-term operating lease liability</w:t>
            </w:r>
          </w:p>
        </w:tc>
        <w:tc>
          <w:tcPr>
            <w:tcW w:w="920" w:type="dxa"/>
            <w:vAlign w:val="bottom"/>
            <w:gridSpan w:val="2"/>
          </w:tcPr>
          <w:p>
            <w:pPr>
              <w:jc w:val="right"/>
              <w:ind w:right="568"/>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7,338</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-439420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Lessor</w:t>
      </w:r>
    </w:p>
    <w:p>
      <w:pPr>
        <w:spacing w:after="0" w:line="11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classifies contractual lease arrangements entered as a lessor as a sales-type, direct financing or operating lease as described in ASC 842. For sales-type leases, the Company derecognizes the leased asset and recognizes the lease investment on the balance sheet.</w:t>
      </w:r>
    </w:p>
    <w:p>
      <w:pPr>
        <w:spacing w:after="0" w:line="5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January 20, 2023, the Company entered into a sublease agreement, or the Sublease, for 50,000-square feet of the 67,747-square foot Lease and included within the sublease are furniture, fixtures and equipment, collectively the Sublease. The Sublease commenced on February 1, 2023, or the Sublease Commencement Date, for a 7.5-year period. Under the Sublease, the Company will be paid monthly rent of approximately $0.1 million for the first year following the Sublease Commencement Date, and such rent increases by a nominal percentage every year following the first anniversary of the Sublease Commencement Date. In addition, the Company will provide certain abatements subject to the limitations in the Lease.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The components of lease income are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80" w:type="dxa"/>
            <w:vAlign w:val="bottom"/>
            <w:gridSpan w:val="4"/>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30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09"/>
        </w:trPr>
        <w:tc>
          <w:tcPr>
            <w:tcW w:w="3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2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8"/>
                <w:szCs w:val="18"/>
                <w:color w:val="auto"/>
              </w:rPr>
            </w:pPr>
          </w:p>
        </w:tc>
      </w:tr>
      <w:tr>
        <w:trPr>
          <w:trHeight w:val="210"/>
        </w:trPr>
        <w:tc>
          <w:tcPr>
            <w:tcW w:w="3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 from sales-type leases</w:t>
            </w:r>
          </w:p>
        </w:tc>
        <w:tc>
          <w:tcPr>
            <w:tcW w:w="1200" w:type="dxa"/>
            <w:vAlign w:val="bottom"/>
            <w:shd w:val="clear" w:color="auto" w:fill="CFF0FC"/>
          </w:tcPr>
          <w:p>
            <w:pPr>
              <w:jc w:val="right"/>
              <w:ind w:right="1042"/>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80" w:type="dxa"/>
            <w:vAlign w:val="bottom"/>
            <w:gridSpan w:val="2"/>
            <w:shd w:val="clear" w:color="auto" w:fill="CFF0FC"/>
          </w:tcPr>
          <w:p>
            <w:pPr>
              <w:jc w:val="right"/>
              <w:ind w:right="106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6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6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FF0FC"/>
          </w:tcPr>
          <w:p>
            <w:pPr>
              <w:spacing w:after="0"/>
              <w:rPr>
                <w:sz w:val="18"/>
                <w:szCs w:val="18"/>
                <w:color w:val="auto"/>
              </w:rPr>
            </w:pPr>
          </w:p>
        </w:tc>
      </w:tr>
      <w:tr>
        <w:trPr>
          <w:trHeight w:val="216"/>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income</w:t>
            </w:r>
          </w:p>
        </w:tc>
        <w:tc>
          <w:tcPr>
            <w:tcW w:w="12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6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2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tcPr>
          <w:p>
            <w:pPr>
              <w:spacing w:after="0"/>
              <w:rPr>
                <w:sz w:val="18"/>
                <w:szCs w:val="18"/>
                <w:color w:val="auto"/>
              </w:rPr>
            </w:pPr>
          </w:p>
        </w:tc>
      </w:tr>
      <w:tr>
        <w:trPr>
          <w:trHeight w:val="209"/>
        </w:trPr>
        <w:tc>
          <w:tcPr>
            <w:tcW w:w="3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shd w:val="clear" w:color="auto" w:fill="CFF0FC"/>
          </w:tcPr>
          <w:p>
            <w:pPr>
              <w:jc w:val="right"/>
              <w:ind w:right="1042"/>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480" w:type="dxa"/>
            <w:vAlign w:val="bottom"/>
            <w:gridSpan w:val="2"/>
            <w:shd w:val="clear" w:color="auto" w:fill="CFF0FC"/>
          </w:tcPr>
          <w:p>
            <w:pPr>
              <w:jc w:val="right"/>
              <w:ind w:right="106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6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6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shd w:val="clear" w:color="auto" w:fill="CFF0FC"/>
          </w:tcPr>
          <w:p>
            <w:pPr>
              <w:spacing w:after="0"/>
              <w:rPr>
                <w:sz w:val="18"/>
                <w:szCs w:val="18"/>
                <w:color w:val="auto"/>
              </w:rPr>
            </w:pPr>
          </w:p>
        </w:tc>
      </w:tr>
    </w:tbl>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Future minimum sales-type lease and operating lease receivables as of</w:t>
            </w:r>
          </w:p>
        </w:tc>
        <w:tc>
          <w:tcPr>
            <w:tcW w:w="25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June 30, 2025 are as follows:</w:t>
            </w:r>
          </w:p>
        </w:tc>
        <w:tc>
          <w:tcPr>
            <w:tcW w:w="1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11"/>
        </w:trPr>
        <w:tc>
          <w:tcPr>
            <w:tcW w:w="5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2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Sales-Type Leases</w:t>
            </w:r>
          </w:p>
        </w:tc>
        <w:tc>
          <w:tcPr>
            <w:tcW w:w="2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00" w:type="dxa"/>
            <w:vAlign w:val="bottom"/>
          </w:tcPr>
          <w:p>
            <w:pPr>
              <w:spacing w:after="0"/>
              <w:rPr>
                <w:sz w:val="24"/>
                <w:szCs w:val="24"/>
                <w:color w:val="auto"/>
              </w:rPr>
            </w:pPr>
          </w:p>
        </w:tc>
      </w:tr>
      <w:tr>
        <w:trPr>
          <w:trHeight w:val="209"/>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2025</w:t>
            </w:r>
          </w:p>
        </w:tc>
        <w:tc>
          <w:tcPr>
            <w:tcW w:w="25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515</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122</w:t>
            </w:r>
          </w:p>
        </w:tc>
        <w:tc>
          <w:tcPr>
            <w:tcW w:w="2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1,051</w:t>
            </w:r>
          </w:p>
        </w:tc>
      </w:tr>
      <w:tr>
        <w:trPr>
          <w:trHeight w:val="216"/>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2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125</w:t>
            </w:r>
          </w:p>
        </w:tc>
        <w:tc>
          <w:tcPr>
            <w:tcW w:w="24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1,073</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127</w:t>
            </w:r>
          </w:p>
        </w:tc>
        <w:tc>
          <w:tcPr>
            <w:tcW w:w="2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1,096</w:t>
            </w:r>
          </w:p>
        </w:tc>
      </w:tr>
      <w:tr>
        <w:trPr>
          <w:trHeight w:val="216"/>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2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130</w:t>
            </w:r>
          </w:p>
        </w:tc>
        <w:tc>
          <w:tcPr>
            <w:tcW w:w="24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1,118</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2030 and thereafter</w:t>
            </w:r>
          </w:p>
        </w:tc>
        <w:tc>
          <w:tcPr>
            <w:tcW w:w="2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00" w:type="dxa"/>
            <w:vAlign w:val="bottom"/>
          </w:tcPr>
          <w:p>
            <w:pPr>
              <w:spacing w:after="0"/>
              <w:rPr>
                <w:sz w:val="18"/>
                <w:szCs w:val="18"/>
                <w:color w:val="auto"/>
              </w:rPr>
            </w:pPr>
          </w:p>
        </w:tc>
      </w:tr>
      <w:tr>
        <w:trPr>
          <w:trHeight w:val="209"/>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5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652</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5,612</w:t>
            </w:r>
          </w:p>
        </w:tc>
      </w:tr>
      <w:tr>
        <w:trPr>
          <w:trHeight w:val="432"/>
        </w:trPr>
        <w:tc>
          <w:tcPr>
            <w:tcW w:w="5120" w:type="dxa"/>
            <w:vAlign w:val="bottom"/>
          </w:tcPr>
          <w:p>
            <w:pPr>
              <w:spacing w:after="0"/>
              <w:rPr>
                <w:sz w:val="24"/>
                <w:szCs w:val="24"/>
                <w:color w:val="auto"/>
              </w:rPr>
            </w:pPr>
          </w:p>
        </w:tc>
        <w:tc>
          <w:tcPr>
            <w:tcW w:w="2240" w:type="dxa"/>
            <w:vAlign w:val="bottom"/>
          </w:tcPr>
          <w:p>
            <w:pPr>
              <w:jc w:val="right"/>
              <w:ind w:right="1550"/>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512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5" w:name="page26"/>
    <w:bookmarkEnd w:id="25"/>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This Quarterly Report on Form 10-Q, or this Quarterly Report, contains forward-looking statements within the meaning of the Private Securities Litigation Reform Act of 1995, as amended. These forward-looking statements reflect our plans, estimates and beliefs. These statements involve known and unknown risks, uncertainties and other factors that may cause our actual results, performance or achievements to be materially different from any future results, performances or achievements expressed or implied by the forward-looking statements. In some cases, you can identify forward-looking statements by terms such as “anticipates,” “believes,” “continue,” “could,” “estimates,” “expects,” “intends,” “may,” “plans,” “potential,” “predicts,” “projects,” “should,” “would” and similar expressions intended to identify forward-looking statements. Forward-looking statements reflect our current views with respect to future events and are based on assumptions and subject to risks and uncertainties. Because of these risks and uncertainties, the forward-looking events and circumstances discussed in this report may not transpire. We discuss many of these risks in Part I, Item 1A under the heading “Risk Factors” of our Annual Report on Form 10-K for the fiscal year ended December 31, 2024, or our Annual Report, and under Part II, Item IA, “Risk Factors” of this Quarterly Report.</w:t>
      </w:r>
    </w:p>
    <w:p>
      <w:pPr>
        <w:spacing w:after="0" w:line="7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Given these uncertainties, you should not place undue reliance on these forward-looking statements. Also, forward-looking statements represent our estimates and assumptions only as of the date of this document. You should read this document with the understanding that our actual future results may be materially different from what we expect. Except as required by law, we do not undertake any obligation to publicly update or revise any forward-looking statements contained in this report, whether as a result of new information, future events or otherwise.</w:t>
      </w:r>
    </w:p>
    <w:p>
      <w:pPr>
        <w:spacing w:after="0" w:line="72"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unaudited condensed consolidated financial statements and notes thereto included elsewhere in this Quarterly Report, and the audited consolidated financial statements and accompanying notes, as well as Management’s Discussion and Analysis of Financial Condition and Results of Operations contained in our Annual Report.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60" w:firstLine="509"/>
        <w:spacing w:after="0" w:line="239" w:lineRule="auto"/>
        <w:rPr>
          <w:sz w:val="20"/>
          <w:szCs w:val="20"/>
          <w:color w:val="auto"/>
        </w:rPr>
      </w:pPr>
      <w:r>
        <w:rPr>
          <w:rFonts w:ascii="Times New Roman" w:cs="Times New Roman" w:eastAsia="Times New Roman" w:hAnsi="Times New Roman"/>
          <w:sz w:val="18"/>
          <w:szCs w:val="18"/>
          <w:color w:val="auto"/>
        </w:rPr>
        <w:t>We are a pharmaceutical company focused on the commercialization and development of therapeutics to improve cardiovascular, or CV, health and reduce CV risk. Our commercialized product, VASCEPA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(icosapent ethyl) was first approved by the United States, or U.S., Food and Drug Administration, or U.S. FDA, for use as an adjunct to diet to reduce triglyceride, or TG, levels in adult patients with severe (≥500 mg/dL) hypertriglyceridemia, or the MARINE indication and we commercially launched in 2013. On December 13, 2019, the U.S. FDA approved an indication and label expansion for VASCEPA based on the landmark results of our cardiovascular outcomes trial, REDUCE-IT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or Reduction of Cardiovascular Events with EPA – Intervention Trial. VASCEPA is the first and only drug approved by the U.S. FDA as an adjunct to maximally tolerated statin therapy for reducing persistent cardiovascular risk in select high risk-patients, or the REDUCE-IT indication. On March 26, 2021, the European Commission, or EC, granted approval of the marketing authorization application in the European Union, or EU, for VAZKEPA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hereinafter along with the U.S. brand name VASCEPA, collectively referred to as VASCEPA, which is the first and only EC approved therapy to reduce cardiovascular risk in high-risk statin-treated patients with elevated TG levels. On April 22, 2021, we announced that we received marketing authorization from the Medicines and Healthcare Products Regulatory Agency, or MHRA, for VAZKEPA in England, Wales and Scotland to reduce cardiovascular risk. On June 1, 2023, we announced that regulatory approval from the National Medical Products Administration, or NMPA, for VASCEPA in Mainland China was received by our partner, Eddingpharm (Asia) Macao Commercial Offshore Limited, or Edding, for the MARINE indication and on June 28, 2024 for the REDUCE-IT indication. Through the date of this Quarterly Report, we have received regulatory approval for VASCEPA under the REDUCE-IT indication in 50 countries, including the U.S. and 27 EU Member States.</w:t>
      </w:r>
    </w:p>
    <w:p>
      <w:pPr>
        <w:spacing w:after="0" w:line="91"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VASCEPA is currently available by prescription in the U.S. and certain other countries throughout the world, as described below. We are responsible for the supply of VASCEPA to all markets in which the branded product is sold, either to and through our collaborations with third-party companies or by us. We are not responsible for providing any generic company with drug product. Geographies outside the U.S. in which VASCEPA is sold and under regulatory review are not subject to the U.S. patent litigation and judgment described below and no similar litigation is pending outside of the U.S.</w:t>
      </w:r>
    </w:p>
    <w:p>
      <w:pPr>
        <w:spacing w:after="0" w:line="2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VASCEPA is sold principally to a limited number of major wholesalers, as well as selected regional wholesalers and retail and mail order pharmacy providers, or collectively, our distributors or our customers, most of whom in turn resell VASCEPA to retail pharmacies for subsequent resale to patients. Since VASCEPA was made commercially available in 2013, approximately 27 million estimated normalized total prescriptions of VASCEPA have been reported by Symphony Health. In 2020, following our unsuccessful appeals of a court ruling in favor of two generic drug companies, Dr. Reddy’s Laboratories, Inc., or Dr. Reddy’s, and Hikma Pharmaceuticals USA Inc., or Hikma, and certain of their affiliates, several of our patents covering the MARINE indication were declared invalid. As a result, the following generic versions of icosapent ethyl have obtained U.S. FDA approval with labeling consistent with the MARINE indication and have entered the U.S. market:</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26" w:name="page27"/>
    <w:bookmarkEnd w:id="26"/>
    <w:tbl>
      <w:tblPr>
        <w:tblLayout w:type="fixed"/>
        <w:tblInd w:w="580" w:type="dxa"/>
        <w:tblCellMar>
          <w:top w:w="0" w:type="dxa"/>
          <w:left w:w="0" w:type="dxa"/>
          <w:bottom w:w="0" w:type="dxa"/>
          <w:right w:w="0" w:type="dxa"/>
        </w:tblCellMar>
      </w:tblPr>
      <w:tr>
        <w:trPr>
          <w:trHeight w:val="161"/>
        </w:trPr>
        <w:tc>
          <w:tcPr>
            <w:tcW w:w="3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260" w:type="dxa"/>
            <w:vAlign w:val="bottom"/>
          </w:tcPr>
          <w:p>
            <w:pPr>
              <w:spacing w:after="0"/>
              <w:rPr>
                <w:sz w:val="13"/>
                <w:szCs w:val="13"/>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FDA MARINE Indication</w:t>
            </w:r>
          </w:p>
        </w:tc>
        <w:tc>
          <w:tcPr>
            <w:tcW w:w="260" w:type="dxa"/>
            <w:vAlign w:val="bottom"/>
          </w:tcPr>
          <w:p>
            <w:pPr>
              <w:spacing w:after="0"/>
              <w:rPr>
                <w:sz w:val="13"/>
                <w:szCs w:val="13"/>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1-gram Launch Date</w:t>
            </w:r>
          </w:p>
        </w:tc>
        <w:tc>
          <w:tcPr>
            <w:tcW w:w="260" w:type="dxa"/>
            <w:vAlign w:val="bottom"/>
          </w:tcPr>
          <w:p>
            <w:pPr>
              <w:spacing w:after="0"/>
              <w:rPr>
                <w:sz w:val="13"/>
                <w:szCs w:val="13"/>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0.5-gram Launch Date</w:t>
            </w:r>
          </w:p>
        </w:tc>
        <w:tc>
          <w:tcPr>
            <w:tcW w:w="0" w:type="dxa"/>
            <w:vAlign w:val="bottom"/>
          </w:tcPr>
          <w:p>
            <w:pPr>
              <w:spacing w:after="0"/>
              <w:rPr>
                <w:sz w:val="1"/>
                <w:szCs w:val="1"/>
                <w:color w:val="auto"/>
              </w:rPr>
            </w:pPr>
          </w:p>
        </w:tc>
      </w:tr>
      <w:tr>
        <w:trPr>
          <w:trHeight w:val="173"/>
        </w:trPr>
        <w:tc>
          <w:tcPr>
            <w:tcW w:w="386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Approval</w:t>
            </w:r>
          </w:p>
        </w:tc>
        <w:tc>
          <w:tcPr>
            <w:tcW w:w="260" w:type="dxa"/>
            <w:vAlign w:val="bottom"/>
          </w:tcPr>
          <w:p>
            <w:pPr>
              <w:spacing w:after="0"/>
              <w:rPr>
                <w:sz w:val="15"/>
                <w:szCs w:val="15"/>
                <w:color w:val="auto"/>
              </w:rPr>
            </w:pPr>
          </w:p>
        </w:tc>
        <w:tc>
          <w:tcPr>
            <w:tcW w:w="176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17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Hikma Pharmaceuticals USA Inc.</w:t>
            </w:r>
          </w:p>
        </w:tc>
        <w:tc>
          <w:tcPr>
            <w:tcW w:w="260" w:type="dxa"/>
            <w:vAlign w:val="bottom"/>
            <w:shd w:val="clear" w:color="auto" w:fill="CFF0FC"/>
          </w:tcPr>
          <w:p>
            <w:pPr>
              <w:spacing w:after="0"/>
              <w:rPr>
                <w:sz w:val="18"/>
                <w:szCs w:val="18"/>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May 2020</w:t>
            </w:r>
          </w:p>
        </w:tc>
        <w:tc>
          <w:tcPr>
            <w:tcW w:w="260" w:type="dxa"/>
            <w:vAlign w:val="bottom"/>
            <w:shd w:val="clear" w:color="auto" w:fill="CFF0FC"/>
          </w:tcPr>
          <w:p>
            <w:pPr>
              <w:spacing w:after="0"/>
              <w:rPr>
                <w:sz w:val="18"/>
                <w:szCs w:val="18"/>
                <w:color w:val="auto"/>
              </w:rPr>
            </w:pPr>
          </w:p>
        </w:tc>
        <w:tc>
          <w:tcPr>
            <w:tcW w:w="1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November 2020</w:t>
            </w:r>
          </w:p>
        </w:tc>
        <w:tc>
          <w:tcPr>
            <w:tcW w:w="260" w:type="dxa"/>
            <w:vAlign w:val="bottom"/>
            <w:shd w:val="clear" w:color="auto" w:fill="CFF0FC"/>
          </w:tcPr>
          <w:p>
            <w:pPr>
              <w:spacing w:after="0"/>
              <w:rPr>
                <w:sz w:val="18"/>
                <w:szCs w:val="18"/>
                <w:color w:val="auto"/>
              </w:rPr>
            </w:pPr>
          </w:p>
        </w:tc>
        <w:tc>
          <w:tcPr>
            <w:tcW w:w="1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2023</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Dr. Reddy’s Laboratories, Inc.</w:t>
            </w:r>
          </w:p>
        </w:tc>
        <w:tc>
          <w:tcPr>
            <w:tcW w:w="26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2020</w:t>
            </w:r>
          </w:p>
        </w:tc>
        <w:tc>
          <w:tcPr>
            <w:tcW w:w="26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June 2021</w:t>
            </w:r>
          </w:p>
        </w:tc>
        <w:tc>
          <w:tcPr>
            <w:tcW w:w="26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June 2023</w:t>
            </w:r>
          </w:p>
        </w:tc>
        <w:tc>
          <w:tcPr>
            <w:tcW w:w="0" w:type="dxa"/>
            <w:vAlign w:val="bottom"/>
          </w:tcPr>
          <w:p>
            <w:pPr>
              <w:spacing w:after="0"/>
              <w:rPr>
                <w:sz w:val="1"/>
                <w:szCs w:val="1"/>
                <w:color w:val="auto"/>
              </w:rPr>
            </w:pPr>
          </w:p>
        </w:tc>
      </w:tr>
      <w:tr>
        <w:trPr>
          <w:trHeight w:val="216"/>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Teva Pharmaceuticals USA, Inc.</w:t>
            </w:r>
          </w:p>
        </w:tc>
        <w:tc>
          <w:tcPr>
            <w:tcW w:w="260" w:type="dxa"/>
            <w:vAlign w:val="bottom"/>
            <w:shd w:val="clear" w:color="auto" w:fill="CFF0FC"/>
          </w:tcPr>
          <w:p>
            <w:pPr>
              <w:spacing w:after="0"/>
              <w:rPr>
                <w:sz w:val="18"/>
                <w:szCs w:val="18"/>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September 2020</w:t>
            </w:r>
          </w:p>
        </w:tc>
        <w:tc>
          <w:tcPr>
            <w:tcW w:w="260" w:type="dxa"/>
            <w:vAlign w:val="bottom"/>
            <w:shd w:val="clear" w:color="auto" w:fill="CFF0FC"/>
          </w:tcPr>
          <w:p>
            <w:pPr>
              <w:spacing w:after="0"/>
              <w:rPr>
                <w:sz w:val="18"/>
                <w:szCs w:val="18"/>
                <w:color w:val="auto"/>
              </w:rPr>
            </w:pPr>
          </w:p>
        </w:tc>
        <w:tc>
          <w:tcPr>
            <w:tcW w:w="1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January 2023</w:t>
            </w:r>
          </w:p>
        </w:tc>
        <w:tc>
          <w:tcPr>
            <w:tcW w:w="260" w:type="dxa"/>
            <w:vAlign w:val="bottom"/>
            <w:shd w:val="clear" w:color="auto" w:fill="CFF0FC"/>
          </w:tcPr>
          <w:p>
            <w:pPr>
              <w:spacing w:after="0"/>
              <w:rPr>
                <w:sz w:val="18"/>
                <w:szCs w:val="18"/>
                <w:color w:val="auto"/>
              </w:rPr>
            </w:pPr>
          </w:p>
        </w:tc>
        <w:tc>
          <w:tcPr>
            <w:tcW w:w="1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September 2022</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Apotex, Inc.</w:t>
            </w:r>
          </w:p>
        </w:tc>
        <w:tc>
          <w:tcPr>
            <w:tcW w:w="26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June 2021</w:t>
            </w:r>
          </w:p>
        </w:tc>
        <w:tc>
          <w:tcPr>
            <w:tcW w:w="26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2022</w:t>
            </w:r>
          </w:p>
        </w:tc>
        <w:tc>
          <w:tcPr>
            <w:tcW w:w="26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Zydus Lifesciences</w:t>
            </w:r>
          </w:p>
        </w:tc>
        <w:tc>
          <w:tcPr>
            <w:tcW w:w="260" w:type="dxa"/>
            <w:vAlign w:val="bottom"/>
            <w:shd w:val="clear" w:color="auto" w:fill="CFF0FC"/>
          </w:tcPr>
          <w:p>
            <w:pPr>
              <w:spacing w:after="0"/>
              <w:rPr>
                <w:sz w:val="18"/>
                <w:szCs w:val="18"/>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April 2023</w:t>
            </w:r>
          </w:p>
        </w:tc>
        <w:tc>
          <w:tcPr>
            <w:tcW w:w="260" w:type="dxa"/>
            <w:vAlign w:val="bottom"/>
            <w:shd w:val="clear" w:color="auto" w:fill="CFF0FC"/>
          </w:tcPr>
          <w:p>
            <w:pPr>
              <w:spacing w:after="0"/>
              <w:rPr>
                <w:sz w:val="18"/>
                <w:szCs w:val="18"/>
                <w:color w:val="auto"/>
              </w:rPr>
            </w:pPr>
          </w:p>
        </w:tc>
        <w:tc>
          <w:tcPr>
            <w:tcW w:w="1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18"/>
                <w:szCs w:val="18"/>
                <w:color w:val="auto"/>
              </w:rPr>
            </w:pPr>
          </w:p>
        </w:tc>
        <w:tc>
          <w:tcPr>
            <w:tcW w:w="1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June 2024</w:t>
            </w:r>
          </w:p>
        </w:tc>
        <w:tc>
          <w:tcPr>
            <w:tcW w:w="0" w:type="dxa"/>
            <w:vAlign w:val="bottom"/>
          </w:tcPr>
          <w:p>
            <w:pPr>
              <w:spacing w:after="0"/>
              <w:rPr>
                <w:sz w:val="1"/>
                <w:szCs w:val="1"/>
                <w:color w:val="auto"/>
              </w:rPr>
            </w:pPr>
          </w:p>
        </w:tc>
      </w:tr>
      <w:tr>
        <w:trPr>
          <w:trHeight w:val="216"/>
        </w:trPr>
        <w:tc>
          <w:tcPr>
            <w:tcW w:w="38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Strides Pharma </w:t>
            </w:r>
            <w:r>
              <w:rPr>
                <w:rFonts w:ascii="Times New Roman" w:cs="Times New Roman" w:eastAsia="Times New Roman" w:hAnsi="Times New Roman"/>
                <w:sz w:val="24"/>
                <w:szCs w:val="24"/>
                <w:color w:val="auto"/>
                <w:vertAlign w:val="superscript"/>
              </w:rPr>
              <w:t>(1)</w:t>
            </w:r>
          </w:p>
        </w:tc>
        <w:tc>
          <w:tcPr>
            <w:tcW w:w="26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September 2023</w:t>
            </w:r>
          </w:p>
        </w:tc>
        <w:tc>
          <w:tcPr>
            <w:tcW w:w="26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2024</w:t>
            </w:r>
          </w:p>
        </w:tc>
        <w:tc>
          <w:tcPr>
            <w:tcW w:w="26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2024</w:t>
            </w:r>
          </w:p>
        </w:tc>
        <w:tc>
          <w:tcPr>
            <w:tcW w:w="0" w:type="dxa"/>
            <w:vAlign w:val="bottom"/>
          </w:tcPr>
          <w:p>
            <w:pPr>
              <w:spacing w:after="0"/>
              <w:rPr>
                <w:sz w:val="1"/>
                <w:szCs w:val="1"/>
                <w:color w:val="auto"/>
              </w:rPr>
            </w:pPr>
          </w:p>
        </w:tc>
      </w:tr>
      <w:tr>
        <w:trPr>
          <w:trHeight w:val="216"/>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Epic Pharma</w:t>
            </w:r>
          </w:p>
        </w:tc>
        <w:tc>
          <w:tcPr>
            <w:tcW w:w="260" w:type="dxa"/>
            <w:vAlign w:val="bottom"/>
            <w:shd w:val="clear" w:color="auto" w:fill="CFF0FC"/>
          </w:tcPr>
          <w:p>
            <w:pPr>
              <w:spacing w:after="0"/>
              <w:rPr>
                <w:sz w:val="18"/>
                <w:szCs w:val="18"/>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December 2023</w:t>
            </w:r>
          </w:p>
        </w:tc>
        <w:tc>
          <w:tcPr>
            <w:tcW w:w="260" w:type="dxa"/>
            <w:vAlign w:val="bottom"/>
            <w:shd w:val="clear" w:color="auto" w:fill="CFF0FC"/>
          </w:tcPr>
          <w:p>
            <w:pPr>
              <w:spacing w:after="0"/>
              <w:rPr>
                <w:sz w:val="18"/>
                <w:szCs w:val="18"/>
                <w:color w:val="auto"/>
              </w:rPr>
            </w:pPr>
          </w:p>
        </w:tc>
        <w:tc>
          <w:tcPr>
            <w:tcW w:w="1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2024</w:t>
            </w:r>
          </w:p>
        </w:tc>
        <w:tc>
          <w:tcPr>
            <w:tcW w:w="260" w:type="dxa"/>
            <w:vAlign w:val="bottom"/>
            <w:shd w:val="clear" w:color="auto" w:fill="CFF0FC"/>
          </w:tcPr>
          <w:p>
            <w:pPr>
              <w:spacing w:after="0"/>
              <w:rPr>
                <w:sz w:val="18"/>
                <w:szCs w:val="18"/>
                <w:color w:val="auto"/>
              </w:rPr>
            </w:pPr>
          </w:p>
        </w:tc>
        <w:tc>
          <w:tcPr>
            <w:tcW w:w="1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38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Ascent Pharmaceuticals, Inc. </w:t>
            </w:r>
            <w:r>
              <w:rPr>
                <w:rFonts w:ascii="Times New Roman" w:cs="Times New Roman" w:eastAsia="Times New Roman" w:hAnsi="Times New Roman"/>
                <w:sz w:val="24"/>
                <w:szCs w:val="24"/>
                <w:color w:val="auto"/>
                <w:vertAlign w:val="superscript"/>
              </w:rPr>
              <w:t>(2)</w:t>
            </w:r>
          </w:p>
        </w:tc>
        <w:tc>
          <w:tcPr>
            <w:tcW w:w="26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2023</w:t>
            </w:r>
          </w:p>
        </w:tc>
        <w:tc>
          <w:tcPr>
            <w:tcW w:w="26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2024</w:t>
            </w:r>
          </w:p>
        </w:tc>
        <w:tc>
          <w:tcPr>
            <w:tcW w:w="26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2024</w:t>
            </w:r>
          </w:p>
        </w:tc>
        <w:tc>
          <w:tcPr>
            <w:tcW w:w="0" w:type="dxa"/>
            <w:vAlign w:val="bottom"/>
          </w:tcPr>
          <w:p>
            <w:pPr>
              <w:spacing w:after="0"/>
              <w:rPr>
                <w:sz w:val="1"/>
                <w:szCs w:val="1"/>
                <w:color w:val="auto"/>
              </w:rPr>
            </w:pPr>
          </w:p>
        </w:tc>
      </w:tr>
      <w:tr>
        <w:trPr>
          <w:trHeight w:val="216"/>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Qilu Pharmaceutical Co Ltd</w:t>
            </w:r>
          </w:p>
        </w:tc>
        <w:tc>
          <w:tcPr>
            <w:tcW w:w="260" w:type="dxa"/>
            <w:vAlign w:val="bottom"/>
            <w:shd w:val="clear" w:color="auto" w:fill="CFF0FC"/>
          </w:tcPr>
          <w:p>
            <w:pPr>
              <w:spacing w:after="0"/>
              <w:rPr>
                <w:sz w:val="18"/>
                <w:szCs w:val="18"/>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November 2024</w:t>
            </w:r>
          </w:p>
        </w:tc>
        <w:tc>
          <w:tcPr>
            <w:tcW w:w="260" w:type="dxa"/>
            <w:vAlign w:val="bottom"/>
            <w:shd w:val="clear" w:color="auto" w:fill="CFF0FC"/>
          </w:tcPr>
          <w:p>
            <w:pPr>
              <w:spacing w:after="0"/>
              <w:rPr>
                <w:sz w:val="18"/>
                <w:szCs w:val="18"/>
                <w:color w:val="auto"/>
              </w:rPr>
            </w:pPr>
          </w:p>
        </w:tc>
        <w:tc>
          <w:tcPr>
            <w:tcW w:w="1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18"/>
                <w:szCs w:val="18"/>
                <w:color w:val="auto"/>
              </w:rPr>
            </w:pPr>
          </w:p>
        </w:tc>
        <w:tc>
          <w:tcPr>
            <w:tcW w:w="1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Spriaso LLC</w:t>
            </w:r>
          </w:p>
        </w:tc>
        <w:tc>
          <w:tcPr>
            <w:tcW w:w="26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2024</w:t>
            </w:r>
          </w:p>
        </w:tc>
        <w:tc>
          <w:tcPr>
            <w:tcW w:w="260" w:type="dxa"/>
            <w:vAlign w:val="bottom"/>
          </w:tcPr>
          <w:p>
            <w:pPr>
              <w:spacing w:after="0"/>
              <w:rPr>
                <w:sz w:val="20"/>
                <w:szCs w:val="20"/>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1020" w:hanging="26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Strides Pharma licensed its rights to the generic version of icosapent ethyl to Amneal Pharmaceuticals.</w:t>
      </w:r>
    </w:p>
    <w:p>
      <w:pPr>
        <w:spacing w:after="0" w:line="117" w:lineRule="exact"/>
        <w:rPr>
          <w:rFonts w:ascii="Times New Roman" w:cs="Times New Roman" w:eastAsia="Times New Roman" w:hAnsi="Times New Roman"/>
          <w:sz w:val="18"/>
          <w:szCs w:val="18"/>
          <w:color w:val="auto"/>
        </w:rPr>
      </w:pPr>
    </w:p>
    <w:p>
      <w:pPr>
        <w:ind w:left="760" w:right="520" w:hanging="3"/>
        <w:spacing w:after="0" w:line="282" w:lineRule="auto"/>
        <w:tabs>
          <w:tab w:leader="none" w:pos="10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Ascent Pharmaceuticals, Inc. licensed its rights to the generic version of icosapent ethyl to Camber Pharmaceuticals, Inc. and XL Care Pharmaceuticals, Inc.</w:t>
      </w:r>
    </w:p>
    <w:p>
      <w:pPr>
        <w:spacing w:after="0" w:line="5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obtain data from a third party, Symphony Health, which collects and reports estimates of weekly, monthly, quarterly and annual prescription information. There is a limited amount of information available to determine the actual number of total prescriptions for products like VASCEPA during such periods. The vendor's estimate utilizes a proprietary projection methodology and is based on a combination of data received from pharmacies and other distributors, as well as historical data when actual data is unavailable. Based on data from Symphony Health, the below chart represents the estimated number of normalized total VASCEPA prescriptions.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59690</wp:posOffset>
            </wp:positionV>
            <wp:extent cx="4440555" cy="219456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440555" cy="2194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Normalized total prescriptions represent the estimated total number of VASCEPA prescriptions dispensed to patients, calculated on a normalized basis (i.e., one month’s supply, or total capsules dispensed multiplied by the number of grams per capsule divided by 120 grams). Inventory levels at wholesalers tend to fluctuate based on seasonal factors, prescription trends and other factors.</w:t>
      </w:r>
    </w:p>
    <w:p>
      <w:pPr>
        <w:spacing w:after="0" w:line="6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previous calculations of prescription levels by this vendor can change between periods and can be significantly affected by lags in data reporting from various sources or by changes in pharmacies and other distributors providing data. Such methods can from time to time result in significant inaccuracies in information when ultimately compared with actual results. These inaccuracies have historically been most prevalent and pronounced during periods of time of inflections upward or downward in rates of use. Further, data for a single and limited period may not be representative of a trend or otherwise predictive of future results.</w:t>
      </w:r>
    </w:p>
    <w:p>
      <w:pPr>
        <w:spacing w:after="0" w:line="2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Europe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2021, we received marketing authorization and regulatory approval in the EU, England, Wales and Scotland.</w:t>
      </w:r>
    </w:p>
    <w:p>
      <w:pPr>
        <w:spacing w:after="0" w:line="117" w:lineRule="exact"/>
        <w:rPr>
          <w:sz w:val="20"/>
          <w:szCs w:val="20"/>
          <w:color w:val="auto"/>
        </w:rPr>
      </w:pPr>
    </w:p>
    <w:p>
      <w:pPr>
        <w:ind w:right="360" w:firstLine="509"/>
        <w:spacing w:after="0" w:line="255" w:lineRule="auto"/>
        <w:rPr>
          <w:sz w:val="20"/>
          <w:szCs w:val="20"/>
          <w:color w:val="auto"/>
        </w:rPr>
      </w:pPr>
      <w:r>
        <w:rPr>
          <w:rFonts w:ascii="Times New Roman" w:cs="Times New Roman" w:eastAsia="Times New Roman" w:hAnsi="Times New Roman"/>
          <w:sz w:val="18"/>
          <w:szCs w:val="18"/>
          <w:color w:val="auto"/>
        </w:rPr>
        <w:t>In June 2025, the Company entered into an exclusive long-term license and supply agreement with Recordati, or the Recordati EU Licensing Agreement, with Recordati, related to the development and commercialization of VAZKEPA in 59 countries focused in Europe. As a result of the Recordati EU Licensing Agreement we implemented a global restructuring plan which we estimate will result in annual cost savings of approximately $70.0 million primarily from the elimination of commercial roles in the Company’s European operations.</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66" w:right="379" w:bottom="1440" w:gutter="0" w:footer="0" w:header="0"/>
        </w:sectPr>
      </w:pPr>
    </w:p>
    <w:bookmarkStart w:id="27" w:name="page28"/>
    <w:bookmarkEnd w:id="27"/>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As a result of the Recordati EU Licensing Agreement, Recordati is solely responsible for commercializing VAZKEPA in the EU Territory. Recordati may sell VAZKEPA pursuant to the product reimbursement’s we have already obtained in Europe and will use commercially reasonable efforts to pursue future approvals in the EU Territory.</w:t>
      </w:r>
    </w:p>
    <w:p>
      <w:pPr>
        <w:spacing w:after="0" w:line="68"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Launch of VAZKEPA in individual countries depends on the timing of achieving product reimbursement on a country-by-country basis. To date we have filed 19 dossiers to gain market access in European countries, including in all of the largest countries in Europe. In most European countries, securing product reimbursement is a requisite to launching. In certain countries, such as Denmark, individual patient reimbursement is allowed prior to national reimbursement. In countries where individual price reimbursement is allowed prior to national reimbursement, product can be made available on a patient-by-patient basis, while the national reimbursements negotiations are ongoing. In all countries, securing adequate reimbursement is a requisite for commercial success of any therapeutic. The time required to secure reimbursement varies from country to country and cannot be reliably predicted. While we believe that we have strong arguments regarding the cost effectiveness of VAZKEPA, the success of such reimbursement negotiations have a significant impact on the assessment of the commercial opportunity of VAZKEPA in Europe. Through the date of this Quarterly Report, we received marketing authorization by the MHRA and the European Medicines Agency, or EMA, and subsequently we have made VAZKEPA available under individual reimbursement or received national reimbursement and launched commercial operations in the following countries, respectively.</w:t>
      </w:r>
    </w:p>
    <w:p>
      <w:pPr>
        <w:spacing w:after="0" w:line="17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260" w:type="dxa"/>
            <w:vAlign w:val="bottom"/>
          </w:tcPr>
          <w:p>
            <w:pPr>
              <w:spacing w:after="0"/>
              <w:rPr>
                <w:sz w:val="13"/>
                <w:szCs w:val="13"/>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Individual</w:t>
            </w:r>
          </w:p>
        </w:tc>
        <w:tc>
          <w:tcPr>
            <w:tcW w:w="260" w:type="dxa"/>
            <w:vAlign w:val="bottom"/>
          </w:tcPr>
          <w:p>
            <w:pPr>
              <w:spacing w:after="0"/>
              <w:rPr>
                <w:sz w:val="13"/>
                <w:szCs w:val="13"/>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National</w:t>
            </w:r>
          </w:p>
        </w:tc>
        <w:tc>
          <w:tcPr>
            <w:tcW w:w="240" w:type="dxa"/>
            <w:vAlign w:val="bottom"/>
          </w:tcPr>
          <w:p>
            <w:pPr>
              <w:spacing w:after="0"/>
              <w:rPr>
                <w:sz w:val="13"/>
                <w:szCs w:val="13"/>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Product Availability</w:t>
            </w:r>
          </w:p>
        </w:tc>
        <w:tc>
          <w:tcPr>
            <w:tcW w:w="240" w:type="dxa"/>
            <w:vAlign w:val="bottom"/>
          </w:tcPr>
          <w:p>
            <w:pPr>
              <w:spacing w:after="0"/>
              <w:rPr>
                <w:sz w:val="13"/>
                <w:szCs w:val="13"/>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Launch Date</w:t>
            </w:r>
          </w:p>
        </w:tc>
        <w:tc>
          <w:tcPr>
            <w:tcW w:w="0" w:type="dxa"/>
            <w:vAlign w:val="bottom"/>
          </w:tcPr>
          <w:p>
            <w:pPr>
              <w:spacing w:after="0"/>
              <w:rPr>
                <w:sz w:val="1"/>
                <w:szCs w:val="1"/>
                <w:color w:val="auto"/>
              </w:rPr>
            </w:pPr>
          </w:p>
        </w:tc>
      </w:tr>
      <w:tr>
        <w:trPr>
          <w:trHeight w:val="173"/>
        </w:trPr>
        <w:tc>
          <w:tcPr>
            <w:tcW w:w="326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Reimbursement</w:t>
            </w:r>
          </w:p>
        </w:tc>
        <w:tc>
          <w:tcPr>
            <w:tcW w:w="260" w:type="dxa"/>
            <w:vAlign w:val="bottom"/>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Reimbursement</w:t>
            </w:r>
          </w:p>
        </w:tc>
        <w:tc>
          <w:tcPr>
            <w:tcW w:w="240" w:type="dxa"/>
            <w:vAlign w:val="bottom"/>
          </w:tcPr>
          <w:p>
            <w:pPr>
              <w:spacing w:after="0"/>
              <w:rPr>
                <w:sz w:val="15"/>
                <w:szCs w:val="15"/>
                <w:color w:val="auto"/>
              </w:rPr>
            </w:pPr>
          </w:p>
        </w:tc>
        <w:tc>
          <w:tcPr>
            <w:tcW w:w="146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Sweden</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2022</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March 2022</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2022</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Finland</w:t>
            </w:r>
          </w:p>
        </w:tc>
        <w:tc>
          <w:tcPr>
            <w:tcW w:w="2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2022</w:t>
            </w:r>
          </w:p>
        </w:tc>
        <w:tc>
          <w:tcPr>
            <w:tcW w:w="2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2022</w:t>
            </w:r>
          </w:p>
        </w:tc>
        <w:tc>
          <w:tcPr>
            <w:tcW w:w="2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2022</w:t>
            </w:r>
          </w:p>
        </w:tc>
        <w:tc>
          <w:tcPr>
            <w:tcW w:w="0" w:type="dxa"/>
            <w:vAlign w:val="bottom"/>
          </w:tcPr>
          <w:p>
            <w:pPr>
              <w:spacing w:after="0"/>
              <w:rPr>
                <w:sz w:val="1"/>
                <w:szCs w:val="1"/>
                <w:color w:val="auto"/>
              </w:rPr>
            </w:pPr>
          </w:p>
        </w:tc>
      </w:tr>
      <w:tr>
        <w:trPr>
          <w:trHeight w:val="216"/>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England/Wales</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July 2022</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October 2022</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October 2022</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Spain</w:t>
            </w:r>
          </w:p>
        </w:tc>
        <w:tc>
          <w:tcPr>
            <w:tcW w:w="2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2023</w:t>
            </w:r>
          </w:p>
        </w:tc>
        <w:tc>
          <w:tcPr>
            <w:tcW w:w="2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c>
          <w:tcPr>
            <w:tcW w:w="2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c>
          <w:tcPr>
            <w:tcW w:w="0" w:type="dxa"/>
            <w:vAlign w:val="bottom"/>
          </w:tcPr>
          <w:p>
            <w:pPr>
              <w:spacing w:after="0"/>
              <w:rPr>
                <w:sz w:val="1"/>
                <w:szCs w:val="1"/>
                <w:color w:val="auto"/>
              </w:rPr>
            </w:pPr>
          </w:p>
        </w:tc>
      </w:tr>
      <w:tr>
        <w:trPr>
          <w:trHeight w:val="216"/>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Netherlands</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August 2023</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Scotland</w:t>
            </w:r>
          </w:p>
        </w:tc>
        <w:tc>
          <w:tcPr>
            <w:tcW w:w="2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2023</w:t>
            </w:r>
          </w:p>
        </w:tc>
        <w:tc>
          <w:tcPr>
            <w:tcW w:w="2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2023</w:t>
            </w:r>
          </w:p>
        </w:tc>
        <w:tc>
          <w:tcPr>
            <w:tcW w:w="2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c>
          <w:tcPr>
            <w:tcW w:w="0" w:type="dxa"/>
            <w:vAlign w:val="bottom"/>
          </w:tcPr>
          <w:p>
            <w:pPr>
              <w:spacing w:after="0"/>
              <w:rPr>
                <w:sz w:val="1"/>
                <w:szCs w:val="1"/>
                <w:color w:val="auto"/>
              </w:rPr>
            </w:pPr>
          </w:p>
        </w:tc>
      </w:tr>
      <w:tr>
        <w:trPr>
          <w:trHeight w:val="216"/>
        </w:trPr>
        <w:tc>
          <w:tcPr>
            <w:tcW w:w="32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Greece </w:t>
            </w:r>
            <w:r>
              <w:rPr>
                <w:rFonts w:ascii="Times New Roman" w:cs="Times New Roman" w:eastAsia="Times New Roman" w:hAnsi="Times New Roman"/>
                <w:sz w:val="24"/>
                <w:szCs w:val="24"/>
                <w:color w:val="auto"/>
                <w:vertAlign w:val="superscript"/>
              </w:rPr>
              <w:t>(1)</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May 2024</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June 2024</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June 2024</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Portugal</w:t>
            </w:r>
          </w:p>
        </w:tc>
        <w:tc>
          <w:tcPr>
            <w:tcW w:w="2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2024</w:t>
            </w:r>
          </w:p>
        </w:tc>
        <w:tc>
          <w:tcPr>
            <w:tcW w:w="2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2024</w:t>
            </w:r>
          </w:p>
        </w:tc>
        <w:tc>
          <w:tcPr>
            <w:tcW w:w="2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2024</w:t>
            </w:r>
          </w:p>
        </w:tc>
        <w:tc>
          <w:tcPr>
            <w:tcW w:w="0" w:type="dxa"/>
            <w:vAlign w:val="bottom"/>
          </w:tcPr>
          <w:p>
            <w:pPr>
              <w:spacing w:after="0"/>
              <w:rPr>
                <w:sz w:val="1"/>
                <w:szCs w:val="1"/>
                <w:color w:val="auto"/>
              </w:rPr>
            </w:pPr>
          </w:p>
        </w:tc>
      </w:tr>
      <w:tr>
        <w:trPr>
          <w:trHeight w:val="216"/>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Italy</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December 2024</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December 2024</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January 2025</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Austria</w:t>
            </w:r>
          </w:p>
        </w:tc>
        <w:tc>
          <w:tcPr>
            <w:tcW w:w="2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September 2022</w:t>
            </w:r>
          </w:p>
        </w:tc>
        <w:tc>
          <w:tcPr>
            <w:tcW w:w="2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2025</w:t>
            </w:r>
          </w:p>
        </w:tc>
        <w:tc>
          <w:tcPr>
            <w:tcW w:w="2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2022</w:t>
            </w:r>
          </w:p>
        </w:tc>
        <w:tc>
          <w:tcPr>
            <w:tcW w:w="2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Denmark</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June 2022</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June 2022</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20" w:right="1600" w:hanging="3"/>
        <w:spacing w:after="0" w:line="282" w:lineRule="auto"/>
        <w:tabs>
          <w:tab w:leader="none" w:pos="7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Vianex S.A will be the sole and exclusive distributor of VAZKEPA in the Greek territory to import, register, distribute and commercialize VAZKEPA.</w:t>
      </w:r>
    </w:p>
    <w:p>
      <w:pPr>
        <w:spacing w:after="0" w:line="54"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In addition, we received regulatory approval in Switzerland by the Swiss Agency for Therapeutic Products, or Swissmedic. VAZKEPA has been made available under individual reimbursement since January 2023.</w:t>
      </w:r>
    </w:p>
    <w:p>
      <w:pPr>
        <w:spacing w:after="0" w:line="5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Patients at high risk for cardiovascular disease tend to be treated more often by specialists, such as cardiologists, rather than by general practitioners. Privacy laws and other factors impact the availability of data to inform European commercial operations at an individual physician level. Generally, less data is available and at reduced frequencies than in the U.S. However, this greater concentration of at-risk patients being treated by specialists in Europe should allow for more efficient promotion than in the U.S. In Europe, VAZKEPA has the benefit of 10 years of market protection, and in April 2024 we were issued a patent that extended our exclusivity to 2039.</w:t>
      </w:r>
    </w:p>
    <w:p>
      <w:pPr>
        <w:spacing w:after="0" w:line="2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 of World</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One of our core areas of focus is continuing to work on generating revenue from our partnerships in key international markets. We and our partners have obtained varying levels of indication approvals and commercial launches in the respective territories. Through the date of this Quarterly Report, we have filed for regulatory review in 22 countries and regions and have received approval in 15 countries and regions outside of the U.S. and EMA regulatory approval authority. We have agreements in place with the following partners within the respective territories: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Partner</w:t>
            </w:r>
          </w:p>
        </w:tc>
        <w:tc>
          <w:tcPr>
            <w:tcW w:w="120" w:type="dxa"/>
            <w:vAlign w:val="bottom"/>
          </w:tcPr>
          <w:p>
            <w:pPr>
              <w:spacing w:after="0"/>
              <w:rPr>
                <w:sz w:val="18"/>
                <w:szCs w:val="18"/>
                <w:color w:val="auto"/>
              </w:rPr>
            </w:pPr>
          </w:p>
        </w:tc>
        <w:tc>
          <w:tcPr>
            <w:tcW w:w="18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Agreement Date</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Country</w:t>
            </w:r>
          </w:p>
        </w:tc>
        <w:tc>
          <w:tcPr>
            <w:tcW w:w="12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MARINE Approval</w:t>
            </w:r>
          </w:p>
        </w:tc>
        <w:tc>
          <w:tcPr>
            <w:tcW w:w="10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REDUCE-IT Approval</w:t>
            </w: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Launch Date</w:t>
            </w:r>
          </w:p>
        </w:tc>
        <w:tc>
          <w:tcPr>
            <w:tcW w:w="0" w:type="dxa"/>
            <w:vAlign w:val="bottom"/>
          </w:tcPr>
          <w:p>
            <w:pPr>
              <w:spacing w:after="0"/>
              <w:rPr>
                <w:sz w:val="1"/>
                <w:szCs w:val="1"/>
                <w:color w:val="auto"/>
              </w:rPr>
            </w:pPr>
          </w:p>
        </w:tc>
      </w:tr>
      <w:tr>
        <w:trPr>
          <w:trHeight w:val="38"/>
        </w:trPr>
        <w:tc>
          <w:tcPr>
            <w:tcW w:w="1540" w:type="dxa"/>
            <w:vAlign w:val="bottom"/>
            <w:vMerge w:val="restart"/>
          </w:tcPr>
          <w:p>
            <w:pPr>
              <w:jc w:val="center"/>
              <w:spacing w:after="0" w:line="267" w:lineRule="exact"/>
              <w:rPr>
                <w:sz w:val="20"/>
                <w:szCs w:val="20"/>
                <w:color w:val="auto"/>
              </w:rPr>
            </w:pPr>
            <w:r>
              <w:rPr>
                <w:rFonts w:ascii="Times New Roman" w:cs="Times New Roman" w:eastAsia="Times New Roman" w:hAnsi="Times New Roman"/>
                <w:sz w:val="18"/>
                <w:szCs w:val="18"/>
                <w:color w:val="auto"/>
                <w:w w:val="93"/>
              </w:rPr>
              <w:t xml:space="preserve">Edding </w:t>
            </w:r>
            <w:r>
              <w:rPr>
                <w:rFonts w:ascii="Times New Roman" w:cs="Times New Roman" w:eastAsia="Times New Roman" w:hAnsi="Times New Roman"/>
                <w:sz w:val="24"/>
                <w:szCs w:val="24"/>
                <w:color w:val="auto"/>
                <w:w w:val="93"/>
                <w:vertAlign w:val="superscript"/>
              </w:rPr>
              <w:t>(1)</w:t>
            </w:r>
          </w:p>
        </w:tc>
        <w:tc>
          <w:tcPr>
            <w:tcW w:w="120" w:type="dxa"/>
            <w:vAlign w:val="bottom"/>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15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8"/>
                <w:szCs w:val="18"/>
                <w:color w:val="auto"/>
              </w:rPr>
              <w:t>February 2015</w:t>
            </w:r>
          </w:p>
        </w:tc>
        <w:tc>
          <w:tcPr>
            <w:tcW w:w="1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Mainland China</w:t>
            </w:r>
          </w:p>
        </w:tc>
        <w:tc>
          <w:tcPr>
            <w:tcW w:w="120" w:type="dxa"/>
            <w:vAlign w:val="bottom"/>
            <w:shd w:val="clear" w:color="auto" w:fill="CFF0FC"/>
          </w:tcPr>
          <w:p>
            <w:pPr>
              <w:spacing w:after="0"/>
              <w:rPr>
                <w:sz w:val="18"/>
                <w:szCs w:val="18"/>
                <w:color w:val="auto"/>
              </w:rPr>
            </w:pPr>
          </w:p>
        </w:tc>
        <w:tc>
          <w:tcPr>
            <w:tcW w:w="1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June 2023</w:t>
            </w:r>
          </w:p>
        </w:tc>
        <w:tc>
          <w:tcPr>
            <w:tcW w:w="100" w:type="dxa"/>
            <w:vAlign w:val="bottom"/>
            <w:shd w:val="clear" w:color="auto" w:fill="CFF0FC"/>
          </w:tcPr>
          <w:p>
            <w:pPr>
              <w:spacing w:after="0"/>
              <w:rPr>
                <w:sz w:val="18"/>
                <w:szCs w:val="18"/>
                <w:color w:val="auto"/>
              </w:rPr>
            </w:pPr>
          </w:p>
        </w:tc>
        <w:tc>
          <w:tcPr>
            <w:tcW w:w="2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June 2024</w:t>
            </w:r>
          </w:p>
        </w:tc>
        <w:tc>
          <w:tcPr>
            <w:tcW w:w="100" w:type="dxa"/>
            <w:vAlign w:val="bottom"/>
            <w:shd w:val="clear" w:color="auto" w:fill="CFF0FC"/>
          </w:tcPr>
          <w:p>
            <w:pPr>
              <w:spacing w:after="0"/>
              <w:rPr>
                <w:sz w:val="18"/>
                <w:szCs w:val="18"/>
                <w:color w:val="auto"/>
              </w:rPr>
            </w:pPr>
          </w:p>
        </w:tc>
        <w:tc>
          <w:tcPr>
            <w:tcW w:w="1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October 2023</w:t>
            </w:r>
          </w:p>
        </w:tc>
        <w:tc>
          <w:tcPr>
            <w:tcW w:w="0" w:type="dxa"/>
            <w:vAlign w:val="bottom"/>
          </w:tcPr>
          <w:p>
            <w:pPr>
              <w:spacing w:after="0"/>
              <w:rPr>
                <w:sz w:val="1"/>
                <w:szCs w:val="1"/>
                <w:color w:val="auto"/>
              </w:rPr>
            </w:pPr>
          </w:p>
        </w:tc>
      </w:tr>
      <w:tr>
        <w:trPr>
          <w:trHeight w:val="108"/>
        </w:trPr>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"China Territory"</w:t>
            </w:r>
          </w:p>
        </w:tc>
        <w:tc>
          <w:tcPr>
            <w:tcW w:w="120" w:type="dxa"/>
            <w:vAlign w:val="bottom"/>
          </w:tcPr>
          <w:p>
            <w:pPr>
              <w:spacing w:after="0"/>
              <w:rPr>
                <w:sz w:val="9"/>
                <w:szCs w:val="9"/>
                <w:color w:val="auto"/>
              </w:rPr>
            </w:pPr>
          </w:p>
        </w:tc>
        <w:tc>
          <w:tcPr>
            <w:tcW w:w="1800" w:type="dxa"/>
            <w:vAlign w:val="bottom"/>
            <w:gridSpan w:val="2"/>
            <w:vMerge w:val="continue"/>
          </w:tcPr>
          <w:p>
            <w:pPr>
              <w:spacing w:after="0"/>
              <w:rPr>
                <w:sz w:val="9"/>
                <w:szCs w:val="9"/>
                <w:color w:val="auto"/>
              </w:rPr>
            </w:pPr>
          </w:p>
        </w:tc>
        <w:tc>
          <w:tcPr>
            <w:tcW w:w="1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Hong Kong</w:t>
            </w:r>
          </w:p>
        </w:tc>
        <w:tc>
          <w:tcPr>
            <w:tcW w:w="120" w:type="dxa"/>
            <w:vAlign w:val="bottom"/>
            <w:shd w:val="clear" w:color="auto" w:fill="CFF0FC"/>
          </w:tcPr>
          <w:p>
            <w:pPr>
              <w:spacing w:after="0"/>
              <w:rPr>
                <w:sz w:val="9"/>
                <w:szCs w:val="9"/>
                <w:color w:val="auto"/>
              </w:rPr>
            </w:pPr>
          </w:p>
        </w:tc>
        <w:tc>
          <w:tcPr>
            <w:tcW w:w="18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9"/>
                <w:szCs w:val="9"/>
                <w:color w:val="auto"/>
              </w:rPr>
            </w:pPr>
          </w:p>
        </w:tc>
        <w:tc>
          <w:tcPr>
            <w:tcW w:w="21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February 2023</w:t>
            </w:r>
          </w:p>
        </w:tc>
        <w:tc>
          <w:tcPr>
            <w:tcW w:w="100" w:type="dxa"/>
            <w:vAlign w:val="bottom"/>
            <w:shd w:val="clear" w:color="auto" w:fill="CFF0FC"/>
          </w:tcPr>
          <w:p>
            <w:pPr>
              <w:spacing w:after="0"/>
              <w:rPr>
                <w:sz w:val="9"/>
                <w:szCs w:val="9"/>
                <w:color w:val="auto"/>
              </w:rPr>
            </w:pPr>
          </w:p>
        </w:tc>
        <w:tc>
          <w:tcPr>
            <w:tcW w:w="160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May 2024</w:t>
            </w:r>
          </w:p>
        </w:tc>
        <w:tc>
          <w:tcPr>
            <w:tcW w:w="0" w:type="dxa"/>
            <w:vAlign w:val="bottom"/>
          </w:tcPr>
          <w:p>
            <w:pPr>
              <w:spacing w:after="0"/>
              <w:rPr>
                <w:sz w:val="1"/>
                <w:szCs w:val="1"/>
                <w:color w:val="auto"/>
              </w:rPr>
            </w:pPr>
          </w:p>
        </w:tc>
      </w:tr>
      <w:tr>
        <w:trPr>
          <w:trHeight w:val="108"/>
        </w:trPr>
        <w:tc>
          <w:tcPr>
            <w:tcW w:w="15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00" w:type="dxa"/>
            <w:vAlign w:val="bottom"/>
            <w:vMerge w:val="continue"/>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840" w:type="dxa"/>
            <w:vAlign w:val="bottom"/>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120" w:type="dxa"/>
            <w:vAlign w:val="bottom"/>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600" w:type="dxa"/>
            <w:vAlign w:val="bottom"/>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Lebanon</w:t>
            </w:r>
          </w:p>
        </w:tc>
        <w:tc>
          <w:tcPr>
            <w:tcW w:w="120" w:type="dxa"/>
            <w:vAlign w:val="bottom"/>
          </w:tcPr>
          <w:p>
            <w:pPr>
              <w:spacing w:after="0"/>
              <w:rPr>
                <w:sz w:val="17"/>
                <w:szCs w:val="17"/>
                <w:color w:val="auto"/>
              </w:rPr>
            </w:pPr>
          </w:p>
        </w:tc>
        <w:tc>
          <w:tcPr>
            <w:tcW w:w="18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March 2018</w:t>
            </w:r>
          </w:p>
        </w:tc>
        <w:tc>
          <w:tcPr>
            <w:tcW w:w="100" w:type="dxa"/>
            <w:vAlign w:val="bottom"/>
          </w:tcPr>
          <w:p>
            <w:pPr>
              <w:spacing w:after="0"/>
              <w:rPr>
                <w:sz w:val="17"/>
                <w:szCs w:val="17"/>
                <w:color w:val="auto"/>
              </w:rPr>
            </w:pPr>
          </w:p>
        </w:tc>
        <w:tc>
          <w:tcPr>
            <w:tcW w:w="21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August 2021</w:t>
            </w:r>
          </w:p>
        </w:tc>
        <w:tc>
          <w:tcPr>
            <w:tcW w:w="100" w:type="dxa"/>
            <w:vAlign w:val="bottom"/>
          </w:tcPr>
          <w:p>
            <w:pPr>
              <w:spacing w:after="0"/>
              <w:rPr>
                <w:sz w:val="17"/>
                <w:szCs w:val="17"/>
                <w:color w:val="auto"/>
              </w:rPr>
            </w:pPr>
          </w:p>
        </w:tc>
        <w:tc>
          <w:tcPr>
            <w:tcW w:w="16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June 2018</w:t>
            </w:r>
          </w:p>
        </w:tc>
        <w:tc>
          <w:tcPr>
            <w:tcW w:w="0" w:type="dxa"/>
            <w:vAlign w:val="bottom"/>
          </w:tcPr>
          <w:p>
            <w:pPr>
              <w:spacing w:after="0"/>
              <w:rPr>
                <w:sz w:val="1"/>
                <w:szCs w:val="1"/>
                <w:color w:val="auto"/>
              </w:rPr>
            </w:pPr>
          </w:p>
        </w:tc>
      </w:tr>
      <w:tr>
        <w:trPr>
          <w:trHeight w:val="216"/>
        </w:trPr>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Biologix FZCo</w:t>
            </w: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United Arab Emirates</w:t>
            </w:r>
          </w:p>
        </w:tc>
        <w:tc>
          <w:tcPr>
            <w:tcW w:w="12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2018</w:t>
            </w:r>
          </w:p>
        </w:tc>
        <w:tc>
          <w:tcPr>
            <w:tcW w:w="10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2021</w:t>
            </w: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2019</w:t>
            </w:r>
          </w:p>
        </w:tc>
        <w:tc>
          <w:tcPr>
            <w:tcW w:w="0" w:type="dxa"/>
            <w:vAlign w:val="bottom"/>
          </w:tcPr>
          <w:p>
            <w:pPr>
              <w:spacing w:after="0"/>
              <w:rPr>
                <w:sz w:val="1"/>
                <w:szCs w:val="1"/>
                <w:color w:val="auto"/>
              </w:rPr>
            </w:pPr>
          </w:p>
        </w:tc>
      </w:tr>
      <w:tr>
        <w:trPr>
          <w:trHeight w:val="74"/>
        </w:trPr>
        <w:tc>
          <w:tcPr>
            <w:tcW w:w="15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Qatar</w:t>
            </w:r>
          </w:p>
        </w:tc>
        <w:tc>
          <w:tcPr>
            <w:tcW w:w="120" w:type="dxa"/>
            <w:vAlign w:val="bottom"/>
          </w:tcPr>
          <w:p>
            <w:pPr>
              <w:spacing w:after="0"/>
              <w:rPr>
                <w:sz w:val="6"/>
                <w:szCs w:val="6"/>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December 2019</w:t>
            </w:r>
          </w:p>
        </w:tc>
        <w:tc>
          <w:tcPr>
            <w:tcW w:w="100" w:type="dxa"/>
            <w:vAlign w:val="bottom"/>
          </w:tcPr>
          <w:p>
            <w:pPr>
              <w:spacing w:after="0"/>
              <w:rPr>
                <w:sz w:val="6"/>
                <w:szCs w:val="6"/>
                <w:color w:val="auto"/>
              </w:rPr>
            </w:pPr>
          </w:p>
        </w:tc>
        <w:tc>
          <w:tcPr>
            <w:tcW w:w="2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April 2021</w:t>
            </w:r>
          </w:p>
        </w:tc>
        <w:tc>
          <w:tcPr>
            <w:tcW w:w="100" w:type="dxa"/>
            <w:vAlign w:val="bottom"/>
          </w:tcPr>
          <w:p>
            <w:pPr>
              <w:spacing w:after="0"/>
              <w:rPr>
                <w:sz w:val="6"/>
                <w:szCs w:val="6"/>
                <w:color w:val="auto"/>
              </w:rPr>
            </w:pP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May 2022</w:t>
            </w:r>
          </w:p>
        </w:tc>
        <w:tc>
          <w:tcPr>
            <w:tcW w:w="0" w:type="dxa"/>
            <w:vAlign w:val="bottom"/>
          </w:tcPr>
          <w:p>
            <w:pPr>
              <w:spacing w:after="0"/>
              <w:rPr>
                <w:sz w:val="1"/>
                <w:szCs w:val="1"/>
                <w:color w:val="auto"/>
              </w:rPr>
            </w:pPr>
          </w:p>
        </w:tc>
      </w:tr>
      <w:tr>
        <w:trPr>
          <w:trHeight w:val="214"/>
        </w:trPr>
        <w:tc>
          <w:tcPr>
            <w:tcW w:w="1540" w:type="dxa"/>
            <w:vAlign w:val="bottom"/>
          </w:tcPr>
          <w:p>
            <w:pPr>
              <w:jc w:val="center"/>
              <w:spacing w:after="0" w:line="214" w:lineRule="exact"/>
              <w:rPr>
                <w:sz w:val="20"/>
                <w:szCs w:val="20"/>
                <w:color w:val="auto"/>
              </w:rPr>
            </w:pPr>
            <w:r>
              <w:rPr>
                <w:rFonts w:ascii="Times New Roman" w:cs="Times New Roman" w:eastAsia="Times New Roman" w:hAnsi="Times New Roman"/>
                <w:sz w:val="18"/>
                <w:szCs w:val="18"/>
                <w:color w:val="auto"/>
                <w:w w:val="95"/>
              </w:rPr>
              <w:t>"Biologix"</w:t>
            </w:r>
            <w:r>
              <w:rPr>
                <w:rFonts w:ascii="Times New Roman" w:cs="Times New Roman" w:eastAsia="Times New Roman" w:hAnsi="Times New Roman"/>
                <w:sz w:val="24"/>
                <w:szCs w:val="24"/>
                <w:color w:val="auto"/>
                <w:w w:val="95"/>
                <w:vertAlign w:val="superscript"/>
              </w:rPr>
              <w:t>(2)</w:t>
            </w:r>
          </w:p>
        </w:tc>
        <w:tc>
          <w:tcPr>
            <w:tcW w:w="120" w:type="dxa"/>
            <w:vAlign w:val="bottom"/>
          </w:tcPr>
          <w:p>
            <w:pPr>
              <w:spacing w:after="0"/>
              <w:rPr>
                <w:sz w:val="18"/>
                <w:szCs w:val="18"/>
                <w:color w:val="auto"/>
              </w:rPr>
            </w:pPr>
          </w:p>
        </w:tc>
        <w:tc>
          <w:tcPr>
            <w:tcW w:w="18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March 2016</w:t>
            </w:r>
          </w:p>
        </w:tc>
        <w:tc>
          <w:tcPr>
            <w:tcW w:w="1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"MENA"</w:t>
            </w:r>
          </w:p>
        </w:tc>
        <w:tc>
          <w:tcPr>
            <w:tcW w:w="1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color w:val="auto"/>
              </w:rPr>
              <w:t>Bahrain</w:t>
            </w:r>
          </w:p>
        </w:tc>
        <w:tc>
          <w:tcPr>
            <w:tcW w:w="120" w:type="dxa"/>
            <w:vAlign w:val="bottom"/>
          </w:tcPr>
          <w:p>
            <w:pPr>
              <w:spacing w:after="0"/>
              <w:rPr>
                <w:sz w:val="12"/>
                <w:szCs w:val="12"/>
                <w:color w:val="auto"/>
              </w:rPr>
            </w:pPr>
          </w:p>
        </w:tc>
        <w:tc>
          <w:tcPr>
            <w:tcW w:w="184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color w:val="auto"/>
              </w:rPr>
              <w:t>April 2021</w:t>
            </w:r>
          </w:p>
        </w:tc>
        <w:tc>
          <w:tcPr>
            <w:tcW w:w="100" w:type="dxa"/>
            <w:vAlign w:val="bottom"/>
          </w:tcPr>
          <w:p>
            <w:pPr>
              <w:spacing w:after="0"/>
              <w:rPr>
                <w:sz w:val="12"/>
                <w:szCs w:val="12"/>
                <w:color w:val="auto"/>
              </w:rPr>
            </w:pPr>
          </w:p>
        </w:tc>
        <w:tc>
          <w:tcPr>
            <w:tcW w:w="212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color w:val="auto"/>
              </w:rPr>
              <w:t>April 2022</w:t>
            </w:r>
          </w:p>
        </w:tc>
        <w:tc>
          <w:tcPr>
            <w:tcW w:w="100" w:type="dxa"/>
            <w:vAlign w:val="bottom"/>
          </w:tcPr>
          <w:p>
            <w:pPr>
              <w:spacing w:after="0"/>
              <w:rPr>
                <w:sz w:val="12"/>
                <w:szCs w:val="12"/>
                <w:color w:val="auto"/>
              </w:rPr>
            </w:pPr>
          </w:p>
        </w:tc>
        <w:tc>
          <w:tcPr>
            <w:tcW w:w="16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color w:val="auto"/>
              </w:rPr>
              <w:t>September 2023</w:t>
            </w:r>
          </w:p>
        </w:tc>
        <w:tc>
          <w:tcPr>
            <w:tcW w:w="0" w:type="dxa"/>
            <w:vAlign w:val="bottom"/>
          </w:tcPr>
          <w:p>
            <w:pPr>
              <w:spacing w:after="0"/>
              <w:rPr>
                <w:sz w:val="1"/>
                <w:szCs w:val="1"/>
                <w:color w:val="auto"/>
              </w:rPr>
            </w:pPr>
          </w:p>
        </w:tc>
      </w:tr>
      <w:tr>
        <w:trPr>
          <w:trHeight w:val="126"/>
        </w:trPr>
        <w:tc>
          <w:tcPr>
            <w:tcW w:w="15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Kuwait</w:t>
            </w:r>
          </w:p>
        </w:tc>
        <w:tc>
          <w:tcPr>
            <w:tcW w:w="120" w:type="dxa"/>
            <w:vAlign w:val="bottom"/>
          </w:tcPr>
          <w:p>
            <w:pPr>
              <w:spacing w:after="0"/>
              <w:rPr>
                <w:sz w:val="10"/>
                <w:szCs w:val="10"/>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December 2021</w:t>
            </w:r>
          </w:p>
        </w:tc>
        <w:tc>
          <w:tcPr>
            <w:tcW w:w="100" w:type="dxa"/>
            <w:vAlign w:val="bottom"/>
          </w:tcPr>
          <w:p>
            <w:pPr>
              <w:spacing w:after="0"/>
              <w:rPr>
                <w:sz w:val="10"/>
                <w:szCs w:val="10"/>
                <w:color w:val="auto"/>
              </w:rPr>
            </w:pPr>
          </w:p>
        </w:tc>
        <w:tc>
          <w:tcPr>
            <w:tcW w:w="2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March 2023</w:t>
            </w:r>
          </w:p>
        </w:tc>
        <w:tc>
          <w:tcPr>
            <w:tcW w:w="100" w:type="dxa"/>
            <w:vAlign w:val="bottom"/>
          </w:tcPr>
          <w:p>
            <w:pPr>
              <w:spacing w:after="0"/>
              <w:rPr>
                <w:sz w:val="10"/>
                <w:szCs w:val="10"/>
                <w:color w:val="auto"/>
              </w:rPr>
            </w:pP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September 2023</w:t>
            </w:r>
          </w:p>
        </w:tc>
        <w:tc>
          <w:tcPr>
            <w:tcW w:w="0" w:type="dxa"/>
            <w:vAlign w:val="bottom"/>
          </w:tcPr>
          <w:p>
            <w:pPr>
              <w:spacing w:after="0"/>
              <w:rPr>
                <w:sz w:val="1"/>
                <w:szCs w:val="1"/>
                <w:color w:val="auto"/>
              </w:rPr>
            </w:pPr>
          </w:p>
        </w:tc>
      </w:tr>
      <w:tr>
        <w:trPr>
          <w:trHeight w:val="90"/>
        </w:trPr>
        <w:tc>
          <w:tcPr>
            <w:tcW w:w="1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9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8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Saudi Arabia</w:t>
            </w:r>
          </w:p>
        </w:tc>
        <w:tc>
          <w:tcPr>
            <w:tcW w:w="12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2022</w:t>
            </w:r>
          </w:p>
        </w:tc>
        <w:tc>
          <w:tcPr>
            <w:tcW w:w="10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2023</w:t>
            </w: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September 2023</w:t>
            </w:r>
          </w:p>
        </w:tc>
        <w:tc>
          <w:tcPr>
            <w:tcW w:w="0" w:type="dxa"/>
            <w:vAlign w:val="bottom"/>
          </w:tcPr>
          <w:p>
            <w:pPr>
              <w:spacing w:after="0"/>
              <w:rPr>
                <w:sz w:val="1"/>
                <w:szCs w:val="1"/>
                <w:color w:val="auto"/>
              </w:rPr>
            </w:pPr>
          </w:p>
        </w:tc>
      </w:tr>
      <w:tr>
        <w:trPr>
          <w:trHeight w:val="234"/>
        </w:trPr>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960" w:type="dxa"/>
            <w:vAlign w:val="bottom"/>
            <w:gridSpan w:val="2"/>
          </w:tcPr>
          <w:p>
            <w:pPr>
              <w:jc w:val="right"/>
              <w:ind w:right="1511"/>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63"/>
        </w:trPr>
        <w:tc>
          <w:tcPr>
            <w:tcW w:w="15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-1739265</wp:posOffset>
            </wp:positionV>
            <wp:extent cx="3394710" cy="28257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394710" cy="28257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07"/>
        </w:trPr>
        <w:tc>
          <w:tcPr>
            <w:tcW w:w="1700" w:type="dxa"/>
            <w:vAlign w:val="bottom"/>
            <w:shd w:val="clear" w:color="auto" w:fill="CFF0FC"/>
          </w:tcPr>
          <w:p>
            <w:pPr>
              <w:jc w:val="center"/>
              <w:ind w:right="130"/>
              <w:spacing w:after="0"/>
              <w:rPr>
                <w:sz w:val="20"/>
                <w:szCs w:val="20"/>
                <w:color w:val="auto"/>
              </w:rPr>
            </w:pPr>
            <w:r>
              <w:rPr>
                <w:rFonts w:ascii="Times New Roman" w:cs="Times New Roman" w:eastAsia="Times New Roman" w:hAnsi="Times New Roman"/>
                <w:sz w:val="18"/>
                <w:szCs w:val="18"/>
                <w:color w:val="auto"/>
              </w:rPr>
              <w:t>HLS Therapeutics</w:t>
            </w:r>
          </w:p>
        </w:tc>
        <w:tc>
          <w:tcPr>
            <w:tcW w:w="1800" w:type="dxa"/>
            <w:vAlign w:val="bottom"/>
            <w:shd w:val="clear" w:color="auto" w:fill="CFF0FC"/>
          </w:tcPr>
          <w:p>
            <w:pPr>
              <w:spacing w:after="0"/>
              <w:rPr>
                <w:sz w:val="17"/>
                <w:szCs w:val="17"/>
                <w:color w:val="auto"/>
              </w:rPr>
            </w:pPr>
          </w:p>
        </w:tc>
        <w:tc>
          <w:tcPr>
            <w:tcW w:w="210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2320" w:type="dxa"/>
            <w:vAlign w:val="bottom"/>
            <w:shd w:val="clear" w:color="auto" w:fill="CFF0FC"/>
          </w:tcPr>
          <w:p>
            <w:pPr>
              <w:spacing w:after="0"/>
              <w:rPr>
                <w:sz w:val="17"/>
                <w:szCs w:val="17"/>
                <w:color w:val="auto"/>
              </w:rPr>
            </w:pPr>
          </w:p>
        </w:tc>
        <w:tc>
          <w:tcPr>
            <w:tcW w:w="17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FF0FC"/>
          </w:tcPr>
          <w:p>
            <w:pPr>
              <w:jc w:val="center"/>
              <w:ind w:right="90"/>
              <w:spacing w:after="0"/>
              <w:rPr>
                <w:sz w:val="20"/>
                <w:szCs w:val="20"/>
                <w:color w:val="auto"/>
              </w:rPr>
            </w:pPr>
            <w:r>
              <w:rPr>
                <w:rFonts w:ascii="Times New Roman" w:cs="Times New Roman" w:eastAsia="Times New Roman" w:hAnsi="Times New Roman"/>
                <w:sz w:val="18"/>
                <w:szCs w:val="18"/>
                <w:color w:val="auto"/>
              </w:rPr>
              <w:t>Inc.</w:t>
            </w:r>
          </w:p>
        </w:tc>
        <w:tc>
          <w:tcPr>
            <w:tcW w:w="1800" w:type="dxa"/>
            <w:vAlign w:val="bottom"/>
            <w:shd w:val="clear" w:color="auto" w:fill="CFF0FC"/>
          </w:tcPr>
          <w:p>
            <w:pPr>
              <w:jc w:val="center"/>
              <w:ind w:right="130"/>
              <w:spacing w:after="0"/>
              <w:rPr>
                <w:sz w:val="20"/>
                <w:szCs w:val="20"/>
                <w:color w:val="auto"/>
              </w:rPr>
            </w:pPr>
            <w:r>
              <w:rPr>
                <w:rFonts w:ascii="Times New Roman" w:cs="Times New Roman" w:eastAsia="Times New Roman" w:hAnsi="Times New Roman"/>
                <w:sz w:val="18"/>
                <w:szCs w:val="18"/>
                <w:color w:val="auto"/>
              </w:rPr>
              <w:t>September 2017</w:t>
            </w:r>
          </w:p>
        </w:tc>
        <w:tc>
          <w:tcPr>
            <w:tcW w:w="2100" w:type="dxa"/>
            <w:vAlign w:val="bottom"/>
            <w:shd w:val="clear" w:color="auto" w:fill="CFF0FC"/>
          </w:tcPr>
          <w:p>
            <w:pPr>
              <w:jc w:val="center"/>
              <w:ind w:right="190"/>
              <w:spacing w:after="0"/>
              <w:rPr>
                <w:sz w:val="20"/>
                <w:szCs w:val="20"/>
                <w:color w:val="auto"/>
              </w:rPr>
            </w:pPr>
            <w:r>
              <w:rPr>
                <w:rFonts w:ascii="Times New Roman" w:cs="Times New Roman" w:eastAsia="Times New Roman" w:hAnsi="Times New Roman"/>
                <w:sz w:val="18"/>
                <w:szCs w:val="18"/>
                <w:color w:val="auto"/>
                <w:w w:val="99"/>
              </w:rPr>
              <w:t>Canada</w:t>
            </w:r>
          </w:p>
        </w:tc>
        <w:tc>
          <w:tcPr>
            <w:tcW w:w="156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shd w:val="clear" w:color="auto" w:fill="CFF0FC"/>
          </w:tcPr>
          <w:p>
            <w:pPr>
              <w:jc w:val="center"/>
              <w:ind w:left="210"/>
              <w:spacing w:after="0"/>
              <w:rPr>
                <w:sz w:val="20"/>
                <w:szCs w:val="20"/>
                <w:color w:val="auto"/>
              </w:rPr>
            </w:pPr>
            <w:r>
              <w:rPr>
                <w:rFonts w:ascii="Times New Roman" w:cs="Times New Roman" w:eastAsia="Times New Roman" w:hAnsi="Times New Roman"/>
                <w:sz w:val="18"/>
                <w:szCs w:val="18"/>
                <w:color w:val="auto"/>
                <w:w w:val="99"/>
              </w:rPr>
              <w:t>December 2019</w:t>
            </w:r>
          </w:p>
        </w:tc>
        <w:tc>
          <w:tcPr>
            <w:tcW w:w="1760" w:type="dxa"/>
            <w:vAlign w:val="bottom"/>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rPr>
              <w:t>February 2020</w:t>
            </w:r>
          </w:p>
        </w:tc>
        <w:tc>
          <w:tcPr>
            <w:tcW w:w="0" w:type="dxa"/>
            <w:vAlign w:val="bottom"/>
          </w:tcPr>
          <w:p>
            <w:pPr>
              <w:spacing w:after="0"/>
              <w:rPr>
                <w:sz w:val="1"/>
                <w:szCs w:val="1"/>
                <w:color w:val="auto"/>
              </w:rPr>
            </w:pPr>
          </w:p>
        </w:tc>
      </w:tr>
      <w:tr>
        <w:trPr>
          <w:trHeight w:val="234"/>
        </w:trPr>
        <w:tc>
          <w:tcPr>
            <w:tcW w:w="1700" w:type="dxa"/>
            <w:vAlign w:val="bottom"/>
            <w:shd w:val="clear" w:color="auto" w:fill="CFF0FC"/>
          </w:tcPr>
          <w:p>
            <w:pPr>
              <w:jc w:val="center"/>
              <w:ind w:right="90"/>
              <w:spacing w:after="0"/>
              <w:rPr>
                <w:sz w:val="20"/>
                <w:szCs w:val="20"/>
                <w:color w:val="auto"/>
              </w:rPr>
            </w:pPr>
            <w:r>
              <w:rPr>
                <w:rFonts w:ascii="Times New Roman" w:cs="Times New Roman" w:eastAsia="Times New Roman" w:hAnsi="Times New Roman"/>
                <w:sz w:val="18"/>
                <w:szCs w:val="18"/>
                <w:color w:val="auto"/>
                <w:w w:val="98"/>
              </w:rPr>
              <w:t>"HLS"</w:t>
            </w:r>
          </w:p>
        </w:tc>
        <w:tc>
          <w:tcPr>
            <w:tcW w:w="1800" w:type="dxa"/>
            <w:vAlign w:val="bottom"/>
            <w:shd w:val="clear" w:color="auto" w:fill="CFF0FC"/>
          </w:tcPr>
          <w:p>
            <w:pPr>
              <w:spacing w:after="0"/>
              <w:rPr>
                <w:sz w:val="20"/>
                <w:szCs w:val="20"/>
                <w:color w:val="auto"/>
              </w:rPr>
            </w:pPr>
          </w:p>
        </w:tc>
        <w:tc>
          <w:tcPr>
            <w:tcW w:w="2100" w:type="dxa"/>
            <w:vAlign w:val="bottom"/>
            <w:shd w:val="clear" w:color="auto" w:fill="CFF0FC"/>
          </w:tcPr>
          <w:p>
            <w:pPr>
              <w:spacing w:after="0"/>
              <w:rPr>
                <w:sz w:val="20"/>
                <w:szCs w:val="20"/>
                <w:color w:val="auto"/>
              </w:rPr>
            </w:pPr>
          </w:p>
        </w:tc>
        <w:tc>
          <w:tcPr>
            <w:tcW w:w="1560" w:type="dxa"/>
            <w:vAlign w:val="bottom"/>
            <w:shd w:val="clear" w:color="auto" w:fill="CFF0FC"/>
          </w:tcPr>
          <w:p>
            <w:pPr>
              <w:spacing w:after="0"/>
              <w:rPr>
                <w:sz w:val="20"/>
                <w:szCs w:val="20"/>
                <w:color w:val="auto"/>
              </w:rPr>
            </w:pPr>
          </w:p>
        </w:tc>
        <w:tc>
          <w:tcPr>
            <w:tcW w:w="2320" w:type="dxa"/>
            <w:vAlign w:val="bottom"/>
            <w:shd w:val="clear" w:color="auto" w:fill="CFF0FC"/>
          </w:tcPr>
          <w:p>
            <w:pPr>
              <w:spacing w:after="0"/>
              <w:rPr>
                <w:sz w:val="20"/>
                <w:szCs w:val="20"/>
                <w:color w:val="auto"/>
              </w:rPr>
            </w:pPr>
          </w:p>
        </w:tc>
        <w:tc>
          <w:tcPr>
            <w:tcW w:w="17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700" w:type="dxa"/>
            <w:vAlign w:val="bottom"/>
          </w:tcPr>
          <w:p>
            <w:pPr>
              <w:jc w:val="center"/>
              <w:ind w:right="90"/>
              <w:spacing w:after="0" w:line="198" w:lineRule="exact"/>
              <w:rPr>
                <w:sz w:val="20"/>
                <w:szCs w:val="20"/>
                <w:color w:val="auto"/>
              </w:rPr>
            </w:pPr>
            <w:r>
              <w:rPr>
                <w:rFonts w:ascii="Times New Roman" w:cs="Times New Roman" w:eastAsia="Times New Roman" w:hAnsi="Times New Roman"/>
                <w:sz w:val="18"/>
                <w:szCs w:val="18"/>
                <w:color w:val="auto"/>
              </w:rPr>
              <w:t>CSL Seqirus</w:t>
            </w:r>
          </w:p>
        </w:tc>
        <w:tc>
          <w:tcPr>
            <w:tcW w:w="180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color w:val="auto"/>
              </w:rPr>
              <w:t>February 2023</w:t>
            </w:r>
          </w:p>
        </w:tc>
        <w:tc>
          <w:tcPr>
            <w:tcW w:w="2100" w:type="dxa"/>
            <w:vAlign w:val="bottom"/>
          </w:tcPr>
          <w:p>
            <w:pPr>
              <w:jc w:val="center"/>
              <w:ind w:right="190"/>
              <w:spacing w:after="0" w:line="198" w:lineRule="exact"/>
              <w:rPr>
                <w:sz w:val="20"/>
                <w:szCs w:val="20"/>
                <w:color w:val="auto"/>
              </w:rPr>
            </w:pPr>
            <w:r>
              <w:rPr>
                <w:rFonts w:ascii="Times New Roman" w:cs="Times New Roman" w:eastAsia="Times New Roman" w:hAnsi="Times New Roman"/>
                <w:sz w:val="18"/>
                <w:szCs w:val="18"/>
                <w:color w:val="auto"/>
                <w:w w:val="99"/>
              </w:rPr>
              <w:t>Australia</w:t>
            </w:r>
          </w:p>
        </w:tc>
        <w:tc>
          <w:tcPr>
            <w:tcW w:w="1560" w:type="dxa"/>
            <w:vAlign w:val="bottom"/>
          </w:tcPr>
          <w:p>
            <w:pPr>
              <w:ind w:left="7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2320" w:type="dxa"/>
            <w:vAlign w:val="bottom"/>
          </w:tcPr>
          <w:p>
            <w:pPr>
              <w:jc w:val="center"/>
              <w:ind w:left="210"/>
              <w:spacing w:after="0" w:line="198" w:lineRule="exact"/>
              <w:rPr>
                <w:sz w:val="20"/>
                <w:szCs w:val="20"/>
                <w:color w:val="auto"/>
              </w:rPr>
            </w:pPr>
            <w:r>
              <w:rPr>
                <w:rFonts w:ascii="Times New Roman" w:cs="Times New Roman" w:eastAsia="Times New Roman" w:hAnsi="Times New Roman"/>
                <w:sz w:val="18"/>
                <w:szCs w:val="18"/>
                <w:color w:val="auto"/>
                <w:w w:val="99"/>
              </w:rPr>
              <w:t>October 2024</w:t>
            </w:r>
          </w:p>
        </w:tc>
        <w:tc>
          <w:tcPr>
            <w:tcW w:w="1760" w:type="dxa"/>
            <w:vAlign w:val="bottom"/>
          </w:tcPr>
          <w:p>
            <w:pPr>
              <w:jc w:val="center"/>
              <w:ind w:left="50"/>
              <w:spacing w:after="0" w:line="198" w:lineRule="exact"/>
              <w:rPr>
                <w:sz w:val="20"/>
                <w:szCs w:val="20"/>
                <w:color w:val="auto"/>
              </w:rPr>
            </w:pPr>
            <w:r>
              <w:rPr>
                <w:rFonts w:ascii="Times New Roman" w:cs="Times New Roman" w:eastAsia="Times New Roman" w:hAnsi="Times New Roman"/>
                <w:sz w:val="18"/>
                <w:szCs w:val="18"/>
                <w:color w:val="auto"/>
                <w:w w:val="99"/>
              </w:rPr>
              <w:t>October 2024</w:t>
            </w:r>
          </w:p>
        </w:tc>
        <w:tc>
          <w:tcPr>
            <w:tcW w:w="0" w:type="dxa"/>
            <w:vAlign w:val="bottom"/>
          </w:tcPr>
          <w:p>
            <w:pPr>
              <w:spacing w:after="0"/>
              <w:rPr>
                <w:sz w:val="1"/>
                <w:szCs w:val="1"/>
                <w:color w:val="auto"/>
              </w:rPr>
            </w:pPr>
          </w:p>
        </w:tc>
      </w:tr>
      <w:tr>
        <w:trPr>
          <w:trHeight w:val="126"/>
        </w:trPr>
        <w:tc>
          <w:tcPr>
            <w:tcW w:w="170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rPr>
              <w:t>"CSL"</w:t>
            </w:r>
          </w:p>
        </w:tc>
        <w:tc>
          <w:tcPr>
            <w:tcW w:w="1800" w:type="dxa"/>
            <w:vAlign w:val="bottom"/>
            <w:vMerge w:val="continue"/>
          </w:tcPr>
          <w:p>
            <w:pPr>
              <w:spacing w:after="0"/>
              <w:rPr>
                <w:sz w:val="10"/>
                <w:szCs w:val="10"/>
                <w:color w:val="auto"/>
              </w:rPr>
            </w:pPr>
          </w:p>
        </w:tc>
        <w:tc>
          <w:tcPr>
            <w:tcW w:w="2100" w:type="dxa"/>
            <w:vAlign w:val="bottom"/>
            <w:vMerge w:val="restart"/>
          </w:tcPr>
          <w:p>
            <w:pPr>
              <w:jc w:val="center"/>
              <w:ind w:right="210"/>
              <w:spacing w:after="0"/>
              <w:rPr>
                <w:sz w:val="20"/>
                <w:szCs w:val="20"/>
                <w:color w:val="auto"/>
              </w:rPr>
            </w:pPr>
            <w:r>
              <w:rPr>
                <w:rFonts w:ascii="Times New Roman" w:cs="Times New Roman" w:eastAsia="Times New Roman" w:hAnsi="Times New Roman"/>
                <w:sz w:val="18"/>
                <w:szCs w:val="18"/>
                <w:color w:val="auto"/>
                <w:w w:val="99"/>
              </w:rPr>
              <w:t>New Zealand</w:t>
            </w:r>
          </w:p>
        </w:tc>
        <w:tc>
          <w:tcPr>
            <w:tcW w:w="1560" w:type="dxa"/>
            <w:vAlign w:val="bottom"/>
            <w:vMerge w:val="restart"/>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vMerge w:val="restart"/>
          </w:tcPr>
          <w:p>
            <w:pPr>
              <w:jc w:val="center"/>
              <w:ind w:left="230"/>
              <w:spacing w:after="0"/>
              <w:rPr>
                <w:sz w:val="20"/>
                <w:szCs w:val="20"/>
                <w:color w:val="auto"/>
              </w:rPr>
            </w:pPr>
            <w:r>
              <w:rPr>
                <w:rFonts w:ascii="Times New Roman" w:cs="Times New Roman" w:eastAsia="Times New Roman" w:hAnsi="Times New Roman"/>
                <w:sz w:val="18"/>
                <w:szCs w:val="18"/>
                <w:color w:val="auto"/>
                <w:w w:val="99"/>
              </w:rPr>
              <w:t>January 2023</w:t>
            </w:r>
          </w:p>
        </w:tc>
        <w:tc>
          <w:tcPr>
            <w:tcW w:w="1760" w:type="dxa"/>
            <w:vAlign w:val="bottom"/>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08"/>
        </w:trPr>
        <w:tc>
          <w:tcPr>
            <w:tcW w:w="1700" w:type="dxa"/>
            <w:vAlign w:val="bottom"/>
            <w:vMerge w:val="continue"/>
          </w:tcPr>
          <w:p>
            <w:pPr>
              <w:spacing w:after="0"/>
              <w:rPr>
                <w:sz w:val="9"/>
                <w:szCs w:val="9"/>
                <w:color w:val="auto"/>
              </w:rPr>
            </w:pPr>
          </w:p>
        </w:tc>
        <w:tc>
          <w:tcPr>
            <w:tcW w:w="1800" w:type="dxa"/>
            <w:vAlign w:val="bottom"/>
          </w:tcPr>
          <w:p>
            <w:pPr>
              <w:spacing w:after="0"/>
              <w:rPr>
                <w:sz w:val="9"/>
                <w:szCs w:val="9"/>
                <w:color w:val="auto"/>
              </w:rPr>
            </w:pPr>
          </w:p>
        </w:tc>
        <w:tc>
          <w:tcPr>
            <w:tcW w:w="2100" w:type="dxa"/>
            <w:vAlign w:val="bottom"/>
            <w:vMerge w:val="continue"/>
          </w:tcPr>
          <w:p>
            <w:pPr>
              <w:spacing w:after="0"/>
              <w:rPr>
                <w:sz w:val="9"/>
                <w:szCs w:val="9"/>
                <w:color w:val="auto"/>
              </w:rPr>
            </w:pPr>
          </w:p>
        </w:tc>
        <w:tc>
          <w:tcPr>
            <w:tcW w:w="1560" w:type="dxa"/>
            <w:vAlign w:val="bottom"/>
            <w:vMerge w:val="continue"/>
          </w:tcPr>
          <w:p>
            <w:pPr>
              <w:spacing w:after="0"/>
              <w:rPr>
                <w:sz w:val="9"/>
                <w:szCs w:val="9"/>
                <w:color w:val="auto"/>
              </w:rPr>
            </w:pPr>
          </w:p>
        </w:tc>
        <w:tc>
          <w:tcPr>
            <w:tcW w:w="2320" w:type="dxa"/>
            <w:vAlign w:val="bottom"/>
            <w:vMerge w:val="continue"/>
          </w:tcPr>
          <w:p>
            <w:pPr>
              <w:spacing w:after="0"/>
              <w:rPr>
                <w:sz w:val="9"/>
                <w:szCs w:val="9"/>
                <w:color w:val="auto"/>
              </w:rPr>
            </w:pPr>
          </w:p>
        </w:tc>
        <w:tc>
          <w:tcPr>
            <w:tcW w:w="1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1700" w:type="dxa"/>
            <w:vAlign w:val="bottom"/>
            <w:shd w:val="clear" w:color="auto" w:fill="CFF0FC"/>
          </w:tcPr>
          <w:p>
            <w:pPr>
              <w:jc w:val="center"/>
              <w:ind w:right="130"/>
              <w:spacing w:after="0" w:line="198" w:lineRule="exact"/>
              <w:rPr>
                <w:sz w:val="20"/>
                <w:szCs w:val="20"/>
                <w:color w:val="auto"/>
              </w:rPr>
            </w:pPr>
            <w:r>
              <w:rPr>
                <w:rFonts w:ascii="Times New Roman" w:cs="Times New Roman" w:eastAsia="Times New Roman" w:hAnsi="Times New Roman"/>
                <w:sz w:val="18"/>
                <w:szCs w:val="18"/>
                <w:color w:val="auto"/>
                <w:w w:val="99"/>
              </w:rPr>
              <w:t>Neopharm (Israel)</w:t>
            </w:r>
          </w:p>
        </w:tc>
        <w:tc>
          <w:tcPr>
            <w:tcW w:w="1800" w:type="dxa"/>
            <w:vAlign w:val="bottom"/>
            <w:shd w:val="clear" w:color="auto" w:fill="CFF0FC"/>
          </w:tcPr>
          <w:p>
            <w:pPr>
              <w:spacing w:after="0"/>
              <w:rPr>
                <w:sz w:val="17"/>
                <w:szCs w:val="17"/>
                <w:color w:val="auto"/>
              </w:rPr>
            </w:pPr>
          </w:p>
        </w:tc>
        <w:tc>
          <w:tcPr>
            <w:tcW w:w="210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2320" w:type="dxa"/>
            <w:vAlign w:val="bottom"/>
            <w:shd w:val="clear" w:color="auto" w:fill="CFF0FC"/>
          </w:tcPr>
          <w:p>
            <w:pPr>
              <w:spacing w:after="0"/>
              <w:rPr>
                <w:sz w:val="17"/>
                <w:szCs w:val="17"/>
                <w:color w:val="auto"/>
              </w:rPr>
            </w:pPr>
          </w:p>
        </w:tc>
        <w:tc>
          <w:tcPr>
            <w:tcW w:w="17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00" w:type="dxa"/>
            <w:vAlign w:val="bottom"/>
            <w:shd w:val="clear" w:color="auto" w:fill="CFF0FC"/>
          </w:tcPr>
          <w:p>
            <w:pPr>
              <w:jc w:val="center"/>
              <w:ind w:right="70"/>
              <w:spacing w:after="0" w:line="196" w:lineRule="exact"/>
              <w:rPr>
                <w:sz w:val="20"/>
                <w:szCs w:val="20"/>
                <w:color w:val="auto"/>
              </w:rPr>
            </w:pPr>
            <w:r>
              <w:rPr>
                <w:rFonts w:ascii="Times New Roman" w:cs="Times New Roman" w:eastAsia="Times New Roman" w:hAnsi="Times New Roman"/>
                <w:sz w:val="18"/>
                <w:szCs w:val="18"/>
                <w:color w:val="auto"/>
                <w:w w:val="99"/>
              </w:rPr>
              <w:t>1996 Ltd.</w:t>
            </w:r>
          </w:p>
        </w:tc>
        <w:tc>
          <w:tcPr>
            <w:tcW w:w="1800" w:type="dxa"/>
            <w:vAlign w:val="bottom"/>
            <w:vMerge w:val="restart"/>
            <w:shd w:val="clear" w:color="auto" w:fill="CFF0FC"/>
          </w:tcPr>
          <w:p>
            <w:pPr>
              <w:jc w:val="center"/>
              <w:ind w:right="110"/>
              <w:spacing w:after="0"/>
              <w:rPr>
                <w:sz w:val="20"/>
                <w:szCs w:val="20"/>
                <w:color w:val="auto"/>
              </w:rPr>
            </w:pPr>
            <w:r>
              <w:rPr>
                <w:rFonts w:ascii="Times New Roman" w:cs="Times New Roman" w:eastAsia="Times New Roman" w:hAnsi="Times New Roman"/>
                <w:sz w:val="18"/>
                <w:szCs w:val="18"/>
                <w:color w:val="auto"/>
                <w:w w:val="99"/>
              </w:rPr>
              <w:t>August 2023</w:t>
            </w:r>
          </w:p>
        </w:tc>
        <w:tc>
          <w:tcPr>
            <w:tcW w:w="2100" w:type="dxa"/>
            <w:vAlign w:val="bottom"/>
            <w:vMerge w:val="restart"/>
            <w:shd w:val="clear" w:color="auto" w:fill="CFF0FC"/>
          </w:tcPr>
          <w:p>
            <w:pPr>
              <w:jc w:val="center"/>
              <w:ind w:right="210"/>
              <w:spacing w:after="0"/>
              <w:rPr>
                <w:sz w:val="20"/>
                <w:szCs w:val="20"/>
                <w:color w:val="auto"/>
              </w:rPr>
            </w:pPr>
            <w:r>
              <w:rPr>
                <w:rFonts w:ascii="Times New Roman" w:cs="Times New Roman" w:eastAsia="Times New Roman" w:hAnsi="Times New Roman"/>
                <w:sz w:val="18"/>
                <w:szCs w:val="18"/>
                <w:color w:val="auto"/>
                <w:w w:val="99"/>
              </w:rPr>
              <w:t>Israel</w:t>
            </w:r>
          </w:p>
        </w:tc>
        <w:tc>
          <w:tcPr>
            <w:tcW w:w="1560" w:type="dxa"/>
            <w:vAlign w:val="bottom"/>
            <w:vMerge w:val="restart"/>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vMerge w:val="restart"/>
            <w:shd w:val="clear" w:color="auto" w:fill="CFF0FC"/>
          </w:tcPr>
          <w:p>
            <w:pPr>
              <w:jc w:val="center"/>
              <w:ind w:left="170"/>
              <w:spacing w:after="0"/>
              <w:rPr>
                <w:sz w:val="20"/>
                <w:szCs w:val="20"/>
                <w:color w:val="auto"/>
              </w:rPr>
            </w:pPr>
            <w:r>
              <w:rPr>
                <w:rFonts w:ascii="Times New Roman" w:cs="Times New Roman" w:eastAsia="Times New Roman" w:hAnsi="Times New Roman"/>
                <w:sz w:val="18"/>
                <w:szCs w:val="18"/>
                <w:color w:val="auto"/>
                <w:w w:val="98"/>
              </w:rPr>
              <w:t>March 2023</w:t>
            </w:r>
          </w:p>
        </w:tc>
        <w:tc>
          <w:tcPr>
            <w:tcW w:w="1760" w:type="dxa"/>
            <w:vAlign w:val="bottom"/>
            <w:vMerge w:val="restart"/>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rPr>
              <w:t>May 2024</w:t>
            </w:r>
          </w:p>
        </w:tc>
        <w:tc>
          <w:tcPr>
            <w:tcW w:w="0" w:type="dxa"/>
            <w:vAlign w:val="bottom"/>
          </w:tcPr>
          <w:p>
            <w:pPr>
              <w:spacing w:after="0"/>
              <w:rPr>
                <w:sz w:val="1"/>
                <w:szCs w:val="1"/>
                <w:color w:val="auto"/>
              </w:rPr>
            </w:pPr>
          </w:p>
        </w:tc>
      </w:tr>
      <w:tr>
        <w:trPr>
          <w:trHeight w:val="236"/>
        </w:trPr>
        <w:tc>
          <w:tcPr>
            <w:tcW w:w="1700" w:type="dxa"/>
            <w:vAlign w:val="bottom"/>
            <w:shd w:val="clear" w:color="auto" w:fill="CFF0FC"/>
          </w:tcPr>
          <w:p>
            <w:pPr>
              <w:jc w:val="center"/>
              <w:ind w:right="90"/>
              <w:spacing w:after="0" w:line="236" w:lineRule="exact"/>
              <w:rPr>
                <w:sz w:val="20"/>
                <w:szCs w:val="20"/>
                <w:color w:val="auto"/>
              </w:rPr>
            </w:pPr>
            <w:r>
              <w:rPr>
                <w:rFonts w:ascii="Times New Roman" w:cs="Times New Roman" w:eastAsia="Times New Roman" w:hAnsi="Times New Roman"/>
                <w:sz w:val="18"/>
                <w:szCs w:val="18"/>
                <w:color w:val="auto"/>
                <w:w w:val="95"/>
              </w:rPr>
              <w:t>"Neopharm"</w:t>
            </w:r>
            <w:r>
              <w:rPr>
                <w:rFonts w:ascii="Times New Roman" w:cs="Times New Roman" w:eastAsia="Times New Roman" w:hAnsi="Times New Roman"/>
                <w:sz w:val="24"/>
                <w:szCs w:val="24"/>
                <w:color w:val="auto"/>
                <w:w w:val="95"/>
                <w:vertAlign w:val="superscript"/>
              </w:rPr>
              <w:t>(3)</w:t>
            </w:r>
          </w:p>
        </w:tc>
        <w:tc>
          <w:tcPr>
            <w:tcW w:w="1800" w:type="dxa"/>
            <w:vAlign w:val="bottom"/>
            <w:vMerge w:val="continue"/>
            <w:shd w:val="clear" w:color="auto" w:fill="CFF0FC"/>
          </w:tcPr>
          <w:p>
            <w:pPr>
              <w:spacing w:after="0"/>
              <w:rPr>
                <w:sz w:val="20"/>
                <w:szCs w:val="20"/>
                <w:color w:val="auto"/>
              </w:rPr>
            </w:pPr>
          </w:p>
        </w:tc>
        <w:tc>
          <w:tcPr>
            <w:tcW w:w="2100" w:type="dxa"/>
            <w:vAlign w:val="bottom"/>
            <w:vMerge w:val="continue"/>
            <w:shd w:val="clear" w:color="auto" w:fill="CFF0FC"/>
          </w:tcPr>
          <w:p>
            <w:pPr>
              <w:spacing w:after="0"/>
              <w:rPr>
                <w:sz w:val="20"/>
                <w:szCs w:val="20"/>
                <w:color w:val="auto"/>
              </w:rPr>
            </w:pPr>
          </w:p>
        </w:tc>
        <w:tc>
          <w:tcPr>
            <w:tcW w:w="1560" w:type="dxa"/>
            <w:vAlign w:val="bottom"/>
            <w:vMerge w:val="continue"/>
            <w:shd w:val="clear" w:color="auto" w:fill="CFF0FC"/>
          </w:tcPr>
          <w:p>
            <w:pPr>
              <w:spacing w:after="0"/>
              <w:rPr>
                <w:sz w:val="20"/>
                <w:szCs w:val="20"/>
                <w:color w:val="auto"/>
              </w:rPr>
            </w:pPr>
          </w:p>
        </w:tc>
        <w:tc>
          <w:tcPr>
            <w:tcW w:w="2320" w:type="dxa"/>
            <w:vAlign w:val="bottom"/>
            <w:vMerge w:val="continue"/>
            <w:shd w:val="clear" w:color="auto" w:fill="CFF0FC"/>
          </w:tcPr>
          <w:p>
            <w:pPr>
              <w:spacing w:after="0"/>
              <w:rPr>
                <w:sz w:val="20"/>
                <w:szCs w:val="20"/>
                <w:color w:val="auto"/>
              </w:rPr>
            </w:pPr>
          </w:p>
        </w:tc>
        <w:tc>
          <w:tcPr>
            <w:tcW w:w="1760" w:type="dxa"/>
            <w:vAlign w:val="bottom"/>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700" w:type="dxa"/>
            <w:vAlign w:val="bottom"/>
            <w:shd w:val="clear" w:color="auto" w:fill="CFF0FC"/>
          </w:tcPr>
          <w:p>
            <w:pPr>
              <w:jc w:val="center"/>
              <w:ind w:right="70"/>
              <w:spacing w:after="0"/>
              <w:rPr>
                <w:sz w:val="20"/>
                <w:szCs w:val="20"/>
                <w:color w:val="auto"/>
              </w:rPr>
            </w:pPr>
            <w:r>
              <w:rPr>
                <w:rFonts w:ascii="Times New Roman" w:cs="Times New Roman" w:eastAsia="Times New Roman" w:hAnsi="Times New Roman"/>
                <w:sz w:val="18"/>
                <w:szCs w:val="18"/>
                <w:color w:val="auto"/>
                <w:w w:val="98"/>
              </w:rPr>
              <w:t>"Israel"</w:t>
            </w:r>
          </w:p>
        </w:tc>
        <w:tc>
          <w:tcPr>
            <w:tcW w:w="1800" w:type="dxa"/>
            <w:vAlign w:val="bottom"/>
            <w:shd w:val="clear" w:color="auto" w:fill="CFF0FC"/>
          </w:tcPr>
          <w:p>
            <w:pPr>
              <w:spacing w:after="0"/>
              <w:rPr>
                <w:sz w:val="20"/>
                <w:szCs w:val="20"/>
                <w:color w:val="auto"/>
              </w:rPr>
            </w:pPr>
          </w:p>
        </w:tc>
        <w:tc>
          <w:tcPr>
            <w:tcW w:w="2100" w:type="dxa"/>
            <w:vAlign w:val="bottom"/>
            <w:shd w:val="clear" w:color="auto" w:fill="CFF0FC"/>
          </w:tcPr>
          <w:p>
            <w:pPr>
              <w:spacing w:after="0"/>
              <w:rPr>
                <w:sz w:val="20"/>
                <w:szCs w:val="20"/>
                <w:color w:val="auto"/>
              </w:rPr>
            </w:pPr>
          </w:p>
        </w:tc>
        <w:tc>
          <w:tcPr>
            <w:tcW w:w="1560" w:type="dxa"/>
            <w:vAlign w:val="bottom"/>
            <w:shd w:val="clear" w:color="auto" w:fill="CFF0FC"/>
          </w:tcPr>
          <w:p>
            <w:pPr>
              <w:spacing w:after="0"/>
              <w:rPr>
                <w:sz w:val="20"/>
                <w:szCs w:val="20"/>
                <w:color w:val="auto"/>
              </w:rPr>
            </w:pPr>
          </w:p>
        </w:tc>
        <w:tc>
          <w:tcPr>
            <w:tcW w:w="2320" w:type="dxa"/>
            <w:vAlign w:val="bottom"/>
            <w:shd w:val="clear" w:color="auto" w:fill="CFF0FC"/>
          </w:tcPr>
          <w:p>
            <w:pPr>
              <w:spacing w:after="0"/>
              <w:rPr>
                <w:sz w:val="20"/>
                <w:szCs w:val="20"/>
                <w:color w:val="auto"/>
              </w:rPr>
            </w:pPr>
          </w:p>
        </w:tc>
        <w:tc>
          <w:tcPr>
            <w:tcW w:w="17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700" w:type="dxa"/>
            <w:vAlign w:val="bottom"/>
          </w:tcPr>
          <w:p>
            <w:pPr>
              <w:jc w:val="center"/>
              <w:ind w:right="90"/>
              <w:spacing w:after="0" w:line="198" w:lineRule="exact"/>
              <w:rPr>
                <w:sz w:val="20"/>
                <w:szCs w:val="20"/>
                <w:color w:val="auto"/>
              </w:rPr>
            </w:pPr>
            <w:r>
              <w:rPr>
                <w:rFonts w:ascii="Times New Roman" w:cs="Times New Roman" w:eastAsia="Times New Roman" w:hAnsi="Times New Roman"/>
                <w:sz w:val="18"/>
                <w:szCs w:val="18"/>
                <w:color w:val="auto"/>
                <w:w w:val="97"/>
              </w:rPr>
              <w:t>Lotus</w:t>
            </w:r>
          </w:p>
        </w:tc>
        <w:tc>
          <w:tcPr>
            <w:tcW w:w="18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00" w:type="dxa"/>
            <w:vAlign w:val="bottom"/>
          </w:tcPr>
          <w:p>
            <w:pPr>
              <w:jc w:val="center"/>
              <w:ind w:right="110"/>
              <w:spacing w:after="0" w:line="196" w:lineRule="exact"/>
              <w:rPr>
                <w:sz w:val="20"/>
                <w:szCs w:val="20"/>
                <w:color w:val="auto"/>
              </w:rPr>
            </w:pPr>
            <w:r>
              <w:rPr>
                <w:rFonts w:ascii="Times New Roman" w:cs="Times New Roman" w:eastAsia="Times New Roman" w:hAnsi="Times New Roman"/>
                <w:sz w:val="18"/>
                <w:szCs w:val="18"/>
                <w:color w:val="auto"/>
                <w:w w:val="99"/>
              </w:rPr>
              <w:t>Pharmaceuticals,</w:t>
            </w:r>
          </w:p>
        </w:tc>
        <w:tc>
          <w:tcPr>
            <w:tcW w:w="1800" w:type="dxa"/>
            <w:vAlign w:val="bottom"/>
          </w:tcPr>
          <w:p>
            <w:pPr>
              <w:jc w:val="center"/>
              <w:ind w:right="110"/>
              <w:spacing w:after="0" w:line="196" w:lineRule="exact"/>
              <w:rPr>
                <w:sz w:val="20"/>
                <w:szCs w:val="20"/>
                <w:color w:val="auto"/>
              </w:rPr>
            </w:pPr>
            <w:r>
              <w:rPr>
                <w:rFonts w:ascii="Times New Roman" w:cs="Times New Roman" w:eastAsia="Times New Roman" w:hAnsi="Times New Roman"/>
                <w:sz w:val="18"/>
                <w:szCs w:val="18"/>
                <w:color w:val="auto"/>
                <w:w w:val="99"/>
              </w:rPr>
              <w:t>August 2023</w:t>
            </w:r>
          </w:p>
        </w:tc>
        <w:tc>
          <w:tcPr>
            <w:tcW w:w="2100" w:type="dxa"/>
            <w:vAlign w:val="bottom"/>
          </w:tcPr>
          <w:p>
            <w:pPr>
              <w:jc w:val="center"/>
              <w:ind w:right="190"/>
              <w:spacing w:after="0" w:line="196" w:lineRule="exact"/>
              <w:rPr>
                <w:sz w:val="20"/>
                <w:szCs w:val="20"/>
                <w:color w:val="auto"/>
              </w:rPr>
            </w:pPr>
            <w:r>
              <w:rPr>
                <w:rFonts w:ascii="Times New Roman" w:cs="Times New Roman" w:eastAsia="Times New Roman" w:hAnsi="Times New Roman"/>
                <w:sz w:val="18"/>
                <w:szCs w:val="18"/>
                <w:color w:val="auto"/>
                <w:w w:val="99"/>
              </w:rPr>
              <w:t>South Korea</w:t>
            </w:r>
          </w:p>
        </w:tc>
        <w:tc>
          <w:tcPr>
            <w:tcW w:w="1560" w:type="dxa"/>
            <w:vAlign w:val="bottom"/>
          </w:tcPr>
          <w:p>
            <w:pPr>
              <w:ind w:left="7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320" w:type="dxa"/>
            <w:vAlign w:val="bottom"/>
          </w:tcPr>
          <w:p>
            <w:pPr>
              <w:jc w:val="center"/>
              <w:ind w:left="210"/>
              <w:spacing w:after="0" w:line="196" w:lineRule="exact"/>
              <w:rPr>
                <w:sz w:val="20"/>
                <w:szCs w:val="20"/>
                <w:color w:val="auto"/>
              </w:rPr>
            </w:pPr>
            <w:r>
              <w:rPr>
                <w:rFonts w:ascii="Times New Roman" w:cs="Times New Roman" w:eastAsia="Times New Roman" w:hAnsi="Times New Roman"/>
                <w:sz w:val="18"/>
                <w:szCs w:val="18"/>
                <w:color w:val="auto"/>
              </w:rPr>
              <w:t>May 2025</w:t>
            </w:r>
          </w:p>
        </w:tc>
        <w:tc>
          <w:tcPr>
            <w:tcW w:w="1760" w:type="dxa"/>
            <w:vAlign w:val="bottom"/>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317"/>
        </w:trPr>
        <w:tc>
          <w:tcPr>
            <w:tcW w:w="17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6"/>
              </w:rPr>
              <w:t>"Lotus" "ASEAN"</w:t>
            </w:r>
            <w:r>
              <w:rPr>
                <w:rFonts w:ascii="Times New Roman" w:cs="Times New Roman" w:eastAsia="Times New Roman" w:hAnsi="Times New Roman"/>
                <w:sz w:val="24"/>
                <w:szCs w:val="24"/>
                <w:color w:val="auto"/>
                <w:w w:val="96"/>
                <w:vertAlign w:val="superscript"/>
              </w:rPr>
              <w:t>(4)</w:t>
            </w:r>
          </w:p>
        </w:tc>
        <w:tc>
          <w:tcPr>
            <w:tcW w:w="18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44" w:lineRule="exact"/>
        <w:rPr>
          <w:sz w:val="20"/>
          <w:szCs w:val="20"/>
          <w:color w:val="auto"/>
        </w:rPr>
      </w:pPr>
    </w:p>
    <w:p>
      <w:pPr>
        <w:ind w:left="780" w:hanging="263"/>
        <w:spacing w:after="0"/>
        <w:tabs>
          <w:tab w:leader="none" w:pos="7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VASCEPA is under registration in Macau and Taiwan in the China Territory with Edding.</w:t>
      </w:r>
    </w:p>
    <w:p>
      <w:pPr>
        <w:spacing w:after="0" w:line="117"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VASCEPA is under registration in additional countries in the MENA region with Biologix.</w:t>
      </w:r>
    </w:p>
    <w:p>
      <w:pPr>
        <w:spacing w:after="0" w:line="117" w:lineRule="exact"/>
        <w:rPr>
          <w:rFonts w:ascii="Times New Roman" w:cs="Times New Roman" w:eastAsia="Times New Roman" w:hAnsi="Times New Roman"/>
          <w:sz w:val="18"/>
          <w:szCs w:val="18"/>
          <w:color w:val="auto"/>
        </w:rPr>
      </w:pPr>
    </w:p>
    <w:p>
      <w:pPr>
        <w:ind w:left="520" w:right="100" w:hanging="3"/>
        <w:spacing w:after="0" w:line="282" w:lineRule="auto"/>
        <w:tabs>
          <w:tab w:leader="none" w:pos="7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VASCEPA is under registration in additional countries in the Israel territory with Neopharm. Revenue earned from sales of VASECPA within the Israel territory are recorded within European revenue.</w:t>
      </w:r>
    </w:p>
    <w:p>
      <w:pPr>
        <w:spacing w:after="0" w:line="53"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VASCEPA is under registration in additional countries in the ASEAN region with Lotus.</w:t>
      </w:r>
    </w:p>
    <w:p>
      <w:pPr>
        <w:spacing w:after="0" w:line="117" w:lineRule="exact"/>
        <w:rPr>
          <w:sz w:val="20"/>
          <w:szCs w:val="20"/>
          <w:color w:val="auto"/>
        </w:rPr>
      </w:pPr>
    </w:p>
    <w:p>
      <w:pPr>
        <w:ind w:right="180" w:firstLine="554"/>
        <w:spacing w:after="0" w:line="282" w:lineRule="auto"/>
        <w:rPr>
          <w:sz w:val="20"/>
          <w:szCs w:val="20"/>
          <w:color w:val="auto"/>
        </w:rPr>
      </w:pPr>
      <w:r>
        <w:rPr>
          <w:rFonts w:ascii="Times New Roman" w:cs="Times New Roman" w:eastAsia="Times New Roman" w:hAnsi="Times New Roman"/>
          <w:sz w:val="18"/>
          <w:szCs w:val="18"/>
          <w:color w:val="auto"/>
        </w:rPr>
        <w:t>The Company will be responsible for supplying finished product to these partners. We continue to assess other potential partnership opportunities for VASCEPA with companies with the intention of partnering in all other international markets where VASCEPA receives local regulatory approval.</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Since its inception in 2011, the REDUCE-IT cardiovascular outcomes study of VASCEPA has been the centerpiece of our research and development as well as the study of the mechanism of action of the single active ingredient in VASCEPA, icosapent ethyl, or IPE. Based on the final positive results of REDUCE-IT, we sought additional indicated uses for VASCEPA in the U.S. and continue to pursue approval for VASCEPA around the world. We also anticipate continuing to publish additional details of the REDUCE-IT study to address scientific interest beyond the primary results of this study derived from the over 35,000 patient years of study experience which were accumulated in the REDUCE-IT study.</w:t>
      </w:r>
    </w:p>
    <w:p>
      <w:pPr>
        <w:spacing w:after="0" w:line="75"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Based on REDUCE-IT results, as of the date of the filing of this Quarterly Report, more than 55 clinical treatment guidelines, consensus statements or scientific statements from global medical or scientific societies or within peer reviewed journals have recognized the use of icosapent ethyl, or IPE, in appropriate at-risk patients for CV risk reductions, including those statements which we were informed of by our global partners in Canada, China, Southeast Asia, Australia, and the Middle East as well as guidelines which were newly received during the second quarter of 2025 as listed below:</w:t>
      </w:r>
    </w:p>
    <w:p>
      <w:pPr>
        <w:spacing w:after="0" w:line="72" w:lineRule="exact"/>
        <w:rPr>
          <w:sz w:val="20"/>
          <w:szCs w:val="20"/>
          <w:color w:val="auto"/>
        </w:rPr>
      </w:pPr>
    </w:p>
    <w:p>
      <w:pPr>
        <w:ind w:left="1020" w:right="300" w:hanging="503"/>
        <w:spacing w:after="0" w:line="26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2025, the National Heart Foundation of Australia &amp; Cardiac Society of Australia and New Zealand issued a clinical guideline for diagnosing and managing acute coronary syndromes, or ACS. The following information was included regarding IPE as a practice point within the Post-ACS Pharmacotherapy section under lipid modifying therapies:</w:t>
      </w:r>
    </w:p>
    <w:p>
      <w:pPr>
        <w:spacing w:after="0" w:line="67" w:lineRule="exact"/>
        <w:rPr>
          <w:rFonts w:ascii="Times New Roman" w:cs="Times New Roman" w:eastAsia="Times New Roman" w:hAnsi="Times New Roman"/>
          <w:sz w:val="18"/>
          <w:szCs w:val="18"/>
          <w:color w:val="auto"/>
        </w:rPr>
      </w:pPr>
    </w:p>
    <w:p>
      <w:pPr>
        <w:ind w:left="1540" w:right="26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oIn people with ACS with triglyceride levels of 1.5–5.6 mmol/L and LDL-C 1.0–2.6 mmol/L despite statin therapy, consider adding icosapent ethyl [549]. Note that the current PBS eligibility criteria for icosapent ethyl is a triglyceride level of 1.7 mmol/L.</w:t>
      </w:r>
    </w:p>
    <w:p>
      <w:pPr>
        <w:spacing w:after="0" w:line="53" w:lineRule="exact"/>
        <w:rPr>
          <w:rFonts w:ascii="Times New Roman" w:cs="Times New Roman" w:eastAsia="Times New Roman" w:hAnsi="Times New Roman"/>
          <w:sz w:val="18"/>
          <w:szCs w:val="18"/>
          <w:color w:val="auto"/>
        </w:rPr>
      </w:pPr>
    </w:p>
    <w:p>
      <w:pPr>
        <w:ind w:left="1020" w:right="260" w:hanging="503"/>
        <w:spacing w:after="0" w:line="26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May 2025, the European Athrosclerosis Society, or EAS, issued a consensus statement to the guide management of metabolic disorders and their sequelae, in the </w:t>
      </w:r>
      <w:r>
        <w:rPr>
          <w:rFonts w:ascii="Times New Roman" w:cs="Times New Roman" w:eastAsia="Times New Roman" w:hAnsi="Times New Roman"/>
          <w:sz w:val="18"/>
          <w:szCs w:val="18"/>
          <w:i w:val="1"/>
          <w:iCs w:val="1"/>
          <w:color w:val="auto"/>
        </w:rPr>
        <w:t>European Heart Journal</w:t>
      </w:r>
      <w:r>
        <w:rPr>
          <w:rFonts w:ascii="Times New Roman" w:cs="Times New Roman" w:eastAsia="Times New Roman" w:hAnsi="Times New Roman"/>
          <w:sz w:val="18"/>
          <w:szCs w:val="18"/>
          <w:color w:val="auto"/>
        </w:rPr>
        <w:t xml:space="preserve"> stating that high-dose IPE (2-4 g/day) is the only agent documented to lower cardiovascular risk in statin-treated individuals with elevated triglycerides.</w:t>
      </w:r>
    </w:p>
    <w:p>
      <w:pPr>
        <w:spacing w:after="0" w:line="68"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In April 2025, at the European Society of Cardiology Preventive Cardiology, or ESC-PC, congress in Milan, Italy, we provided grant support for two poster presentations, one evaluating eligibility for and barriers to IPE utilization in a medical clinic, and another reporting on a project aimed to improve lipid lowering for secondary prevention in a primary healthcare facility.</w:t>
      </w:r>
    </w:p>
    <w:p>
      <w:pPr>
        <w:spacing w:after="0" w:line="68"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May 2025, at the EAS congress in Glasgow, UK, we provided grant support for two poster presentations, both reporting on the potential additive effects of eicosapentaenoic acid and a GLP-1 agonist on changes in protein expression associated with antioxidant and/or anti-inflammatory effects in response to inflammatory stimuli.</w:t>
      </w:r>
    </w:p>
    <w:p>
      <w:pPr>
        <w:spacing w:after="0" w:line="68" w:lineRule="exact"/>
        <w:rPr>
          <w:sz w:val="20"/>
          <w:szCs w:val="20"/>
          <w:color w:val="auto"/>
        </w:rPr>
      </w:pPr>
    </w:p>
    <w:p>
      <w:pPr>
        <w:ind w:right="380" w:firstLine="509"/>
        <w:spacing w:after="0" w:line="261" w:lineRule="auto"/>
        <w:rPr>
          <w:sz w:val="20"/>
          <w:szCs w:val="20"/>
          <w:color w:val="auto"/>
        </w:rPr>
      </w:pPr>
      <w:r>
        <w:rPr>
          <w:rFonts w:ascii="Times New Roman" w:cs="Times New Roman" w:eastAsia="Times New Roman" w:hAnsi="Times New Roman"/>
          <w:sz w:val="18"/>
          <w:szCs w:val="18"/>
          <w:color w:val="auto"/>
        </w:rPr>
        <w:t>In June 2025, at the National Lipid Association scientific sessions in Miami, Florida, we provided grant support for a poster reporting on a pilot implementation strategy to improve post-acute coronary syndrome management of patients with hypertriglyceridemia.</w:t>
      </w: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29" w:name="page30"/>
    <w:bookmarkEnd w:id="29"/>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In the second quarter of 2025, we and global medical and scientific collaborators supported thirteen publications inclusive of accepted abstracts, posters, and manuscripts.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Commercial and Clinical Supply</w:t>
      </w:r>
    </w:p>
    <w:p>
      <w:pPr>
        <w:spacing w:after="0" w:line="11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manage the manufacturing and supply of VASCEPA and rely on contract manufacturers in each step of our commercial and clinical product supply chain. These steps include active pharmaceutical ingredient, or API, manufacturing, encapsulation of the API, product packaging and supply-related logistics. Our approach to product supply procurement is designed to mitigate risk of supply interruption and maintain an environment of cost competition through diversification of contract manufacturers at each stage of the supply chain and lack of reliance on any single supplier. We have multiple U.S. FDA-approved international API suppliers, encapsulators and packagers to support the VASCEPA commercial franchise. We also have multiple international API suppliers, encapsulators and packagers to support the commercialization of VASCEPA in geographies where the drug is approved outside the U.S. Not all of our suppliers approved by the U.S. FDA are approved in every other geography. The regulatory process generally requires extensive details as part of the submission provided to a country or region in connection with a company's request for regulatory approval. Suppliers must be specifically identified as part of the submission for qualification and approval for commercialization in a country or region. As a result, only supply, as approved, may be used in finished goods available for sale in a specific country or region. The amount of supply we seek to purchase in future periods will depend on the level of growth of VASCEPA revenues and minimum purchase commitments with certain suppliers. Beginning in 2022, we reviewed our contractual supplier purchase obligations and began taking steps to amend supplier agreements to align supply arrangements with current and future market demand, while we decrease our current inventory levels primarily related to North America approved inventory. As of June 30, 2025, we had inventory of $210.8 million, of which 47% is inventory approved for use in North America. We continue to negotiate with our contract suppliers to align our supply arrangements with current and future global market demand.</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5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Product revenue, net</w:t>
      </w:r>
      <w:r>
        <w:rPr>
          <w:rFonts w:ascii="Times New Roman" w:cs="Times New Roman" w:eastAsia="Times New Roman" w:hAnsi="Times New Roman"/>
          <w:sz w:val="18"/>
          <w:szCs w:val="18"/>
          <w:color w:val="auto"/>
        </w:rPr>
        <w:t>. All of our product revenue is derived from product sales of 1-gram and 0.5-gram size capsules of VASCEPA, net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allowances, discounts, incentives, rebates, chargebacks and returns. In the U.S., VASCEPA is sold to three major wholesalers, several regional wholesalers along with mail order pharmacy providers that in turn resell the product to retail pharmacies, as well as directly to select regional retail pharmacy chains, or collectively, our distributors or our customers. Most of these customers resell VASCEPA to retail pharmacies for purposes of dispensing VASCEPA to patients. Revenues from VASCEPA sales are recognized upon delivery to the distributor or customer. Timing of shipments to wholesalers, as used for revenue recognition, and timing of prescriptions as estimated by third-party sources such as Symphony Health may differ from period to period. Our product revenue, net included adjustment for co-pay mitigation rebates provided by us to commercially insured patients in the U.S.</w:t>
      </w:r>
    </w:p>
    <w:p>
      <w:pPr>
        <w:spacing w:after="0" w:line="7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Outside of the U.S., currently the majority of our product revenue is derived from the sales of VASCEPA to our commercial partners based on the net price for VASCEPA established in our contracts with such partners. These commercial partners then resell the product in their agreed commercial territory. Revenues from sales to our international commercial partners are recognized when the commercial partners obtain control of our product. The net price of VASCEPA sold by us to our customers where we directly sell VASCEPA is generally significantly higher than the net price of VASCEPA that we sell to commercial partners who then incur the cost of promoting and reselling the product in their territories. As a result, even when the net price of VASCEPA to patients is similar in various parts of the world, our gross margin on sales is higher where we sell VASCEPA directly. We also derive product revenue from sales of our product to a limited number of wholesalers in Europe, most of whom in turn resell the product to pharmacies for purposes of their reselling the product to fill patient prescriptions.</w:t>
      </w:r>
    </w:p>
    <w:p>
      <w:pPr>
        <w:spacing w:after="0" w:line="217" w:lineRule="exact"/>
        <w:rPr>
          <w:sz w:val="20"/>
          <w:szCs w:val="20"/>
          <w:color w:val="auto"/>
        </w:rPr>
      </w:pPr>
    </w:p>
    <w:p>
      <w:pPr>
        <w:ind w:right="40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Licensing and royalty revenue</w:t>
      </w:r>
      <w:r>
        <w:rPr>
          <w:rFonts w:ascii="Times New Roman" w:cs="Times New Roman" w:eastAsia="Times New Roman" w:hAnsi="Times New Roman"/>
          <w:sz w:val="18"/>
          <w:szCs w:val="18"/>
          <w:color w:val="auto"/>
        </w:rPr>
        <w:t>. Licensing and royalty revenue currently consists of revenue attributable to receipt of upfront, non-refundable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milestone payments and sales-based payments related to license and distribution agreements for VASCEPA outside the U.S. We recognize revenue from licensing arrangements as we fulfill the performance obligations under each of the agreements. As part of our licensing agreements with certain territories outside of the U.S., we are entitled to a percentage of revenue earned based on sales by our partners. The royalty payments are being recognized as earned based on revenue recognized by our current partners.</w:t>
      </w:r>
    </w:p>
    <w:p>
      <w:pPr>
        <w:spacing w:after="0" w:line="210"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Cost of goods sold</w:t>
      </w:r>
      <w:r>
        <w:rPr>
          <w:rFonts w:ascii="Times New Roman" w:cs="Times New Roman" w:eastAsia="Times New Roman" w:hAnsi="Times New Roman"/>
          <w:sz w:val="18"/>
          <w:szCs w:val="18"/>
          <w:color w:val="auto"/>
        </w:rPr>
        <w:t>. Cost of goods sold includes the cost of API for VASCEPA on which revenue was recognized during the period, as well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costs for encapsulation, packaging, shipment, supply management, quality assurance, insurance, and other indirect manufacturing, logistics and product support costs. The cost of the API included in cost of goods sold reflects the average cost method of inventory valuation and relief. This average cost reflects the actual purchase price of VASCEPA API. Our cost of goods sold is not materially impacted by whether we sell VASCEPA directly in a country or we sell VASCEPA to a commercial partner for resale in a country.</w:t>
      </w:r>
    </w:p>
    <w:p>
      <w:pPr>
        <w:spacing w:after="0" w:line="210" w:lineRule="exact"/>
        <w:rPr>
          <w:sz w:val="20"/>
          <w:szCs w:val="20"/>
          <w:color w:val="auto"/>
        </w:rPr>
      </w:pPr>
    </w:p>
    <w:p>
      <w:pPr>
        <w:ind w:right="520" w:firstLine="509"/>
        <w:spacing w:after="0" w:line="262" w:lineRule="auto"/>
        <w:rPr>
          <w:sz w:val="20"/>
          <w:szCs w:val="20"/>
          <w:color w:val="auto"/>
        </w:rPr>
      </w:pPr>
      <w:r>
        <w:rPr>
          <w:rFonts w:ascii="Times New Roman" w:cs="Times New Roman" w:eastAsia="Times New Roman" w:hAnsi="Times New Roman"/>
          <w:sz w:val="18"/>
          <w:szCs w:val="18"/>
          <w:i w:val="1"/>
          <w:iCs w:val="1"/>
          <w:color w:val="auto"/>
        </w:rPr>
        <w:t>Selling, general and administrative expense</w:t>
      </w:r>
      <w:r>
        <w:rPr>
          <w:rFonts w:ascii="Times New Roman" w:cs="Times New Roman" w:eastAsia="Times New Roman" w:hAnsi="Times New Roman"/>
          <w:sz w:val="18"/>
          <w:szCs w:val="18"/>
          <w:color w:val="auto"/>
        </w:rPr>
        <w:t>. Selling, general and administrative expense consists primarily of salaries and other related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stock-based compensation expense, for personnel in our sales, marketing, executive, business development,</w:t>
      </w: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0" w:name="page31"/>
    <w:bookmarkEnd w:id="30"/>
    <w:p>
      <w:pPr>
        <w:ind w:right="600"/>
        <w:spacing w:after="0" w:line="282" w:lineRule="auto"/>
        <w:rPr>
          <w:sz w:val="20"/>
          <w:szCs w:val="20"/>
          <w:color w:val="auto"/>
        </w:rPr>
      </w:pPr>
      <w:r>
        <w:rPr>
          <w:rFonts w:ascii="Times New Roman" w:cs="Times New Roman" w:eastAsia="Times New Roman" w:hAnsi="Times New Roman"/>
          <w:sz w:val="18"/>
          <w:szCs w:val="18"/>
          <w:color w:val="auto"/>
        </w:rPr>
        <w:t>finance and information technology functions. Other costs primarily include facility costs and professional fees for accounting, consulting and legal services.</w:t>
      </w:r>
    </w:p>
    <w:p>
      <w:pPr>
        <w:spacing w:after="0" w:line="187"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Research and development expense</w:t>
      </w:r>
      <w:r>
        <w:rPr>
          <w:rFonts w:ascii="Times New Roman" w:cs="Times New Roman" w:eastAsia="Times New Roman" w:hAnsi="Times New Roman"/>
          <w:sz w:val="18"/>
          <w:szCs w:val="18"/>
          <w:color w:val="auto"/>
        </w:rPr>
        <w:t>. Research and development expense consists primarily of fees paid to professional service providers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conjunction with independent monitoring of our clinical trials and acquiring and evaluating data in conjunction with our clinical trials, fees paid to independent researchers, costs of qualifying contract manufacturers, services expenses incurred in developing and testing products and product candidates, salaries and related expenses for personnel, including stock-based compensation expense, costs of materials, depreciation, rent, utilities and other facilities costs. In addition, research and development expenses include the cost to support current development efforts, costs of product supply received from suppliers when such receipt by us is prior to regulatory approval of the supplier, as well as license fees related to our strategic collaboration with Mochida. We expense research and development costs as incurred.</w:t>
      </w:r>
    </w:p>
    <w:p>
      <w:pPr>
        <w:spacing w:after="0" w:line="210" w:lineRule="exact"/>
        <w:rPr>
          <w:sz w:val="20"/>
          <w:szCs w:val="20"/>
          <w:color w:val="auto"/>
        </w:rPr>
      </w:pPr>
    </w:p>
    <w:p>
      <w:pPr>
        <w:ind w:right="12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Restructuring expense</w:t>
      </w:r>
      <w:r>
        <w:rPr>
          <w:rFonts w:ascii="Times New Roman" w:cs="Times New Roman" w:eastAsia="Times New Roman" w:hAnsi="Times New Roman"/>
          <w:sz w:val="18"/>
          <w:szCs w:val="18"/>
          <w:color w:val="auto"/>
        </w:rPr>
        <w:t>. Restructuring expense consists of restructuring costs incurred under our June 2025 global restructuring plan, which consists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severance pay, incentive compensation, insurance benefits, stock-based compensation and other contract related costs.</w:t>
      </w:r>
    </w:p>
    <w:p>
      <w:pPr>
        <w:spacing w:after="0" w:line="185" w:lineRule="exact"/>
        <w:rPr>
          <w:sz w:val="20"/>
          <w:szCs w:val="20"/>
          <w:color w:val="auto"/>
        </w:rPr>
      </w:pPr>
    </w:p>
    <w:p>
      <w:pPr>
        <w:jc w:val="both"/>
        <w:ind w:right="16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Interest income, net and other income (expense), net</w:t>
      </w:r>
      <w:r>
        <w:rPr>
          <w:rFonts w:ascii="Times New Roman" w:cs="Times New Roman" w:eastAsia="Times New Roman" w:hAnsi="Times New Roman"/>
          <w:sz w:val="18"/>
          <w:szCs w:val="18"/>
          <w:color w:val="auto"/>
        </w:rPr>
        <w:t>. Interest income, net consists primarily of interest earned on our cash and cash equivalents,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well as our short-term and long-term investments. Other income (expense), net, consists of foreign exchange losses and gains as well as sublease income.</w:t>
      </w:r>
    </w:p>
    <w:p>
      <w:pPr>
        <w:spacing w:after="0" w:line="18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Provision for income taxes. </w:t>
      </w:r>
      <w:r>
        <w:rPr>
          <w:rFonts w:ascii="Times New Roman" w:cs="Times New Roman" w:eastAsia="Times New Roman" w:hAnsi="Times New Roman"/>
          <w:sz w:val="18"/>
          <w:szCs w:val="18"/>
          <w:color w:val="auto"/>
        </w:rPr>
        <w:t>Income tax provision, deferred tax assets and liabilities, and reserves for unrecognized tax benefits reflect management’s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best assessment of estimated future taxes to be paid. We are subject to income taxes in both the U.S. and foreign jurisdictions. In applying guidance prescribed under ASC 740 and based on present evidence and conclusions around the realizability of deferred tax assets, we determined that any tax benefit related to the pretax losses generated for 2025 and 2024 are not more likely than not to be realized.</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220" w:firstLine="509"/>
        <w:spacing w:after="0" w:line="255"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is based on our unaudited condensed consolidated financial statements and notes, which have been prepared in accordance with accounting principles generally accepted in the U.S., or GAAP. The preparation of these condensed consolidated financial statements requires us to make estimates and judgments that affect the reported amounts of assets, liabilities, revenue and expenses. On an ongoing basis, estimates are assessed and adjusted based on historical experience and current market-specific indicators, environment and assumptions. Actual results may differ from these estimates under different assumptions or conditions. A summary of our critical accounting policies, significant judgments and estimates is presented in Part II, Item 7 of our Annual Report. There have been no material changes to our critical accounting policies, significant judgments and estimates described in our Annual Report.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For a discussion of recent accounting pronouncements, see Note 2—Significant Accounting Policies in the accompanying Notes to our unaudited condensed consolidated financial statements included elsewhere in this Quarterly Report.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Inflation</w:t>
      </w:r>
    </w:p>
    <w:p>
      <w:pPr>
        <w:spacing w:after="0" w:line="1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believe the impact of inflation on operations has been minimal during the past three years.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June 30, 2025 and June 30, 2024</w:t>
      </w:r>
    </w:p>
    <w:p>
      <w:pPr>
        <w:spacing w:after="0" w:line="25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Total revenue, net. </w:t>
      </w:r>
      <w:r>
        <w:rPr>
          <w:rFonts w:ascii="Times New Roman" w:cs="Times New Roman" w:eastAsia="Times New Roman" w:hAnsi="Times New Roman"/>
          <w:sz w:val="18"/>
          <w:szCs w:val="18"/>
          <w:color w:val="auto"/>
        </w:rPr>
        <w:t>We recorded total revenue, net, of $72.7 million and $67.5 million during the three months ended June 30, 2025 and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an increase of $5.3 million, or 8%. Total revenue, net, consists primarily of revenue from the sale of VASCEPA in the U.S. In addition to the U.S., during the three months ending June 30, 2025, we also sold VASCEPA by prescription in certain countries in Europe as well as in certain countries outside of the U.S. and Europe, through collaborations with third-party companies. As further discussed below, the aforementioned increase consists in part of a $6.4 million increase in net product revenue outside of the U.S. and a $6.1 million increase in licensing and royalty revenue, offset by a $7.3 million decrease in U.S. net product revenue.</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31" w:name="page32"/>
    <w:bookmarkEnd w:id="31"/>
    <w:p>
      <w:pPr>
        <w:ind w:right="40" w:firstLine="539"/>
        <w:spacing w:after="0" w:line="267" w:lineRule="auto"/>
        <w:rPr>
          <w:sz w:val="20"/>
          <w:szCs w:val="20"/>
          <w:color w:val="auto"/>
        </w:rPr>
      </w:pPr>
      <w:r>
        <w:rPr>
          <w:rFonts w:ascii="Times New Roman" w:cs="Times New Roman" w:eastAsia="Times New Roman" w:hAnsi="Times New Roman"/>
          <w:sz w:val="18"/>
          <w:szCs w:val="18"/>
          <w:i w:val="1"/>
          <w:iCs w:val="1"/>
          <w:color w:val="auto"/>
        </w:rPr>
        <w:t>Product revenue, net</w:t>
      </w:r>
      <w:r>
        <w:rPr>
          <w:rFonts w:ascii="Times New Roman" w:cs="Times New Roman" w:eastAsia="Times New Roman" w:hAnsi="Times New Roman"/>
          <w:sz w:val="18"/>
          <w:szCs w:val="18"/>
          <w:color w:val="auto"/>
        </w:rPr>
        <w:t>. We recorded product revenue, net, of $46.6 million and $47.5 million during the three months ended June 30, 2025 and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a decrease of $0.9 million, or 2%. This decrease was due primarily to a decrease in VASCEPA sales within the U.S. offset by increase in VASCEPA sales outside the U.S.</w:t>
      </w:r>
    </w:p>
    <w:p>
      <w:pPr>
        <w:spacing w:after="0" w:line="67" w:lineRule="exact"/>
        <w:rPr>
          <w:sz w:val="20"/>
          <w:szCs w:val="20"/>
          <w:color w:val="auto"/>
        </w:rPr>
      </w:pPr>
    </w:p>
    <w:p>
      <w:pPr>
        <w:ind w:right="320" w:firstLine="539"/>
        <w:spacing w:after="0" w:line="289" w:lineRule="auto"/>
        <w:rPr>
          <w:sz w:val="20"/>
          <w:szCs w:val="20"/>
          <w:color w:val="auto"/>
        </w:rPr>
      </w:pPr>
      <w:r>
        <w:rPr>
          <w:rFonts w:ascii="Times New Roman" w:cs="Times New Roman" w:eastAsia="Times New Roman" w:hAnsi="Times New Roman"/>
          <w:sz w:val="17"/>
          <w:szCs w:val="17"/>
          <w:color w:val="auto"/>
        </w:rPr>
        <w:t>We recorded U.S. product revenue, net, of $36.5 million and $43.8 million during the three months ended June 30, 2025 and 2024, respectively. This decrease was due to a decline in net selling price as a result of the impact from generic competition in the market as well as a decrease in volume primarily related to the loss of a large national pharmacy benefit manager, or PBM, going from exclusive to no longer covering VASCEPA.</w:t>
      </w:r>
    </w:p>
    <w:p>
      <w:pPr>
        <w:spacing w:after="0" w:line="50" w:lineRule="exact"/>
        <w:rPr>
          <w:sz w:val="20"/>
          <w:szCs w:val="20"/>
          <w:color w:val="auto"/>
        </w:rPr>
      </w:pPr>
    </w:p>
    <w:p>
      <w:pPr>
        <w:ind w:right="40" w:firstLine="539"/>
        <w:spacing w:after="0" w:line="258" w:lineRule="auto"/>
        <w:rPr>
          <w:sz w:val="20"/>
          <w:szCs w:val="20"/>
          <w:color w:val="auto"/>
        </w:rPr>
      </w:pPr>
      <w:r>
        <w:rPr>
          <w:rFonts w:ascii="Times New Roman" w:cs="Times New Roman" w:eastAsia="Times New Roman" w:hAnsi="Times New Roman"/>
          <w:sz w:val="18"/>
          <w:szCs w:val="18"/>
          <w:color w:val="auto"/>
        </w:rPr>
        <w:t>The overall icosapent ethyl market in the U.S., based on prescription levels reported by Symphony Health, remained consistent for the three months ended June 30, 2025 compared to the three months ended June 30, 2024. Our share of the icosapent ethyl market has decreased to approximately 43% in the three months ended June 30, 2025 compared to approximately 59% in the three months ended June 30, 2024. Additionally, based on prescription levels reported by Symphony Health, VASCEPA-branded prescriptions decreased by 28% in the three months ended June 30, 2025 compared to the three months ended June 30, 2024.</w:t>
      </w:r>
    </w:p>
    <w:p>
      <w:pPr>
        <w:spacing w:after="0" w:line="7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In Europe, we recorded product revenue, net, of $6.6 million and $3.5 million during the three months ended June 30, 2025 and 2024, respectively.</w:t>
      </w:r>
    </w:p>
    <w:p>
      <w:pPr>
        <w:spacing w:after="0" w:line="117" w:lineRule="exact"/>
        <w:rPr>
          <w:sz w:val="20"/>
          <w:szCs w:val="20"/>
          <w:color w:val="auto"/>
        </w:rPr>
      </w:pPr>
    </w:p>
    <w:p>
      <w:pPr>
        <w:ind w:right="420" w:firstLine="539"/>
        <w:spacing w:after="0" w:line="282" w:lineRule="auto"/>
        <w:rPr>
          <w:sz w:val="20"/>
          <w:szCs w:val="20"/>
          <w:color w:val="auto"/>
        </w:rPr>
      </w:pPr>
      <w:r>
        <w:rPr>
          <w:rFonts w:ascii="Times New Roman" w:cs="Times New Roman" w:eastAsia="Times New Roman" w:hAnsi="Times New Roman"/>
          <w:sz w:val="18"/>
          <w:szCs w:val="18"/>
          <w:color w:val="auto"/>
        </w:rPr>
        <w:t>For the three months ended June 30, 2025, we recorded $3.5 million of product revenue, net, from our collaboration partners compared to $0.2 million during the three months ended June 30, 2024.</w:t>
      </w:r>
    </w:p>
    <w:p>
      <w:pPr>
        <w:spacing w:after="0" w:line="54" w:lineRule="exact"/>
        <w:rPr>
          <w:sz w:val="20"/>
          <w:szCs w:val="20"/>
          <w:color w:val="auto"/>
        </w:rPr>
      </w:pPr>
    </w:p>
    <w:p>
      <w:pPr>
        <w:jc w:val="both"/>
        <w:ind w:right="200" w:firstLine="539"/>
        <w:spacing w:after="0" w:line="266" w:lineRule="auto"/>
        <w:rPr>
          <w:sz w:val="20"/>
          <w:szCs w:val="20"/>
          <w:color w:val="auto"/>
        </w:rPr>
      </w:pPr>
      <w:r>
        <w:rPr>
          <w:rFonts w:ascii="Times New Roman" w:cs="Times New Roman" w:eastAsia="Times New Roman" w:hAnsi="Times New Roman"/>
          <w:sz w:val="18"/>
          <w:szCs w:val="18"/>
          <w:color w:val="auto"/>
        </w:rPr>
        <w:t>Despite the generic competition in the U.S., we remain confident that the global patient need for VASCEPA is high. In 2025, we will continue to focus on getting VASCEPA to as many patients as possible by continuing to support our partners advancing commercialization activities in markets with access and pricing and reimbursement activities to drive access in remaining geographies as well as being the market leader in the U.S.</w:t>
      </w:r>
    </w:p>
    <w:p>
      <w:pPr>
        <w:spacing w:after="0" w:line="20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Licensing and royalty revenue</w:t>
      </w:r>
      <w:r>
        <w:rPr>
          <w:rFonts w:ascii="Times New Roman" w:cs="Times New Roman" w:eastAsia="Times New Roman" w:hAnsi="Times New Roman"/>
          <w:sz w:val="18"/>
          <w:szCs w:val="18"/>
          <w:color w:val="auto"/>
        </w:rPr>
        <w:t>. Licensing and royalty revenue during the three months ended June 30, 2025 and 2024 was $26.1 million and $20.0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respectively, an increase of $6.1 million, or 31%. Licensing and royalty revenue has increased primarily due to the recognition of a $25.0 million upfront payment resulting from the execution of the Recordati EU Licensing Agreement. We previously recognized a $15.0 million milestone and $4.0 million change in estimate resulting from the regulatory approval of VASCEPA under the REDUCE-IT indication in China in June 2024.</w:t>
      </w:r>
    </w:p>
    <w:p>
      <w:pPr>
        <w:spacing w:after="0" w:line="74"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As part of our licensing agreements with certain territories outside of the U.S., we are entitled to a percentage of revenue earned based on sales by our partners. The royalty payments are being recognized as earned based on revenue recognized by our current partners. The amount of licensing and royalty revenue is expected to vary from period to period based on timing of milestones achieved and select partner sales within respective territories.</w:t>
      </w:r>
    </w:p>
    <w:p>
      <w:pPr>
        <w:spacing w:after="0" w:line="201" w:lineRule="exact"/>
        <w:rPr>
          <w:sz w:val="20"/>
          <w:szCs w:val="20"/>
          <w:color w:val="auto"/>
        </w:rPr>
      </w:pPr>
    </w:p>
    <w:p>
      <w:pPr>
        <w:jc w:val="both"/>
        <w:ind w:right="8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Cost of goods sold. </w:t>
      </w:r>
      <w:r>
        <w:rPr>
          <w:rFonts w:ascii="Times New Roman" w:cs="Times New Roman" w:eastAsia="Times New Roman" w:hAnsi="Times New Roman"/>
          <w:sz w:val="18"/>
          <w:szCs w:val="18"/>
          <w:color w:val="auto"/>
        </w:rPr>
        <w:t>Cost of goods sold during the three months ended June 30, 2025 and 2024 was $22.4 million and $24.7 million, respectively,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of $2.3 million, or 9%. Cost of goods sold includes the cost of API for VASCEPA on which revenue was recognized during the period, as well as the associated costs for encapsulation, packaging, shipment, supply management, insurance and quality assurance. The cost of the API included in cost of goods sold reflects the average cost of API included in inventory. This average cost reflects the actual purchase price of VASCEPA API.</w:t>
      </w:r>
    </w:p>
    <w:p>
      <w:pPr>
        <w:spacing w:after="0" w:line="7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API included in the calculation of the average cost of goods sold during the quarters ended June 30, 2025 and 2024 was sourced from multiple API suppliers. These suppliers compete with each other based on cost, consistent quality, capacity, timely delivery and other factors. In the future, we may see the average cost of supply change based on numerous potential factors including increased volume purchases, continued improvement in manufacturing efficiency, the mix of purchases made among suppliers, currency exchange rates and other factors. The average cost may be variable from period to period depending upon the timing and quantity of API purchased from each supplier.</w:t>
      </w:r>
    </w:p>
    <w:p>
      <w:pPr>
        <w:spacing w:after="0" w:line="75"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Our overall gross margin on product sales for the three months ended June 30, 2025 and 2024 was 52% and 48%, respectively. The increase in gross margin is primarily as a result of a change in customer mix.</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w:t>
      </w:r>
      <w:r>
        <w:rPr>
          <w:rFonts w:ascii="Times New Roman" w:cs="Times New Roman" w:eastAsia="Times New Roman" w:hAnsi="Times New Roman"/>
          <w:sz w:val="18"/>
          <w:szCs w:val="18"/>
          <w:color w:val="auto"/>
        </w:rPr>
        <w:t>. Selling, general and administrative expense for the three months ended June 30, 2025 and 2024 was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$38.7 million and $38.5 million, respectively, an increase of $0.1 million. Selling, general and administrative expenses for the three months ended June 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and 2024 are summarized in the table below:</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00" w:type="dxa"/>
            <w:vAlign w:val="bottom"/>
            <w:gridSpan w:val="3"/>
            <w:vMerge w:val="restart"/>
          </w:tcPr>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60" w:type="dxa"/>
            <w:vAlign w:val="bottom"/>
            <w:gridSpan w:val="6"/>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0" w:type="dxa"/>
            <w:vAlign w:val="bottom"/>
          </w:tcPr>
          <w:p>
            <w:pPr>
              <w:spacing w:after="0"/>
              <w:rPr>
                <w:sz w:val="1"/>
                <w:szCs w:val="1"/>
                <w:color w:val="auto"/>
              </w:rPr>
            </w:pPr>
          </w:p>
        </w:tc>
      </w:tr>
      <w:tr>
        <w:trPr>
          <w:trHeight w:val="142"/>
        </w:trPr>
        <w:tc>
          <w:tcPr>
            <w:tcW w:w="5100" w:type="dxa"/>
            <w:vAlign w:val="bottom"/>
            <w:gridSpan w:val="3"/>
            <w:vMerge w:val="continue"/>
          </w:tcPr>
          <w:p>
            <w:pPr>
              <w:spacing w:after="0"/>
              <w:rPr>
                <w:sz w:val="12"/>
                <w:szCs w:val="12"/>
                <w:color w:val="auto"/>
              </w:rPr>
            </w:pPr>
          </w:p>
        </w:tc>
        <w:tc>
          <w:tcPr>
            <w:tcW w:w="222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9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960" w:type="dxa"/>
            <w:vAlign w:val="bottom"/>
            <w:gridSpan w:val="2"/>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 xml:space="preserve">Selling expense </w:t>
            </w:r>
            <w:r>
              <w:rPr>
                <w:rFonts w:ascii="Times New Roman" w:cs="Times New Roman" w:eastAsia="Times New Roman" w:hAnsi="Times New Roman"/>
                <w:sz w:val="24"/>
                <w:szCs w:val="24"/>
                <w:color w:val="auto"/>
                <w:vertAlign w:val="superscript"/>
              </w:rPr>
              <w:t>(1)</w:t>
            </w:r>
          </w:p>
        </w:tc>
        <w:tc>
          <w:tcPr>
            <w:tcW w:w="2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14,587</w:t>
            </w: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20,497</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96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 xml:space="preserve">General and administrative expense </w:t>
            </w:r>
            <w:r>
              <w:rPr>
                <w:rFonts w:ascii="Times New Roman" w:cs="Times New Roman" w:eastAsia="Times New Roman" w:hAnsi="Times New Roman"/>
                <w:sz w:val="24"/>
                <w:szCs w:val="24"/>
                <w:color w:val="auto"/>
                <w:vertAlign w:val="superscript"/>
              </w:rPr>
              <w:t>(2)</w:t>
            </w:r>
          </w:p>
        </w:tc>
        <w:tc>
          <w:tcPr>
            <w:tcW w:w="2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21,215</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14,522</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960" w:type="dxa"/>
            <w:vAlign w:val="bottom"/>
            <w:tcBorders>
              <w:bottom w:val="single" w:sz="8" w:color="CFF0FC"/>
            </w:tcBorders>
            <w:gridSpan w:val="2"/>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Non-cash stock-based compensation expense </w:t>
            </w:r>
            <w:r>
              <w:rPr>
                <w:rFonts w:ascii="Times New Roman" w:cs="Times New Roman" w:eastAsia="Times New Roman" w:hAnsi="Times New Roman"/>
                <w:sz w:val="24"/>
                <w:szCs w:val="24"/>
                <w:color w:val="auto"/>
                <w:vertAlign w:val="superscript"/>
              </w:rPr>
              <w:t>(3)</w:t>
            </w:r>
          </w:p>
        </w:tc>
        <w:tc>
          <w:tcPr>
            <w:tcW w:w="2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2,871</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3,528</w:t>
            </w:r>
          </w:p>
        </w:tc>
        <w:tc>
          <w:tcPr>
            <w:tcW w:w="80" w:type="dxa"/>
            <w:vAlign w:val="bottom"/>
            <w:tcBorders>
              <w:bottom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selling, general and administrative expense</w:t>
            </w:r>
          </w:p>
        </w:tc>
        <w:tc>
          <w:tcPr>
            <w:tcW w:w="2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38,673</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38,547</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220" w:type="dxa"/>
            <w:vAlign w:val="bottom"/>
            <w:vMerge w:val="restart"/>
          </w:tcPr>
          <w:p>
            <w:pPr>
              <w:jc w:val="right"/>
              <w:ind w:right="1510"/>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1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3600" w:type="dxa"/>
            <w:vAlign w:val="bottom"/>
          </w:tcPr>
          <w:p>
            <w:pPr>
              <w:spacing w:after="0"/>
              <w:rPr>
                <w:sz w:val="10"/>
                <w:szCs w:val="10"/>
                <w:color w:val="auto"/>
              </w:rPr>
            </w:pPr>
          </w:p>
        </w:tc>
        <w:tc>
          <w:tcPr>
            <w:tcW w:w="222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-899160</wp:posOffset>
            </wp:positionV>
            <wp:extent cx="5143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-899160</wp:posOffset>
            </wp:positionV>
            <wp:extent cx="5143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11240"/>
          </w:cols>
          <w:pgMar w:left="320" w:top="1226" w:right="339" w:bottom="1440" w:gutter="0" w:footer="0" w:header="0"/>
        </w:sectPr>
      </w:pPr>
    </w:p>
    <w:bookmarkStart w:id="32" w:name="page33"/>
    <w:bookmarkEnd w:id="32"/>
    <w:p>
      <w:pPr>
        <w:ind w:left="480" w:right="60" w:hanging="383"/>
        <w:spacing w:after="0" w:line="260" w:lineRule="auto"/>
        <w:tabs>
          <w:tab w:leader="none" w:pos="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expense for the three months ended June 30, 2025 and 2024 was $14.6 million and $20.5 million, respectively, a decrease of $5.9 million, or 29%. This decrease is primarily due to a reduction in costs associated with decreased promotional and marketing initiatives as well as other cost optimization initiatives.</w:t>
      </w:r>
    </w:p>
    <w:p>
      <w:pPr>
        <w:spacing w:after="0" w:line="2" w:lineRule="exact"/>
        <w:rPr>
          <w:rFonts w:ascii="Times New Roman" w:cs="Times New Roman" w:eastAsia="Times New Roman" w:hAnsi="Times New Roman"/>
          <w:sz w:val="18"/>
          <w:szCs w:val="18"/>
          <w:color w:val="auto"/>
        </w:rPr>
      </w:pPr>
    </w:p>
    <w:p>
      <w:pPr>
        <w:ind w:left="480" w:right="200" w:hanging="383"/>
        <w:spacing w:after="0" w:line="266" w:lineRule="auto"/>
        <w:tabs>
          <w:tab w:leader="none" w:pos="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 for the three months ended June 30, 2025 and 2024 was $21.2 million and $14.5 million, respectively, an increase of $6.7 million, or 46%. This increase is primarily due to fees incurred in association with Recordati EU Licensing Agreement offset by a decrease in costs as a result of cost optimization efforts.</w:t>
      </w:r>
    </w:p>
    <w:p>
      <w:pPr>
        <w:ind w:left="480" w:hanging="383"/>
        <w:spacing w:after="0" w:line="266" w:lineRule="auto"/>
        <w:tabs>
          <w:tab w:leader="none" w:pos="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stock-based compensation expense for the three months ended June 30, 2025 and 2024 was $2.9 million and $3.5 million, respectively, a decrease of $0.7 million, or 19%. Non-cash stock-based compensation expense represents the estimated costs associated with equity awards issued to internal personnel supporting our selling, general and administrative functions.</w:t>
      </w:r>
    </w:p>
    <w:p>
      <w:pPr>
        <w:spacing w:after="0" w:line="68" w:lineRule="exact"/>
        <w:rPr>
          <w:sz w:val="20"/>
          <w:szCs w:val="20"/>
          <w:color w:val="auto"/>
        </w:rPr>
      </w:pPr>
    </w:p>
    <w:p>
      <w:pPr>
        <w:jc w:val="both"/>
        <w:ind w:right="180" w:firstLine="539"/>
        <w:spacing w:after="0" w:line="266" w:lineRule="auto"/>
        <w:rPr>
          <w:sz w:val="20"/>
          <w:szCs w:val="20"/>
          <w:color w:val="auto"/>
        </w:rPr>
      </w:pPr>
      <w:r>
        <w:rPr>
          <w:rFonts w:ascii="Times New Roman" w:cs="Times New Roman" w:eastAsia="Times New Roman" w:hAnsi="Times New Roman"/>
          <w:sz w:val="18"/>
          <w:szCs w:val="18"/>
          <w:color w:val="auto"/>
        </w:rPr>
        <w:t>Despite the generic competition in the U.S., we remain confident that the global patient need for VASCEPA is high. In 2025, we will continue to focus on getting VASCEPA to as many patients as possible by continuing to support our partners advancing commercialization activities in markets with access and pricing and reimbursement activities to drive access in remaining geographies as well as being the market leader in the U.S.</w:t>
      </w:r>
    </w:p>
    <w:p>
      <w:pPr>
        <w:spacing w:after="0" w:line="201" w:lineRule="exact"/>
        <w:rPr>
          <w:sz w:val="20"/>
          <w:szCs w:val="20"/>
          <w:color w:val="auto"/>
        </w:rPr>
      </w:pPr>
    </w:p>
    <w:p>
      <w:pPr>
        <w:ind w:right="12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Research and development expense</w:t>
      </w:r>
      <w:r>
        <w:rPr>
          <w:rFonts w:ascii="Times New Roman" w:cs="Times New Roman" w:eastAsia="Times New Roman" w:hAnsi="Times New Roman"/>
          <w:sz w:val="18"/>
          <w:szCs w:val="18"/>
          <w:color w:val="auto"/>
        </w:rPr>
        <w:t>. Research and development expense for the three months ended June 30, 2025 and 2024 was $4.9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$4.7 million, respectively, an increase of $0.2 million, or 4%. Research and development expenses for the three months ended June 30, 2025 and 2024 are summarized in the table below:</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4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0" w:type="dxa"/>
            <w:vAlign w:val="bottom"/>
          </w:tcPr>
          <w:p>
            <w:pPr>
              <w:spacing w:after="0"/>
              <w:rPr>
                <w:sz w:val="1"/>
                <w:szCs w:val="1"/>
                <w:color w:val="auto"/>
              </w:rPr>
            </w:pPr>
          </w:p>
        </w:tc>
      </w:tr>
      <w:tr>
        <w:trPr>
          <w:trHeight w:val="142"/>
        </w:trPr>
        <w:tc>
          <w:tcPr>
            <w:tcW w:w="542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42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 xml:space="preserve">REDUCE-IT study and presentations </w:t>
            </w:r>
            <w:r>
              <w:rPr>
                <w:rFonts w:ascii="Times New Roman" w:cs="Times New Roman" w:eastAsia="Times New Roman" w:hAnsi="Times New Roman"/>
                <w:sz w:val="24"/>
                <w:szCs w:val="24"/>
                <w:color w:val="auto"/>
                <w:vertAlign w:val="superscript"/>
              </w:rPr>
              <w:t>(1)</w:t>
            </w: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Regulatory filing fees and expenses </w:t>
            </w:r>
            <w:r>
              <w:rPr>
                <w:rFonts w:ascii="Times New Roman" w:cs="Times New Roman" w:eastAsia="Times New Roman" w:hAnsi="Times New Roman"/>
                <w:sz w:val="24"/>
                <w:szCs w:val="24"/>
                <w:color w:val="auto"/>
                <w:vertAlign w:val="superscript"/>
              </w:rPr>
              <w:t>(2)</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Non-clinical research activities </w:t>
            </w:r>
            <w:r>
              <w:rPr>
                <w:rFonts w:ascii="Times New Roman" w:cs="Times New Roman" w:eastAsia="Times New Roman" w:hAnsi="Times New Roman"/>
                <w:sz w:val="24"/>
                <w:szCs w:val="24"/>
                <w:color w:val="auto"/>
                <w:vertAlign w:val="superscript"/>
              </w:rPr>
              <w:t>(3)</w:t>
            </w: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Internal staffing, overhead and other </w:t>
            </w:r>
            <w:r>
              <w:rPr>
                <w:rFonts w:ascii="Times New Roman" w:cs="Times New Roman" w:eastAsia="Times New Roman" w:hAnsi="Times New Roman"/>
                <w:sz w:val="24"/>
                <w:szCs w:val="24"/>
                <w:color w:val="auto"/>
                <w:vertAlign w:val="superscript"/>
              </w:rPr>
              <w:t>(4)</w:t>
            </w:r>
          </w:p>
        </w:tc>
        <w:tc>
          <w:tcPr>
            <w:tcW w:w="7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3,238</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 excluding non-cash expense</w:t>
            </w: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4,321</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Non-cash stock-based compensation expense </w:t>
            </w:r>
            <w:r>
              <w:rPr>
                <w:rFonts w:ascii="Times New Roman" w:cs="Times New Roman" w:eastAsia="Times New Roman" w:hAnsi="Times New Roman"/>
                <w:sz w:val="24"/>
                <w:szCs w:val="24"/>
                <w:color w:val="auto"/>
                <w:vertAlign w:val="superscript"/>
              </w:rPr>
              <w:t>(5)</w:t>
            </w:r>
          </w:p>
        </w:tc>
        <w:tc>
          <w:tcPr>
            <w:tcW w:w="7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4,915</w:t>
            </w: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-24765</wp:posOffset>
            </wp:positionV>
            <wp:extent cx="5143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-7620</wp:posOffset>
            </wp:positionV>
            <wp:extent cx="5143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45" w:lineRule="exact"/>
        <w:rPr>
          <w:sz w:val="20"/>
          <w:szCs w:val="20"/>
          <w:color w:val="auto"/>
        </w:rPr>
      </w:pPr>
    </w:p>
    <w:p>
      <w:pPr>
        <w:ind w:left="520" w:right="80" w:hanging="512"/>
        <w:spacing w:after="0" w:line="273"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REDUCE-IT study and publications expenses consist primarily of costs incurred to maintain the REDUCE-IT trial data as well as support provided to present at conferences and to provide data to be published in medical journals.</w:t>
      </w:r>
    </w:p>
    <w:p>
      <w:pPr>
        <w:spacing w:after="0" w:line="1" w:lineRule="exact"/>
        <w:rPr>
          <w:rFonts w:ascii="Times New Roman" w:cs="Times New Roman" w:eastAsia="Times New Roman" w:hAnsi="Times New Roman"/>
          <w:sz w:val="18"/>
          <w:szCs w:val="18"/>
          <w:color w:val="auto"/>
        </w:rPr>
      </w:pPr>
    </w:p>
    <w:p>
      <w:pPr>
        <w:jc w:val="both"/>
        <w:ind w:left="520" w:right="120" w:hanging="512"/>
        <w:spacing w:after="0" w:line="266"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quality filing fees are primarily related to the preparation, submission and review defense of regulatory filings as well as assistance with securing and maintaining regulatory approvals for qualifying suppliers for VASCEPA in the U.S. and Europe as well as regulatory expansion in the rest of the world.</w:t>
      </w:r>
    </w:p>
    <w:p>
      <w:pPr>
        <w:ind w:left="520" w:hanging="512"/>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Non-clinical research activities are primarily related to ongoing experiments and analyses further exploring the potential biological activities of IPE.</w:t>
      </w:r>
    </w:p>
    <w:p>
      <w:pPr>
        <w:spacing w:after="0" w:line="36" w:lineRule="exact"/>
        <w:rPr>
          <w:rFonts w:ascii="Times New Roman" w:cs="Times New Roman" w:eastAsia="Times New Roman" w:hAnsi="Times New Roman"/>
          <w:sz w:val="18"/>
          <w:szCs w:val="18"/>
          <w:color w:val="auto"/>
        </w:rPr>
      </w:pPr>
    </w:p>
    <w:p>
      <w:pPr>
        <w:ind w:left="520" w:hanging="512"/>
        <w:spacing w:after="0" w:line="261"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staffing, overhead and other research and development expenses primarily relate to the costs of our personnel employed to manage research, development and regulatory affairs activities and related overhead costs including consulting and other professional fees that are not allocated to specific projects. Also included are costs related to qualifying suppliers and costs associated with various other activities, including other costs in collaboration with Mochida.</w:t>
      </w:r>
    </w:p>
    <w:p>
      <w:pPr>
        <w:spacing w:after="0" w:line="4" w:lineRule="exact"/>
        <w:rPr>
          <w:rFonts w:ascii="Times New Roman" w:cs="Times New Roman" w:eastAsia="Times New Roman" w:hAnsi="Times New Roman"/>
          <w:sz w:val="18"/>
          <w:szCs w:val="18"/>
          <w:color w:val="auto"/>
        </w:rPr>
      </w:pPr>
    </w:p>
    <w:p>
      <w:pPr>
        <w:ind w:left="520" w:right="540" w:hanging="512"/>
        <w:spacing w:after="0" w:line="282"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stock-based compensation expense represents the estimated costs associated with equity awards issued to personnel supporting our research and development and regulatory functions.</w:t>
      </w:r>
    </w:p>
    <w:p>
      <w:pPr>
        <w:spacing w:after="0" w:line="54"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We continuously evaluate all of our spending commitments and priorities and we plan to adjust our level of research and development activities based on various factors, including the impact of U.S. generic competition as well as timing of pricing reimbursements throughout the world.</w:t>
      </w:r>
    </w:p>
    <w:p>
      <w:pPr>
        <w:spacing w:after="0" w:line="106"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Restructuring expense</w:t>
      </w:r>
      <w:r>
        <w:rPr>
          <w:rFonts w:ascii="Times New Roman" w:cs="Times New Roman" w:eastAsia="Times New Roman" w:hAnsi="Times New Roman"/>
          <w:sz w:val="18"/>
          <w:szCs w:val="18"/>
          <w:color w:val="auto"/>
        </w:rPr>
        <w:t>. Restructuring expense for the three months ended June 30, 2025 and 2024 was $22.8 million and nil, respectively,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increase of $22.8 million, or 100%. The charge in the current year is due to the implementation of a global restructuring plan associated with the execution of the Recordati EU Licensing Agreement announced on June 24, 2025, which resulted in the elimination of commercial roles in the Company’s European operations. Refer to </w:t>
      </w:r>
      <w:r>
        <w:rPr>
          <w:rFonts w:ascii="Times New Roman" w:cs="Times New Roman" w:eastAsia="Times New Roman" w:hAnsi="Times New Roman"/>
          <w:sz w:val="18"/>
          <w:szCs w:val="18"/>
          <w:i w:val="1"/>
          <w:iCs w:val="1"/>
          <w:color w:val="auto"/>
        </w:rPr>
        <w:t>Note 2 Significant Accounting Policies</w:t>
      </w:r>
      <w:r>
        <w:rPr>
          <w:rFonts w:ascii="Times New Roman" w:cs="Times New Roman" w:eastAsia="Times New Roman" w:hAnsi="Times New Roman"/>
          <w:sz w:val="18"/>
          <w:szCs w:val="18"/>
          <w:color w:val="auto"/>
        </w:rPr>
        <w:t xml:space="preserve"> for additional information.</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26" w:right="359" w:bottom="1440" w:gutter="0" w:footer="0" w:header="0"/>
        </w:sectPr>
      </w:pPr>
    </w:p>
    <w:bookmarkStart w:id="33" w:name="page34"/>
    <w:bookmarkEnd w:id="33"/>
    <w:p>
      <w:pPr>
        <w:ind w:right="20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Interest income, net</w:t>
      </w:r>
      <w:r>
        <w:rPr>
          <w:rFonts w:ascii="Times New Roman" w:cs="Times New Roman" w:eastAsia="Times New Roman" w:hAnsi="Times New Roman"/>
          <w:sz w:val="18"/>
          <w:szCs w:val="18"/>
          <w:color w:val="auto"/>
        </w:rPr>
        <w:t>. Interest income, net, for the three months ended June 30, 2025 and 2024 was $2.6 million and $3.3 million, respectively,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of $0.7 million, or 20%. Interest income, net, represents income earned on cash and investment balances. The decrease is primarily due to lower interest rates in the current year period compared to the prior year period.</w:t>
      </w:r>
    </w:p>
    <w:p>
      <w:pPr>
        <w:spacing w:after="0" w:line="200" w:lineRule="exact"/>
        <w:rPr>
          <w:sz w:val="20"/>
          <w:szCs w:val="20"/>
          <w:color w:val="auto"/>
        </w:rPr>
      </w:pPr>
    </w:p>
    <w:p>
      <w:pPr>
        <w:ind w:right="28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Other (expense) income, net</w:t>
      </w:r>
      <w:r>
        <w:rPr>
          <w:rFonts w:ascii="Times New Roman" w:cs="Times New Roman" w:eastAsia="Times New Roman" w:hAnsi="Times New Roman"/>
          <w:sz w:val="18"/>
          <w:szCs w:val="18"/>
          <w:color w:val="auto"/>
        </w:rPr>
        <w:t>. Other (expense) income, net, for the three months ended June 30, 2025 and 2024 was expense of $0.1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of $0.1 million, respectively, a decrease of $0.2 million, or 159%. Other (expense) income, net, primarily consists of gains and losses on foreign exchange transactions and sublease income related to our Bridgewater, New Jersey facility.</w:t>
      </w:r>
    </w:p>
    <w:p>
      <w:pPr>
        <w:spacing w:after="0" w:line="200" w:lineRule="exact"/>
        <w:rPr>
          <w:sz w:val="20"/>
          <w:szCs w:val="20"/>
          <w:color w:val="auto"/>
        </w:rPr>
      </w:pPr>
    </w:p>
    <w:p>
      <w:pPr>
        <w:ind w:right="26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Provision for income taxes. </w:t>
      </w:r>
      <w:r>
        <w:rPr>
          <w:rFonts w:ascii="Times New Roman" w:cs="Times New Roman" w:eastAsia="Times New Roman" w:hAnsi="Times New Roman"/>
          <w:sz w:val="18"/>
          <w:szCs w:val="18"/>
          <w:color w:val="auto"/>
        </w:rPr>
        <w:t>Income tax provision for the three months ended June 30, 2025 and 2024 was $0.7 million and $1.4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The provision for the three months ended June 30, 2025 is the result of changes in income generated by our U.S. and foreign operations for which tax expense has been recognized based on a full year estimated U.S. and foreign income tax liability.</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Six Months Ended June 30, 2025 and June 30, 2024</w:t>
      </w:r>
    </w:p>
    <w:p>
      <w:pPr>
        <w:spacing w:after="0" w:line="254" w:lineRule="exact"/>
        <w:rPr>
          <w:sz w:val="20"/>
          <w:szCs w:val="20"/>
          <w:color w:val="auto"/>
        </w:rPr>
      </w:pPr>
    </w:p>
    <w:p>
      <w:pPr>
        <w:ind w:right="16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Total revenue, net. </w:t>
      </w:r>
      <w:r>
        <w:rPr>
          <w:rFonts w:ascii="Times New Roman" w:cs="Times New Roman" w:eastAsia="Times New Roman" w:hAnsi="Times New Roman"/>
          <w:sz w:val="18"/>
          <w:szCs w:val="18"/>
          <w:color w:val="auto"/>
        </w:rPr>
        <w:t>We recorded total revenue, net, of $114.8 million and $124.0 million during the six months ended June 30, 2025 and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a decrease of $9.3 million, or 7%. Total revenue, net, consists primarily of revenue from the sale of VASCEPA in the U.S. In addition to the U.S., during the six months ended June 30, 2025, we also sold VASCEPA by prescription in certain countries in Europe as well as in certain countries outside of the U.S. and Europe, through collaborations with third-party companies. As further discussed below, the aforementioned decrease consists of a $19.7 million decrease in U.S. net product revenue offset in part by a $4.7 million increase in net product revenue outside of the U.S. and a $5.8 million increase in licensing and royalty revenue.</w:t>
      </w:r>
    </w:p>
    <w:p>
      <w:pPr>
        <w:spacing w:after="0" w:line="209" w:lineRule="exact"/>
        <w:rPr>
          <w:sz w:val="20"/>
          <w:szCs w:val="20"/>
          <w:color w:val="auto"/>
        </w:rPr>
      </w:pPr>
    </w:p>
    <w:p>
      <w:pPr>
        <w:jc w:val="both"/>
        <w:ind w:right="100" w:firstLine="53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Product revenue, net. </w:t>
      </w:r>
      <w:r>
        <w:rPr>
          <w:rFonts w:ascii="Times New Roman" w:cs="Times New Roman" w:eastAsia="Times New Roman" w:hAnsi="Times New Roman"/>
          <w:sz w:val="18"/>
          <w:szCs w:val="18"/>
          <w:color w:val="auto"/>
        </w:rPr>
        <w:t>We recorded product revenue, net, of $87.7 million and $102.7 million during the six months ended June 30, 2025 and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a decrease of $15.0 million, or 15%. This decrease was due primarily to a 21% decrease in VASCEPA sales in the U.S..</w:t>
      </w:r>
    </w:p>
    <w:p>
      <w:pPr>
        <w:spacing w:after="0" w:line="52" w:lineRule="exact"/>
        <w:rPr>
          <w:sz w:val="20"/>
          <w:szCs w:val="20"/>
          <w:color w:val="auto"/>
        </w:rPr>
      </w:pPr>
    </w:p>
    <w:p>
      <w:pPr>
        <w:jc w:val="both"/>
        <w:ind w:right="80" w:firstLine="539"/>
        <w:spacing w:after="0" w:line="266" w:lineRule="auto"/>
        <w:rPr>
          <w:sz w:val="20"/>
          <w:szCs w:val="20"/>
          <w:color w:val="auto"/>
        </w:rPr>
      </w:pPr>
      <w:r>
        <w:rPr>
          <w:rFonts w:ascii="Times New Roman" w:cs="Times New Roman" w:eastAsia="Times New Roman" w:hAnsi="Times New Roman"/>
          <w:sz w:val="18"/>
          <w:szCs w:val="18"/>
          <w:color w:val="auto"/>
        </w:rPr>
        <w:t>We recorded U.S. product revenue, net, of $72.2 million and $91.9 million during the six months ended June 30, 2025 and 2024, respectively. This decrease was due to a decline in net selling price as a result of the impact from generic competition in the market as well as a decrease in volume primarily related to the loss of a large national PBM, going from exclusive to no longer covering VASCEPA.</w:t>
      </w:r>
    </w:p>
    <w:p>
      <w:pPr>
        <w:spacing w:after="0" w:line="68" w:lineRule="exact"/>
        <w:rPr>
          <w:sz w:val="20"/>
          <w:szCs w:val="20"/>
          <w:color w:val="auto"/>
        </w:rPr>
      </w:pPr>
    </w:p>
    <w:p>
      <w:pPr>
        <w:jc w:val="both"/>
        <w:ind w:right="20" w:firstLine="539"/>
        <w:spacing w:after="0" w:line="258" w:lineRule="auto"/>
        <w:rPr>
          <w:sz w:val="20"/>
          <w:szCs w:val="20"/>
          <w:color w:val="auto"/>
        </w:rPr>
      </w:pPr>
      <w:r>
        <w:rPr>
          <w:rFonts w:ascii="Times New Roman" w:cs="Times New Roman" w:eastAsia="Times New Roman" w:hAnsi="Times New Roman"/>
          <w:sz w:val="18"/>
          <w:szCs w:val="18"/>
          <w:color w:val="auto"/>
        </w:rPr>
        <w:t>The overall icosapent ethyl market in the U.S., based on prescription levels reported by Symphony Health, increased for the six months ended June 30, 2025 by 2% as compared to the six months ended June 30, 2024. Our share of the icosapent ethyl market has decreased to approximately 42% in the six months ended June 30, 2025 compared to approximately 57% in the six months ended June 30, 2024. Additionally, based on prescription levels reported by Symphony Health, VASCEPA-branded prescriptions decreased by 26% in the six months ended June 30, 2025 compared to the six months ended June 30, 2024.</w:t>
      </w:r>
    </w:p>
    <w:p>
      <w:pPr>
        <w:spacing w:after="0" w:line="7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In Europe, we recorded product revenue, net, of $12.0 million and $5.4 million during the six months ended June 30, 2025 and 2024, respectively.</w:t>
      </w:r>
    </w:p>
    <w:p>
      <w:pPr>
        <w:spacing w:after="0" w:line="117" w:lineRule="exact"/>
        <w:rPr>
          <w:sz w:val="20"/>
          <w:szCs w:val="20"/>
          <w:color w:val="auto"/>
        </w:rPr>
      </w:pPr>
    </w:p>
    <w:p>
      <w:pPr>
        <w:jc w:val="both"/>
        <w:ind w:firstLine="539"/>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2025, we recorded $3.5 million of product revenue, net, from our collaboration partners compared to $5.4 million during the six months ended June 30, 2024.</w:t>
      </w:r>
    </w:p>
    <w:p>
      <w:pPr>
        <w:spacing w:after="0" w:line="54" w:lineRule="exact"/>
        <w:rPr>
          <w:sz w:val="20"/>
          <w:szCs w:val="20"/>
          <w:color w:val="auto"/>
        </w:rPr>
      </w:pPr>
    </w:p>
    <w:p>
      <w:pPr>
        <w:jc w:val="both"/>
        <w:ind w:right="200" w:firstLine="539"/>
        <w:spacing w:after="0" w:line="266" w:lineRule="auto"/>
        <w:rPr>
          <w:sz w:val="20"/>
          <w:szCs w:val="20"/>
          <w:color w:val="auto"/>
        </w:rPr>
      </w:pPr>
      <w:r>
        <w:rPr>
          <w:rFonts w:ascii="Times New Roman" w:cs="Times New Roman" w:eastAsia="Times New Roman" w:hAnsi="Times New Roman"/>
          <w:sz w:val="18"/>
          <w:szCs w:val="18"/>
          <w:color w:val="auto"/>
        </w:rPr>
        <w:t>Despite the generic competition in the U.S., we remain confident that the global patient need for VASCEPA is high. In 2025, we will continue to focus on getting VASCEPA to as many patients as possible by continuing to support our partners advancing commercialization activities in markets with access and pricing and reimbursement activities to drive access in remaining geographies as well as being the market leader in the U.S.</w:t>
      </w:r>
    </w:p>
    <w:p>
      <w:pPr>
        <w:spacing w:after="0" w:line="20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Licensing and royalty revenue</w:t>
      </w:r>
      <w:r>
        <w:rPr>
          <w:rFonts w:ascii="Times New Roman" w:cs="Times New Roman" w:eastAsia="Times New Roman" w:hAnsi="Times New Roman"/>
          <w:sz w:val="18"/>
          <w:szCs w:val="18"/>
          <w:color w:val="auto"/>
        </w:rPr>
        <w:t>. Licensing and royalty revenue during the six months ended June 30, 2025 and 2024 was $27.1 million and $21.3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respectively, an increase of $5.8 million, or 27%. Licensing and royalty revenue has increased primarily due to the recognition of a $25.0 million upfront payment resulting from the execution of the Recordati EU Licensing Agreement. We previously recognized a $15.0 million milestone and $4.0 million change in estimate resulting from the regulatory approval of VASCEPA under the REDUCE-IT indication in China in June 2024.</w:t>
      </w:r>
    </w:p>
    <w:p>
      <w:pPr>
        <w:spacing w:after="0" w:line="209"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As part of our licensing agreements with certain territories outside of the U.S., we are entitled to a percentage of revenue earned based on sales by our partners. The royalty payments are being recognized as earned based on revenue recognized by our current partners. The amount of licensing and royalty revenue is expected to vary from period to period based on timing of milestones achieved and select partner sales within respective territories.</w:t>
      </w:r>
    </w:p>
    <w:p>
      <w:pPr>
        <w:spacing w:after="0" w:line="201" w:lineRule="exact"/>
        <w:rPr>
          <w:sz w:val="20"/>
          <w:szCs w:val="20"/>
          <w:color w:val="auto"/>
        </w:rPr>
      </w:pPr>
    </w:p>
    <w:p>
      <w:pPr>
        <w:ind w:right="320" w:firstLine="509"/>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Cost of goods sold. </w:t>
      </w:r>
      <w:r>
        <w:rPr>
          <w:rFonts w:ascii="Times New Roman" w:cs="Times New Roman" w:eastAsia="Times New Roman" w:hAnsi="Times New Roman"/>
          <w:sz w:val="18"/>
          <w:szCs w:val="18"/>
          <w:color w:val="auto"/>
        </w:rPr>
        <w:t>Cost of goods sold during the six months ended June 30, 2025 and 2024 was $39.3 million and $49.3 million, respectively,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of $10.1 million, or 20%. Cost of goods sold includes the cost of API for VASCEPA on which</w:t>
      </w: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6" w:right="339" w:bottom="1440" w:gutter="0" w:footer="0" w:header="0"/>
        </w:sectPr>
      </w:pPr>
    </w:p>
    <w:bookmarkStart w:id="34" w:name="page35"/>
    <w:bookmarkEnd w:id="34"/>
    <w:p>
      <w:pPr>
        <w:ind w:right="180"/>
        <w:spacing w:after="0" w:line="266" w:lineRule="auto"/>
        <w:rPr>
          <w:sz w:val="20"/>
          <w:szCs w:val="20"/>
          <w:color w:val="auto"/>
        </w:rPr>
      </w:pPr>
      <w:r>
        <w:rPr>
          <w:rFonts w:ascii="Times New Roman" w:cs="Times New Roman" w:eastAsia="Times New Roman" w:hAnsi="Times New Roman"/>
          <w:sz w:val="18"/>
          <w:szCs w:val="18"/>
          <w:color w:val="auto"/>
        </w:rPr>
        <w:t>revenue was recognized during the period, as well as the associated costs for encapsulation, packaging, shipment, supply management, insurance and quality assurance. The cost of the API included in cost of goods sold reflects the average cost of API included in inventory. This average cost reflects the actual purchase price of VASCEPA API.</w:t>
      </w:r>
    </w:p>
    <w:p>
      <w:pPr>
        <w:spacing w:after="0" w:line="68"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API included in the calculation of the average cost of goods sold during the six months ended June 30, 2025 and 2024 was sourced from multiple API suppliers. These suppliers compete with each other based on cost, consistent quality, capacity, timely delivery and other factors. In the future, we may see the average cost of supply change based on numerous potential factors including increased volume purchases, continued improvement in manufacturing efficiency, the mix of purchases made among suppliers, currency exchange rates and other factors. The average cost may be variable from period to period depending upon the timing and quantity of API purchased from each supplier.</w:t>
      </w:r>
    </w:p>
    <w:p>
      <w:pPr>
        <w:spacing w:after="0" w:line="75"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Our overall gross margin on product sales for the six months ended June 30, 2025 and 2024 was 55% and 52%, respectively. The increase in gross margin is primarily as a result of a change in customer mix.</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w:t>
      </w:r>
      <w:r>
        <w:rPr>
          <w:rFonts w:ascii="Times New Roman" w:cs="Times New Roman" w:eastAsia="Times New Roman" w:hAnsi="Times New Roman"/>
          <w:sz w:val="18"/>
          <w:szCs w:val="18"/>
          <w:color w:val="auto"/>
        </w:rPr>
        <w:t>. Selling, general and administrative expense for the six months ended June 30, 2025 and 2024 was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$75.2 million and $78.4 million, respectively, a decrease of $3.2 million, or 4%. Selling, general and administrative expenses for the six months ended June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 2025 and 2024 are summarized in the table below:</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20" w:type="dxa"/>
            <w:vAlign w:val="bottom"/>
            <w:gridSpan w:val="3"/>
            <w:vMerge w:val="restart"/>
          </w:tcPr>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80" w:type="dxa"/>
            <w:vAlign w:val="bottom"/>
          </w:tcPr>
          <w:p>
            <w:pPr>
              <w:spacing w:after="0"/>
              <w:rPr>
                <w:sz w:val="15"/>
                <w:szCs w:val="15"/>
                <w:color w:val="auto"/>
              </w:rPr>
            </w:pPr>
          </w:p>
        </w:tc>
        <w:tc>
          <w:tcPr>
            <w:tcW w:w="252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7320" w:type="dxa"/>
            <w:vAlign w:val="bottom"/>
            <w:gridSpan w:val="3"/>
            <w:vMerge w:val="continue"/>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180" w:type="dxa"/>
            <w:vAlign w:val="bottom"/>
            <w:gridSpan w:val="2"/>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 xml:space="preserve">Selling expense </w:t>
            </w:r>
            <w:r>
              <w:rPr>
                <w:rFonts w:ascii="Times New Roman" w:cs="Times New Roman" w:eastAsia="Times New Roman" w:hAnsi="Times New Roman"/>
                <w:sz w:val="24"/>
                <w:szCs w:val="24"/>
                <w:color w:val="auto"/>
                <w:vertAlign w:val="superscript"/>
              </w:rPr>
              <w:t>(1)</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31,508</w:t>
            </w: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40,892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18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 xml:space="preserve">General and administrative expense </w:t>
            </w:r>
            <w:r>
              <w:rPr>
                <w:rFonts w:ascii="Times New Roman" w:cs="Times New Roman" w:eastAsia="Times New Roman" w:hAnsi="Times New Roman"/>
                <w:sz w:val="24"/>
                <w:szCs w:val="24"/>
                <w:color w:val="auto"/>
                <w:vertAlign w:val="superscript"/>
              </w:rPr>
              <w:t>(2)</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37,340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180" w:type="dxa"/>
            <w:vAlign w:val="bottom"/>
            <w:tcBorders>
              <w:bottom w:val="single" w:sz="8" w:color="CFF0FC"/>
            </w:tcBorders>
            <w:gridSpan w:val="2"/>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Non-cash stock-based compensation expense </w:t>
            </w:r>
            <w:r>
              <w:rPr>
                <w:rFonts w:ascii="Times New Roman" w:cs="Times New Roman" w:eastAsia="Times New Roman" w:hAnsi="Times New Roman"/>
                <w:sz w:val="24"/>
                <w:szCs w:val="24"/>
                <w:color w:val="auto"/>
                <w:vertAlign w:val="superscript"/>
              </w:rPr>
              <w:t>(3)</w:t>
            </w:r>
          </w:p>
        </w:tc>
        <w:tc>
          <w:tcPr>
            <w:tcW w:w="2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6,399</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7,740</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selling, general and administrative expense</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75,247</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1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-401955</wp:posOffset>
            </wp:positionV>
            <wp:extent cx="5143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-401955</wp:posOffset>
            </wp:positionV>
            <wp:extent cx="5143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18" w:lineRule="exact"/>
        <w:rPr>
          <w:sz w:val="20"/>
          <w:szCs w:val="20"/>
          <w:color w:val="auto"/>
        </w:rPr>
      </w:pPr>
    </w:p>
    <w:p>
      <w:pPr>
        <w:ind w:left="480" w:right="220" w:hanging="383"/>
        <w:spacing w:after="0" w:line="266" w:lineRule="auto"/>
        <w:tabs>
          <w:tab w:leader="none" w:pos="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expense for the six months ended June 30, 2025 and 2024 was $31.5 million and $40.9 million, respectively, a decrease of $9.4 million, or 23%. This decrease is primarily due to a reduction in costs associated with decreased promotional and marketing initiatives as well as other cost optimization initiatives.</w:t>
      </w:r>
    </w:p>
    <w:p>
      <w:pPr>
        <w:jc w:val="both"/>
        <w:ind w:left="480" w:right="80" w:hanging="383"/>
        <w:spacing w:after="0" w:line="260" w:lineRule="auto"/>
        <w:tabs>
          <w:tab w:leader="none" w:pos="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 for the six months ended June 30, 2025 and 2024 was $37.3 million and $29.8 million, respectively, an increase of $7.5 million, or 25%. This increase is primarily due to fees associated with the ADS Ratio Change and Recordati EU Licensing Agreement offset by a decrease in branded pharma fees as a result of lower sales</w:t>
      </w:r>
    </w:p>
    <w:p>
      <w:pPr>
        <w:spacing w:after="0" w:line="2" w:lineRule="exact"/>
        <w:rPr>
          <w:rFonts w:ascii="Times New Roman" w:cs="Times New Roman" w:eastAsia="Times New Roman" w:hAnsi="Times New Roman"/>
          <w:sz w:val="18"/>
          <w:szCs w:val="18"/>
          <w:color w:val="auto"/>
        </w:rPr>
      </w:pPr>
    </w:p>
    <w:p>
      <w:pPr>
        <w:ind w:left="480" w:hanging="383"/>
        <w:spacing w:after="0" w:line="266" w:lineRule="auto"/>
        <w:tabs>
          <w:tab w:leader="none" w:pos="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stock-based compensation expense for the six months ended June 30, 2025 and 2024 was $6.4 million and $7.7 million, respectively, a decrease of $1.3 million, or 17%. Non-cash stock-based compensation expense represents the estimated costs associated with equity awards issued to internal personnel supporting our selling, general and administrative functions.</w:t>
      </w:r>
    </w:p>
    <w:p>
      <w:pPr>
        <w:spacing w:after="0" w:line="68" w:lineRule="exact"/>
        <w:rPr>
          <w:sz w:val="20"/>
          <w:szCs w:val="20"/>
          <w:color w:val="auto"/>
        </w:rPr>
      </w:pPr>
    </w:p>
    <w:p>
      <w:pPr>
        <w:jc w:val="both"/>
        <w:ind w:right="180" w:firstLine="539"/>
        <w:spacing w:after="0" w:line="266" w:lineRule="auto"/>
        <w:rPr>
          <w:sz w:val="20"/>
          <w:szCs w:val="20"/>
          <w:color w:val="auto"/>
        </w:rPr>
      </w:pPr>
      <w:r>
        <w:rPr>
          <w:rFonts w:ascii="Times New Roman" w:cs="Times New Roman" w:eastAsia="Times New Roman" w:hAnsi="Times New Roman"/>
          <w:sz w:val="18"/>
          <w:szCs w:val="18"/>
          <w:color w:val="auto"/>
        </w:rPr>
        <w:t>Despite the generic competition in the U.S., we remain confident that the global patient need for VASCEPA is high. In 2025, we will continue to focus on getting VASCEPA to as many patients as possible by continuing to support our partners advancing commercialization activities in markets with access and pricing and reimbursement activities to drive access in remaining geographies as well as being the market leader in the U.S.</w:t>
      </w:r>
    </w:p>
    <w:p>
      <w:pPr>
        <w:spacing w:after="0" w:line="201" w:lineRule="exact"/>
        <w:rPr>
          <w:sz w:val="20"/>
          <w:szCs w:val="20"/>
          <w:color w:val="auto"/>
        </w:rPr>
      </w:pPr>
    </w:p>
    <w:p>
      <w:pPr>
        <w:jc w:val="both"/>
        <w:ind w:right="24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Research and development expense</w:t>
      </w:r>
      <w:r>
        <w:rPr>
          <w:rFonts w:ascii="Times New Roman" w:cs="Times New Roman" w:eastAsia="Times New Roman" w:hAnsi="Times New Roman"/>
          <w:sz w:val="18"/>
          <w:szCs w:val="18"/>
          <w:color w:val="auto"/>
        </w:rPr>
        <w:t>. Research and development expense for the six months ended June 30, 2025 and 2024 was $10.2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$10.3 million, respectively, a decrease of $0.1 million, or 1%. Research and development expenses for the six months ended June 30, 2025 and 2024 are summarized in the table below:</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6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80" w:type="dxa"/>
            <w:vAlign w:val="bottom"/>
          </w:tcPr>
          <w:p>
            <w:pPr>
              <w:spacing w:after="0"/>
              <w:rPr>
                <w:sz w:val="15"/>
                <w:szCs w:val="15"/>
                <w:color w:val="auto"/>
              </w:rPr>
            </w:pPr>
          </w:p>
        </w:tc>
        <w:tc>
          <w:tcPr>
            <w:tcW w:w="252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6180" w:type="dxa"/>
            <w:vAlign w:val="bottom"/>
            <w:gridSpan w:val="2"/>
            <w:vMerge w:val="continue"/>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6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 xml:space="preserve">REDUCE-IT study and presentations </w:t>
            </w:r>
            <w:r>
              <w:rPr>
                <w:rFonts w:ascii="Times New Roman" w:cs="Times New Roman" w:eastAsia="Times New Roman" w:hAnsi="Times New Roman"/>
                <w:sz w:val="24"/>
                <w:szCs w:val="24"/>
                <w:color w:val="auto"/>
                <w:vertAlign w:val="superscript"/>
              </w:rPr>
              <w:t>(1)</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Fixed-dose combination </w:t>
            </w:r>
            <w:r>
              <w:rPr>
                <w:rFonts w:ascii="Times New Roman" w:cs="Times New Roman" w:eastAsia="Times New Roman" w:hAnsi="Times New Roman"/>
                <w:sz w:val="24"/>
                <w:szCs w:val="24"/>
                <w:color w:val="auto"/>
                <w:vertAlign w:val="superscript"/>
              </w:rPr>
              <w:t>(2)</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Regulatory filing fees and expenses </w:t>
            </w:r>
            <w:r>
              <w:rPr>
                <w:rFonts w:ascii="Times New Roman" w:cs="Times New Roman" w:eastAsia="Times New Roman" w:hAnsi="Times New Roman"/>
                <w:sz w:val="24"/>
                <w:szCs w:val="24"/>
                <w:color w:val="auto"/>
                <w:vertAlign w:val="superscript"/>
              </w:rPr>
              <w:t>(3)</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Non-clinical research activities </w:t>
            </w:r>
            <w:r>
              <w:rPr>
                <w:rFonts w:ascii="Times New Roman" w:cs="Times New Roman" w:eastAsia="Times New Roman" w:hAnsi="Times New Roman"/>
                <w:sz w:val="24"/>
                <w:szCs w:val="24"/>
                <w:color w:val="auto"/>
                <w:vertAlign w:val="superscript"/>
              </w:rPr>
              <w:t>(4)</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Borders>
              <w:bottom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Internal staffing, overhead and other </w:t>
            </w:r>
            <w:r>
              <w:rPr>
                <w:rFonts w:ascii="Times New Roman" w:cs="Times New Roman" w:eastAsia="Times New Roman" w:hAnsi="Times New Roman"/>
                <w:sz w:val="24"/>
                <w:szCs w:val="24"/>
                <w:color w:val="auto"/>
                <w:vertAlign w:val="superscript"/>
              </w:rPr>
              <w:t>(5)</w:t>
            </w:r>
          </w:p>
        </w:tc>
        <w:tc>
          <w:tcPr>
            <w:tcW w:w="2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6,721</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5,463</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 excluding non-cash expense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8,835</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Borders>
              <w:bottom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Non-cash stock-based compensation expense </w:t>
            </w:r>
            <w:r>
              <w:rPr>
                <w:rFonts w:ascii="Times New Roman" w:cs="Times New Roman" w:eastAsia="Times New Roman" w:hAnsi="Times New Roman"/>
                <w:sz w:val="24"/>
                <w:szCs w:val="24"/>
                <w:color w:val="auto"/>
                <w:vertAlign w:val="superscript"/>
              </w:rPr>
              <w:t>(6)</w:t>
            </w:r>
          </w:p>
        </w:tc>
        <w:tc>
          <w:tcPr>
            <w:tcW w:w="2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10,227</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-453390</wp:posOffset>
            </wp:positionV>
            <wp:extent cx="5143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-453390</wp:posOffset>
            </wp:positionV>
            <wp:extent cx="5143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-170815</wp:posOffset>
            </wp:positionV>
            <wp:extent cx="5143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18" w:lineRule="exact"/>
        <w:rPr>
          <w:sz w:val="20"/>
          <w:szCs w:val="20"/>
          <w:color w:val="auto"/>
        </w:rPr>
      </w:pPr>
    </w:p>
    <w:p>
      <w:pPr>
        <w:ind w:left="520" w:right="80" w:hanging="512"/>
        <w:spacing w:after="0" w:line="273"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REDUCE-IT study and publications expenses consist primarily of costs incurred to maintain the REDUCE-IT trial data as well as support provided to present at conferences and to provide data to be published in medical journals.</w:t>
      </w:r>
    </w:p>
    <w:p>
      <w:pPr>
        <w:spacing w:after="0" w:line="1" w:lineRule="exact"/>
        <w:rPr>
          <w:rFonts w:ascii="Times New Roman" w:cs="Times New Roman" w:eastAsia="Times New Roman" w:hAnsi="Times New Roman"/>
          <w:sz w:val="18"/>
          <w:szCs w:val="18"/>
          <w:color w:val="auto"/>
        </w:rPr>
      </w:pPr>
    </w:p>
    <w:p>
      <w:pPr>
        <w:ind w:left="520" w:right="160" w:hanging="512"/>
        <w:spacing w:after="0" w:line="261"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Fixed-dose combination expenses are primarily related to cost associated with developmental activities of a fixed-dose combination of VASCEPA and a statin which began in 2022 but was subsequently deprioritized during 2023.</w:t>
      </w: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35" w:name="page36"/>
    <w:bookmarkEnd w:id="35"/>
    <w:p>
      <w:pPr>
        <w:jc w:val="both"/>
        <w:ind w:left="520" w:right="120" w:hanging="512"/>
        <w:spacing w:after="0" w:line="260"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quality filing fees are primarily related to the preparation, submission and review defense of regulatory filings as well as assistance with securing and maintaining regulatory approvals for qualifying suppliers for VASCEPA in the U.S. and Europe as well as regulatory expansion in the rest of the world.</w:t>
      </w:r>
    </w:p>
    <w:p>
      <w:pPr>
        <w:spacing w:after="0" w:line="2"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Non-clinical research activities are primarily related to ongoing experiments and analyses further exploring the potential biological activities of IPE.</w:t>
      </w:r>
    </w:p>
    <w:p>
      <w:pPr>
        <w:spacing w:after="0" w:line="49" w:lineRule="exact"/>
        <w:rPr>
          <w:rFonts w:ascii="Times New Roman" w:cs="Times New Roman" w:eastAsia="Times New Roman" w:hAnsi="Times New Roman"/>
          <w:sz w:val="18"/>
          <w:szCs w:val="18"/>
          <w:color w:val="auto"/>
        </w:rPr>
      </w:pPr>
    </w:p>
    <w:p>
      <w:pPr>
        <w:ind w:left="520" w:hanging="512"/>
        <w:spacing w:after="0" w:line="261"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staffing, overhead and other research and development expenses primarily relate to the costs of our personnel employed to manage research, development and regulatory affairs activities and related overhead costs including consulting and other professional fees that are not allocated to specific projects. Also included are costs related to qualifying suppliers and costs associated with various other activities, including other costs in collaboration with Mochida.</w:t>
      </w:r>
    </w:p>
    <w:p>
      <w:pPr>
        <w:spacing w:after="0" w:line="4" w:lineRule="exact"/>
        <w:rPr>
          <w:rFonts w:ascii="Times New Roman" w:cs="Times New Roman" w:eastAsia="Times New Roman" w:hAnsi="Times New Roman"/>
          <w:sz w:val="18"/>
          <w:szCs w:val="18"/>
          <w:color w:val="auto"/>
        </w:rPr>
      </w:pPr>
    </w:p>
    <w:p>
      <w:pPr>
        <w:ind w:left="520" w:right="540" w:hanging="512"/>
        <w:spacing w:after="0" w:line="282"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stock-based compensation expense represents the estimated costs associated with equity awards issued to personnel supporting our research and development and regulatory functions.</w:t>
      </w:r>
    </w:p>
    <w:p>
      <w:pPr>
        <w:spacing w:after="0" w:line="54"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We continuously evaluate all of our spending commitments and priorities and we plan to adjust our level of research and development activities based on various factors, including the impact of U.S. generic competition as well as timing of pricing reimbursements throughout the world.</w:t>
      </w:r>
    </w:p>
    <w:p>
      <w:pPr>
        <w:spacing w:after="0" w:line="106"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Restructuring expense</w:t>
      </w:r>
      <w:r>
        <w:rPr>
          <w:rFonts w:ascii="Times New Roman" w:cs="Times New Roman" w:eastAsia="Times New Roman" w:hAnsi="Times New Roman"/>
          <w:sz w:val="18"/>
          <w:szCs w:val="18"/>
          <w:color w:val="auto"/>
        </w:rPr>
        <w:t>. Restructuring expense for the six months ended June 30, 2025 and 2024 was $22.8 million and nil, respectively, an increase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$22.8 million, or 100%. The charge in the current year is due to the implementation of a global restructuring plan associated with the execution of the Recordati EU Licensing Agreement announced on June 24, 2025, which resulted in the elimination of commercial roles in the Company’s European operations. Refer to </w:t>
      </w:r>
      <w:r>
        <w:rPr>
          <w:rFonts w:ascii="Times New Roman" w:cs="Times New Roman" w:eastAsia="Times New Roman" w:hAnsi="Times New Roman"/>
          <w:sz w:val="18"/>
          <w:szCs w:val="18"/>
          <w:i w:val="1"/>
          <w:iCs w:val="1"/>
          <w:color w:val="auto"/>
        </w:rPr>
        <w:t>Note 2 Significant Accounting Policies</w:t>
      </w:r>
      <w:r>
        <w:rPr>
          <w:rFonts w:ascii="Times New Roman" w:cs="Times New Roman" w:eastAsia="Times New Roman" w:hAnsi="Times New Roman"/>
          <w:sz w:val="18"/>
          <w:szCs w:val="18"/>
          <w:color w:val="auto"/>
        </w:rPr>
        <w:t xml:space="preserve"> for additional information.</w:t>
      </w:r>
    </w:p>
    <w:p>
      <w:pPr>
        <w:spacing w:after="0" w:line="207" w:lineRule="exact"/>
        <w:rPr>
          <w:sz w:val="20"/>
          <w:szCs w:val="20"/>
          <w:color w:val="auto"/>
        </w:rPr>
      </w:pPr>
    </w:p>
    <w:p>
      <w:pPr>
        <w:ind w:right="18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Interest income, net</w:t>
      </w:r>
      <w:r>
        <w:rPr>
          <w:rFonts w:ascii="Times New Roman" w:cs="Times New Roman" w:eastAsia="Times New Roman" w:hAnsi="Times New Roman"/>
          <w:sz w:val="18"/>
          <w:szCs w:val="18"/>
          <w:color w:val="auto"/>
        </w:rPr>
        <w:t>. Interest income, net, for the six months ended June 30, 2025 and 2024 was $5.5 million and $6.7 million, respectively,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of $1.2 million, or 17%. Interest income, net, represents income earned on cash and investment balances. The decrease is primarily due to lower interest rates in the current year period compared to the prior year period.</w:t>
      </w:r>
    </w:p>
    <w:p>
      <w:pPr>
        <w:spacing w:after="0" w:line="200" w:lineRule="exact"/>
        <w:rPr>
          <w:sz w:val="20"/>
          <w:szCs w:val="20"/>
          <w:color w:val="auto"/>
        </w:rPr>
      </w:pPr>
    </w:p>
    <w:p>
      <w:pPr>
        <w:ind w:right="24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Other (expense) income, net</w:t>
      </w:r>
      <w:r>
        <w:rPr>
          <w:rFonts w:ascii="Times New Roman" w:cs="Times New Roman" w:eastAsia="Times New Roman" w:hAnsi="Times New Roman"/>
          <w:sz w:val="18"/>
          <w:szCs w:val="18"/>
          <w:color w:val="auto"/>
        </w:rPr>
        <w:t>. Other (expense) income, net, for the six months ended June 30, 2025 and 2024 was income of $0.2 million and $1.7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respectively, a decrease of $1.5 million, or 90%. Other (expense) income, net, primarily consists of gains and losses on foreign exchange transactions and sublease income related to our Bridgewater, New Jersey facility.</w:t>
      </w:r>
    </w:p>
    <w:p>
      <w:pPr>
        <w:spacing w:after="0" w:line="119" w:lineRule="exact"/>
        <w:rPr>
          <w:sz w:val="20"/>
          <w:szCs w:val="20"/>
          <w:color w:val="auto"/>
        </w:rPr>
      </w:pPr>
    </w:p>
    <w:p>
      <w:pPr>
        <w:jc w:val="both"/>
        <w:ind w:right="8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Provision for income taxes. </w:t>
      </w:r>
      <w:r>
        <w:rPr>
          <w:rFonts w:ascii="Times New Roman" w:cs="Times New Roman" w:eastAsia="Times New Roman" w:hAnsi="Times New Roman"/>
          <w:sz w:val="18"/>
          <w:szCs w:val="18"/>
          <w:color w:val="auto"/>
        </w:rPr>
        <w:t>Income tax provision for the six months ended June 30, 2025 and 2024 was $2.8 million and $2.7 million, respectively.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provision for income taxes for the six months ended June 30, 2025 is the result of income generated by our U.S. and foreign operations for which tax expense has been recognized based on a full year estimated U.S. and foreign income tax liability.</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As of June 30, 2025, our aggregate sources of liquidity include cash and cash equivalents and restricted cash of $148.2 million and short-term investments of $150.8 million, aggregating $298.7 million. We have no indebtedness. Our cash and cash equivalents primarily include checking accounts and money market funds with original maturities of less than 90 days. Our short-term investments consist of securities that will be due in one year or less. We invest cash in excess of our immediate requirements in accordance with our investment policy, which limits the amounts we may invest in any one type of investment and requires all investments held by us to maintain minimum ratings from Nationally Recognized Statistical Rating Organizations so as to primarily achieve our goals of liquidity and capital preservation.</w:t>
      </w:r>
    </w:p>
    <w:p>
      <w:pPr>
        <w:spacing w:after="0" w:line="79" w:lineRule="exact"/>
        <w:rPr>
          <w:sz w:val="20"/>
          <w:szCs w:val="20"/>
          <w:color w:val="auto"/>
        </w:rPr>
      </w:pPr>
    </w:p>
    <w:p>
      <w:pPr>
        <w:ind w:right="780" w:firstLine="509"/>
        <w:spacing w:after="0" w:line="282" w:lineRule="auto"/>
        <w:rPr>
          <w:sz w:val="20"/>
          <w:szCs w:val="20"/>
          <w:color w:val="auto"/>
        </w:rPr>
      </w:pPr>
      <w:r>
        <w:rPr>
          <w:rFonts w:ascii="Times New Roman" w:cs="Times New Roman" w:eastAsia="Times New Roman" w:hAnsi="Times New Roman"/>
          <w:sz w:val="18"/>
          <w:szCs w:val="18"/>
          <w:color w:val="auto"/>
        </w:rPr>
        <w:t>Our cash flows from operating, investing and financing activities, as reflected in the condensed consolidated statements of cash flows, are summarized in the following table:</w:t>
      </w:r>
    </w:p>
    <w:p>
      <w:pPr>
        <w:spacing w:after="0" w:line="155"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0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340" w:type="dxa"/>
            <w:vAlign w:val="bottom"/>
            <w:vMerge w:val="continue"/>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1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61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provided by (used in):</w:t>
            </w:r>
          </w:p>
        </w:tc>
        <w:tc>
          <w:tcPr>
            <w:tcW w:w="4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activities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w:t>
            </w:r>
          </w:p>
        </w:tc>
        <w:tc>
          <w:tcPr>
            <w:tcW w:w="7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16"/>
        </w:trPr>
        <w:tc>
          <w:tcPr>
            <w:tcW w:w="6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Investing activities</w:t>
            </w:r>
          </w:p>
        </w:tc>
        <w:tc>
          <w:tcPr>
            <w:tcW w:w="4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16"/>
        </w:trPr>
        <w:tc>
          <w:tcPr>
            <w:tcW w:w="6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Financing activities</w:t>
            </w:r>
          </w:p>
        </w:tc>
        <w:tc>
          <w:tcPr>
            <w:tcW w:w="40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 in cash and cash equivalents and restricted cash</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26.8</w:t>
            </w:r>
          </w:p>
        </w:tc>
        <w:tc>
          <w:tcPr>
            <w:tcW w:w="78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0"/>
        </w:trPr>
        <w:tc>
          <w:tcPr>
            <w:tcW w:w="634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-24765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-8255</wp:posOffset>
            </wp:positionV>
            <wp:extent cx="685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70" w:lineRule="exact"/>
        <w:rPr>
          <w:sz w:val="20"/>
          <w:szCs w:val="20"/>
          <w:color w:val="auto"/>
        </w:rPr>
      </w:pPr>
    </w:p>
    <w:p>
      <w:pPr>
        <w:jc w:val="both"/>
        <w:ind w:right="580" w:firstLine="509"/>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increased during the six months ended June 30, 2025 as compared to the net cash used in operating activities during the same period in 2024. This is primarily as a result of timing and payment of invoices and accruals in 2024.</w:t>
      </w:r>
    </w:p>
    <w:p>
      <w:pPr>
        <w:spacing w:after="0" w:line="54" w:lineRule="exact"/>
        <w:rPr>
          <w:sz w:val="20"/>
          <w:szCs w:val="20"/>
          <w:color w:val="auto"/>
        </w:rPr>
      </w:pPr>
    </w:p>
    <w:p>
      <w:pPr>
        <w:ind w:right="480" w:firstLine="509"/>
        <w:spacing w:after="0" w:line="261" w:lineRule="auto"/>
        <w:rPr>
          <w:sz w:val="20"/>
          <w:szCs w:val="20"/>
          <w:color w:val="auto"/>
        </w:rPr>
      </w:pPr>
      <w:r>
        <w:rPr>
          <w:rFonts w:ascii="Times New Roman" w:cs="Times New Roman" w:eastAsia="Times New Roman" w:hAnsi="Times New Roman"/>
          <w:sz w:val="18"/>
          <w:szCs w:val="18"/>
          <w:color w:val="auto"/>
        </w:rPr>
        <w:t>Net cash provided by investing activities during the six months ended June 30, 2025 decreased due primarily to proceeds from the maturity of $105.3 million in investment grade interest-bearing instruments offset by the purchases of $80.8 million of investment</w:t>
      </w: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26" w:right="359" w:bottom="1440" w:gutter="0" w:footer="0" w:header="0"/>
        </w:sectPr>
      </w:pPr>
    </w:p>
    <w:bookmarkStart w:id="36" w:name="page37"/>
    <w:bookmarkEnd w:id="36"/>
    <w:p>
      <w:pPr>
        <w:ind w:right="720"/>
        <w:spacing w:after="0" w:line="282" w:lineRule="auto"/>
        <w:rPr>
          <w:sz w:val="20"/>
          <w:szCs w:val="20"/>
          <w:color w:val="auto"/>
        </w:rPr>
      </w:pPr>
      <w:r>
        <w:rPr>
          <w:rFonts w:ascii="Times New Roman" w:cs="Times New Roman" w:eastAsia="Times New Roman" w:hAnsi="Times New Roman"/>
          <w:sz w:val="18"/>
          <w:szCs w:val="18"/>
          <w:color w:val="auto"/>
        </w:rPr>
        <w:t>grade interest-bearing instruments as compared to the same period in 2024 where proceeds from the maturity of investment grade interest-bearing instruments were $133.0 million, partially offset by $99.6 million in purchases of investment-grade interest bearing instruments.</w:t>
      </w:r>
    </w:p>
    <w:p>
      <w:pPr>
        <w:spacing w:after="0" w:line="54"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during the six months ended June 30, 2025 as compared to net cash used in financing activities during the same period in 2024 was primarily as a result of a decrease in proceeds related to stock option exercises.</w:t>
      </w:r>
    </w:p>
    <w:p>
      <w:pPr>
        <w:spacing w:after="0" w:line="54" w:lineRule="exact"/>
        <w:rPr>
          <w:sz w:val="20"/>
          <w:szCs w:val="20"/>
          <w:color w:val="auto"/>
        </w:rPr>
      </w:pPr>
    </w:p>
    <w:p>
      <w:pPr>
        <w:jc w:val="both"/>
        <w:ind w:right="40" w:firstLine="509"/>
        <w:spacing w:after="0" w:line="261" w:lineRule="auto"/>
        <w:rPr>
          <w:sz w:val="20"/>
          <w:szCs w:val="20"/>
          <w:color w:val="auto"/>
        </w:rPr>
      </w:pPr>
      <w:r>
        <w:rPr>
          <w:rFonts w:ascii="Times New Roman" w:cs="Times New Roman" w:eastAsia="Times New Roman" w:hAnsi="Times New Roman"/>
          <w:sz w:val="18"/>
          <w:szCs w:val="18"/>
          <w:color w:val="auto"/>
        </w:rPr>
        <w:t>On January 10, 2024, we announced plans to initiate a share repurchase program to purchase up to $50.0 million of the Company's Ordinary Shares held in the form of American Depository Shares, or ADS. We received shareholder and UK High Court approval of the share repurchase plan in April and May 2024, respectively. The share repurchase program has a five-year approval window and can be deployed at any point until the second quarter of 2029. The Company has not commenced any share repurchases to date, but we will continue to monitor business and market conditions.</w:t>
      </w:r>
    </w:p>
    <w:p>
      <w:pPr>
        <w:spacing w:after="0" w:line="72"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As of June 30, 2025, we had net accounts receivable of $119.1 million, current inventory of $171.2 million and long-term inventory of $39.6 million. We have incurred annual operating losses since our inception and, as a result, we had an accumulated deficit of $1.7 billion as of June 30, 2025. We anticipate that quarterly net cash outflows in future periods will continue to be variable as a result of the timing of certain items, including our purchases of API and the generic competition in the U.S. and the efforts of our licensee of VAZKEPA in Europe.</w:t>
      </w:r>
    </w:p>
    <w:p>
      <w:pPr>
        <w:spacing w:after="0" w:line="7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As of June 30, 2025, we had cash and cash equivalents of $147.9 million and short-term investments of $150.8 million, aggregating $298.7 million. In accordance with ASC 205-40, management is required to evaluate our ability to continue as a going concern for at least one year after the date the financial statements are issued. We believe that our cash and cash equivalents and our short-term investments will be sufficient to fund our projected operations, including the share repurchase program, for at least one year from the issuance date of our unaudited condensed consolidated financial statements included elsewhere in this Quarterly Report and is adequate to support continued operations based on our current plans. We have based this estimate on assumptions that may prove to be wrong, including as a result of the risks discussed under “Risk Factors” in this Quarterly Report and the 2024 Annual Report and we could use our capital resources sooner than we expect or fail to achieve positive cash flow.</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Our contractual obligations consist mainly of payments related to purchase obligations with certain supply chain contracting parties and operating leases related to real estate used as office space.</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do not have any special purpose entities or other off-balance sheet arrangements.</w:t>
      </w:r>
    </w:p>
    <w:p>
      <w:pPr>
        <w:spacing w:after="0" w:line="32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12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with respect to the information appearing in Part II, Item 7A “Quantitative and Qualitative Disclosures about Market Risk” of our Annual Report.</w:t>
      </w:r>
    </w:p>
    <w:p>
      <w:pPr>
        <w:spacing w:after="0" w:line="26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i w:val="1"/>
          <w:iCs w:val="1"/>
          <w:color w:val="auto"/>
        </w:rPr>
        <w:t>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Securities Exchange Act of 1934, as amended, or the Exchange Act), that are designed to ensure that information required to be disclosed by us in the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w:t>
      </w:r>
    </w:p>
    <w:p>
      <w:pPr>
        <w:spacing w:after="0" w:line="75" w:lineRule="exact"/>
        <w:rPr>
          <w:sz w:val="20"/>
          <w:szCs w:val="20"/>
          <w:color w:val="auto"/>
        </w:rPr>
      </w:pPr>
    </w:p>
    <w:p>
      <w:pPr>
        <w:jc w:val="both"/>
        <w:ind w:right="40" w:firstLine="509"/>
        <w:spacing w:after="0" w:line="282" w:lineRule="auto"/>
        <w:rPr>
          <w:sz w:val="20"/>
          <w:szCs w:val="20"/>
          <w:color w:val="auto"/>
        </w:rPr>
      </w:pPr>
      <w:r>
        <w:rPr>
          <w:rFonts w:ascii="Times New Roman" w:cs="Times New Roman" w:eastAsia="Times New Roman" w:hAnsi="Times New Roman"/>
          <w:sz w:val="18"/>
          <w:szCs w:val="18"/>
          <w:color w:val="auto"/>
        </w:rPr>
        <w:t>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54" w:lineRule="exact"/>
        <w:rPr>
          <w:sz w:val="20"/>
          <w:szCs w:val="20"/>
          <w:color w:val="auto"/>
        </w:rPr>
      </w:pPr>
    </w:p>
    <w:p>
      <w:pPr>
        <w:jc w:val="both"/>
        <w:ind w:right="420" w:firstLine="509"/>
        <w:spacing w:after="0" w:line="257"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has evaluated the effectiveness of our disclosure controls and procedures as of June 30, 2025. Based on such evaluation, our principal executive officer and principal financial officer have concluded that as of June 30, 2025, our disclosure controls and procedures were effective at the reasonable assurance level.</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During the quarter ended June 30, 2025, there were no changes in our internal control over financial reporting, as such term is defined in Rules 13a-15(f) and 15(d)-15(f) under the Exchange Act, that have materially affected, or are reasonably likely to materially affect, our internal control over financial reporting.</w:t>
      </w:r>
    </w:p>
    <w:p>
      <w:pPr>
        <w:spacing w:after="0" w:line="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5" w:right="419" w:bottom="1440" w:gutter="0" w:footer="0" w:header="0"/>
        </w:sectPr>
      </w:pPr>
    </w:p>
    <w:bookmarkStart w:id="38" w:name="page39"/>
    <w:bookmarkEnd w:id="3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3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In the ordinary course of business, we are from time to time involved in lawsuits, claims, investigations, proceedings, and threats of litigation relating to intellectual property, commercial arrangements and other matters. Refer to Note 5 – Commitments and Contingencies in this Quarterly Report for any legal proceedings that became reportable during the three and six months ended June 30, 2025, and updates to any descriptions of previously reported legal proceedings in which there have been material developments during such period. The discussion of legal proceedings included within </w:t>
      </w:r>
      <w:r>
        <w:rPr>
          <w:rFonts w:ascii="Times New Roman" w:cs="Times New Roman" w:eastAsia="Times New Roman" w:hAnsi="Times New Roman"/>
          <w:sz w:val="18"/>
          <w:szCs w:val="18"/>
          <w:i w:val="1"/>
          <w:iCs w:val="1"/>
          <w:color w:val="auto"/>
        </w:rPr>
        <w:t>Note 5</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 Commitments and Contingencies </w:t>
      </w:r>
      <w:r>
        <w:rPr>
          <w:rFonts w:ascii="Times New Roman" w:cs="Times New Roman" w:eastAsia="Times New Roman" w:hAnsi="Times New Roman"/>
          <w:sz w:val="18"/>
          <w:szCs w:val="18"/>
          <w:color w:val="auto"/>
        </w:rPr>
        <w:t>is incorporated into this Item 1 by reference.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information based on our current expectations. Because our actual results may differ materially from any forward-looking statements that we make or that are made on our behalf, this section includes a discussion of important factors that could affect our actual future results, including, but not limited to, our ability to successfully commercialize VASCEPA and VAZKEPA, collectively referred to as VASCEPA, our capital resources, the progress and timing of our clinical programs, the safety and efficacy of our product candidates, risks associated with regulatory filings, the potential clinical benefits and market potential of our product candidates, commercial market estimates, future development efforts, patent protection, effects of healthcare reform, reliance on third parties effects of tax reform, and other risks set forth below.</w:t>
      </w:r>
    </w:p>
    <w:p>
      <w:pPr>
        <w:spacing w:after="0" w:line="182"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color w:val="auto"/>
        </w:rPr>
        <w:t xml:space="preserve">There have been no material changes to the risk factors presented under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xml:space="preserve"> in our Annual Report other than as set forth below. See </w:t>
      </w:r>
      <w:r>
        <w:rPr>
          <w:rFonts w:ascii="Times New Roman" w:cs="Times New Roman" w:eastAsia="Times New Roman" w:hAnsi="Times New Roman"/>
          <w:sz w:val="18"/>
          <w:szCs w:val="18"/>
          <w:i w:val="1"/>
          <w:iCs w:val="1"/>
          <w:color w:val="auto"/>
        </w:rPr>
        <w:t>Item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1A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Risk Factors </w:t>
      </w:r>
      <w:r>
        <w:rPr>
          <w:rFonts w:ascii="Times New Roman" w:cs="Times New Roman" w:eastAsia="Times New Roman" w:hAnsi="Times New Roman"/>
          <w:sz w:val="18"/>
          <w:szCs w:val="18"/>
          <w:color w:val="auto"/>
        </w:rPr>
        <w:t>in our Annual Report for a detailed discussion of risk factors affecting the Company.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and Development of VASCEPA</w:t>
      </w:r>
    </w:p>
    <w:p>
      <w:pPr>
        <w:spacing w:after="0" w:line="212" w:lineRule="exact"/>
        <w:rPr>
          <w:sz w:val="20"/>
          <w:szCs w:val="20"/>
          <w:color w:val="auto"/>
        </w:rPr>
      </w:pPr>
    </w:p>
    <w:p>
      <w:pPr>
        <w:ind w:right="40" w:firstLine="74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are dependent on our collaboration partner for the commercialization of VAZKEPA® in 59 countries focused in Europe. If the collaboration is not successful, we may not be able to capitalize on the full market potential for VAZKEPA® in those countries</w:t>
      </w:r>
      <w:r>
        <w:rPr>
          <w:rFonts w:ascii="Times New Roman" w:cs="Times New Roman" w:eastAsia="Times New Roman" w:hAnsi="Times New Roman"/>
          <w:sz w:val="17"/>
          <w:szCs w:val="17"/>
          <w:color w:val="auto"/>
        </w:rPr>
        <w:t>.</w:t>
      </w:r>
    </w:p>
    <w:p>
      <w:pPr>
        <w:spacing w:after="0" w:line="13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7"/>
          <w:szCs w:val="17"/>
          <w:color w:val="auto"/>
        </w:rPr>
        <w:t>On June 20, 2025, we licensed the rights to VAZKEPA® in the EU Territory to Recordati. Our ability to receive payments from these arrangements will depend on Recordati’s ability to successfully commercialize VAZKEPA® in the EU Territory. The Recordati EU Licensing Agreement may pose many risks to us, including that:</w:t>
      </w:r>
    </w:p>
    <w:p>
      <w:pPr>
        <w:spacing w:after="0" w:line="1" w:lineRule="exact"/>
        <w:rPr>
          <w:sz w:val="20"/>
          <w:szCs w:val="20"/>
          <w:color w:val="auto"/>
        </w:rPr>
      </w:pPr>
    </w:p>
    <w:p>
      <w:pPr>
        <w:ind w:left="760" w:right="220" w:hanging="378"/>
        <w:spacing w:after="0" w:line="251"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authorizations for VAZKEPA® in certain countries in the EU Territory have not yet been obtained and certain other authorizations will need to be transitioned to Recordati subject to approval by the relevant regulatory authorities;</w:t>
      </w:r>
    </w:p>
    <w:p>
      <w:pPr>
        <w:spacing w:after="0" w:line="1" w:lineRule="exact"/>
        <w:rPr>
          <w:rFonts w:ascii="Times New Roman" w:cs="Times New Roman" w:eastAsia="Times New Roman" w:hAnsi="Times New Roman"/>
          <w:sz w:val="18"/>
          <w:szCs w:val="18"/>
          <w:color w:val="auto"/>
        </w:rPr>
      </w:pPr>
    </w:p>
    <w:p>
      <w:pPr>
        <w:ind w:left="760" w:right="20" w:hanging="378"/>
        <w:spacing w:after="0" w:line="265" w:lineRule="auto"/>
        <w:tabs>
          <w:tab w:leader="none" w:pos="7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Recordati has discretion in determining the efforts, resources and strategies they will apply to commercializing VAZKEPA® in the EU Territory and may not apply sufficient efforts or resources to or otherwise may pursue sub-optimal strategies for the commercialization of VAZKEPA®;</w:t>
      </w:r>
    </w:p>
    <w:p>
      <w:pPr>
        <w:ind w:left="760" w:right="100" w:hanging="378"/>
        <w:spacing w:after="0" w:line="250"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Recordati may mismanage its supply chain (including by ordering too many or too few units of VAZKEPA® from us) and also may not or may not be able to set favorable pricing for VAZKEPA® due to regulations, generic entry or other factors, all of which could negatively impact payments owed to us;</w:t>
      </w:r>
    </w:p>
    <w:p>
      <w:pPr>
        <w:spacing w:after="0" w:line="1" w:lineRule="exact"/>
        <w:rPr>
          <w:rFonts w:ascii="Times New Roman" w:cs="Times New Roman" w:eastAsia="Times New Roman" w:hAnsi="Times New Roman"/>
          <w:sz w:val="18"/>
          <w:szCs w:val="18"/>
          <w:color w:val="auto"/>
        </w:rPr>
      </w:pPr>
    </w:p>
    <w:p>
      <w:pPr>
        <w:jc w:val="both"/>
        <w:ind w:left="760" w:right="280" w:hanging="378"/>
        <w:spacing w:after="0" w:line="265" w:lineRule="auto"/>
        <w:tabs>
          <w:tab w:leader="none" w:pos="7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Recordati may be subject to changes in key personnel or strategic focus, have limited available funding or be subject to other external factors diverting resources or competing priorities, all of which could negatively impact the commercialization of VAZKEPA® in the EU Territory;</w:t>
      </w:r>
    </w:p>
    <w:p>
      <w:pPr>
        <w:ind w:left="760" w:right="340" w:hanging="378"/>
        <w:spacing w:after="0" w:line="250"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Recordati may use our intellectual property rights or our proprietary information in such a way as to invite litigation that could jeopardize or invalidate our intellectual property rights or otherwise expose us to potential litigation; and</w:t>
      </w:r>
    </w:p>
    <w:p>
      <w:pPr>
        <w:ind w:left="760" w:right="20" w:hanging="378"/>
        <w:spacing w:after="0" w:line="260"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Recordati could be involved in a business combination and the continued pursuit and emphasis on VAZKEPA® could be delayed, diminished or terminated.</w:t>
      </w:r>
    </w:p>
    <w:p>
      <w:pPr>
        <w:spacing w:after="0" w:line="181" w:lineRule="exact"/>
        <w:rPr>
          <w:sz w:val="20"/>
          <w:szCs w:val="20"/>
          <w:color w:val="auto"/>
        </w:rPr>
      </w:pPr>
    </w:p>
    <w:p>
      <w:pPr>
        <w:ind w:right="300"/>
        <w:spacing w:after="0" w:line="289" w:lineRule="auto"/>
        <w:rPr>
          <w:sz w:val="20"/>
          <w:szCs w:val="20"/>
          <w:color w:val="auto"/>
        </w:rPr>
      </w:pPr>
      <w:r>
        <w:rPr>
          <w:rFonts w:ascii="Times New Roman" w:cs="Times New Roman" w:eastAsia="Times New Roman" w:hAnsi="Times New Roman"/>
          <w:sz w:val="17"/>
          <w:szCs w:val="17"/>
          <w:color w:val="auto"/>
        </w:rPr>
        <w:t>If our ability to generate revenue under the Recordati EU Licensing Agreement is adversely impacted by these or any other risks, our right to receive additional payments from the thereunder, including our share of the revenues generated by net sales of VAZKEPA® could be insufficient to achieve or maintain profitability or may result in VAZKEPA® being less valuable to us than if we had not entered into the Recordati EU Licensing Agreement.</w:t>
      </w:r>
    </w:p>
    <w:p>
      <w:pPr>
        <w:spacing w:after="0" w:line="181" w:lineRule="exact"/>
        <w:rPr>
          <w:sz w:val="20"/>
          <w:szCs w:val="20"/>
          <w:color w:val="auto"/>
        </w:rPr>
      </w:pPr>
    </w:p>
    <w:p>
      <w:pPr>
        <w:ind w:right="440" w:firstLine="57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reduction in force related to our Recordati EU Licensing Agreement with Recordati, and any similar efforts we may undertake in the future, may not be successful in mitigating risks and challenges associated with our business and establishing a more significant international footprint.</w:t>
      </w:r>
    </w:p>
    <w:p>
      <w:pPr>
        <w:spacing w:after="0" w:line="26" w:lineRule="exact"/>
        <w:rPr>
          <w:sz w:val="20"/>
          <w:szCs w:val="20"/>
          <w:color w:val="auto"/>
        </w:rPr>
      </w:pPr>
    </w:p>
    <w:p>
      <w:pPr>
        <w:ind w:right="240" w:firstLine="576"/>
        <w:spacing w:after="0" w:line="257" w:lineRule="auto"/>
        <w:rPr>
          <w:sz w:val="20"/>
          <w:szCs w:val="20"/>
          <w:color w:val="auto"/>
        </w:rPr>
      </w:pPr>
      <w:r>
        <w:rPr>
          <w:rFonts w:ascii="Times New Roman" w:cs="Times New Roman" w:eastAsia="Times New Roman" w:hAnsi="Times New Roman"/>
          <w:sz w:val="18"/>
          <w:szCs w:val="18"/>
          <w:color w:val="auto"/>
        </w:rPr>
        <w:t>If we are not successful in our efforts to continue to market and sell VASCEPA in the U.S., including following our organizational restructuring plan announced in June 2025, which reduced our headcount in Europe, primarily Europe's commercial operations, as a result of our exclusive license agreement with Recordati, our anticipated revenues or our expenses could be materially</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9" w:name="page40"/>
    <w:bookmarkEnd w:id="39"/>
    <w:p>
      <w:pPr>
        <w:ind w:right="60"/>
        <w:spacing w:after="0" w:line="266" w:lineRule="auto"/>
        <w:rPr>
          <w:sz w:val="20"/>
          <w:szCs w:val="20"/>
          <w:color w:val="auto"/>
        </w:rPr>
      </w:pPr>
      <w:r>
        <w:rPr>
          <w:rFonts w:ascii="Times New Roman" w:cs="Times New Roman" w:eastAsia="Times New Roman" w:hAnsi="Times New Roman"/>
          <w:sz w:val="18"/>
          <w:szCs w:val="18"/>
          <w:color w:val="auto"/>
        </w:rPr>
        <w:t>adversely affected, and we may not maintain profitability in the U.S. or obtain profitability internationally. Further, we may need to cut back on research and development activities or we may need to implement other cost-containment measures, or we may need to raise additional funding that could result in substantial dilution or impose considerable restrictions on our business.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ADSs and Ordinary Shares</w:t>
      </w:r>
    </w:p>
    <w:p>
      <w:pPr>
        <w:spacing w:after="0" w:line="2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meet the listing requirements of the Nasdaq Stock Market, our ADS may be delisted.</w:t>
      </w:r>
    </w:p>
    <w:p>
      <w:pPr>
        <w:spacing w:after="0" w:line="121" w:lineRule="exact"/>
        <w:rPr>
          <w:sz w:val="20"/>
          <w:szCs w:val="20"/>
          <w:color w:val="auto"/>
        </w:rPr>
      </w:pPr>
    </w:p>
    <w:p>
      <w:pPr>
        <w:ind w:firstLine="576"/>
        <w:spacing w:after="0" w:line="252" w:lineRule="auto"/>
        <w:rPr>
          <w:sz w:val="20"/>
          <w:szCs w:val="20"/>
          <w:color w:val="auto"/>
        </w:rPr>
      </w:pPr>
      <w:r>
        <w:rPr>
          <w:rFonts w:ascii="Times New Roman" w:cs="Times New Roman" w:eastAsia="Times New Roman" w:hAnsi="Times New Roman"/>
          <w:sz w:val="18"/>
          <w:szCs w:val="18"/>
          <w:color w:val="auto"/>
        </w:rPr>
        <w:t>Our ADSs are listed and traded on Nasdaq, which has listing requirements that include a $1.00 minimum closing bid price requirement, or the Minimum Bid Requirement. Nasdaq will issue a deficiency notice if an issuer is in violation of a listing standard for a period of 30 business consecutive days. Such deficiency letter does not result in the immediate delisting of an issuer as there is a period of 180 calendar days from the deficiency notice to regain compliance with Nasdaq's minimum bid price requirement. If an issuer is unable to comply with Nasdaq's minimum bid price requirement after this 180-day calendar period, Nasdaq may elect, subject to any potential additional cure periods, to initiate a process that could delist the issuer from trading on the Nasdaq. We received a deficiency letter from Nasdaq in October 2023, as our ADSs had traded below $1.00 for 30 consecutive business days. In January 2024, we regained compliance with the Nasdaq listing requirements as our ADSs had traded above $1.00 for 10 consecutive business days. We received an additional deficiency letter in May 2024, as our ADSs had traded below $1.00 for 30 consecutive business days. On November 22, 2024, we received notice Nasdaq granted the Company an additional 180 calendar days, or until May 19, 2025, to regain compliance with the Minimum Bid Requirement. Effective as of April 11, 2025, we implemented an adjustment of the ratio of our ADSs to Ordinary Shares from one ADS representing one Ordinary Share to one ADS representing 20 Ordinary Shares, or the ADS Ratio Change. The ADS Ratio Change resulted in a 1-for-20 reverse split of issued and outstanding ADSs, and it had no effect on the Ordinary Shares. On April 29, 2025, we received written confirmation from Nasdaq that we regained compliance with the Nasdaq listing requirements as our ADSs had traded above $1.00 for 10 consecutive business days. While we have regained compliance with the Minimum Bid Requirement, there is no guarantee that we will be able to maintain such compliance, and we may receive additional deficiency letters in the future.</w:t>
      </w:r>
    </w:p>
    <w:p>
      <w:pPr>
        <w:spacing w:after="0" w:line="8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Should such a delisting occur, it would adversely impact the liquidity and price of our ADSs and would impede our ability to raise capital.</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adversely affected by tariffs, trade sanctions or similar government actions.</w:t>
      </w:r>
    </w:p>
    <w:p>
      <w:pPr>
        <w:spacing w:after="0" w:line="121" w:lineRule="exact"/>
        <w:rPr>
          <w:sz w:val="20"/>
          <w:szCs w:val="20"/>
          <w:color w:val="auto"/>
        </w:rPr>
      </w:pPr>
    </w:p>
    <w:p>
      <w:pPr>
        <w:ind w:firstLine="576"/>
        <w:spacing w:after="0" w:line="254" w:lineRule="auto"/>
        <w:rPr>
          <w:sz w:val="20"/>
          <w:szCs w:val="20"/>
          <w:color w:val="auto"/>
        </w:rPr>
      </w:pPr>
      <w:r>
        <w:rPr>
          <w:rFonts w:ascii="Times New Roman" w:cs="Times New Roman" w:eastAsia="Times New Roman" w:hAnsi="Times New Roman"/>
          <w:sz w:val="18"/>
          <w:szCs w:val="18"/>
          <w:color w:val="auto"/>
        </w:rPr>
        <w:t>The recent imposition and ongoing discussions regarding certain trade restrictions, sanctions and tariffs on goods exported from the U.S. or imported into the U.S., as well as retaliatory measures enacted in response to such actions and related market volatility, could have a material adverse impact on our business, financial condition, results of operations and cash flows. In light of these events, there continues to exist significant uncertainty about the future relationship between the U.S. and other countries with respect to such trade policies. These developments, or the perception that any of them could occur, may have a material adverse effect on global economic conditions and the stability of global financial markets, and may significantly reduce global trade and, in particular, trade between the impacted nations and the U.S. Any of these factors could depress economic activity, lower product demand and restrict our access to potential partners, suppliers or other third parties we seek to do business with and, in turn, have a material adverse effect on the business and financial condition of such third parties, which in turn would negatively impact us.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Issuer Purchases of Equity Securities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ADSs purchased in the second quarter of 2025 are as follows:</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Period</w:t>
            </w:r>
          </w:p>
        </w:tc>
        <w:tc>
          <w:tcPr>
            <w:tcW w:w="140" w:type="dxa"/>
            <w:vAlign w:val="bottom"/>
          </w:tcPr>
          <w:p>
            <w:pPr>
              <w:spacing w:after="0"/>
              <w:rPr>
                <w:sz w:val="13"/>
                <w:szCs w:val="13"/>
                <w:color w:val="auto"/>
              </w:rPr>
            </w:pPr>
          </w:p>
        </w:tc>
        <w:tc>
          <w:tcPr>
            <w:tcW w:w="158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0" w:type="dxa"/>
            <w:vAlign w:val="bottom"/>
          </w:tcPr>
          <w:p>
            <w:pPr>
              <w:spacing w:after="0"/>
              <w:rPr>
                <w:sz w:val="1"/>
                <w:szCs w:val="1"/>
                <w:color w:val="auto"/>
              </w:rPr>
            </w:pPr>
          </w:p>
        </w:tc>
      </w:tr>
      <w:tr>
        <w:trPr>
          <w:trHeight w:val="175"/>
        </w:trPr>
        <w:tc>
          <w:tcPr>
            <w:tcW w:w="56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jc w:val="right"/>
              <w:ind w:right="117"/>
              <w:spacing w:after="0" w:line="175" w:lineRule="exact"/>
              <w:rPr>
                <w:sz w:val="20"/>
                <w:szCs w:val="20"/>
                <w:color w:val="auto"/>
              </w:rPr>
            </w:pPr>
            <w:r>
              <w:rPr>
                <w:rFonts w:ascii="Times New Roman" w:cs="Times New Roman" w:eastAsia="Times New Roman" w:hAnsi="Times New Roman"/>
                <w:sz w:val="14"/>
                <w:szCs w:val="14"/>
                <w:b w:val="1"/>
                <w:bCs w:val="1"/>
                <w:color w:val="auto"/>
              </w:rPr>
              <w:t xml:space="preserve">ADSs Purchased </w:t>
            </w:r>
            <w:r>
              <w:rPr>
                <w:rFonts w:ascii="Times New Roman" w:cs="Times New Roman" w:eastAsia="Times New Roman" w:hAnsi="Times New Roman"/>
                <w:sz w:val="19"/>
                <w:szCs w:val="19"/>
                <w:b w:val="1"/>
                <w:bCs w:val="1"/>
                <w:color w:val="auto"/>
                <w:vertAlign w:val="superscript"/>
              </w:rPr>
              <w:t>(1)</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Paid per ADS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April 1 - 30, 2025</w:t>
            </w:r>
          </w:p>
        </w:tc>
        <w:tc>
          <w:tcPr>
            <w:tcW w:w="14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4,781</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May 1 - 31, 2025</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June 1 - 30, 2025</w:t>
            </w:r>
          </w:p>
        </w:tc>
        <w:tc>
          <w:tcPr>
            <w:tcW w:w="140" w:type="dxa"/>
            <w:vAlign w:val="bottom"/>
            <w:tcBorders>
              <w:bottom w:val="single" w:sz="8" w:color="CFF0FC"/>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40,174</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46,673</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-153670</wp:posOffset>
            </wp:positionV>
            <wp:extent cx="5143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-153670</wp:posOffset>
            </wp:positionV>
            <wp:extent cx="5143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91" w:lineRule="exact"/>
        <w:rPr>
          <w:sz w:val="20"/>
          <w:szCs w:val="20"/>
          <w:color w:val="auto"/>
        </w:rPr>
      </w:pPr>
    </w:p>
    <w:p>
      <w:pPr>
        <w:ind w:left="380" w:right="140" w:hanging="372"/>
        <w:spacing w:after="0" w:line="223" w:lineRule="auto"/>
        <w:tabs>
          <w:tab w:leader="none" w:pos="326" w:val="left"/>
        </w:tabs>
        <w:numPr>
          <w:ilvl w:val="0"/>
          <w:numId w:val="2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ADSs withheld to satisfy tax withholding amounts due from employees related to the receipt of ADS which resulted from the exercise or vesting of equity awards.</w:t>
      </w:r>
    </w:p>
    <w:p>
      <w:pPr>
        <w:spacing w:after="0" w:line="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53" w:right="419" w:bottom="1440" w:gutter="0" w:footer="0" w:header="0"/>
        </w:sectPr>
      </w:pPr>
    </w:p>
    <w:bookmarkStart w:id="40" w:name="page41"/>
    <w:bookmarkEnd w:id="40"/>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None of our officers or directors, as defined in Rule 16a-1(f), adopted, modified, or terminated a “Rule 10b5-1 trading arrangement” or a “non-Rule 10b5-1 trading arrangement,” as defined in Item 408 of Regulation S-K, during the three months ended June 30, 2025.</w:t>
      </w:r>
    </w:p>
    <w:p>
      <w:pPr>
        <w:jc w:val="center"/>
        <w:ind w:right="-7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5" w:right="4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exhibits are incorporated by reference or filed or furnished as part of this report.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4440" w:type="dxa"/>
            <w:vAlign w:val="bottom"/>
          </w:tcPr>
          <w:p>
            <w:pPr>
              <w:ind w:left="1980"/>
              <w:spacing w:after="0"/>
              <w:rPr>
                <w:sz w:val="20"/>
                <w:szCs w:val="20"/>
                <w:color w:val="auto"/>
              </w:rPr>
            </w:pPr>
            <w:r>
              <w:rPr>
                <w:rFonts w:ascii="Times New Roman" w:cs="Times New Roman" w:eastAsia="Times New Roman" w:hAnsi="Times New Roman"/>
                <w:sz w:val="14"/>
                <w:szCs w:val="14"/>
                <w:b w:val="1"/>
                <w:bCs w:val="1"/>
                <w:color w:val="auto"/>
              </w:rPr>
              <w:t>Incorporated by Reference Herein</w:t>
            </w: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vMerge w:val="restart"/>
          </w:tcPr>
          <w:p>
            <w:pPr>
              <w:spacing w:after="0"/>
              <w:rPr>
                <w:sz w:val="2"/>
                <w:szCs w:val="2"/>
                <w:color w:val="auto"/>
              </w:rPr>
            </w:pPr>
          </w:p>
        </w:tc>
        <w:tc>
          <w:tcPr>
            <w:tcW w:w="4480" w:type="dxa"/>
            <w:vAlign w:val="bottom"/>
            <w:vMerge w:val="restart"/>
          </w:tcPr>
          <w:p>
            <w:pPr>
              <w:ind w:left="18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4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66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4480" w:type="dxa"/>
            <w:vAlign w:val="bottom"/>
            <w:tcBorders>
              <w:bottom w:val="single" w:sz="8" w:color="auto"/>
            </w:tcBorders>
            <w:vMerge w:val="continue"/>
          </w:tcPr>
          <w:p>
            <w:pPr>
              <w:spacing w:after="0"/>
              <w:rPr>
                <w:sz w:val="12"/>
                <w:szCs w:val="12"/>
                <w:color w:val="auto"/>
              </w:rPr>
            </w:pPr>
          </w:p>
        </w:tc>
        <w:tc>
          <w:tcPr>
            <w:tcW w:w="4440" w:type="dxa"/>
            <w:vAlign w:val="bottom"/>
            <w:tcBorders>
              <w:bottom w:val="single" w:sz="8" w:color="auto"/>
            </w:tcBorders>
          </w:tcPr>
          <w:p>
            <w:pPr>
              <w:ind w:left="1740"/>
              <w:spacing w:after="0" w:line="142" w:lineRule="exact"/>
              <w:rPr>
                <w:sz w:val="20"/>
                <w:szCs w:val="20"/>
                <w:color w:val="auto"/>
              </w:rPr>
            </w:pPr>
            <w:r>
              <w:rPr>
                <w:rFonts w:ascii="Times New Roman" w:cs="Times New Roman" w:eastAsia="Times New Roman" w:hAnsi="Times New Roman"/>
                <w:sz w:val="14"/>
                <w:szCs w:val="14"/>
                <w:b w:val="1"/>
                <w:bCs w:val="1"/>
                <w:color w:val="auto"/>
              </w:rPr>
              <w:t>Form</w:t>
            </w:r>
          </w:p>
        </w:tc>
        <w:tc>
          <w:tcPr>
            <w:tcW w:w="1540" w:type="dxa"/>
            <w:vAlign w:val="bottom"/>
            <w:tcBorders>
              <w:bottom w:val="single" w:sz="8" w:color="auto"/>
            </w:tcBorders>
          </w:tcPr>
          <w:p>
            <w:pPr>
              <w:ind w:left="320"/>
              <w:spacing w:after="0" w:line="142" w:lineRule="exact"/>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bl>
    <w:p>
      <w:pPr>
        <w:spacing w:after="0" w:line="103" w:lineRule="exact"/>
        <w:rPr>
          <w:sz w:val="20"/>
          <w:szCs w:val="20"/>
          <w:color w:val="auto"/>
        </w:rPr>
      </w:pPr>
    </w:p>
    <w:p>
      <w:pPr>
        <w:sectPr>
          <w:pgSz w:w="11900" w:h="16838" w:orient="portrait"/>
          <w:cols w:equalWidth="0" w:num="1">
            <w:col w:w="11240"/>
          </w:cols>
          <w:pgMar w:left="320" w:top="1305" w:right="339" w:bottom="1440" w:gutter="0" w:footer="0" w:header="0"/>
        </w:sectPr>
      </w:pPr>
    </w:p>
    <w:p>
      <w:pPr>
        <w:ind w:left="780" w:hanging="679"/>
        <w:spacing w:after="0" w:line="258" w:lineRule="auto"/>
        <w:tabs>
          <w:tab w:leader="none" w:pos="760" w:val="left"/>
        </w:tabs>
        <w:rPr>
          <w:rFonts w:ascii="Times New Roman" w:cs="Times New Roman" w:eastAsia="Times New Roman" w:hAnsi="Times New Roman"/>
          <w:sz w:val="18"/>
          <w:szCs w:val="18"/>
          <w:u w:val="single" w:color="auto"/>
          <w:color w:val="0000FF"/>
        </w:rPr>
      </w:pPr>
      <w:hyperlink r:id="rId243">
        <w:r>
          <w:rPr>
            <w:rFonts w:ascii="Times New Roman" w:cs="Times New Roman" w:eastAsia="Times New Roman" w:hAnsi="Times New Roman"/>
            <w:sz w:val="18"/>
            <w:szCs w:val="18"/>
            <w:u w:val="single" w:color="auto"/>
            <w:color w:val="0000FF"/>
          </w:rPr>
          <w:t>4.1</w:t>
        </w:r>
      </w:hyperlink>
      <w:r>
        <w:rPr>
          <w:rFonts w:ascii="Times New Roman" w:cs="Times New Roman" w:eastAsia="Times New Roman" w:hAnsi="Times New Roman"/>
          <w:sz w:val="18"/>
          <w:szCs w:val="18"/>
          <w:u w:val="single" w:color="auto"/>
          <w:color w:val="0000FF"/>
        </w:rPr>
        <w:tab/>
      </w:r>
      <w:hyperlink r:id="rId243">
        <w:r>
          <w:rPr>
            <w:rFonts w:ascii="Times New Roman" w:cs="Times New Roman" w:eastAsia="Times New Roman" w:hAnsi="Times New Roman"/>
            <w:sz w:val="18"/>
            <w:szCs w:val="18"/>
            <w:u w:val="single" w:color="auto"/>
            <w:color w:val="0000FF"/>
          </w:rPr>
          <w:t>Form of Amendment No. 1 to the Amended and Restated</w:t>
        </w:r>
      </w:hyperlink>
      <w:r>
        <w:rPr>
          <w:rFonts w:ascii="Times New Roman" w:cs="Times New Roman" w:eastAsia="Times New Roman" w:hAnsi="Times New Roman"/>
          <w:sz w:val="18"/>
          <w:szCs w:val="18"/>
          <w:u w:val="single" w:color="auto"/>
          <w:color w:val="0000FF"/>
        </w:rPr>
        <w:t xml:space="preserve"> </w:t>
      </w:r>
      <w:hyperlink r:id="rId243">
        <w:r>
          <w:rPr>
            <w:rFonts w:ascii="Times New Roman" w:cs="Times New Roman" w:eastAsia="Times New Roman" w:hAnsi="Times New Roman"/>
            <w:sz w:val="18"/>
            <w:szCs w:val="18"/>
            <w:u w:val="single" w:color="auto"/>
            <w:color w:val="0000FF"/>
          </w:rPr>
          <w:t>Depositary Agreement, by and among Amarin Corporation</w:t>
        </w:r>
      </w:hyperlink>
      <w:r>
        <w:rPr>
          <w:rFonts w:ascii="Times New Roman" w:cs="Times New Roman" w:eastAsia="Times New Roman" w:hAnsi="Times New Roman"/>
          <w:sz w:val="18"/>
          <w:szCs w:val="18"/>
          <w:u w:val="single" w:color="auto"/>
          <w:color w:val="0000FF"/>
        </w:rPr>
        <w:t xml:space="preserve"> </w:t>
      </w:r>
      <w:hyperlink r:id="rId243">
        <w:r>
          <w:rPr>
            <w:rFonts w:ascii="Times New Roman" w:cs="Times New Roman" w:eastAsia="Times New Roman" w:hAnsi="Times New Roman"/>
            <w:sz w:val="18"/>
            <w:szCs w:val="18"/>
            <w:u w:val="single" w:color="auto"/>
            <w:color w:val="0000FF"/>
          </w:rPr>
          <w:t>plc, Citibank, N.A., as depositary, and all Holders and</w:t>
        </w:r>
      </w:hyperlink>
      <w:r>
        <w:rPr>
          <w:rFonts w:ascii="Times New Roman" w:cs="Times New Roman" w:eastAsia="Times New Roman" w:hAnsi="Times New Roman"/>
          <w:sz w:val="18"/>
          <w:szCs w:val="18"/>
          <w:u w:val="single" w:color="auto"/>
          <w:color w:val="0000FF"/>
        </w:rPr>
        <w:t xml:space="preserve"> </w:t>
      </w:r>
      <w:hyperlink r:id="rId243">
        <w:r>
          <w:rPr>
            <w:rFonts w:ascii="Times New Roman" w:cs="Times New Roman" w:eastAsia="Times New Roman" w:hAnsi="Times New Roman"/>
            <w:sz w:val="18"/>
            <w:szCs w:val="18"/>
            <w:u w:val="single" w:color="auto"/>
            <w:color w:val="0000FF"/>
          </w:rPr>
          <w:t>Beneficial Owners of American Depositary Shares issued</w:t>
        </w:r>
      </w:hyperlink>
      <w:r>
        <w:rPr>
          <w:rFonts w:ascii="Times New Roman" w:cs="Times New Roman" w:eastAsia="Times New Roman" w:hAnsi="Times New Roman"/>
          <w:sz w:val="18"/>
          <w:szCs w:val="18"/>
          <w:u w:val="single" w:color="auto"/>
          <w:color w:val="0000FF"/>
        </w:rPr>
        <w:t xml:space="preserve"> </w:t>
      </w:r>
      <w:hyperlink r:id="rId243">
        <w:r>
          <w:rPr>
            <w:rFonts w:ascii="Times New Roman" w:cs="Times New Roman" w:eastAsia="Times New Roman" w:hAnsi="Times New Roman"/>
            <w:sz w:val="18"/>
            <w:szCs w:val="18"/>
            <w:u w:val="single" w:color="auto"/>
            <w:color w:val="0000FF"/>
          </w:rPr>
          <w:t>thereunder</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62230</wp:posOffset>
            </wp:positionH>
            <wp:positionV relativeFrom="paragraph">
              <wp:posOffset>-582930</wp:posOffset>
            </wp:positionV>
            <wp:extent cx="308102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308102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wp:posOffset>
            </wp:positionH>
            <wp:positionV relativeFrom="paragraph">
              <wp:posOffset>-445770</wp:posOffset>
            </wp:positionV>
            <wp:extent cx="272859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272859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wp:posOffset>
            </wp:positionH>
            <wp:positionV relativeFrom="paragraph">
              <wp:posOffset>-308610</wp:posOffset>
            </wp:positionV>
            <wp:extent cx="250317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250317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wp:posOffset>
            </wp:positionH>
            <wp:positionV relativeFrom="paragraph">
              <wp:posOffset>-171450</wp:posOffset>
            </wp:positionV>
            <wp:extent cx="266192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266192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wp:posOffset>
            </wp:positionH>
            <wp:positionV relativeFrom="paragraph">
              <wp:posOffset>-34290</wp:posOffset>
            </wp:positionV>
            <wp:extent cx="48831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tabs>
          <w:tab w:leader="none" w:pos="3720" w:val="left"/>
        </w:tabs>
        <w:rPr>
          <w:sz w:val="20"/>
          <w:szCs w:val="20"/>
          <w:color w:val="auto"/>
        </w:rPr>
      </w:pPr>
      <w:r>
        <w:rPr>
          <w:rFonts w:ascii="Times New Roman" w:cs="Times New Roman" w:eastAsia="Times New Roman" w:hAnsi="Times New Roman"/>
          <w:sz w:val="18"/>
          <w:szCs w:val="18"/>
          <w:color w:val="auto"/>
        </w:rPr>
        <w:t>Registration Statement on Form F-6 POS, as</w:t>
      </w:r>
      <w:r>
        <w:rPr>
          <w:sz w:val="20"/>
          <w:szCs w:val="20"/>
          <w:color w:val="auto"/>
        </w:rPr>
        <w:tab/>
      </w:r>
      <w:r>
        <w:rPr>
          <w:rFonts w:ascii="Times New Roman" w:cs="Times New Roman" w:eastAsia="Times New Roman" w:hAnsi="Times New Roman"/>
          <w:sz w:val="17"/>
          <w:szCs w:val="17"/>
          <w:color w:val="auto"/>
        </w:rPr>
        <w:t>March 12, 2025</w:t>
      </w:r>
    </w:p>
    <w:p>
      <w:pPr>
        <w:spacing w:after="0" w:line="27"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color w:val="auto"/>
        </w:rPr>
        <w:t>Exhibit (a)(i)</w:t>
      </w:r>
    </w:p>
    <w:p>
      <w:pPr>
        <w:spacing w:after="0" w:line="747"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5020" w:space="340"/>
            <w:col w:w="5880"/>
          </w:cols>
          <w:pgMar w:left="320" w:top="1305"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420" w:type="dxa"/>
            <w:vAlign w:val="bottom"/>
            <w:gridSpan w:val="2"/>
          </w:tcPr>
          <w:p>
            <w:pPr>
              <w:jc w:val="center"/>
              <w:ind w:left="10"/>
              <w:spacing w:after="0"/>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hyperlink>
          </w:p>
        </w:tc>
        <w:tc>
          <w:tcPr>
            <w:tcW w:w="380" w:type="dxa"/>
            <w:vAlign w:val="bottom"/>
          </w:tcPr>
          <w:p>
            <w:pPr>
              <w:spacing w:after="0"/>
              <w:rPr>
                <w:sz w:val="17"/>
                <w:szCs w:val="17"/>
                <w:color w:val="auto"/>
              </w:rPr>
            </w:pPr>
          </w:p>
        </w:tc>
        <w:tc>
          <w:tcPr>
            <w:tcW w:w="4360" w:type="dxa"/>
            <w:vAlign w:val="bottom"/>
            <w:gridSpan w:val="12"/>
          </w:tcPr>
          <w:p>
            <w:pPr>
              <w:spacing w:after="0"/>
              <w:rPr>
                <w:rFonts w:ascii="Times New Roman" w:cs="Times New Roman" w:eastAsia="Times New Roman" w:hAnsi="Times New Roman"/>
                <w:sz w:val="18"/>
                <w:szCs w:val="18"/>
                <w:color w:val="0000FF"/>
                <w:w w:val="98"/>
              </w:rPr>
            </w:pPr>
            <w:hyperlink r:id="rId249">
              <w:r>
                <w:rPr>
                  <w:rFonts w:ascii="Times New Roman" w:cs="Times New Roman" w:eastAsia="Times New Roman" w:hAnsi="Times New Roman"/>
                  <w:sz w:val="18"/>
                  <w:szCs w:val="18"/>
                  <w:color w:val="0000FF"/>
                  <w:w w:val="98"/>
                </w:rPr>
                <w:t>License and Supply Agreement, dated June 20, 2025, by and</w:t>
              </w:r>
            </w:hyperlink>
          </w:p>
        </w:tc>
        <w:tc>
          <w:tcPr>
            <w:tcW w:w="3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Report on Form 8-K as Exhibit 10.1</w:t>
            </w:r>
          </w:p>
        </w:tc>
        <w:tc>
          <w:tcPr>
            <w:tcW w:w="12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7"/>
              </w:rPr>
              <w:t>June 24, 2025</w:t>
            </w:r>
          </w:p>
        </w:tc>
      </w:tr>
      <w:tr>
        <w:trPr>
          <w:trHeight w:val="20"/>
        </w:trPr>
        <w:tc>
          <w:tcPr>
            <w:tcW w:w="1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60" w:type="dxa"/>
            <w:vAlign w:val="bottom"/>
            <w:tcBorders>
              <w:left w:val="single" w:sz="8" w:color="0000FF"/>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360" w:type="dxa"/>
            <w:vAlign w:val="bottom"/>
            <w:gridSpan w:val="12"/>
          </w:tcPr>
          <w:p>
            <w:pPr>
              <w:spacing w:after="0" w:line="196" w:lineRule="exact"/>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color w:val="0000FF"/>
                </w:rPr>
                <w:t>between Amarin Pharmaceuticals Ireland Limited and</w:t>
              </w:r>
            </w:hyperlink>
          </w:p>
        </w:tc>
        <w:tc>
          <w:tcPr>
            <w:tcW w:w="36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360" w:type="dxa"/>
            <w:vAlign w:val="bottom"/>
            <w:gridSpan w:val="12"/>
          </w:tcPr>
          <w:p>
            <w:pPr>
              <w:spacing w:after="0" w:line="196" w:lineRule="exact"/>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color w:val="0000FF"/>
                </w:rPr>
                <w:t>Recordati Industria Chimica e Farmaceutica S.p.A.**</w:t>
              </w:r>
            </w:hyperlink>
          </w:p>
        </w:tc>
        <w:tc>
          <w:tcPr>
            <w:tcW w:w="36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318"/>
        </w:trPr>
        <w:tc>
          <w:tcPr>
            <w:tcW w:w="4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p>
        </w:tc>
        <w:tc>
          <w:tcPr>
            <w:tcW w:w="380" w:type="dxa"/>
            <w:vAlign w:val="bottom"/>
          </w:tcPr>
          <w:p>
            <w:pPr>
              <w:spacing w:after="0"/>
              <w:rPr>
                <w:sz w:val="24"/>
                <w:szCs w:val="24"/>
                <w:color w:val="auto"/>
              </w:rPr>
            </w:pPr>
          </w:p>
        </w:tc>
        <w:tc>
          <w:tcPr>
            <w:tcW w:w="43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Amended and Restated Non-Employee Director</w:t>
            </w:r>
          </w:p>
        </w:tc>
        <w:tc>
          <w:tcPr>
            <w:tcW w:w="3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Filed herewith</w:t>
            </w:r>
          </w:p>
        </w:tc>
        <w:tc>
          <w:tcPr>
            <w:tcW w:w="128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3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Compensation Policy</w:t>
            </w:r>
          </w:p>
        </w:tc>
        <w:tc>
          <w:tcPr>
            <w:tcW w:w="36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318"/>
        </w:trPr>
        <w:tc>
          <w:tcPr>
            <w:tcW w:w="4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w:t>
            </w:r>
          </w:p>
        </w:tc>
        <w:tc>
          <w:tcPr>
            <w:tcW w:w="380" w:type="dxa"/>
            <w:vAlign w:val="bottom"/>
          </w:tcPr>
          <w:p>
            <w:pPr>
              <w:spacing w:after="0"/>
              <w:rPr>
                <w:sz w:val="24"/>
                <w:szCs w:val="24"/>
                <w:color w:val="auto"/>
              </w:rPr>
            </w:pPr>
          </w:p>
        </w:tc>
        <w:tc>
          <w:tcPr>
            <w:tcW w:w="43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Form of Deed of Indemnity††</w:t>
            </w:r>
          </w:p>
        </w:tc>
        <w:tc>
          <w:tcPr>
            <w:tcW w:w="3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Filed herewith</w:t>
            </w:r>
          </w:p>
        </w:tc>
        <w:tc>
          <w:tcPr>
            <w:tcW w:w="1280" w:type="dxa"/>
            <w:vAlign w:val="bottom"/>
          </w:tcPr>
          <w:p>
            <w:pPr>
              <w:spacing w:after="0"/>
              <w:rPr>
                <w:sz w:val="24"/>
                <w:szCs w:val="24"/>
                <w:color w:val="auto"/>
              </w:rPr>
            </w:pPr>
          </w:p>
        </w:tc>
      </w:tr>
      <w:tr>
        <w:trPr>
          <w:trHeight w:val="20"/>
        </w:trPr>
        <w:tc>
          <w:tcPr>
            <w:tcW w:w="12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318"/>
        </w:trPr>
        <w:tc>
          <w:tcPr>
            <w:tcW w:w="4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380" w:type="dxa"/>
            <w:vAlign w:val="bottom"/>
          </w:tcPr>
          <w:p>
            <w:pPr>
              <w:spacing w:after="0"/>
              <w:rPr>
                <w:sz w:val="24"/>
                <w:szCs w:val="24"/>
                <w:color w:val="auto"/>
              </w:rPr>
            </w:pPr>
          </w:p>
        </w:tc>
        <w:tc>
          <w:tcPr>
            <w:tcW w:w="43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President and Chief Executive Officer</w:t>
            </w:r>
          </w:p>
        </w:tc>
        <w:tc>
          <w:tcPr>
            <w:tcW w:w="3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Filed herewith</w:t>
            </w:r>
          </w:p>
        </w:tc>
        <w:tc>
          <w:tcPr>
            <w:tcW w:w="128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3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(Principal Executive Officer) pursuant to Section 302 of</w:t>
            </w:r>
          </w:p>
        </w:tc>
        <w:tc>
          <w:tcPr>
            <w:tcW w:w="36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3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36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
        </w:trPr>
        <w:tc>
          <w:tcPr>
            <w:tcW w:w="420" w:type="dxa"/>
            <w:vAlign w:val="bottom"/>
            <w:gridSpan w:val="2"/>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EE"/>
            </w:tcBorders>
            <w:gridSpan w:val="2"/>
            <w:shd w:val="clear" w:color="auto" w:fill="0000FF"/>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318"/>
        </w:trPr>
        <w:tc>
          <w:tcPr>
            <w:tcW w:w="4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380" w:type="dxa"/>
            <w:vAlign w:val="bottom"/>
          </w:tcPr>
          <w:p>
            <w:pPr>
              <w:spacing w:after="0"/>
              <w:rPr>
                <w:sz w:val="24"/>
                <w:szCs w:val="24"/>
                <w:color w:val="auto"/>
              </w:rPr>
            </w:pPr>
          </w:p>
        </w:tc>
        <w:tc>
          <w:tcPr>
            <w:tcW w:w="43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Vice President and Global Controller</w:t>
            </w:r>
          </w:p>
        </w:tc>
        <w:tc>
          <w:tcPr>
            <w:tcW w:w="3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Filed herewith</w:t>
            </w:r>
          </w:p>
        </w:tc>
        <w:tc>
          <w:tcPr>
            <w:tcW w:w="128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2460" w:type="dxa"/>
            <w:vAlign w:val="bottom"/>
            <w:gridSpan w:val="5"/>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3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(Principal Financial Officer and Principal Accounting</w:t>
            </w:r>
          </w:p>
        </w:tc>
        <w:tc>
          <w:tcPr>
            <w:tcW w:w="36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2460" w:type="dxa"/>
            <w:vAlign w:val="bottom"/>
            <w:gridSpan w:val="5"/>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3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Officer) pursuant to Section 302 of Sarbanes-Oxley Act of</w:t>
            </w:r>
          </w:p>
        </w:tc>
        <w:tc>
          <w:tcPr>
            <w:tcW w:w="36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FF"/>
                <w:w w:val="88"/>
              </w:rPr>
              <w:t>2002</w:t>
            </w: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
        </w:trPr>
        <w:tc>
          <w:tcPr>
            <w:tcW w:w="420" w:type="dxa"/>
            <w:vAlign w:val="bottom"/>
            <w:gridSpan w:val="2"/>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60" w:type="dxa"/>
            <w:vAlign w:val="bottom"/>
            <w:gridSpan w:val="5"/>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318"/>
        </w:trPr>
        <w:tc>
          <w:tcPr>
            <w:tcW w:w="4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380" w:type="dxa"/>
            <w:vAlign w:val="bottom"/>
          </w:tcPr>
          <w:p>
            <w:pPr>
              <w:spacing w:after="0"/>
              <w:rPr>
                <w:sz w:val="24"/>
                <w:szCs w:val="24"/>
                <w:color w:val="auto"/>
              </w:rPr>
            </w:pPr>
          </w:p>
        </w:tc>
        <w:tc>
          <w:tcPr>
            <w:tcW w:w="43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President and Chief Executive Officer</w:t>
            </w:r>
          </w:p>
        </w:tc>
        <w:tc>
          <w:tcPr>
            <w:tcW w:w="3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Filed herewith</w:t>
            </w:r>
          </w:p>
        </w:tc>
        <w:tc>
          <w:tcPr>
            <w:tcW w:w="128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2460" w:type="dxa"/>
            <w:vAlign w:val="bottom"/>
            <w:gridSpan w:val="5"/>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3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w w:val="99"/>
              </w:rPr>
              <w:t>(Principal Executive Officer) and Vice President and Global</w:t>
            </w:r>
          </w:p>
        </w:tc>
        <w:tc>
          <w:tcPr>
            <w:tcW w:w="36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2460" w:type="dxa"/>
            <w:vAlign w:val="bottom"/>
            <w:gridSpan w:val="5"/>
            <w:shd w:val="clear" w:color="auto" w:fill="0000FF"/>
          </w:tcPr>
          <w:p>
            <w:pPr>
              <w:spacing w:after="0" w:line="20" w:lineRule="exact"/>
              <w:rPr>
                <w:sz w:val="1"/>
                <w:szCs w:val="1"/>
                <w:color w:val="auto"/>
              </w:rPr>
            </w:pPr>
          </w:p>
        </w:tc>
        <w:tc>
          <w:tcPr>
            <w:tcW w:w="340" w:type="dxa"/>
            <w:vAlign w:val="bottom"/>
            <w:tcBorders>
              <w:left w:val="single" w:sz="8" w:color="0000FF"/>
            </w:tcBorders>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3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Controller (Principal Financial Officer and Principal</w:t>
            </w:r>
          </w:p>
        </w:tc>
        <w:tc>
          <w:tcPr>
            <w:tcW w:w="36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2460" w:type="dxa"/>
            <w:vAlign w:val="bottom"/>
            <w:gridSpan w:val="5"/>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3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Accounting Officer) pursuant to Section 906 of Sarbanes-</w:t>
            </w:r>
          </w:p>
        </w:tc>
        <w:tc>
          <w:tcPr>
            <w:tcW w:w="36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2800" w:type="dxa"/>
            <w:vAlign w:val="bottom"/>
            <w:gridSpan w:val="8"/>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3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36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
        </w:trPr>
        <w:tc>
          <w:tcPr>
            <w:tcW w:w="800" w:type="dxa"/>
            <w:vAlign w:val="bottom"/>
            <w:tcBorders>
              <w:right w:val="single" w:sz="8" w:color="0000EE"/>
            </w:tcBorders>
            <w:gridSpan w:val="3"/>
          </w:tcPr>
          <w:p>
            <w:pPr>
              <w:spacing w:after="0" w:line="20" w:lineRule="exact"/>
              <w:rPr>
                <w:sz w:val="1"/>
                <w:szCs w:val="1"/>
                <w:color w:val="auto"/>
              </w:rPr>
            </w:pPr>
          </w:p>
        </w:tc>
        <w:tc>
          <w:tcPr>
            <w:tcW w:w="1340" w:type="dxa"/>
            <w:vAlign w:val="bottom"/>
            <w:tcBorders>
              <w:right w:val="single" w:sz="8" w:color="0000EE"/>
            </w:tcBorders>
            <w:gridSpan w:val="2"/>
            <w:shd w:val="clear" w:color="auto" w:fill="0000FF"/>
          </w:tcPr>
          <w:p>
            <w:pPr>
              <w:spacing w:after="0" w:line="20" w:lineRule="exact"/>
              <w:rPr>
                <w:sz w:val="1"/>
                <w:szCs w:val="1"/>
                <w:color w:val="auto"/>
              </w:rPr>
            </w:pPr>
          </w:p>
        </w:tc>
        <w:tc>
          <w:tcPr>
            <w:tcW w:w="3020" w:type="dxa"/>
            <w:vAlign w:val="bottom"/>
            <w:gridSpan w:val="1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340"/>
        </w:trPr>
        <w:tc>
          <w:tcPr>
            <w:tcW w:w="8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rPr>
              <w:t>101.SC</w:t>
            </w:r>
          </w:p>
        </w:tc>
        <w:tc>
          <w:tcPr>
            <w:tcW w:w="43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3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Filed herewith</w:t>
            </w:r>
          </w:p>
        </w:tc>
        <w:tc>
          <w:tcPr>
            <w:tcW w:w="1280" w:type="dxa"/>
            <w:vAlign w:val="bottom"/>
          </w:tcPr>
          <w:p>
            <w:pPr>
              <w:spacing w:after="0"/>
              <w:rPr>
                <w:sz w:val="24"/>
                <w:szCs w:val="24"/>
                <w:color w:val="auto"/>
              </w:rPr>
            </w:pPr>
          </w:p>
        </w:tc>
      </w:tr>
      <w:tr>
        <w:trPr>
          <w:trHeight w:val="234"/>
        </w:trPr>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w:t>
            </w: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8"/>
        </w:trPr>
        <w:tc>
          <w:tcPr>
            <w:tcW w:w="8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101.CA</w:t>
            </w:r>
          </w:p>
        </w:tc>
        <w:tc>
          <w:tcPr>
            <w:tcW w:w="43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3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Filed herewith</w:t>
            </w:r>
          </w:p>
        </w:tc>
        <w:tc>
          <w:tcPr>
            <w:tcW w:w="1280" w:type="dxa"/>
            <w:vAlign w:val="bottom"/>
          </w:tcPr>
          <w:p>
            <w:pPr>
              <w:spacing w:after="0"/>
              <w:rPr>
                <w:sz w:val="24"/>
                <w:szCs w:val="24"/>
                <w:color w:val="auto"/>
              </w:rPr>
            </w:pPr>
          </w:p>
        </w:tc>
      </w:tr>
    </w:tbl>
    <w:p>
      <w:pPr>
        <w:ind w:left="780" w:hanging="772"/>
        <w:spacing w:after="0"/>
        <w:tabs>
          <w:tab w:leader="none" w:pos="7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101.DE</w:t>
            </w: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126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F</w:t>
            </w: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Document</w:t>
            </w:r>
          </w:p>
        </w:tc>
        <w:tc>
          <w:tcPr>
            <w:tcW w:w="1260" w:type="dxa"/>
            <w:vAlign w:val="bottom"/>
          </w:tcPr>
          <w:p>
            <w:pPr>
              <w:spacing w:after="0"/>
              <w:rPr>
                <w:sz w:val="20"/>
                <w:szCs w:val="20"/>
                <w:color w:val="auto"/>
              </w:rPr>
            </w:pPr>
          </w:p>
        </w:tc>
      </w:tr>
      <w:tr>
        <w:trPr>
          <w:trHeight w:val="319"/>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101.LA</w:t>
            </w: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126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Document</w:t>
            </w:r>
          </w:p>
        </w:tc>
        <w:tc>
          <w:tcPr>
            <w:tcW w:w="1260" w:type="dxa"/>
            <w:vAlign w:val="bottom"/>
          </w:tcPr>
          <w:p>
            <w:pPr>
              <w:spacing w:after="0"/>
              <w:rPr>
                <w:sz w:val="20"/>
                <w:szCs w:val="20"/>
                <w:color w:val="auto"/>
              </w:rPr>
            </w:pPr>
          </w:p>
        </w:tc>
      </w:tr>
      <w:tr>
        <w:trPr>
          <w:trHeight w:val="319"/>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126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34"/>
        </w:trPr>
        <w:tc>
          <w:tcPr>
            <w:tcW w:w="720" w:type="dxa"/>
            <w:vAlign w:val="bottom"/>
          </w:tcPr>
          <w:p>
            <w:pPr>
              <w:spacing w:after="0"/>
              <w:rPr>
                <w:sz w:val="20"/>
                <w:szCs w:val="20"/>
                <w:color w:val="auto"/>
              </w:rPr>
            </w:pP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Document</w:t>
            </w:r>
          </w:p>
        </w:tc>
        <w:tc>
          <w:tcPr>
            <w:tcW w:w="1260" w:type="dxa"/>
            <w:vAlign w:val="bottom"/>
          </w:tcPr>
          <w:p>
            <w:pPr>
              <w:spacing w:after="0"/>
              <w:rPr>
                <w:sz w:val="20"/>
                <w:szCs w:val="20"/>
                <w:color w:val="auto"/>
              </w:rPr>
            </w:pPr>
          </w:p>
        </w:tc>
      </w:tr>
      <w:tr>
        <w:trPr>
          <w:trHeight w:val="319"/>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Cover Page Interactive Data File</w:t>
            </w:r>
          </w:p>
        </w:tc>
        <w:tc>
          <w:tcPr>
            <w:tcW w:w="126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16"/>
        </w:trPr>
        <w:tc>
          <w:tcPr>
            <w:tcW w:w="720" w:type="dxa"/>
            <w:vAlign w:val="bottom"/>
          </w:tcPr>
          <w:p>
            <w:pPr>
              <w:spacing w:after="0"/>
              <w:rPr>
                <w:sz w:val="18"/>
                <w:szCs w:val="18"/>
                <w:color w:val="auto"/>
              </w:rPr>
            </w:pP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(formatted as inline XBRL with applicable taxonomy</w:t>
            </w:r>
          </w:p>
        </w:tc>
        <w:tc>
          <w:tcPr>
            <w:tcW w:w="1260" w:type="dxa"/>
            <w:vAlign w:val="bottom"/>
          </w:tcPr>
          <w:p>
            <w:pPr>
              <w:spacing w:after="0"/>
              <w:rPr>
                <w:sz w:val="18"/>
                <w:szCs w:val="18"/>
                <w:color w:val="auto"/>
              </w:rPr>
            </w:pPr>
          </w:p>
        </w:tc>
      </w:tr>
      <w:tr>
        <w:trPr>
          <w:trHeight w:val="234"/>
        </w:trPr>
        <w:tc>
          <w:tcPr>
            <w:tcW w:w="720" w:type="dxa"/>
            <w:vAlign w:val="bottom"/>
          </w:tcPr>
          <w:p>
            <w:pPr>
              <w:spacing w:after="0"/>
              <w:rPr>
                <w:sz w:val="20"/>
                <w:szCs w:val="20"/>
                <w:color w:val="auto"/>
              </w:rPr>
            </w:pP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extension information contained in Exhibits 101.*)</w:t>
            </w:r>
          </w:p>
        </w:tc>
        <w:tc>
          <w:tcPr>
            <w:tcW w:w="1260" w:type="dxa"/>
            <w:vAlign w:val="bottom"/>
          </w:tcPr>
          <w:p>
            <w:pPr>
              <w:spacing w:after="0"/>
              <w:rPr>
                <w:sz w:val="20"/>
                <w:szCs w:val="20"/>
                <w:color w:val="auto"/>
              </w:rPr>
            </w:pPr>
          </w:p>
        </w:tc>
      </w:tr>
    </w:tbl>
    <w:p>
      <w:pPr>
        <w:spacing w:after="0" w:line="198" w:lineRule="exact"/>
        <w:rPr>
          <w:sz w:val="20"/>
          <w:szCs w:val="20"/>
          <w:color w:val="auto"/>
        </w:rPr>
      </w:pPr>
    </w:p>
    <w:p>
      <w:pPr>
        <w:ind w:left="760" w:right="280" w:hanging="752"/>
        <w:spacing w:after="0" w:line="261" w:lineRule="auto"/>
        <w:tabs>
          <w:tab w:leader="none" w:pos="37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omitted pursuant to Item 601(b)(10) of Regulation S-K. The Company will supplementally furnish an unredacted copy of the exhibit upon request by Securities and Exchange Commission.</w:t>
      </w: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Management contract, compensatory plan or arrangement.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type w:val="continuous"/>
        </w:sectPr>
      </w:pPr>
    </w:p>
    <w:bookmarkStart w:id="42" w:name="page43"/>
    <w:bookmarkEnd w:id="42"/>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AMARIN CORPORATION PLC</w:t>
      </w:r>
    </w:p>
    <w:p>
      <w:pPr>
        <w:spacing w:after="0" w:line="252"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Aaron 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1">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Aaron Berg</w:t>
      </w:r>
    </w:p>
    <w:p>
      <w:pPr>
        <w:spacing w:after="0" w:line="220"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9"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(On behalf of the Registrant)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30, 2025</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AMARIN CORPORATION PLC</w:t>
      </w:r>
    </w:p>
    <w:p>
      <w:pPr>
        <w:spacing w:after="0" w:line="252"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Peter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2">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Peter Fishman</w:t>
      </w:r>
    </w:p>
    <w:p>
      <w:pPr>
        <w:spacing w:after="0" w:line="220"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9"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(On behalf of the Registrant)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30, 2025</w:t>
      </w:r>
    </w:p>
    <w:p>
      <w:pPr>
        <w:spacing w:after="0" w:line="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305" w:right="51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129"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8680" w:type="dxa"/>
            <w:vAlign w:val="bottom"/>
          </w:tcPr>
          <w:p>
            <w:pPr>
              <w:jc w:val="center"/>
              <w:ind w:left="2432"/>
              <w:spacing w:after="0"/>
              <w:rPr>
                <w:sz w:val="20"/>
                <w:szCs w:val="20"/>
                <w:color w:val="auto"/>
              </w:rPr>
            </w:pPr>
            <w:r>
              <w:rPr>
                <w:rFonts w:ascii="Times New Roman" w:cs="Times New Roman" w:eastAsia="Times New Roman" w:hAnsi="Times New Roman"/>
                <w:sz w:val="22"/>
                <w:szCs w:val="22"/>
                <w:b w:val="1"/>
                <w:bCs w:val="1"/>
                <w:color w:val="auto"/>
                <w:w w:val="98"/>
              </w:rPr>
              <w:t>AMENDED AND RESTATED</w:t>
            </w:r>
          </w:p>
        </w:tc>
        <w:tc>
          <w:tcPr>
            <w:tcW w:w="2440" w:type="dxa"/>
            <w:vAlign w:val="bottom"/>
          </w:tcPr>
          <w:p>
            <w:pPr>
              <w:spacing w:after="0"/>
              <w:rPr>
                <w:sz w:val="22"/>
                <w:szCs w:val="22"/>
                <w:color w:val="auto"/>
              </w:rPr>
            </w:pPr>
          </w:p>
        </w:tc>
      </w:tr>
      <w:tr>
        <w:trPr>
          <w:trHeight w:val="286"/>
        </w:trPr>
        <w:tc>
          <w:tcPr>
            <w:tcW w:w="8680" w:type="dxa"/>
            <w:vAlign w:val="bottom"/>
          </w:tcPr>
          <w:p>
            <w:pPr>
              <w:jc w:val="center"/>
              <w:ind w:left="2432"/>
              <w:spacing w:after="0"/>
              <w:rPr>
                <w:sz w:val="20"/>
                <w:szCs w:val="20"/>
                <w:color w:val="auto"/>
              </w:rPr>
            </w:pPr>
            <w:r>
              <w:rPr>
                <w:rFonts w:ascii="Times New Roman" w:cs="Times New Roman" w:eastAsia="Times New Roman" w:hAnsi="Times New Roman"/>
                <w:sz w:val="22"/>
                <w:szCs w:val="22"/>
                <w:b w:val="1"/>
                <w:bCs w:val="1"/>
                <w:color w:val="auto"/>
                <w:w w:val="98"/>
              </w:rPr>
              <w:t>NON-EMPLOYEE DIRECTOR COMPENSATION POLICY</w:t>
            </w:r>
          </w:p>
        </w:tc>
        <w:tc>
          <w:tcPr>
            <w:tcW w:w="2440" w:type="dxa"/>
            <w:vAlign w:val="bottom"/>
          </w:tcPr>
          <w:p>
            <w:pPr>
              <w:spacing w:after="0"/>
              <w:rPr>
                <w:sz w:val="24"/>
                <w:szCs w:val="24"/>
                <w:color w:val="auto"/>
              </w:rPr>
            </w:pPr>
          </w:p>
        </w:tc>
      </w:tr>
      <w:tr>
        <w:trPr>
          <w:trHeight w:val="378"/>
        </w:trPr>
        <w:tc>
          <w:tcPr>
            <w:tcW w:w="8680" w:type="dxa"/>
            <w:vAlign w:val="bottom"/>
          </w:tcPr>
          <w:p>
            <w:pPr>
              <w:jc w:val="center"/>
              <w:ind w:left="2412"/>
              <w:spacing w:after="0"/>
              <w:rPr>
                <w:sz w:val="20"/>
                <w:szCs w:val="20"/>
                <w:color w:val="auto"/>
              </w:rPr>
            </w:pPr>
            <w:r>
              <w:rPr>
                <w:rFonts w:ascii="Times New Roman" w:cs="Times New Roman" w:eastAsia="Times New Roman" w:hAnsi="Times New Roman"/>
                <w:sz w:val="22"/>
                <w:szCs w:val="22"/>
                <w:color w:val="auto"/>
                <w:w w:val="97"/>
              </w:rPr>
              <w:t>As Adopted on June 29, 2025</w:t>
            </w:r>
          </w:p>
        </w:tc>
        <w:tc>
          <w:tcPr>
            <w:tcW w:w="2440" w:type="dxa"/>
            <w:vAlign w:val="bottom"/>
          </w:tcPr>
          <w:p>
            <w:pPr>
              <w:spacing w:after="0"/>
              <w:rPr>
                <w:sz w:val="24"/>
                <w:szCs w:val="24"/>
                <w:color w:val="auto"/>
              </w:rPr>
            </w:pPr>
          </w:p>
        </w:tc>
      </w:tr>
      <w:tr>
        <w:trPr>
          <w:trHeight w:val="614"/>
        </w:trPr>
        <w:tc>
          <w:tcPr>
            <w:tcW w:w="8680" w:type="dxa"/>
            <w:vAlign w:val="bottom"/>
          </w:tcPr>
          <w:p>
            <w:pPr>
              <w:spacing w:after="0"/>
              <w:rPr>
                <w:sz w:val="24"/>
                <w:szCs w:val="24"/>
                <w:color w:val="auto"/>
              </w:rPr>
            </w:pPr>
          </w:p>
        </w:tc>
        <w:tc>
          <w:tcPr>
            <w:tcW w:w="2440" w:type="dxa"/>
            <w:vAlign w:val="bottom"/>
          </w:tcPr>
          <w:p>
            <w:pPr>
              <w:jc w:val="right"/>
              <w:ind w:right="1456"/>
              <w:spacing w:after="0"/>
              <w:rPr>
                <w:sz w:val="20"/>
                <w:szCs w:val="20"/>
                <w:color w:val="auto"/>
              </w:rPr>
            </w:pPr>
            <w:r>
              <w:rPr>
                <w:rFonts w:ascii="Times New Roman" w:cs="Times New Roman" w:eastAsia="Times New Roman" w:hAnsi="Times New Roman"/>
                <w:sz w:val="18"/>
                <w:szCs w:val="18"/>
                <w:b w:val="1"/>
                <w:bCs w:val="1"/>
                <w:color w:val="auto"/>
              </w:rPr>
              <w:t>Retainer</w:t>
            </w:r>
          </w:p>
        </w:tc>
      </w:tr>
      <w:tr>
        <w:trPr>
          <w:trHeight w:val="238"/>
        </w:trPr>
        <w:tc>
          <w:tcPr>
            <w:tcW w:w="8680" w:type="dxa"/>
            <w:vAlign w:val="bottom"/>
          </w:tcPr>
          <w:p>
            <w:pPr>
              <w:spacing w:after="0"/>
              <w:rPr>
                <w:sz w:val="20"/>
                <w:szCs w:val="20"/>
                <w:color w:val="auto"/>
              </w:rPr>
            </w:pPr>
          </w:p>
        </w:tc>
        <w:tc>
          <w:tcPr>
            <w:tcW w:w="2440" w:type="dxa"/>
            <w:vAlign w:val="bottom"/>
          </w:tcPr>
          <w:p>
            <w:pPr>
              <w:jc w:val="right"/>
              <w:ind w:right="1496"/>
              <w:spacing w:after="0"/>
              <w:rPr>
                <w:sz w:val="20"/>
                <w:szCs w:val="20"/>
                <w:color w:val="auto"/>
              </w:rPr>
            </w:pPr>
            <w:r>
              <w:rPr>
                <w:rFonts w:ascii="Times New Roman" w:cs="Times New Roman" w:eastAsia="Times New Roman" w:hAnsi="Times New Roman"/>
                <w:sz w:val="18"/>
                <w:szCs w:val="18"/>
                <w:b w:val="1"/>
                <w:bCs w:val="1"/>
                <w:color w:val="auto"/>
              </w:rPr>
              <w:t>(USD$)</w:t>
            </w:r>
          </w:p>
        </w:tc>
      </w:tr>
      <w:tr>
        <w:trPr>
          <w:trHeight w:val="471"/>
        </w:trPr>
        <w:tc>
          <w:tcPr>
            <w:tcW w:w="86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Annual Board Retainer Fees:</w:t>
            </w:r>
          </w:p>
        </w:tc>
        <w:tc>
          <w:tcPr>
            <w:tcW w:w="2440" w:type="dxa"/>
            <w:vAlign w:val="bottom"/>
          </w:tcPr>
          <w:p>
            <w:pPr>
              <w:spacing w:after="0"/>
              <w:rPr>
                <w:sz w:val="24"/>
                <w:szCs w:val="24"/>
                <w:color w:val="auto"/>
              </w:rPr>
            </w:pPr>
          </w:p>
        </w:tc>
      </w:tr>
      <w:tr>
        <w:trPr>
          <w:trHeight w:val="459"/>
        </w:trPr>
        <w:tc>
          <w:tcPr>
            <w:tcW w:w="868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Non-Executive Chair</w:t>
            </w:r>
          </w:p>
        </w:tc>
        <w:tc>
          <w:tcPr>
            <w:tcW w:w="2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95,000</w:t>
            </w:r>
          </w:p>
        </w:tc>
      </w:tr>
      <w:tr>
        <w:trPr>
          <w:trHeight w:val="420"/>
        </w:trPr>
        <w:tc>
          <w:tcPr>
            <w:tcW w:w="868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All Non-Employee Directors</w:t>
            </w:r>
          </w:p>
        </w:tc>
        <w:tc>
          <w:tcPr>
            <w:tcW w:w="2440" w:type="dxa"/>
            <w:vAlign w:val="bottom"/>
          </w:tcPr>
          <w:p>
            <w:pPr>
              <w:spacing w:after="0"/>
              <w:rPr>
                <w:sz w:val="24"/>
                <w:szCs w:val="24"/>
                <w:color w:val="auto"/>
              </w:rPr>
            </w:pPr>
          </w:p>
        </w:tc>
      </w:tr>
      <w:tr>
        <w:trPr>
          <w:trHeight w:val="282"/>
        </w:trPr>
        <w:tc>
          <w:tcPr>
            <w:tcW w:w="868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(Other Than Non-Executive Chair)</w:t>
            </w:r>
          </w:p>
        </w:tc>
        <w:tc>
          <w:tcPr>
            <w:tcW w:w="2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62,500</w:t>
            </w:r>
          </w:p>
        </w:tc>
      </w:tr>
      <w:tr>
        <w:trPr>
          <w:trHeight w:val="459"/>
        </w:trPr>
        <w:tc>
          <w:tcPr>
            <w:tcW w:w="86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Annual Chair Retainer Fees:*</w:t>
            </w:r>
          </w:p>
        </w:tc>
        <w:tc>
          <w:tcPr>
            <w:tcW w:w="2440" w:type="dxa"/>
            <w:vAlign w:val="bottom"/>
          </w:tcPr>
          <w:p>
            <w:pPr>
              <w:spacing w:after="0"/>
              <w:rPr>
                <w:sz w:val="24"/>
                <w:szCs w:val="24"/>
                <w:color w:val="auto"/>
              </w:rPr>
            </w:pPr>
          </w:p>
        </w:tc>
      </w:tr>
      <w:tr>
        <w:trPr>
          <w:trHeight w:val="459"/>
        </w:trPr>
        <w:tc>
          <w:tcPr>
            <w:tcW w:w="868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Audit Committee Chair</w:t>
            </w:r>
          </w:p>
        </w:tc>
        <w:tc>
          <w:tcPr>
            <w:tcW w:w="2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25,000</w:t>
            </w:r>
          </w:p>
        </w:tc>
      </w:tr>
      <w:tr>
        <w:trPr>
          <w:trHeight w:val="459"/>
        </w:trPr>
        <w:tc>
          <w:tcPr>
            <w:tcW w:w="868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Remuneration Committee Chair</w:t>
            </w:r>
          </w:p>
        </w:tc>
        <w:tc>
          <w:tcPr>
            <w:tcW w:w="2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20,000</w:t>
            </w:r>
          </w:p>
        </w:tc>
      </w:tr>
      <w:tr>
        <w:trPr>
          <w:trHeight w:val="459"/>
        </w:trPr>
        <w:tc>
          <w:tcPr>
            <w:tcW w:w="868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Nominating and Corporate Governance Committee Chair</w:t>
            </w:r>
          </w:p>
        </w:tc>
        <w:tc>
          <w:tcPr>
            <w:tcW w:w="2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11,000</w:t>
            </w:r>
          </w:p>
        </w:tc>
      </w:tr>
      <w:tr>
        <w:trPr>
          <w:trHeight w:val="459"/>
        </w:trPr>
        <w:tc>
          <w:tcPr>
            <w:tcW w:w="86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Annual Committee Member Retainer Fees:*</w:t>
            </w:r>
          </w:p>
        </w:tc>
        <w:tc>
          <w:tcPr>
            <w:tcW w:w="2440" w:type="dxa"/>
            <w:vAlign w:val="bottom"/>
          </w:tcPr>
          <w:p>
            <w:pPr>
              <w:spacing w:after="0"/>
              <w:rPr>
                <w:sz w:val="24"/>
                <w:szCs w:val="24"/>
                <w:color w:val="auto"/>
              </w:rPr>
            </w:pPr>
          </w:p>
        </w:tc>
      </w:tr>
      <w:tr>
        <w:trPr>
          <w:trHeight w:val="459"/>
        </w:trPr>
        <w:tc>
          <w:tcPr>
            <w:tcW w:w="868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Audit Committee</w:t>
            </w:r>
          </w:p>
        </w:tc>
        <w:tc>
          <w:tcPr>
            <w:tcW w:w="2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12,000</w:t>
            </w:r>
          </w:p>
        </w:tc>
      </w:tr>
      <w:tr>
        <w:trPr>
          <w:trHeight w:val="459"/>
        </w:trPr>
        <w:tc>
          <w:tcPr>
            <w:tcW w:w="868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Remuneration Committee</w:t>
            </w:r>
          </w:p>
        </w:tc>
        <w:tc>
          <w:tcPr>
            <w:tcW w:w="2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10,000</w:t>
            </w:r>
          </w:p>
        </w:tc>
      </w:tr>
      <w:tr>
        <w:trPr>
          <w:trHeight w:val="459"/>
        </w:trPr>
        <w:tc>
          <w:tcPr>
            <w:tcW w:w="868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Nominating and Corporate Governance Committee</w:t>
            </w:r>
          </w:p>
        </w:tc>
        <w:tc>
          <w:tcPr>
            <w:tcW w:w="2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5,000</w:t>
            </w:r>
          </w:p>
        </w:tc>
      </w:tr>
      <w:tr>
        <w:trPr>
          <w:trHeight w:val="499"/>
        </w:trPr>
        <w:tc>
          <w:tcPr>
            <w:tcW w:w="8680" w:type="dxa"/>
            <w:vAlign w:val="bottom"/>
          </w:tcPr>
          <w:p>
            <w:pPr>
              <w:spacing w:after="0"/>
              <w:rPr>
                <w:sz w:val="20"/>
                <w:szCs w:val="20"/>
                <w:color w:val="auto"/>
              </w:rPr>
            </w:pPr>
            <w:r>
              <w:rPr>
                <w:rFonts w:ascii="Times New Roman" w:cs="Times New Roman" w:eastAsia="Times New Roman" w:hAnsi="Times New Roman"/>
                <w:sz w:val="22"/>
                <w:szCs w:val="22"/>
                <w:color w:val="auto"/>
              </w:rPr>
              <w:t>* These fees are in addition to the Annual Board Retainer Fee, as applicable.</w:t>
            </w:r>
          </w:p>
        </w:tc>
        <w:tc>
          <w:tcPr>
            <w:tcW w:w="2440" w:type="dxa"/>
            <w:vAlign w:val="bottom"/>
          </w:tcPr>
          <w:p>
            <w:pPr>
              <w:spacing w:after="0"/>
              <w:rPr>
                <w:sz w:val="24"/>
                <w:szCs w:val="24"/>
                <w:color w:val="auto"/>
              </w:rPr>
            </w:pPr>
          </w:p>
        </w:tc>
      </w:tr>
    </w:tbl>
    <w:p>
      <w:pPr>
        <w:spacing w:after="0" w:line="177" w:lineRule="exact"/>
        <w:rPr>
          <w:sz w:val="20"/>
          <w:szCs w:val="20"/>
          <w:color w:val="auto"/>
        </w:rPr>
      </w:pPr>
    </w:p>
    <w:p>
      <w:pPr>
        <w:ind w:right="400"/>
        <w:spacing w:after="0" w:line="239" w:lineRule="auto"/>
        <w:rPr>
          <w:sz w:val="20"/>
          <w:szCs w:val="20"/>
          <w:color w:val="auto"/>
        </w:rPr>
      </w:pPr>
      <w:r>
        <w:rPr>
          <w:rFonts w:ascii="Times New Roman" w:cs="Times New Roman" w:eastAsia="Times New Roman" w:hAnsi="Times New Roman"/>
          <w:sz w:val="22"/>
          <w:szCs w:val="22"/>
          <w:color w:val="auto"/>
        </w:rPr>
        <w:t>The annual retainers are paid in equal installments in arrears within 30 days of the end of each calendar quarter, or upon the earlier resignation or removal of the non-employee director. For non-employee directors who join the Board of Directors (the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of Amarin Corporation plc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during the calendar year, annual retainers are prorated based on the number of calendar days served by such director in the calendar year.</w:t>
      </w:r>
    </w:p>
    <w:p>
      <w:pPr>
        <w:spacing w:after="0" w:line="180" w:lineRule="exact"/>
        <w:rPr>
          <w:sz w:val="20"/>
          <w:szCs w:val="20"/>
          <w:color w:val="auto"/>
        </w:rPr>
      </w:pPr>
    </w:p>
    <w:p>
      <w:pPr>
        <w:ind w:right="480"/>
        <w:spacing w:after="0" w:line="239" w:lineRule="auto"/>
        <w:rPr>
          <w:sz w:val="20"/>
          <w:szCs w:val="20"/>
          <w:color w:val="auto"/>
        </w:rPr>
      </w:pPr>
      <w:r>
        <w:rPr>
          <w:rFonts w:ascii="Times New Roman" w:cs="Times New Roman" w:eastAsia="Times New Roman" w:hAnsi="Times New Roman"/>
          <w:sz w:val="22"/>
          <w:szCs w:val="22"/>
          <w:color w:val="auto"/>
        </w:rPr>
        <w:t>Non-employee directors are given an election with respect to the annual retainer, which election is to be exercised within 10 calendar days of the end of each calendar quarter, of receiving their annual retainers in the form of either (i) cash or (ii) unregistered non-American Depositary Shares (“</w:t>
      </w:r>
      <w:r>
        <w:rPr>
          <w:rFonts w:ascii="Times New Roman" w:cs="Times New Roman" w:eastAsia="Times New Roman" w:hAnsi="Times New Roman"/>
          <w:sz w:val="22"/>
          <w:szCs w:val="22"/>
          <w:b w:val="1"/>
          <w:bCs w:val="1"/>
          <w:i w:val="1"/>
          <w:iCs w:val="1"/>
          <w:color w:val="auto"/>
        </w:rPr>
        <w:t>ADSs</w:t>
      </w:r>
      <w:r>
        <w:rPr>
          <w:rFonts w:ascii="Times New Roman" w:cs="Times New Roman" w:eastAsia="Times New Roman" w:hAnsi="Times New Roman"/>
          <w:sz w:val="22"/>
          <w:szCs w:val="22"/>
          <w:color w:val="auto"/>
        </w:rPr>
        <w:t>”) ordinary shares par value GBP£0.50 per share of the Company (the “</w:t>
      </w:r>
      <w:r>
        <w:rPr>
          <w:rFonts w:ascii="Times New Roman" w:cs="Times New Roman" w:eastAsia="Times New Roman" w:hAnsi="Times New Roman"/>
          <w:sz w:val="22"/>
          <w:szCs w:val="22"/>
          <w:b w:val="1"/>
          <w:bCs w:val="1"/>
          <w:i w:val="1"/>
          <w:iCs w:val="1"/>
          <w:color w:val="auto"/>
        </w:rPr>
        <w:t>Ordinary Shares</w:t>
      </w:r>
      <w:r>
        <w:rPr>
          <w:rFonts w:ascii="Times New Roman" w:cs="Times New Roman" w:eastAsia="Times New Roman" w:hAnsi="Times New Roman"/>
          <w:sz w:val="22"/>
          <w:szCs w:val="22"/>
          <w:color w:val="auto"/>
        </w:rPr>
        <w:t>”), with any such issuances to be priced at the greater of (a) the closing price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873760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44" w:name="page45"/>
    <w:bookmarkEnd w:id="44"/>
    <w:p>
      <w:pPr>
        <w:ind w:left="40"/>
        <w:spacing w:after="0"/>
        <w:rPr>
          <w:sz w:val="20"/>
          <w:szCs w:val="20"/>
          <w:color w:val="auto"/>
        </w:rPr>
      </w:pPr>
      <w:r>
        <w:rPr>
          <w:rFonts w:ascii="Times New Roman" w:cs="Times New Roman" w:eastAsia="Times New Roman" w:hAnsi="Times New Roman"/>
          <w:sz w:val="16"/>
          <w:szCs w:val="16"/>
          <w:color w:val="auto"/>
        </w:rPr>
        <w:t>COMMENTS \* UPPER \* MERGEFORMAT 125754567.4</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22"/>
          <w:szCs w:val="22"/>
          <w:color w:val="auto"/>
        </w:rPr>
        <w:t>Company’s ADSs on Nasdaq on the date which is 10 calendar days after the end of each quarter or (b) GBP£0.50 per share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par value per Ordinary Share).</w:t>
      </w:r>
    </w:p>
    <w:p>
      <w:pPr>
        <w:spacing w:after="0" w:line="154"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In addition, upon their initial appointment to the Board, non-employee directors will receive an initial equity award with a grant date fair value of USD$262,500, split in value between share options and restricted share units 75%/25%. The initial share options vest one third on the first anniversary of the grant date and in equal quarterly installments for the two years thereafter, and the exercise price of any share options will be equal to the greater of (a) the closing price of the Company’s ADSs on Nasdaq on the grant date or (b) GBP£0.50 per share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par value per Ordinary Share). The initial restricted share unit awards vest in equal installments over three years on each anniversary of the grant date.</w:t>
      </w:r>
    </w:p>
    <w:p>
      <w:pPr>
        <w:spacing w:after="0" w:line="181" w:lineRule="exact"/>
        <w:rPr>
          <w:sz w:val="20"/>
          <w:szCs w:val="20"/>
          <w:color w:val="auto"/>
        </w:rPr>
      </w:pPr>
    </w:p>
    <w:p>
      <w:pPr>
        <w:ind w:right="40"/>
        <w:spacing w:after="0" w:line="235" w:lineRule="auto"/>
        <w:rPr>
          <w:sz w:val="20"/>
          <w:szCs w:val="20"/>
          <w:color w:val="auto"/>
        </w:rPr>
      </w:pPr>
      <w:r>
        <w:rPr>
          <w:rFonts w:ascii="Times New Roman" w:cs="Times New Roman" w:eastAsia="Times New Roman" w:hAnsi="Times New Roman"/>
          <w:sz w:val="22"/>
          <w:szCs w:val="22"/>
          <w:color w:val="auto"/>
        </w:rPr>
        <w:t>In addition, upon their initial appointment to the Board and for so long as the non-employee director remains on the Board, the new and continuing non-employee directors will receive annual equity awards with a grant date fair value of USD$175,000, split in value between share options and restricted share units 75%/25%. The annual share options and the annual restricted share unit awards vest in full upon the earlier of the three-year anniversary of the grant date (which will be the date of the Company’s annual general meeting of shareholders) or the annual general meeting of shareholders in such anniversary year, and the exercise price of any share options will be equal to the greater of (a) the closing price of the Company’s ADSs on Nasdaq on the grant date or (b) GBP£0.50 per share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par value per Ordinary Share).</w:t>
      </w:r>
    </w:p>
    <w:p>
      <w:pPr>
        <w:spacing w:after="0" w:line="183" w:lineRule="exact"/>
        <w:rPr>
          <w:sz w:val="20"/>
          <w:szCs w:val="20"/>
          <w:color w:val="auto"/>
        </w:rPr>
      </w:pPr>
    </w:p>
    <w:p>
      <w:pPr>
        <w:jc w:val="both"/>
        <w:ind w:right="220"/>
        <w:spacing w:after="0" w:line="244" w:lineRule="auto"/>
        <w:rPr>
          <w:sz w:val="20"/>
          <w:szCs w:val="20"/>
          <w:color w:val="auto"/>
        </w:rPr>
      </w:pPr>
      <w:r>
        <w:rPr>
          <w:rFonts w:ascii="Times New Roman" w:cs="Times New Roman" w:eastAsia="Times New Roman" w:hAnsi="Times New Roman"/>
          <w:sz w:val="22"/>
          <w:szCs w:val="22"/>
          <w:color w:val="auto"/>
        </w:rPr>
        <w:t>All equity awards are made pursuant to the terms of the Company’s 2020 Stock Incentive Plan, as amended and in effect from time to time (the “</w:t>
      </w:r>
      <w:r>
        <w:rPr>
          <w:rFonts w:ascii="Times New Roman" w:cs="Times New Roman" w:eastAsia="Times New Roman" w:hAnsi="Times New Roman"/>
          <w:sz w:val="22"/>
          <w:szCs w:val="22"/>
          <w:b w:val="1"/>
          <w:bCs w:val="1"/>
          <w:i w:val="1"/>
          <w:iCs w:val="1"/>
          <w:color w:val="auto"/>
        </w:rPr>
        <w:t>Stock Incentive Plan</w:t>
      </w:r>
      <w:r>
        <w:rPr>
          <w:rFonts w:ascii="Times New Roman" w:cs="Times New Roman" w:eastAsia="Times New Roman" w:hAnsi="Times New Roman"/>
          <w:sz w:val="22"/>
          <w:szCs w:val="22"/>
          <w:color w:val="auto"/>
        </w:rPr>
        <w:t>”). In the event of a change of control (as defined in the Stock Incentive Plan), all share options and restricted share unit awards held by non-employee directors shall immediately become fully vested.</w:t>
      </w:r>
    </w:p>
    <w:p>
      <w:pPr>
        <w:spacing w:after="0" w:line="173"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22"/>
          <w:szCs w:val="22"/>
          <w:color w:val="auto"/>
        </w:rPr>
        <w:t>Non-employee directors are also reimbursed for their reasonable out-of-pocket expenses incurred in connection with attending Board and committee meetings.</w:t>
      </w:r>
    </w:p>
    <w:p>
      <w:pPr>
        <w:spacing w:after="0" w:line="158"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22"/>
          <w:szCs w:val="22"/>
          <w:color w:val="auto"/>
        </w:rPr>
        <w:t>Notwithstanding the foregoing, in lieu of the annual equity award that would have been granted on the date of the Company’s 2025 Annual Meeting of Shareholders (the “</w:t>
      </w:r>
      <w:r>
        <w:rPr>
          <w:rFonts w:ascii="Times New Roman" w:cs="Times New Roman" w:eastAsia="Times New Roman" w:hAnsi="Times New Roman"/>
          <w:sz w:val="22"/>
          <w:szCs w:val="22"/>
          <w:b w:val="1"/>
          <w:bCs w:val="1"/>
          <w:i w:val="1"/>
          <w:iCs w:val="1"/>
          <w:color w:val="auto"/>
        </w:rPr>
        <w:t>2025 Annual Meeting</w:t>
      </w:r>
      <w:r>
        <w:rPr>
          <w:rFonts w:ascii="Times New Roman" w:cs="Times New Roman" w:eastAsia="Times New Roman" w:hAnsi="Times New Roman"/>
          <w:sz w:val="22"/>
          <w:szCs w:val="22"/>
          <w:color w:val="auto"/>
        </w:rPr>
        <w:t>”) but for the Company’s shareholders’ failure to approve a waiver of the pre-emption disapplication that would had allowed for such grants to occur in the ordinary course, each new and continuing non-employee director will receive an annual restricted cash award of USD$175,000, vesting and payable on the date of the Company’s 2026 Annual Meeting of Shareholders (the “</w:t>
      </w:r>
      <w:r>
        <w:rPr>
          <w:rFonts w:ascii="Times New Roman" w:cs="Times New Roman" w:eastAsia="Times New Roman" w:hAnsi="Times New Roman"/>
          <w:sz w:val="22"/>
          <w:szCs w:val="22"/>
          <w:b w:val="1"/>
          <w:bCs w:val="1"/>
          <w:i w:val="1"/>
          <w:iCs w:val="1"/>
          <w:color w:val="auto"/>
        </w:rPr>
        <w:t>2026 Annual Meeting</w:t>
      </w:r>
      <w:r>
        <w:rPr>
          <w:rFonts w:ascii="Times New Roman" w:cs="Times New Roman" w:eastAsia="Times New Roman" w:hAnsi="Times New Roman"/>
          <w:sz w:val="22"/>
          <w:szCs w:val="22"/>
          <w:color w:val="auto"/>
        </w:rPr>
        <w:t>”), subject to the continued service of such director until such date.</w:t>
      </w:r>
    </w:p>
    <w:p>
      <w:pPr>
        <w:spacing w:after="0" w:line="181" w:lineRule="exact"/>
        <w:rPr>
          <w:sz w:val="20"/>
          <w:szCs w:val="20"/>
          <w:color w:val="auto"/>
        </w:rPr>
      </w:pPr>
    </w:p>
    <w:p>
      <w:pPr>
        <w:ind w:right="260"/>
        <w:spacing w:after="0" w:line="251" w:lineRule="auto"/>
        <w:rPr>
          <w:sz w:val="20"/>
          <w:szCs w:val="20"/>
          <w:color w:val="auto"/>
        </w:rPr>
      </w:pPr>
      <w:r>
        <w:rPr>
          <w:rFonts w:ascii="Times New Roman" w:cs="Times New Roman" w:eastAsia="Times New Roman" w:hAnsi="Times New Roman"/>
          <w:sz w:val="21"/>
          <w:szCs w:val="21"/>
          <w:color w:val="auto"/>
        </w:rPr>
        <w:t>Further, notwithstanding the foregoing, in lieu of the initial equity award that would have been granted on the date of the 2025 Annual Meeting but for the Company’s shareholders’ failure to approve a waiver of the pre-emption disapplication that would had allowed for such grants to occur in the ordinary course, if a waiver of preemptive rights is submitted for approval to and approved by, the Company’s shareholders at the 2026 Annual Meeting, any non-employee director appointed before the 2026</w:t>
      </w:r>
    </w:p>
    <w:p>
      <w:pPr>
        <w:spacing w:after="0" w:line="2" w:lineRule="exact"/>
        <w:rPr>
          <w:sz w:val="20"/>
          <w:szCs w:val="20"/>
          <w:color w:val="auto"/>
        </w:rPr>
      </w:pPr>
    </w:p>
    <w:p>
      <w:pPr>
        <w:ind w:right="300"/>
        <w:spacing w:after="0" w:line="295" w:lineRule="auto"/>
        <w:rPr>
          <w:sz w:val="20"/>
          <w:szCs w:val="20"/>
          <w:color w:val="auto"/>
        </w:rPr>
      </w:pPr>
      <w:r>
        <w:rPr>
          <w:rFonts w:ascii="Times New Roman" w:cs="Times New Roman" w:eastAsia="Times New Roman" w:hAnsi="Times New Roman"/>
          <w:sz w:val="21"/>
          <w:szCs w:val="21"/>
          <w:color w:val="auto"/>
        </w:rPr>
        <w:t>Annual Meeting will receive an initial equity award with a grant date fair value of USD$262,500, split in value between share options and restricted share units 75%/25%. The initial share options will vest one third on the first anniversary of the date of</w:t>
      </w: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4" w:right="379" w:bottom="1440" w:gutter="0" w:footer="0" w:header="0"/>
        </w:sectPr>
      </w:pPr>
    </w:p>
    <w:bookmarkStart w:id="45" w:name="page46"/>
    <w:bookmarkEnd w:id="45"/>
    <w:p>
      <w:pPr>
        <w:ind w:left="40"/>
        <w:spacing w:after="0"/>
        <w:rPr>
          <w:sz w:val="20"/>
          <w:szCs w:val="20"/>
          <w:color w:val="auto"/>
        </w:rPr>
      </w:pPr>
      <w:r>
        <w:rPr>
          <w:rFonts w:ascii="Times New Roman" w:cs="Times New Roman" w:eastAsia="Times New Roman" w:hAnsi="Times New Roman"/>
          <w:sz w:val="16"/>
          <w:szCs w:val="16"/>
          <w:color w:val="auto"/>
        </w:rPr>
        <w:t>COMMENTS \* UPPER \* MERGEFORMAT 125754567.4</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color w:val="auto"/>
        </w:rPr>
        <w:t>initial appointment of such director and in equal quarterly installments for the two years thereafter, and the exercise price of any share options will be equal to the greater of (a) the closing price of the Company’s ADSs on Nasdaq on the grant date or (b) GBP£0.50 per share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xml:space="preserve">, par value per Ordinary Share). The initial restricted share unit awards vest in equal installments over three years on each anniversary of the date of initial appointment of such director.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if (x) such non-employee director’s board service terminates for any reason prior to the grant of the initial equity award (other than on account of an involuntary termination for “cause”), any portion of the award that would have been vested based on their service through the date of termination will be settled in cash based on the greater of (a) the closing price of the Company’s ADSs on Nasdaq on such termination date or (b) GBP£0.50 per share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par value per Ordinary Share) and (y) if a “change of control” (as defined in the Stock Incentive Plan) occurs prior to the 2026 Annual Meeting, such non-employee directors will receive a lump-sum cash payment of USD$262,500 upon closing in lieu of such initial equity award.</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20"/>
          <w:szCs w:val="20"/>
          <w:b w:val="1"/>
          <w:bCs w:val="1"/>
          <w:color w:val="auto"/>
        </w:rPr>
        <w:t>Exhibit 10.3</w:t>
      </w:r>
    </w:p>
    <w:p>
      <w:pPr>
        <w:spacing w:after="0" w:line="2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AMARIN CORPORATION PLC</w:t>
      </w:r>
    </w:p>
    <w:p>
      <w:pPr>
        <w:spacing w:after="0" w:line="21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and</w:t>
      </w:r>
    </w:p>
    <w:p>
      <w:pPr>
        <w:spacing w:after="0" w:line="20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XXX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1179195</wp:posOffset>
            </wp:positionV>
            <wp:extent cx="713232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7"/>
          <w:szCs w:val="27"/>
          <w:b w:val="1"/>
          <w:bCs w:val="1"/>
          <w:color w:val="auto"/>
        </w:rPr>
        <w:t>DEED OF INDEMNITY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1620520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158750</wp:posOffset>
            </wp:positionV>
            <wp:extent cx="713232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420" w:top="140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20"/>
          <w:szCs w:val="20"/>
          <w:b w:val="1"/>
          <w:bCs w:val="1"/>
          <w:color w:val="auto"/>
        </w:rPr>
        <w:t xml:space="preserve">THIS DEED OF INDEMNITY </w:t>
      </w:r>
      <w:r>
        <w:rPr>
          <w:rFonts w:ascii="Times New Roman" w:cs="Times New Roman" w:eastAsia="Times New Roman" w:hAnsi="Times New Roman"/>
          <w:sz w:val="20"/>
          <w:szCs w:val="20"/>
          <w:color w:val="auto"/>
        </w:rPr>
        <w:t>is made on</w:t>
      </w:r>
      <w:r>
        <w:rPr>
          <w:rFonts w:ascii="Times New Roman" w:cs="Times New Roman" w:eastAsia="Times New Roman" w:hAnsi="Times New Roman"/>
          <w:sz w:val="20"/>
          <w:szCs w:val="20"/>
          <w:b w:val="1"/>
          <w:bCs w:val="1"/>
          <w:color w:val="auto"/>
        </w:rPr>
        <w:t xml:space="preserve"> [●]</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BETWEEN</w:t>
      </w:r>
      <w:r>
        <w:rPr>
          <w:rFonts w:ascii="Times New Roman" w:cs="Times New Roman" w:eastAsia="Times New Roman" w:hAnsi="Times New Roman"/>
          <w:sz w:val="20"/>
          <w:szCs w:val="20"/>
          <w:color w:val="auto"/>
        </w:rPr>
        <w:t>:</w:t>
      </w:r>
    </w:p>
    <w:p>
      <w:pPr>
        <w:spacing w:after="0" w:line="297" w:lineRule="exact"/>
        <w:rPr>
          <w:sz w:val="20"/>
          <w:szCs w:val="20"/>
          <w:color w:val="auto"/>
        </w:rPr>
      </w:pPr>
    </w:p>
    <w:p>
      <w:pPr>
        <w:ind w:left="760" w:hanging="752"/>
        <w:spacing w:after="0" w:line="256" w:lineRule="auto"/>
        <w:tabs>
          <w:tab w:leader="none" w:pos="407"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AMARIN CORPORATION PLC, </w:t>
      </w:r>
      <w:r>
        <w:rPr>
          <w:rFonts w:ascii="Times New Roman" w:cs="Times New Roman" w:eastAsia="Times New Roman" w:hAnsi="Times New Roman"/>
          <w:sz w:val="20"/>
          <w:szCs w:val="20"/>
          <w:color w:val="auto"/>
        </w:rPr>
        <w:t>a public limited company registered in England and Wales with company number 02353920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its principal place of business at Spaces South Docklands, Block C, 77 Sir John Roger’s Quay Dublin 2, Ireland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and</w:t>
      </w:r>
    </w:p>
    <w:p>
      <w:pPr>
        <w:spacing w:after="0" w:line="236" w:lineRule="exact"/>
        <w:rPr>
          <w:rFonts w:ascii="Times New Roman" w:cs="Times New Roman" w:eastAsia="Times New Roman" w:hAnsi="Times New Roman"/>
          <w:sz w:val="20"/>
          <w:szCs w:val="20"/>
          <w:color w:val="auto"/>
        </w:rPr>
      </w:pPr>
    </w:p>
    <w:p>
      <w:pPr>
        <w:ind w:left="400" w:hanging="392"/>
        <w:spacing w:after="0"/>
        <w:tabs>
          <w:tab w:leader="none" w:pos="40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XXX (the "</w:t>
      </w:r>
      <w:r>
        <w:rPr>
          <w:rFonts w:ascii="Times New Roman" w:cs="Times New Roman" w:eastAsia="Times New Roman" w:hAnsi="Times New Roman"/>
          <w:sz w:val="20"/>
          <w:szCs w:val="20"/>
          <w:b w:val="1"/>
          <w:bCs w:val="1"/>
          <w:color w:val="auto"/>
        </w:rPr>
        <w:t>Indemnified Person</w:t>
      </w:r>
      <w:r>
        <w:rPr>
          <w:rFonts w:ascii="Times New Roman" w:cs="Times New Roman" w:eastAsia="Times New Roman" w:hAnsi="Times New Roman"/>
          <w:sz w:val="20"/>
          <w:szCs w:val="20"/>
          <w:color w:val="auto"/>
        </w:rPr>
        <w: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w:t>
      </w:r>
    </w:p>
    <w:p>
      <w:pPr>
        <w:spacing w:after="0" w:line="287" w:lineRule="exact"/>
        <w:rPr>
          <w:sz w:val="20"/>
          <w:szCs w:val="20"/>
          <w:color w:val="auto"/>
        </w:rPr>
      </w:pPr>
    </w:p>
    <w:p>
      <w:pPr>
        <w:ind w:left="400" w:hanging="392"/>
        <w:spacing w:after="0"/>
        <w:tabs>
          <w:tab w:leader="none" w:pos="40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Indemnified Person was appointed as a director of the Company, effective [●].</w:t>
      </w:r>
    </w:p>
    <w:p>
      <w:pPr>
        <w:spacing w:after="0" w:line="296" w:lineRule="exact"/>
        <w:rPr>
          <w:rFonts w:ascii="Times New Roman" w:cs="Times New Roman" w:eastAsia="Times New Roman" w:hAnsi="Times New Roman"/>
          <w:sz w:val="20"/>
          <w:szCs w:val="20"/>
          <w:color w:val="auto"/>
        </w:rPr>
      </w:pPr>
    </w:p>
    <w:p>
      <w:pPr>
        <w:ind w:left="400" w:hanging="392"/>
        <w:spacing w:after="0"/>
        <w:tabs>
          <w:tab w:leader="none" w:pos="40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agreed to indemnify the Indemnified Person on the terms set out in this Deed.</w:t>
      </w:r>
    </w:p>
    <w:p>
      <w:pPr>
        <w:spacing w:after="0" w:line="283" w:lineRule="exact"/>
        <w:rPr>
          <w:rFonts w:ascii="Times New Roman" w:cs="Times New Roman" w:eastAsia="Times New Roman" w:hAnsi="Times New Roman"/>
          <w:sz w:val="20"/>
          <w:szCs w:val="20"/>
          <w:color w:val="auto"/>
        </w:rPr>
      </w:pPr>
    </w:p>
    <w:p>
      <w:pPr>
        <w:ind w:left="760" w:right="20" w:hanging="752"/>
        <w:spacing w:after="0" w:line="269" w:lineRule="auto"/>
        <w:tabs>
          <w:tab w:leader="none" w:pos="407"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also agreed to use its best endeavours to continue to maintain appropriate directors' and officers' liability insurance for the benefit of the Indemnified Person.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NOW THIS DEED WITNESSETH </w:t>
      </w:r>
      <w:r>
        <w:rPr>
          <w:rFonts w:ascii="Times New Roman" w:cs="Times New Roman" w:eastAsia="Times New Roman" w:hAnsi="Times New Roman"/>
          <w:sz w:val="20"/>
          <w:szCs w:val="20"/>
          <w:color w:val="auto"/>
        </w:rPr>
        <w:t>as follows:</w:t>
      </w:r>
    </w:p>
    <w:p>
      <w:pPr>
        <w:spacing w:after="0" w:line="297" w:lineRule="exact"/>
        <w:rPr>
          <w:sz w:val="20"/>
          <w:szCs w:val="20"/>
          <w:color w:val="auto"/>
        </w:rPr>
      </w:pPr>
    </w:p>
    <w:p>
      <w:pPr>
        <w:ind w:left="760" w:hanging="752"/>
        <w:spacing w:after="0"/>
        <w:tabs>
          <w:tab w:leader="none" w:pos="7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INTERPRETATION</w:t>
      </w:r>
    </w:p>
    <w:p>
      <w:pPr>
        <w:spacing w:after="0" w:line="287"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19"/>
          <w:szCs w:val="19"/>
          <w:color w:val="auto"/>
        </w:rPr>
        <w:t>In this Deed, the following words and expressions shall, unless the context otherwise requires, have the following meanings:</w:t>
      </w:r>
    </w:p>
    <w:p>
      <w:pPr>
        <w:spacing w:after="0" w:line="279" w:lineRule="exact"/>
        <w:rPr>
          <w:sz w:val="20"/>
          <w:szCs w:val="20"/>
          <w:color w:val="auto"/>
        </w:rPr>
      </w:pPr>
    </w:p>
    <w:p>
      <w:pPr>
        <w:ind w:left="76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"Associated Company" </w:t>
      </w:r>
      <w:r>
        <w:rPr>
          <w:rFonts w:ascii="Times New Roman" w:cs="Times New Roman" w:eastAsia="Times New Roman" w:hAnsi="Times New Roman"/>
          <w:sz w:val="20"/>
          <w:szCs w:val="20"/>
          <w:color w:val="auto"/>
        </w:rPr>
        <w:t>means a company which is associated with the Company within the meaning of section 256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Companies Act 2006;</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"Claims" </w:t>
      </w:r>
      <w:r>
        <w:rPr>
          <w:rFonts w:ascii="Times New Roman" w:cs="Times New Roman" w:eastAsia="Times New Roman" w:hAnsi="Times New Roman"/>
          <w:sz w:val="20"/>
          <w:szCs w:val="20"/>
          <w:color w:val="auto"/>
        </w:rPr>
        <w:t>has the meaning given in Clause 2.1 and "</w:t>
      </w:r>
      <w:r>
        <w:rPr>
          <w:rFonts w:ascii="Times New Roman" w:cs="Times New Roman" w:eastAsia="Times New Roman" w:hAnsi="Times New Roman"/>
          <w:sz w:val="20"/>
          <w:szCs w:val="20"/>
          <w:b w:val="1"/>
          <w:bCs w:val="1"/>
          <w:color w:val="auto"/>
        </w:rPr>
        <w:t>Claim</w:t>
      </w:r>
      <w:r>
        <w:rPr>
          <w:rFonts w:ascii="Times New Roman" w:cs="Times New Roman" w:eastAsia="Times New Roman" w:hAnsi="Times New Roman"/>
          <w:sz w:val="20"/>
          <w:szCs w:val="20"/>
          <w:color w:val="auto"/>
        </w:rPr>
        <w:t>" shall be construed accordingly;</w:t>
      </w:r>
    </w:p>
    <w:p>
      <w:pPr>
        <w:spacing w:after="0" w:line="283" w:lineRule="exact"/>
        <w:rPr>
          <w:sz w:val="20"/>
          <w:szCs w:val="20"/>
          <w:color w:val="auto"/>
        </w:rPr>
      </w:pPr>
    </w:p>
    <w:p>
      <w:pPr>
        <w:ind w:left="76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"Losses" </w:t>
      </w:r>
      <w:r>
        <w:rPr>
          <w:rFonts w:ascii="Times New Roman" w:cs="Times New Roman" w:eastAsia="Times New Roman" w:hAnsi="Times New Roman"/>
          <w:sz w:val="20"/>
          <w:szCs w:val="20"/>
          <w:color w:val="auto"/>
        </w:rPr>
        <w:t>means any losses, damages, penalties, liabilities, compensation or other awards (or any settlement thereof to which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consents), whether instigated,</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781685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48" w:name="page49"/>
    <w:bookmarkEnd w:id="48"/>
    <w:p>
      <w:pPr>
        <w:ind w:left="760"/>
        <w:spacing w:after="0" w:line="269" w:lineRule="auto"/>
        <w:rPr>
          <w:sz w:val="20"/>
          <w:szCs w:val="20"/>
          <w:color w:val="auto"/>
        </w:rPr>
      </w:pPr>
      <w:r>
        <w:rPr>
          <w:rFonts w:ascii="Times New Roman" w:cs="Times New Roman" w:eastAsia="Times New Roman" w:hAnsi="Times New Roman"/>
          <w:sz w:val="20"/>
          <w:szCs w:val="20"/>
          <w:color w:val="auto"/>
        </w:rPr>
        <w:t>imposed or incurred (or, in the case of a settlement, agreed) under the laws of England and Wales or the law of any other jurisdiction.</w:t>
      </w:r>
    </w:p>
    <w:p>
      <w:pPr>
        <w:spacing w:after="0" w:line="227"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1.2</w:t>
      </w:r>
      <w:r>
        <w:rPr>
          <w:sz w:val="20"/>
          <w:szCs w:val="20"/>
          <w:color w:val="auto"/>
        </w:rPr>
        <w:tab/>
      </w:r>
      <w:r>
        <w:rPr>
          <w:rFonts w:ascii="Times New Roman" w:cs="Times New Roman" w:eastAsia="Times New Roman" w:hAnsi="Times New Roman"/>
          <w:sz w:val="19"/>
          <w:szCs w:val="19"/>
          <w:color w:val="auto"/>
        </w:rPr>
        <w:t>In this Deed:</w:t>
      </w:r>
    </w:p>
    <w:p>
      <w:pPr>
        <w:spacing w:after="0" w:line="297" w:lineRule="exact"/>
        <w:rPr>
          <w:sz w:val="20"/>
          <w:szCs w:val="20"/>
          <w:color w:val="auto"/>
        </w:rPr>
      </w:pPr>
    </w:p>
    <w:p>
      <w:pPr>
        <w:ind w:left="1500" w:hanging="743"/>
        <w:spacing w:after="0"/>
        <w:tabs>
          <w:tab w:leader="none" w:pos="150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Clauses are to clauses of this Deed;</w:t>
      </w:r>
    </w:p>
    <w:p>
      <w:pPr>
        <w:spacing w:after="0" w:line="283" w:lineRule="exact"/>
        <w:rPr>
          <w:rFonts w:ascii="Times New Roman" w:cs="Times New Roman" w:eastAsia="Times New Roman" w:hAnsi="Times New Roman"/>
          <w:sz w:val="20"/>
          <w:szCs w:val="20"/>
          <w:color w:val="auto"/>
        </w:rPr>
      </w:pPr>
    </w:p>
    <w:p>
      <w:pPr>
        <w:ind w:left="1500" w:right="20" w:hanging="743"/>
        <w:spacing w:after="0" w:line="269" w:lineRule="auto"/>
        <w:tabs>
          <w:tab w:leader="none" w:pos="150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reference to any statute or statutory provision shall be construed as a reference to such statute or statutory provision as it may have been, or may from time to time be, amended, modified or re-enacted; and</w:t>
      </w:r>
    </w:p>
    <w:p>
      <w:pPr>
        <w:spacing w:after="0" w:line="226"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headings to Clauses are included for convenience only and do not affect the interpretation of this Deed.</w:t>
      </w:r>
    </w:p>
    <w:p>
      <w:pPr>
        <w:spacing w:after="0" w:line="293" w:lineRule="exact"/>
        <w:rPr>
          <w:sz w:val="20"/>
          <w:szCs w:val="20"/>
          <w:color w:val="auto"/>
        </w:rPr>
      </w:pPr>
    </w:p>
    <w:p>
      <w:pPr>
        <w:ind w:left="760" w:hanging="752"/>
        <w:spacing w:after="0"/>
        <w:tabs>
          <w:tab w:leader="none" w:pos="76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INDEMNITY</w:t>
      </w:r>
    </w:p>
    <w:p>
      <w:pPr>
        <w:spacing w:after="0" w:line="287" w:lineRule="exact"/>
        <w:rPr>
          <w:sz w:val="20"/>
          <w:szCs w:val="20"/>
          <w:color w:val="auto"/>
        </w:rPr>
      </w:pPr>
    </w:p>
    <w:p>
      <w:pPr>
        <w:ind w:left="760" w:hanging="748"/>
        <w:spacing w:after="0" w:line="269" w:lineRule="auto"/>
        <w:tabs>
          <w:tab w:leader="none" w:pos="74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20"/>
          <w:szCs w:val="20"/>
          <w:color w:val="auto"/>
        </w:rPr>
        <w:t>Subject to Clause 2.2, the Company shall, to the fullest extent permitted by law and without prejudice to any other indemnity to which the Indemnified Person may otherwise be entitled, indemnify and hold the indemnified person harmless against:</w:t>
      </w:r>
    </w:p>
    <w:p>
      <w:pPr>
        <w:spacing w:after="0" w:line="227" w:lineRule="exact"/>
        <w:rPr>
          <w:sz w:val="20"/>
          <w:szCs w:val="20"/>
          <w:color w:val="auto"/>
        </w:rPr>
      </w:pPr>
    </w:p>
    <w:p>
      <w:pPr>
        <w:jc w:val="both"/>
        <w:ind w:left="1500" w:hanging="743"/>
        <w:spacing w:after="0" w:line="246" w:lineRule="auto"/>
        <w:tabs>
          <w:tab w:leader="none" w:pos="150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claims, actions, demands and proceedings (whether civil, criminal or regulatory) made, brought or threatened against the Indemnified Person, or in connection with which the Indemnified Person must appear as a witness or provide testimony, arising out of or in the connection with the actual or purported exercise or performance of, or failure to exercise or perform, any of the Indemnified Person's powers, duties or responsibilities as a director or officer of the Company or any Associated Company (</w:t>
      </w:r>
      <w:r>
        <w:rPr>
          <w:rFonts w:ascii="Times New Roman" w:cs="Times New Roman" w:eastAsia="Times New Roman" w:hAnsi="Times New Roman"/>
          <w:sz w:val="20"/>
          <w:szCs w:val="20"/>
          <w:b w:val="1"/>
          <w:bCs w:val="1"/>
          <w:color w:val="auto"/>
        </w:rPr>
        <w:t>"Claims"</w:t>
      </w:r>
      <w:r>
        <w:rPr>
          <w:rFonts w:ascii="Times New Roman" w:cs="Times New Roman" w:eastAsia="Times New Roman" w:hAnsi="Times New Roman"/>
          <w:sz w:val="20"/>
          <w:szCs w:val="20"/>
          <w:color w:val="auto"/>
        </w:rPr>
        <w:t>); and</w:t>
      </w:r>
    </w:p>
    <w:p>
      <w:pPr>
        <w:spacing w:after="0" w:line="265"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Losses suffered or incurred by the Indemnified Person in connection with any Claim.</w:t>
      </w:r>
    </w:p>
    <w:p>
      <w:pPr>
        <w:spacing w:after="0" w:line="283" w:lineRule="exact"/>
        <w:rPr>
          <w:sz w:val="20"/>
          <w:szCs w:val="20"/>
          <w:color w:val="auto"/>
        </w:rPr>
      </w:pPr>
    </w:p>
    <w:p>
      <w:pPr>
        <w:jc w:val="both"/>
        <w:ind w:left="760" w:hanging="748"/>
        <w:spacing w:after="0" w:line="249" w:lineRule="auto"/>
        <w:tabs>
          <w:tab w:leader="none" w:pos="740" w:val="left"/>
        </w:tabs>
        <w:rPr>
          <w:sz w:val="20"/>
          <w:szCs w:val="20"/>
          <w:color w:val="auto"/>
        </w:rPr>
      </w:pPr>
      <w:r>
        <w:rPr>
          <w:rFonts w:ascii="Times New Roman" w:cs="Times New Roman" w:eastAsia="Times New Roman" w:hAnsi="Times New Roman"/>
          <w:sz w:val="20"/>
          <w:szCs w:val="20"/>
          <w:color w:val="auto"/>
        </w:rPr>
        <w:t>2.2</w:t>
      </w:r>
      <w:r>
        <w:rPr>
          <w:sz w:val="20"/>
          <w:szCs w:val="20"/>
          <w:color w:val="auto"/>
        </w:rPr>
        <w:tab/>
      </w:r>
      <w:r>
        <w:rPr>
          <w:rFonts w:ascii="Times New Roman" w:cs="Times New Roman" w:eastAsia="Times New Roman" w:hAnsi="Times New Roman"/>
          <w:sz w:val="20"/>
          <w:szCs w:val="20"/>
          <w:color w:val="auto"/>
        </w:rPr>
        <w:t>The indemnity contained in Clause 2.1 shall not provide for, or entitle the Indemnified Person to, any indemnification that would cause this Deed (or any part of it) to be treated as void under the Companies Act 2006 or otherwise prohibited by law and, in particular (but without limitation), shall not, save to the extent provided in Clause 3, provide directly or indirectly (to any extent) any indemnity against:</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781685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9" w:name="page50"/>
    <w:bookmarkEnd w:id="49"/>
    <w:p>
      <w:pPr>
        <w:ind w:left="1500" w:hanging="743"/>
        <w:spacing w:after="0"/>
        <w:tabs>
          <w:tab w:leader="none" w:pos="150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liability incurred by the Indemnified Person to the Company or any Associated Company; or</w:t>
      </w:r>
    </w:p>
    <w:p>
      <w:pPr>
        <w:spacing w:after="0" w:line="283" w:lineRule="exact"/>
        <w:rPr>
          <w:rFonts w:ascii="Times New Roman" w:cs="Times New Roman" w:eastAsia="Times New Roman" w:hAnsi="Times New Roman"/>
          <w:sz w:val="20"/>
          <w:szCs w:val="20"/>
          <w:color w:val="auto"/>
        </w:rPr>
      </w:pPr>
    </w:p>
    <w:p>
      <w:pPr>
        <w:jc w:val="both"/>
        <w:ind w:left="1500" w:hanging="743"/>
        <w:spacing w:after="0" w:line="254" w:lineRule="auto"/>
        <w:tabs>
          <w:tab w:leader="none" w:pos="150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liability incurred by the Indemnified Person to pay a fine imposed in criminal proceedings or a sum payable to a regulatory authority by way of a penalty in respect of non-compliance with any requirement of a regulatory nature (howsoever arising); or</w:t>
      </w:r>
    </w:p>
    <w:p>
      <w:pPr>
        <w:spacing w:after="0" w:line="255"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liability incurred by the Indemnified Person:</w:t>
      </w:r>
    </w:p>
    <w:p>
      <w:pPr>
        <w:spacing w:after="0" w:line="283" w:lineRule="exact"/>
        <w:rPr>
          <w:rFonts w:ascii="Times New Roman" w:cs="Times New Roman" w:eastAsia="Times New Roman" w:hAnsi="Times New Roman"/>
          <w:sz w:val="20"/>
          <w:szCs w:val="20"/>
          <w:color w:val="auto"/>
        </w:rPr>
      </w:pPr>
    </w:p>
    <w:p>
      <w:pPr>
        <w:ind w:left="2260" w:hanging="755"/>
        <w:spacing w:after="0"/>
        <w:tabs>
          <w:tab w:leader="none" w:pos="2260"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defending any criminal proceedings in which he is convicted; or</w:t>
      </w:r>
    </w:p>
    <w:p>
      <w:pPr>
        <w:spacing w:after="0" w:line="283" w:lineRule="exact"/>
        <w:rPr>
          <w:rFonts w:ascii="Times New Roman" w:cs="Times New Roman" w:eastAsia="Times New Roman" w:hAnsi="Times New Roman"/>
          <w:sz w:val="20"/>
          <w:szCs w:val="20"/>
          <w:color w:val="auto"/>
        </w:rPr>
      </w:pPr>
    </w:p>
    <w:p>
      <w:pPr>
        <w:ind w:left="2260" w:hanging="755"/>
        <w:spacing w:after="0" w:line="269" w:lineRule="auto"/>
        <w:tabs>
          <w:tab w:leader="none" w:pos="2260"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defending any civil proceedings brought by the Company or an Associated Company in which judgment is given against him; or</w:t>
      </w:r>
    </w:p>
    <w:p>
      <w:pPr>
        <w:spacing w:after="0" w:line="240" w:lineRule="exact"/>
        <w:rPr>
          <w:rFonts w:ascii="Times New Roman" w:cs="Times New Roman" w:eastAsia="Times New Roman" w:hAnsi="Times New Roman"/>
          <w:sz w:val="20"/>
          <w:szCs w:val="20"/>
          <w:color w:val="auto"/>
        </w:rPr>
      </w:pPr>
    </w:p>
    <w:p>
      <w:pPr>
        <w:ind w:left="2260" w:hanging="755"/>
        <w:spacing w:after="0" w:line="269" w:lineRule="auto"/>
        <w:tabs>
          <w:tab w:leader="none" w:pos="2260"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any application made under sections 661(3) or (4) or section 1157 of the Companies Act 2006 in which the court refuses to grant him relief,</w:t>
      </w:r>
    </w:p>
    <w:p>
      <w:pPr>
        <w:spacing w:after="0" w:line="22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where, in any such case, the conviction, judgment or refusal of relief (as the case may be) has become final.</w:t>
      </w:r>
    </w:p>
    <w:p>
      <w:pPr>
        <w:spacing w:after="0" w:line="283" w:lineRule="exact"/>
        <w:rPr>
          <w:sz w:val="20"/>
          <w:szCs w:val="20"/>
          <w:color w:val="auto"/>
        </w:rPr>
      </w:pPr>
    </w:p>
    <w:p>
      <w:pPr>
        <w:ind w:left="760" w:hanging="748"/>
        <w:spacing w:after="0" w:line="269" w:lineRule="auto"/>
        <w:tabs>
          <w:tab w:leader="none" w:pos="740" w:val="left"/>
        </w:tabs>
        <w:rPr>
          <w:sz w:val="20"/>
          <w:szCs w:val="20"/>
          <w:color w:val="auto"/>
        </w:rPr>
      </w:pPr>
      <w:r>
        <w:rPr>
          <w:rFonts w:ascii="Times New Roman" w:cs="Times New Roman" w:eastAsia="Times New Roman" w:hAnsi="Times New Roman"/>
          <w:sz w:val="20"/>
          <w:szCs w:val="20"/>
          <w:color w:val="auto"/>
        </w:rPr>
        <w:t>2.3</w:t>
      </w:r>
      <w:r>
        <w:rPr>
          <w:sz w:val="20"/>
          <w:szCs w:val="20"/>
          <w:color w:val="auto"/>
        </w:rPr>
        <w:tab/>
      </w:r>
      <w:r>
        <w:rPr>
          <w:rFonts w:ascii="Times New Roman" w:cs="Times New Roman" w:eastAsia="Times New Roman" w:hAnsi="Times New Roman"/>
          <w:sz w:val="20"/>
          <w:szCs w:val="20"/>
          <w:color w:val="auto"/>
        </w:rPr>
        <w:t>Reference in paragraph (c) of Clause 2.2 of this Deed to a conviction, judgment or refusal of relief being 'final' shall be construed in accordance with section 234(5) of the Companies Act 2006.</w:t>
      </w:r>
    </w:p>
    <w:p>
      <w:pPr>
        <w:spacing w:after="0" w:line="236" w:lineRule="exact"/>
        <w:rPr>
          <w:sz w:val="20"/>
          <w:szCs w:val="20"/>
          <w:color w:val="auto"/>
        </w:rPr>
      </w:pPr>
    </w:p>
    <w:p>
      <w:pPr>
        <w:ind w:left="760" w:hanging="752"/>
        <w:spacing w:after="0"/>
        <w:tabs>
          <w:tab w:leader="none" w:pos="76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FUNDING OF EXPENDITURE</w:t>
      </w:r>
    </w:p>
    <w:p>
      <w:pPr>
        <w:spacing w:after="0" w:line="287" w:lineRule="exact"/>
        <w:rPr>
          <w:sz w:val="20"/>
          <w:szCs w:val="20"/>
          <w:color w:val="auto"/>
        </w:rPr>
      </w:pPr>
    </w:p>
    <w:p>
      <w:pPr>
        <w:jc w:val="both"/>
        <w:ind w:left="760" w:hanging="748"/>
        <w:spacing w:after="0" w:line="254" w:lineRule="auto"/>
        <w:tabs>
          <w:tab w:leader="none" w:pos="740" w:val="left"/>
        </w:tabs>
        <w:rPr>
          <w:sz w:val="20"/>
          <w:szCs w:val="20"/>
          <w:color w:val="auto"/>
        </w:rPr>
      </w:pPr>
      <w:r>
        <w:rPr>
          <w:rFonts w:ascii="Times New Roman" w:cs="Times New Roman" w:eastAsia="Times New Roman" w:hAnsi="Times New Roman"/>
          <w:sz w:val="20"/>
          <w:szCs w:val="20"/>
          <w:color w:val="auto"/>
        </w:rPr>
        <w:t>3.1</w:t>
      </w:r>
      <w:r>
        <w:rPr>
          <w:sz w:val="20"/>
          <w:szCs w:val="20"/>
          <w:color w:val="auto"/>
        </w:rPr>
        <w:tab/>
      </w:r>
      <w:r>
        <w:rPr>
          <w:rFonts w:ascii="Times New Roman" w:cs="Times New Roman" w:eastAsia="Times New Roman" w:hAnsi="Times New Roman"/>
          <w:sz w:val="20"/>
          <w:szCs w:val="20"/>
          <w:color w:val="auto"/>
        </w:rPr>
        <w:t>Without prejudice to the generality of the indemnity set out in Clause 2.1 but subject always to Clause 3.2, the Company shall, to the fullest extent permitted by law, indemnify and hold the Indemnified Person harmless on an 'as incurred' basis against all legal and other costs, charges and expenses reasonably incurred:</w:t>
      </w:r>
    </w:p>
    <w:p>
      <w:pPr>
        <w:spacing w:after="0" w:line="242" w:lineRule="exact"/>
        <w:rPr>
          <w:sz w:val="20"/>
          <w:szCs w:val="20"/>
          <w:color w:val="auto"/>
        </w:rPr>
      </w:pPr>
    </w:p>
    <w:p>
      <w:pPr>
        <w:ind w:left="1500" w:hanging="743"/>
        <w:spacing w:after="0" w:line="269" w:lineRule="auto"/>
        <w:tabs>
          <w:tab w:leader="none" w:pos="150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defending any criminal or civil proceedings in connection with any alleged negligence, default, breach of duty or breach of trust by the Indemnified Person in relation to the Company or any Associated Company; or</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772795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0" w:name="page51"/>
    <w:bookmarkEnd w:id="50"/>
    <w:p>
      <w:pPr>
        <w:jc w:val="both"/>
        <w:ind w:left="1492" w:hanging="743"/>
        <w:spacing w:after="0" w:line="254" w:lineRule="auto"/>
        <w:tabs>
          <w:tab w:leader="none" w:pos="1492"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defending himself in an investigation by a regulatory authority or against action proposed to be taken by a regulatory authority in connection with any alleged negligence, default, breach of duty or breach of trust in relation to the Company or any Associated Company; or</w:t>
      </w:r>
    </w:p>
    <w:p>
      <w:pPr>
        <w:spacing w:after="0" w:line="241" w:lineRule="exact"/>
        <w:rPr>
          <w:rFonts w:ascii="Times New Roman" w:cs="Times New Roman" w:eastAsia="Times New Roman" w:hAnsi="Times New Roman"/>
          <w:sz w:val="20"/>
          <w:szCs w:val="20"/>
          <w:color w:val="auto"/>
        </w:rPr>
      </w:pPr>
    </w:p>
    <w:p>
      <w:pPr>
        <w:ind w:left="1492" w:hanging="743"/>
        <w:spacing w:after="0"/>
        <w:tabs>
          <w:tab w:leader="none" w:pos="1492"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any application under sections 661(3) or (4) or section 1157 of the Companies Act 2006.</w:t>
      </w:r>
    </w:p>
    <w:p>
      <w:pPr>
        <w:spacing w:after="0" w:line="297" w:lineRule="exact"/>
        <w:rPr>
          <w:sz w:val="20"/>
          <w:szCs w:val="20"/>
          <w:color w:val="auto"/>
        </w:rPr>
      </w:pPr>
    </w:p>
    <w:p>
      <w:pPr>
        <w:jc w:val="both"/>
        <w:ind w:left="752" w:hanging="748"/>
        <w:spacing w:after="0" w:line="254" w:lineRule="auto"/>
        <w:tabs>
          <w:tab w:leader="none" w:pos="732" w:val="left"/>
        </w:tabs>
        <w:rPr>
          <w:sz w:val="20"/>
          <w:szCs w:val="20"/>
          <w:color w:val="auto"/>
        </w:rPr>
      </w:pPr>
      <w:r>
        <w:rPr>
          <w:rFonts w:ascii="Times New Roman" w:cs="Times New Roman" w:eastAsia="Times New Roman" w:hAnsi="Times New Roman"/>
          <w:sz w:val="20"/>
          <w:szCs w:val="20"/>
          <w:color w:val="auto"/>
        </w:rPr>
        <w:t>3.2</w:t>
      </w:r>
      <w:r>
        <w:rPr>
          <w:sz w:val="20"/>
          <w:szCs w:val="20"/>
          <w:color w:val="auto"/>
        </w:rPr>
        <w:tab/>
      </w:r>
      <w:r>
        <w:rPr>
          <w:rFonts w:ascii="Times New Roman" w:cs="Times New Roman" w:eastAsia="Times New Roman" w:hAnsi="Times New Roman"/>
          <w:sz w:val="20"/>
          <w:szCs w:val="20"/>
          <w:color w:val="auto"/>
        </w:rPr>
        <w:t>The Indemnified Person agrees that, in accordance with section 205 of the Companies Act 2006, any legal and other costs, charges and expenses paid by the Company pursuant to paragraph (a) or (c) of the indemnity contained in Clause 3.1 shall be repaid, or any liability of the Company under any transaction connected thereto shall be discharged, not later than:</w:t>
      </w:r>
    </w:p>
    <w:p>
      <w:pPr>
        <w:spacing w:after="0" w:line="242" w:lineRule="exact"/>
        <w:rPr>
          <w:sz w:val="20"/>
          <w:szCs w:val="20"/>
          <w:color w:val="auto"/>
        </w:rPr>
      </w:pPr>
    </w:p>
    <w:p>
      <w:pPr>
        <w:ind w:left="1492" w:hanging="743"/>
        <w:spacing w:after="0"/>
        <w:tabs>
          <w:tab w:leader="none" w:pos="1492"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Indemnified Person is convicted in the proceedings, the date when the conviction becomes final; or</w:t>
      </w:r>
    </w:p>
    <w:p>
      <w:pPr>
        <w:spacing w:after="0" w:line="283" w:lineRule="exact"/>
        <w:rPr>
          <w:rFonts w:ascii="Times New Roman" w:cs="Times New Roman" w:eastAsia="Times New Roman" w:hAnsi="Times New Roman"/>
          <w:sz w:val="20"/>
          <w:szCs w:val="20"/>
          <w:color w:val="auto"/>
        </w:rPr>
      </w:pPr>
    </w:p>
    <w:p>
      <w:pPr>
        <w:ind w:left="1492" w:hanging="743"/>
        <w:spacing w:after="0"/>
        <w:tabs>
          <w:tab w:leader="none" w:pos="1492"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judgment is given against the Indemnified Person in the proceedings, the date when the judgment becomes final; or</w:t>
      </w:r>
    </w:p>
    <w:p>
      <w:pPr>
        <w:spacing w:after="0" w:line="296" w:lineRule="exact"/>
        <w:rPr>
          <w:rFonts w:ascii="Times New Roman" w:cs="Times New Roman" w:eastAsia="Times New Roman" w:hAnsi="Times New Roman"/>
          <w:sz w:val="20"/>
          <w:szCs w:val="20"/>
          <w:color w:val="auto"/>
        </w:rPr>
      </w:pPr>
    </w:p>
    <w:p>
      <w:pPr>
        <w:ind w:left="1492" w:right="20" w:hanging="743"/>
        <w:spacing w:after="0" w:line="269" w:lineRule="auto"/>
        <w:tabs>
          <w:tab w:leader="none" w:pos="1492"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court refuses to grant the Indemnified Person relief on the application, the date when the refusal of relief becomes final.</w:t>
      </w:r>
    </w:p>
    <w:p>
      <w:pPr>
        <w:spacing w:after="0" w:line="227" w:lineRule="exact"/>
        <w:rPr>
          <w:sz w:val="20"/>
          <w:szCs w:val="20"/>
          <w:color w:val="auto"/>
        </w:rPr>
      </w:pPr>
    </w:p>
    <w:p>
      <w:pPr>
        <w:ind w:left="752" w:hanging="748"/>
        <w:spacing w:after="0" w:line="269" w:lineRule="auto"/>
        <w:tabs>
          <w:tab w:leader="none" w:pos="732" w:val="left"/>
        </w:tabs>
        <w:rPr>
          <w:sz w:val="20"/>
          <w:szCs w:val="20"/>
          <w:color w:val="auto"/>
        </w:rPr>
      </w:pPr>
      <w:r>
        <w:rPr>
          <w:rFonts w:ascii="Times New Roman" w:cs="Times New Roman" w:eastAsia="Times New Roman" w:hAnsi="Times New Roman"/>
          <w:sz w:val="20"/>
          <w:szCs w:val="20"/>
          <w:color w:val="auto"/>
        </w:rPr>
        <w:t>3.3</w:t>
      </w:r>
      <w:r>
        <w:rPr>
          <w:sz w:val="20"/>
          <w:szCs w:val="20"/>
          <w:color w:val="auto"/>
        </w:rPr>
        <w:tab/>
      </w:r>
      <w:r>
        <w:rPr>
          <w:rFonts w:ascii="Times New Roman" w:cs="Times New Roman" w:eastAsia="Times New Roman" w:hAnsi="Times New Roman"/>
          <w:sz w:val="20"/>
          <w:szCs w:val="20"/>
          <w:color w:val="auto"/>
        </w:rPr>
        <w:t>Reference in Clause 3.2 of this Deed to a conviction, judgment or refusal of relief becoming 'final' shall be construed in accordance with section 205(3) of the Companies Act 2006.</w:t>
      </w:r>
    </w:p>
    <w:p>
      <w:pPr>
        <w:spacing w:after="0" w:line="223" w:lineRule="exact"/>
        <w:rPr>
          <w:sz w:val="20"/>
          <w:szCs w:val="20"/>
          <w:color w:val="auto"/>
        </w:rPr>
      </w:pPr>
    </w:p>
    <w:p>
      <w:pPr>
        <w:ind w:left="752" w:hanging="752"/>
        <w:spacing w:after="0"/>
        <w:tabs>
          <w:tab w:leader="none" w:pos="752"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EFFECT OF CESSATION OF DIRECTORSHIP OR OFFICERSHIP</w:t>
      </w:r>
    </w:p>
    <w:p>
      <w:pPr>
        <w:spacing w:after="0" w:line="301" w:lineRule="exact"/>
        <w:rPr>
          <w:sz w:val="20"/>
          <w:szCs w:val="20"/>
          <w:color w:val="auto"/>
        </w:rPr>
      </w:pPr>
    </w:p>
    <w:p>
      <w:pPr>
        <w:jc w:val="both"/>
        <w:ind w:left="412" w:hanging="685"/>
        <w:spacing w:after="0" w:line="245" w:lineRule="auto"/>
        <w:tabs>
          <w:tab w:leader="none" w:pos="392" w:val="left"/>
        </w:tabs>
        <w:rPr>
          <w:sz w:val="20"/>
          <w:szCs w:val="20"/>
          <w:color w:val="auto"/>
        </w:rPr>
      </w:pPr>
      <w:r>
        <w:rPr>
          <w:rFonts w:ascii="Times New Roman" w:cs="Times New Roman" w:eastAsia="Times New Roman" w:hAnsi="Times New Roman"/>
          <w:sz w:val="20"/>
          <w:szCs w:val="20"/>
          <w:color w:val="auto"/>
        </w:rPr>
        <w:t>4.1</w:t>
        <w:tab/>
        <w:t>This Deed shall be deemed to take effect on the date upon which the Indemnified Person was appointed a director or officer of the Company and shall continue with full force and effect without limit in time and notwithstanding the fact that any other director or officer of the Company, or the Company itself, may have settled any claim or action to which the Indemnified Person is a party and to which the Indemnified Person has sought ongoing funds or reimbursement under this Deed, it being understood that this Deed and the indemnity given hereunder can be relied on notwithstanding the actions of other directors or officers, or the Company itself in settling any claim or action.</w:t>
      </w:r>
    </w:p>
    <w:p>
      <w:pPr>
        <w:spacing w:after="0" w:line="200" w:lineRule="exact"/>
        <w:rPr>
          <w:sz w:val="20"/>
          <w:szCs w:val="20"/>
          <w:color w:val="auto"/>
        </w:rPr>
      </w:pPr>
    </w:p>
    <w:p>
      <w:pPr>
        <w:spacing w:after="0" w:line="26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772795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13" w:right="339" w:bottom="1440" w:gutter="0" w:footer="0" w:header="0"/>
        </w:sectPr>
      </w:pPr>
    </w:p>
    <w:bookmarkStart w:id="51" w:name="page52"/>
    <w:bookmarkEnd w:id="51"/>
    <w:p>
      <w:pPr>
        <w:ind w:left="700" w:right="20" w:hanging="685"/>
        <w:spacing w:after="0" w:line="269" w:lineRule="auto"/>
        <w:rPr>
          <w:sz w:val="20"/>
          <w:szCs w:val="20"/>
          <w:color w:val="auto"/>
        </w:rPr>
      </w:pPr>
      <w:r>
        <w:rPr>
          <w:rFonts w:ascii="Times New Roman" w:cs="Times New Roman" w:eastAsia="Times New Roman" w:hAnsi="Times New Roman"/>
          <w:sz w:val="20"/>
          <w:szCs w:val="20"/>
          <w:color w:val="auto"/>
        </w:rPr>
        <w:t>4.2 The Indemnified Person shall continue to be indemnified under the terms of the indemnities in this Deed notwithstanding that he may have ceased to be a director or officer of the Company or of any Associated Company.</w:t>
      </w:r>
    </w:p>
    <w:p>
      <w:pPr>
        <w:spacing w:after="0" w:line="223" w:lineRule="exact"/>
        <w:rPr>
          <w:sz w:val="20"/>
          <w:szCs w:val="20"/>
          <w:color w:val="auto"/>
        </w:rPr>
      </w:pPr>
    </w:p>
    <w:p>
      <w:pPr>
        <w:ind w:left="400" w:hanging="392"/>
        <w:spacing w:after="0"/>
        <w:tabs>
          <w:tab w:leader="none" w:pos="40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CONDUCT OF CLAIMS</w:t>
      </w:r>
    </w:p>
    <w:p>
      <w:pPr>
        <w:spacing w:after="0" w:line="301" w:lineRule="exact"/>
        <w:rPr>
          <w:sz w:val="20"/>
          <w:szCs w:val="20"/>
          <w:color w:val="auto"/>
        </w:rPr>
      </w:pPr>
    </w:p>
    <w:p>
      <w:pPr>
        <w:jc w:val="both"/>
        <w:ind w:left="700" w:hanging="685"/>
        <w:spacing w:after="0" w:line="249" w:lineRule="auto"/>
        <w:rPr>
          <w:sz w:val="20"/>
          <w:szCs w:val="20"/>
          <w:color w:val="auto"/>
        </w:rPr>
      </w:pPr>
      <w:r>
        <w:rPr>
          <w:rFonts w:ascii="Times New Roman" w:cs="Times New Roman" w:eastAsia="Times New Roman" w:hAnsi="Times New Roman"/>
          <w:sz w:val="20"/>
          <w:szCs w:val="20"/>
          <w:color w:val="auto"/>
        </w:rPr>
        <w:t>5.1 The Indemnified Person shall, as soon as reasonably practicable following receipt of notice of any Claim (or becoming aware of circumstances which may reasonably be expected to give rise to any Claim) and before incurring any costs, charges or expenses in connection therewith (including but not limited to securing legal representation), notify the Company in writing of such notice or circumstances, giving full details and providing copies of all relevant correspondence and other documentation.</w:t>
      </w:r>
    </w:p>
    <w:p>
      <w:pPr>
        <w:spacing w:after="0" w:line="247" w:lineRule="exact"/>
        <w:rPr>
          <w:sz w:val="20"/>
          <w:szCs w:val="20"/>
          <w:color w:val="auto"/>
        </w:rPr>
      </w:pPr>
    </w:p>
    <w:p>
      <w:pPr>
        <w:jc w:val="both"/>
        <w:ind w:left="700" w:hanging="685"/>
        <w:spacing w:after="0" w:line="254" w:lineRule="auto"/>
        <w:rPr>
          <w:sz w:val="20"/>
          <w:szCs w:val="20"/>
          <w:color w:val="auto"/>
        </w:rPr>
      </w:pPr>
      <w:r>
        <w:rPr>
          <w:rFonts w:ascii="Times New Roman" w:cs="Times New Roman" w:eastAsia="Times New Roman" w:hAnsi="Times New Roman"/>
          <w:sz w:val="20"/>
          <w:szCs w:val="20"/>
          <w:color w:val="auto"/>
        </w:rPr>
        <w:t>5.2 The Indemnified Person shall keep the Company fully informed of the progress of any Claim, shall provide to the Company all such information and documentation in relation to any Claim (and any Losses incurred in connection therewith) as the Company may reasonably request and shall consult with the Company on any matter which is (or is likely to be) material in relation to any Claim.</w:t>
      </w:r>
    </w:p>
    <w:p>
      <w:pPr>
        <w:spacing w:after="0" w:line="242" w:lineRule="exact"/>
        <w:rPr>
          <w:sz w:val="20"/>
          <w:szCs w:val="20"/>
          <w:color w:val="auto"/>
        </w:rPr>
      </w:pPr>
    </w:p>
    <w:p>
      <w:pPr>
        <w:ind w:left="700" w:right="40" w:hanging="685"/>
        <w:spacing w:after="0" w:line="269" w:lineRule="auto"/>
        <w:rPr>
          <w:sz w:val="20"/>
          <w:szCs w:val="20"/>
          <w:color w:val="auto"/>
        </w:rPr>
      </w:pPr>
      <w:r>
        <w:rPr>
          <w:rFonts w:ascii="Times New Roman" w:cs="Times New Roman" w:eastAsia="Times New Roman" w:hAnsi="Times New Roman"/>
          <w:sz w:val="20"/>
          <w:szCs w:val="20"/>
          <w:color w:val="auto"/>
        </w:rPr>
        <w:t>5.3 Failure to timely provide such notice or keep the Company informed shall not prejudice the Indemnified Person’s right to seek indemnification hereunder as long as the Company’s ability to defend such Claim is not materially prejudiced thereby.</w:t>
      </w:r>
    </w:p>
    <w:p>
      <w:pPr>
        <w:spacing w:after="0" w:line="236" w:lineRule="exact"/>
        <w:rPr>
          <w:sz w:val="20"/>
          <w:szCs w:val="20"/>
          <w:color w:val="auto"/>
        </w:rPr>
      </w:pPr>
    </w:p>
    <w:p>
      <w:pPr>
        <w:ind w:left="400" w:hanging="392"/>
        <w:spacing w:after="0"/>
        <w:tabs>
          <w:tab w:leader="none" w:pos="40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SUBROGATION</w:t>
      </w:r>
    </w:p>
    <w:p>
      <w:pPr>
        <w:spacing w:after="0" w:line="287" w:lineRule="exact"/>
        <w:rPr>
          <w:sz w:val="20"/>
          <w:szCs w:val="20"/>
          <w:color w:val="auto"/>
        </w:rPr>
      </w:pPr>
    </w:p>
    <w:p>
      <w:pPr>
        <w:jc w:val="both"/>
        <w:ind w:left="760"/>
        <w:spacing w:after="0" w:line="249" w:lineRule="auto"/>
        <w:rPr>
          <w:sz w:val="20"/>
          <w:szCs w:val="20"/>
          <w:color w:val="auto"/>
        </w:rPr>
      </w:pPr>
      <w:r>
        <w:rPr>
          <w:rFonts w:ascii="Times New Roman" w:cs="Times New Roman" w:eastAsia="Times New Roman" w:hAnsi="Times New Roman"/>
          <w:sz w:val="20"/>
          <w:szCs w:val="20"/>
          <w:color w:val="auto"/>
        </w:rPr>
        <w:t>If any payment is made under this Deed, the Company shall be subrogated to the extent of such payment to all of the Indemnified Person's rights of recovery against third parties (including any claim under any applicable directors' and officers' liability insurance policy) in respect of the payment. The Indemnified Person shall provide all such reasonable cooperation as may be requested by the Company for the purposes of securing and exercising such rights of recovery.</w:t>
      </w:r>
    </w:p>
    <w:p>
      <w:pPr>
        <w:spacing w:after="0" w:line="243" w:lineRule="exact"/>
        <w:rPr>
          <w:sz w:val="20"/>
          <w:szCs w:val="20"/>
          <w:color w:val="auto"/>
        </w:rPr>
      </w:pPr>
    </w:p>
    <w:p>
      <w:pPr>
        <w:ind w:left="760" w:hanging="752"/>
        <w:spacing w:after="0"/>
        <w:tabs>
          <w:tab w:leader="none" w:pos="76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INSURANCE</w:t>
      </w:r>
    </w:p>
    <w:p>
      <w:pPr>
        <w:spacing w:after="0" w:line="301" w:lineRule="exact"/>
        <w:rPr>
          <w:sz w:val="20"/>
          <w:szCs w:val="20"/>
          <w:color w:val="auto"/>
        </w:rPr>
      </w:pPr>
    </w:p>
    <w:p>
      <w:pPr>
        <w:ind w:left="700"/>
        <w:spacing w:after="0" w:line="295" w:lineRule="auto"/>
        <w:rPr>
          <w:sz w:val="20"/>
          <w:szCs w:val="20"/>
          <w:color w:val="auto"/>
        </w:rPr>
      </w:pPr>
      <w:r>
        <w:rPr>
          <w:rFonts w:ascii="Times New Roman" w:cs="Times New Roman" w:eastAsia="Times New Roman" w:hAnsi="Times New Roman"/>
          <w:sz w:val="19"/>
          <w:szCs w:val="19"/>
          <w:color w:val="auto"/>
        </w:rPr>
        <w:t>The Company shall use its best endeavours to maintain appropriate directors' and officers' liability insurance (including ensuring that premiums are properly paid) for the benefit of the Indemnified Person both during his appointment as a director or officer of the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772795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2" w:name="page53"/>
    <w:bookmarkEnd w:id="52"/>
    <w:p>
      <w:pPr>
        <w:ind w:left="700" w:right="20"/>
        <w:spacing w:after="0" w:line="269" w:lineRule="auto"/>
        <w:rPr>
          <w:sz w:val="20"/>
          <w:szCs w:val="20"/>
          <w:color w:val="auto"/>
        </w:rPr>
      </w:pPr>
      <w:r>
        <w:rPr>
          <w:rFonts w:ascii="Times New Roman" w:cs="Times New Roman" w:eastAsia="Times New Roman" w:hAnsi="Times New Roman"/>
          <w:sz w:val="20"/>
          <w:szCs w:val="20"/>
          <w:color w:val="auto"/>
        </w:rPr>
        <w:t>Company and after the cessation of such appointment in respect of any matter occurring or alleged to have occurred while the Indemnified Person is or was a director or officer of the Company.</w:t>
      </w:r>
    </w:p>
    <w:p>
      <w:pPr>
        <w:spacing w:after="0" w:line="223" w:lineRule="exact"/>
        <w:rPr>
          <w:sz w:val="20"/>
          <w:szCs w:val="20"/>
          <w:color w:val="auto"/>
        </w:rPr>
      </w:pPr>
    </w:p>
    <w:p>
      <w:pPr>
        <w:ind w:left="760" w:hanging="752"/>
        <w:spacing w:after="0"/>
        <w:tabs>
          <w:tab w:leader="none" w:pos="7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INVALIDITY</w:t>
      </w:r>
    </w:p>
    <w:p>
      <w:pPr>
        <w:spacing w:after="0" w:line="300" w:lineRule="exact"/>
        <w:rPr>
          <w:rFonts w:ascii="Times New Roman" w:cs="Times New Roman" w:eastAsia="Times New Roman" w:hAnsi="Times New Roman"/>
          <w:sz w:val="20"/>
          <w:szCs w:val="20"/>
          <w:color w:val="auto"/>
        </w:rPr>
      </w:pPr>
    </w:p>
    <w:p>
      <w:pPr>
        <w:ind w:left="760"/>
        <w:spacing w:after="0" w:line="26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at any time any provision of this Deed is or becomes illegal, invalid or unenforceable in any respect under the law of any jurisdiction, such illegality, invalidity or unenforceability shall not affect or impair:</w:t>
      </w:r>
    </w:p>
    <w:p>
      <w:pPr>
        <w:spacing w:after="0" w:line="226" w:lineRule="exact"/>
        <w:rPr>
          <w:rFonts w:ascii="Times New Roman" w:cs="Times New Roman" w:eastAsia="Times New Roman" w:hAnsi="Times New Roman"/>
          <w:sz w:val="20"/>
          <w:szCs w:val="20"/>
          <w:color w:val="auto"/>
        </w:rPr>
      </w:pPr>
    </w:p>
    <w:p>
      <w:pPr>
        <w:ind w:left="1080" w:hanging="386"/>
        <w:spacing w:after="0"/>
        <w:tabs>
          <w:tab w:leader="none" w:pos="1080"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legality, validity or enforceability under the law of that jurisdiction of any other provision of this Deed; or</w:t>
      </w:r>
    </w:p>
    <w:p>
      <w:pPr>
        <w:spacing w:after="0" w:line="229" w:lineRule="exact"/>
        <w:rPr>
          <w:rFonts w:ascii="Times New Roman" w:cs="Times New Roman" w:eastAsia="Times New Roman" w:hAnsi="Times New Roman"/>
          <w:sz w:val="20"/>
          <w:szCs w:val="20"/>
          <w:color w:val="auto"/>
        </w:rPr>
      </w:pPr>
    </w:p>
    <w:p>
      <w:pPr>
        <w:ind w:left="1080" w:hanging="386"/>
        <w:spacing w:after="0"/>
        <w:tabs>
          <w:tab w:leader="none" w:pos="1080"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legality, validity or enforceability under the law of any other jurisdiction of that or any other provision of this Deed.</w:t>
      </w:r>
    </w:p>
    <w:p>
      <w:pPr>
        <w:spacing w:after="0" w:line="225" w:lineRule="exact"/>
        <w:rPr>
          <w:sz w:val="20"/>
          <w:szCs w:val="20"/>
          <w:color w:val="auto"/>
        </w:rPr>
      </w:pPr>
    </w:p>
    <w:p>
      <w:pPr>
        <w:ind w:left="760" w:hanging="752"/>
        <w:spacing w:after="0"/>
        <w:tabs>
          <w:tab w:leader="none" w:pos="7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CONTRACTS (RIGHTS OF THIRD PARTIES) ACT 1999</w:t>
      </w:r>
    </w:p>
    <w:p>
      <w:pPr>
        <w:spacing w:after="0" w:line="287" w:lineRule="exact"/>
        <w:rPr>
          <w:rFonts w:ascii="Times New Roman" w:cs="Times New Roman" w:eastAsia="Times New Roman" w:hAnsi="Times New Roman"/>
          <w:sz w:val="20"/>
          <w:szCs w:val="20"/>
          <w:color w:val="auto"/>
        </w:rPr>
      </w:pPr>
    </w:p>
    <w:p>
      <w:pPr>
        <w:ind w:left="760"/>
        <w:spacing w:after="0" w:line="26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person who is not a party to this Deed shall have no right under the Contracts (Rights of Third Parties) Act 1999 to enforce any of its terms.</w:t>
      </w:r>
    </w:p>
    <w:p>
      <w:pPr>
        <w:spacing w:after="0" w:line="236" w:lineRule="exact"/>
        <w:rPr>
          <w:sz w:val="20"/>
          <w:szCs w:val="20"/>
          <w:color w:val="auto"/>
        </w:rPr>
      </w:pPr>
    </w:p>
    <w:p>
      <w:pPr>
        <w:ind w:left="760" w:hanging="752"/>
        <w:spacing w:after="0"/>
        <w:tabs>
          <w:tab w:leader="none" w:pos="76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GOVERNING LAW AND JURISDICTION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10.1 This Deed shall be governed by, and construed in accordance with, English law.</w:t>
      </w:r>
    </w:p>
    <w:p>
      <w:pPr>
        <w:spacing w:after="0" w:line="229" w:lineRule="exact"/>
        <w:rPr>
          <w:sz w:val="20"/>
          <w:szCs w:val="20"/>
          <w:color w:val="auto"/>
        </w:rPr>
      </w:pPr>
    </w:p>
    <w:p>
      <w:pPr>
        <w:jc w:val="both"/>
        <w:ind w:left="800" w:hanging="800"/>
        <w:spacing w:after="0" w:line="254" w:lineRule="auto"/>
        <w:rPr>
          <w:sz w:val="20"/>
          <w:szCs w:val="20"/>
          <w:color w:val="auto"/>
        </w:rPr>
      </w:pPr>
      <w:r>
        <w:rPr>
          <w:rFonts w:ascii="Times New Roman" w:cs="Times New Roman" w:eastAsia="Times New Roman" w:hAnsi="Times New Roman"/>
          <w:sz w:val="20"/>
          <w:szCs w:val="20"/>
          <w:color w:val="auto"/>
        </w:rPr>
        <w:t>10.2 Each party agrees that the courts of England are to have exclusive jurisdiction to settle any dispute which may arise in connection with the creation, validity, effect, interpretation or performance of, or the legal relationships established by, this Deed or otherwise arising in connection with this Deed and each party irrevocably submits to the jurisdiction of the English courts.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IN WITNESS </w:t>
      </w:r>
      <w:r>
        <w:rPr>
          <w:rFonts w:ascii="Times New Roman" w:cs="Times New Roman" w:eastAsia="Times New Roman" w:hAnsi="Times New Roman"/>
          <w:sz w:val="20"/>
          <w:szCs w:val="20"/>
          <w:color w:val="auto"/>
        </w:rPr>
        <w:t>whereof this document has been executed as a deed and is delivered and takes effect on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EXECUTED AS A DEED</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781685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1"/>
          <w:szCs w:val="21"/>
          <w:b w:val="1"/>
          <w:bCs w:val="1"/>
          <w:color w:val="auto"/>
        </w:rPr>
        <w:t>AMARIN CORPORATION PLC</w:t>
      </w:r>
      <w:r>
        <w:rPr>
          <w:rFonts w:ascii="Times New Roman" w:cs="Times New Roman" w:eastAsia="Times New Roman" w:hAnsi="Times New Roman"/>
          <w:sz w:val="20"/>
          <w:szCs w:val="20"/>
          <w:color w:val="auto"/>
        </w:rPr>
        <w:t xml:space="preserve"> acting by</w:t>
      </w:r>
    </w:p>
    <w:p>
      <w:pPr>
        <w:spacing w:after="0" w:line="32" w:lineRule="exact"/>
        <w:rPr>
          <w:sz w:val="20"/>
          <w:szCs w:val="20"/>
          <w:color w:val="auto"/>
        </w:rPr>
      </w:pPr>
    </w:p>
    <w:p>
      <w:pPr>
        <w:spacing w:after="0"/>
        <w:tabs>
          <w:tab w:leader="none" w:pos="1580" w:val="left"/>
        </w:tabs>
        <w:rPr>
          <w:sz w:val="20"/>
          <w:szCs w:val="20"/>
          <w:color w:val="auto"/>
        </w:rPr>
      </w:pPr>
      <w:r>
        <w:rPr>
          <w:rFonts w:ascii="Times New Roman" w:cs="Times New Roman" w:eastAsia="Times New Roman" w:hAnsi="Times New Roman"/>
          <w:sz w:val="20"/>
          <w:szCs w:val="20"/>
          <w:color w:val="auto"/>
        </w:rPr>
        <w:t>XXX, an officer,</w:t>
      </w:r>
      <w:r>
        <w:rPr>
          <w:sz w:val="20"/>
          <w:szCs w:val="20"/>
          <w:color w:val="auto"/>
        </w:rPr>
        <w:tab/>
      </w:r>
      <w:r>
        <w:rPr>
          <w:rFonts w:ascii="Times New Roman" w:cs="Times New Roman" w:eastAsia="Times New Roman" w:hAnsi="Times New Roman"/>
          <w:sz w:val="19"/>
          <w:szCs w:val="19"/>
          <w:color w:val="auto"/>
        </w:rPr>
        <w:t>………………………………………..</w:t>
      </w:r>
    </w:p>
    <w:p>
      <w:pPr>
        <w:spacing w:after="0"/>
        <w:rPr>
          <w:sz w:val="20"/>
          <w:szCs w:val="20"/>
          <w:color w:val="auto"/>
        </w:rPr>
      </w:pPr>
      <w:r>
        <w:rPr>
          <w:rFonts w:ascii="Times New Roman" w:cs="Times New Roman" w:eastAsia="Times New Roman" w:hAnsi="Times New Roman"/>
          <w:sz w:val="20"/>
          <w:szCs w:val="20"/>
          <w:color w:val="auto"/>
        </w:rPr>
        <w:t>in the presence of:</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Witness: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Occupation</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SIGNED AS A DEED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b w:val="1"/>
          <w:bCs w:val="1"/>
          <w:color w:val="auto"/>
        </w:rPr>
        <w:t>XXX</w:t>
      </w:r>
      <w:r>
        <w:rPr>
          <w:rFonts w:ascii="Times New Roman" w:cs="Times New Roman" w:eastAsia="Times New Roman" w:hAnsi="Times New Roman"/>
          <w:sz w:val="20"/>
          <w:szCs w:val="20"/>
          <w:color w:val="auto"/>
        </w:rPr>
        <w:t xml:space="preserve">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the presence of: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Witness: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Occupation</w:t>
      </w:r>
    </w:p>
    <w:p>
      <w:pPr>
        <w:spacing w:after="0" w:line="216"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772795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4" w:right="1440"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Aaron Berg, certify that:</w:t>
      </w:r>
    </w:p>
    <w:p>
      <w:pPr>
        <w:spacing w:after="0" w:line="117" w:lineRule="exact"/>
        <w:rPr>
          <w:sz w:val="20"/>
          <w:szCs w:val="20"/>
          <w:color w:val="auto"/>
        </w:rPr>
      </w:pPr>
    </w:p>
    <w:p>
      <w:pPr>
        <w:ind w:left="360" w:hanging="352"/>
        <w:spacing w:after="0"/>
        <w:tabs>
          <w:tab w:leader="none" w:pos="3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Amarin Corporation plc;</w:t>
      </w:r>
    </w:p>
    <w:p>
      <w:pPr>
        <w:spacing w:after="0" w:line="117" w:lineRule="exact"/>
        <w:rPr>
          <w:rFonts w:ascii="Times New Roman" w:cs="Times New Roman" w:eastAsia="Times New Roman" w:hAnsi="Times New Roman"/>
          <w:sz w:val="18"/>
          <w:szCs w:val="18"/>
          <w:color w:val="auto"/>
        </w:rPr>
      </w:pPr>
    </w:p>
    <w:p>
      <w:pPr>
        <w:ind w:left="520" w:right="280" w:hanging="512"/>
        <w:spacing w:after="0" w:line="266" w:lineRule="auto"/>
        <w:tabs>
          <w:tab w:leader="none" w:pos="37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360" w:hanging="512"/>
        <w:spacing w:after="0" w:line="282" w:lineRule="auto"/>
        <w:tabs>
          <w:tab w:leader="none" w:pos="37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37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right="80" w:hanging="479"/>
        <w:spacing w:after="0" w:line="266" w:lineRule="auto"/>
        <w:tabs>
          <w:tab w:leader="none" w:pos="895"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479"/>
        <w:spacing w:after="0" w:line="266" w:lineRule="auto"/>
        <w:tabs>
          <w:tab w:leader="none" w:pos="895"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895"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00" w:hanging="479"/>
        <w:spacing w:after="0" w:line="266" w:lineRule="auto"/>
        <w:tabs>
          <w:tab w:leader="none" w:pos="895"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80" w:hanging="512"/>
        <w:spacing w:after="0" w:line="282" w:lineRule="auto"/>
        <w:tabs>
          <w:tab w:leader="none" w:pos="37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540" w:hanging="479"/>
        <w:spacing w:after="0" w:line="282" w:lineRule="auto"/>
        <w:tabs>
          <w:tab w:leader="none" w:pos="895"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Date: July 30, 2025</w:t>
            </w:r>
          </w:p>
        </w:tc>
        <w:tc>
          <w:tcPr>
            <w:tcW w:w="5500" w:type="dxa"/>
            <w:vAlign w:val="bottom"/>
            <w:tcBorders>
              <w:bottom w:val="single" w:sz="8" w:color="auto"/>
            </w:tcBorders>
          </w:tcPr>
          <w:p>
            <w:pPr>
              <w:ind w:left="2000"/>
              <w:spacing w:after="0"/>
              <w:rPr>
                <w:sz w:val="20"/>
                <w:szCs w:val="20"/>
                <w:color w:val="auto"/>
              </w:rPr>
            </w:pPr>
            <w:r>
              <w:rPr>
                <w:rFonts w:ascii="Times New Roman" w:cs="Times New Roman" w:eastAsia="Times New Roman" w:hAnsi="Times New Roman"/>
                <w:sz w:val="18"/>
                <w:szCs w:val="18"/>
                <w:color w:val="auto"/>
              </w:rPr>
              <w:t>/s/  Aaron Berg</w:t>
            </w:r>
          </w:p>
        </w:tc>
      </w:tr>
      <w:tr>
        <w:trPr>
          <w:trHeight w:val="191"/>
        </w:trPr>
        <w:tc>
          <w:tcPr>
            <w:tcW w:w="5740" w:type="dxa"/>
            <w:vAlign w:val="bottom"/>
          </w:tcPr>
          <w:p>
            <w:pPr>
              <w:spacing w:after="0"/>
              <w:rPr>
                <w:sz w:val="16"/>
                <w:szCs w:val="16"/>
                <w:color w:val="auto"/>
              </w:rPr>
            </w:pPr>
          </w:p>
        </w:tc>
        <w:tc>
          <w:tcPr>
            <w:tcW w:w="55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Aaron Berg</w:t>
            </w:r>
          </w:p>
        </w:tc>
      </w:tr>
      <w:tr>
        <w:trPr>
          <w:trHeight w:val="216"/>
        </w:trPr>
        <w:tc>
          <w:tcPr>
            <w:tcW w:w="574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President and Chief Executive Officer</w:t>
            </w:r>
          </w:p>
        </w:tc>
      </w:tr>
      <w:tr>
        <w:trPr>
          <w:trHeight w:val="234"/>
        </w:trPr>
        <w:tc>
          <w:tcPr>
            <w:tcW w:w="574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195"/>
        </w:trPr>
        <w:tc>
          <w:tcPr>
            <w:tcW w:w="574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Fishman, certify that:</w:t>
      </w:r>
    </w:p>
    <w:p>
      <w:pPr>
        <w:spacing w:after="0" w:line="117" w:lineRule="exact"/>
        <w:rPr>
          <w:sz w:val="20"/>
          <w:szCs w:val="20"/>
          <w:color w:val="auto"/>
        </w:rPr>
      </w:pPr>
    </w:p>
    <w:p>
      <w:pPr>
        <w:ind w:left="360" w:hanging="352"/>
        <w:spacing w:after="0"/>
        <w:tabs>
          <w:tab w:leader="none" w:pos="3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Amarin Corporation plc;</w:t>
      </w:r>
    </w:p>
    <w:p>
      <w:pPr>
        <w:spacing w:after="0" w:line="117" w:lineRule="exact"/>
        <w:rPr>
          <w:rFonts w:ascii="Times New Roman" w:cs="Times New Roman" w:eastAsia="Times New Roman" w:hAnsi="Times New Roman"/>
          <w:sz w:val="18"/>
          <w:szCs w:val="18"/>
          <w:color w:val="auto"/>
        </w:rPr>
      </w:pPr>
    </w:p>
    <w:p>
      <w:pPr>
        <w:ind w:left="520" w:right="280" w:hanging="512"/>
        <w:spacing w:after="0" w:line="266" w:lineRule="auto"/>
        <w:tabs>
          <w:tab w:leader="none" w:pos="37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360" w:hanging="512"/>
        <w:spacing w:after="0" w:line="282" w:lineRule="auto"/>
        <w:tabs>
          <w:tab w:leader="none" w:pos="37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37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right="80" w:hanging="479"/>
        <w:spacing w:after="0" w:line="266" w:lineRule="auto"/>
        <w:tabs>
          <w:tab w:leader="none" w:pos="895"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479"/>
        <w:spacing w:after="0" w:line="266" w:lineRule="auto"/>
        <w:tabs>
          <w:tab w:leader="none" w:pos="895"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895"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00" w:hanging="479"/>
        <w:spacing w:after="0" w:line="266" w:lineRule="auto"/>
        <w:tabs>
          <w:tab w:leader="none" w:pos="895"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80" w:hanging="512"/>
        <w:spacing w:after="0" w:line="282" w:lineRule="auto"/>
        <w:tabs>
          <w:tab w:leader="none" w:pos="37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540" w:hanging="479"/>
        <w:spacing w:after="0" w:line="282" w:lineRule="auto"/>
        <w:tabs>
          <w:tab w:leader="none" w:pos="895"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Date: July 30, 2025</w:t>
            </w:r>
          </w:p>
        </w:tc>
        <w:tc>
          <w:tcPr>
            <w:tcW w:w="5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Peter Fishman</w:t>
            </w:r>
          </w:p>
        </w:tc>
      </w:tr>
      <w:tr>
        <w:trPr>
          <w:trHeight w:val="191"/>
        </w:trPr>
        <w:tc>
          <w:tcPr>
            <w:tcW w:w="5740" w:type="dxa"/>
            <w:vAlign w:val="bottom"/>
          </w:tcPr>
          <w:p>
            <w:pPr>
              <w:spacing w:after="0"/>
              <w:rPr>
                <w:sz w:val="16"/>
                <w:szCs w:val="16"/>
                <w:color w:val="auto"/>
              </w:rPr>
            </w:pPr>
          </w:p>
        </w:tc>
        <w:tc>
          <w:tcPr>
            <w:tcW w:w="55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Peter Fishman</w:t>
            </w:r>
          </w:p>
        </w:tc>
      </w:tr>
      <w:tr>
        <w:trPr>
          <w:trHeight w:val="216"/>
        </w:trPr>
        <w:tc>
          <w:tcPr>
            <w:tcW w:w="574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234"/>
        </w:trPr>
        <w:tc>
          <w:tcPr>
            <w:tcW w:w="574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r>
        <w:trPr>
          <w:trHeight w:val="1195"/>
        </w:trPr>
        <w:tc>
          <w:tcPr>
            <w:tcW w:w="574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PURSUANT TO 18 U.S.C. § 1350</w:t>
      </w:r>
    </w:p>
    <w:p>
      <w:pPr>
        <w:spacing w:after="0" w:line="20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and Section 1350 of Chapter 63 of Title 18 of the United States Code (18 U.S.C. §1350), Aaron Berg, President and Chief Executive Officer (Principal Executive Officer) of Amarin Corporation plc (the “Company”), and Peter Fishman, Senior Vice President and Chief Financial Officer (Principal Financial Officer and Principal Accounting Officer) of the Company, each hereby certifies that, to the best of his knowledge:</w:t>
      </w:r>
    </w:p>
    <w:p>
      <w:pPr>
        <w:spacing w:after="0" w:line="180" w:lineRule="exact"/>
        <w:rPr>
          <w:sz w:val="20"/>
          <w:szCs w:val="20"/>
          <w:color w:val="auto"/>
        </w:rPr>
      </w:pPr>
    </w:p>
    <w:p>
      <w:pPr>
        <w:ind w:right="580" w:firstLine="8"/>
        <w:spacing w:after="0" w:line="282" w:lineRule="auto"/>
        <w:tabs>
          <w:tab w:leader="none" w:pos="3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June 30, 2025, to which this Certification is attached as Exhibit 32.1 (the “Quarterly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right="480" w:firstLine="8"/>
        <w:spacing w:after="0" w:line="282" w:lineRule="auto"/>
        <w:tabs>
          <w:tab w:leader="none" w:pos="3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Quarterly Report fairly presents, in all material respects, the financial condition and results of operations of the Company.</w:t>
      </w:r>
    </w:p>
    <w:p>
      <w:pPr>
        <w:spacing w:after="0" w:line="378" w:lineRule="exact"/>
        <w:rPr>
          <w:sz w:val="20"/>
          <w:szCs w:val="20"/>
          <w:color w:val="auto"/>
        </w:rPr>
      </w:pPr>
    </w:p>
    <w:p>
      <w:pPr>
        <w:ind w:left="5740"/>
        <w:spacing w:after="0"/>
        <w:tabs>
          <w:tab w:leader="none" w:pos="608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Aaron 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48869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1">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7"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8"/>
          <w:szCs w:val="18"/>
          <w:color w:val="auto"/>
        </w:rPr>
        <w:t>Date: July 30, 2025</w:t>
      </w:r>
      <w:r>
        <w:rPr>
          <w:sz w:val="20"/>
          <w:szCs w:val="20"/>
          <w:color w:val="auto"/>
        </w:rPr>
        <w:tab/>
      </w:r>
      <w:r>
        <w:rPr>
          <w:rFonts w:ascii="Times New Roman" w:cs="Times New Roman" w:eastAsia="Times New Roman" w:hAnsi="Times New Roman"/>
          <w:sz w:val="17"/>
          <w:szCs w:val="17"/>
          <w:color w:val="auto"/>
        </w:rPr>
        <w:t>Aaron Berg</w:t>
      </w:r>
    </w:p>
    <w:p>
      <w:pPr>
        <w:spacing w:after="0" w:line="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ind w:left="5740"/>
        <w:spacing w:after="0"/>
        <w:tabs>
          <w:tab w:leader="none" w:pos="6080" w:val="left"/>
        </w:tabs>
        <w:rPr>
          <w:sz w:val="20"/>
          <w:szCs w:val="20"/>
          <w:color w:val="auto"/>
        </w:rPr>
      </w:pPr>
      <w:r>
        <w:rPr>
          <w:rFonts w:ascii="Times New Roman" w:cs="Times New Roman" w:eastAsia="Times New Roman" w:hAnsi="Times New Roman"/>
          <w:sz w:val="18"/>
          <w:szCs w:val="18"/>
          <w:color w:val="auto"/>
        </w:rPr>
        <w:t>/s/</w:t>
        <w:tab/>
        <w:t>Peter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48869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2">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7"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8"/>
          <w:szCs w:val="18"/>
          <w:color w:val="auto"/>
        </w:rPr>
        <w:t>Date: July 30, 2025</w:t>
      </w:r>
      <w:r>
        <w:rPr>
          <w:sz w:val="20"/>
          <w:szCs w:val="20"/>
          <w:color w:val="auto"/>
        </w:rPr>
        <w:tab/>
      </w:r>
      <w:r>
        <w:rPr>
          <w:rFonts w:ascii="Times New Roman" w:cs="Times New Roman" w:eastAsia="Times New Roman" w:hAnsi="Times New Roman"/>
          <w:sz w:val="18"/>
          <w:szCs w:val="18"/>
          <w:color w:val="auto"/>
        </w:rPr>
        <w:t>Peter Fishman</w:t>
      </w:r>
    </w:p>
    <w:p>
      <w:pPr>
        <w:spacing w:after="0" w:line="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24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incorporated by reference into any filing of Amarin Corporation plc under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7" w:name="page58"/>
    <w:bookmarkEnd w:id="5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1)"/>
      <w:numFmt w:val="decimal"/>
      <w:start w:val="1"/>
    </w:lvl>
  </w:abstractNum>
  <w:abstractNum w:abstractNumId="3">
    <w:nsid w:val="8EDBDAB"/>
    <w:multiLevelType w:val="hybridMultilevel"/>
    <w:lvl w:ilvl="0">
      <w:lvlJc w:val="left"/>
      <w:lvlText w:val="(%1)"/>
      <w:numFmt w:val="decimal"/>
      <w:start w:val="1"/>
    </w:lvl>
  </w:abstractNum>
  <w:abstractNum w:abstractNumId="4">
    <w:nsid w:val="79838CB2"/>
    <w:multiLevelType w:val="hybridMultilevel"/>
    <w:lvl w:ilvl="0">
      <w:lvlJc w:val="left"/>
      <w:lvlText w:val="(%1)"/>
      <w:numFmt w:val="decimal"/>
      <w:start w:val="1"/>
    </w:lvl>
  </w:abstractNum>
  <w:abstractNum w:abstractNumId="5">
    <w:nsid w:val="4353D0CD"/>
    <w:multiLevelType w:val="hybridMultilevel"/>
    <w:lvl w:ilvl="0">
      <w:lvlJc w:val="left"/>
      <w:lvlText w:val="(%1)"/>
      <w:numFmt w:val="lowerRoman"/>
      <w:start w:val="1"/>
    </w:lvl>
  </w:abstractNum>
  <w:abstractNum w:abstractNumId="6">
    <w:nsid w:val="B03E0C6"/>
    <w:multiLevelType w:val="hybridMultilevel"/>
    <w:lvl w:ilvl="0">
      <w:lvlJc w:val="left"/>
      <w:lvlText w:val="(%1)"/>
      <w:numFmt w:val="lowerRoman"/>
      <w:start w:val="3"/>
    </w:lvl>
  </w:abstractNum>
  <w:abstractNum w:abstractNumId="7">
    <w:nsid w:val="189A769B"/>
    <w:multiLevelType w:val="hybridMultilevel"/>
    <w:lvl w:ilvl="0">
      <w:lvlJc w:val="left"/>
      <w:lvlText w:val="(%1)"/>
      <w:numFmt w:val="decimal"/>
      <w:start w:val="1"/>
    </w:lvl>
  </w:abstractNum>
  <w:abstractNum w:abstractNumId="8">
    <w:nsid w:val="54E49EB4"/>
    <w:multiLevelType w:val="hybridMultilevel"/>
    <w:lvl w:ilvl="0">
      <w:lvlJc w:val="left"/>
      <w:lvlText w:val="(%1)"/>
      <w:numFmt w:val="decimal"/>
      <w:start w:val="1"/>
    </w:lvl>
  </w:abstractNum>
  <w:abstractNum w:abstractNumId="9">
    <w:nsid w:val="71F32454"/>
    <w:multiLevelType w:val="hybridMultilevel"/>
    <w:lvl w:ilvl="0">
      <w:lvlJc w:val="left"/>
      <w:lvlText w:val="(%1)"/>
      <w:numFmt w:val="decimal"/>
      <w:start w:val="9"/>
    </w:lvl>
  </w:abstractNum>
  <w:abstractNum w:abstractNumId="10">
    <w:nsid w:val="2CA88611"/>
    <w:multiLevelType w:val="hybridMultilevel"/>
    <w:lvl w:ilvl="0">
      <w:lvlJc w:val="left"/>
      <w:lvlText w:val="(%1)"/>
      <w:numFmt w:val="decimal"/>
      <w:start w:val="1"/>
    </w:lvl>
  </w:abstractNum>
  <w:abstractNum w:abstractNumId="11">
    <w:nsid w:val="836C40E"/>
    <w:multiLevelType w:val="hybridMultilevel"/>
    <w:lvl w:ilvl="0">
      <w:lvlJc w:val="left"/>
      <w:lvlText w:val="(%1)"/>
      <w:numFmt w:val="decimal"/>
      <w:start w:val="1"/>
    </w:lvl>
  </w:abstractNum>
  <w:abstractNum w:abstractNumId="12">
    <w:nsid w:val="2901D82"/>
    <w:multiLevelType w:val="hybridMultilevel"/>
    <w:lvl w:ilvl="0">
      <w:lvlJc w:val="left"/>
      <w:lvlText w:val="(%1)"/>
      <w:numFmt w:val="decimal"/>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1)"/>
      <w:numFmt w:val="decimal"/>
      <w:start w:val="1"/>
    </w:lvl>
  </w:abstractNum>
  <w:abstractNum w:abstractNumId="15">
    <w:nsid w:val="1E7FF521"/>
    <w:multiLevelType w:val="hybridMultilevel"/>
    <w:lvl w:ilvl="0">
      <w:lvlJc w:val="left"/>
      <w:lvlText w:val="(%1)"/>
      <w:numFmt w:val="decimal"/>
      <w:start w:val="1"/>
    </w:lvl>
  </w:abstractNum>
  <w:abstractNum w:abstractNumId="16">
    <w:nsid w:val="7C3DBD3D"/>
    <w:multiLevelType w:val="hybridMultilevel"/>
    <w:lvl w:ilvl="0">
      <w:lvlJc w:val="left"/>
      <w:lvlText w:val="(%1)"/>
      <w:numFmt w:val="decimal"/>
      <w:start w:val="1"/>
    </w:lvl>
  </w:abstractNum>
  <w:abstractNum w:abstractNumId="17">
    <w:nsid w:val="737B8DDC"/>
    <w:multiLevelType w:val="hybridMultilevel"/>
    <w:lvl w:ilvl="0">
      <w:lvlJc w:val="left"/>
      <w:lvlText w:val="(%1)"/>
      <w:numFmt w:val="decimal"/>
      <w:start w:val="1"/>
    </w:lvl>
  </w:abstractNum>
  <w:abstractNum w:abstractNumId="18">
    <w:nsid w:val="6CEAF087"/>
    <w:multiLevelType w:val="hybridMultilevel"/>
    <w:lvl w:ilvl="0">
      <w:lvlJc w:val="left"/>
      <w:lvlText w:val="(%1)"/>
      <w:numFmt w:val="decimal"/>
      <w:start w:val="3"/>
    </w:lvl>
  </w:abstractNum>
  <w:abstractNum w:abstractNumId="19">
    <w:nsid w:val="22221A70"/>
    <w:multiLevelType w:val="hybridMultilevel"/>
    <w:lvl w:ilvl="0">
      <w:lvlJc w:val="left"/>
      <w:lvlText w:val="\endash "/>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1)"/>
      <w:numFmt w:val="decimal"/>
      <w:start w:val="1"/>
    </w:lvl>
  </w:abstractNum>
  <w:abstractNum w:abstractNumId="22">
    <w:nsid w:val="614FD4A1"/>
    <w:multiLevelType w:val="hybridMultilevel"/>
    <w:lvl w:ilvl="0">
      <w:lvlJc w:val="left"/>
      <w:lvlText w:val="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1)"/>
      <w:numFmt w:val="decimal"/>
      <w:start w:val="1"/>
    </w:lvl>
  </w:abstractNum>
  <w:abstractNum w:abstractNumId="25">
    <w:nsid w:val="440BADFC"/>
    <w:multiLevelType w:val="hybridMultilevel"/>
    <w:lvl w:ilvl="0">
      <w:lvlJc w:val="left"/>
      <w:lvlText w:val="(%1)"/>
      <w:numFmt w:val="upperLetter"/>
      <w:start w:val="1"/>
    </w:lvl>
  </w:abstractNum>
  <w:abstractNum w:abstractNumId="26">
    <w:nsid w:val="5072367"/>
    <w:multiLevelType w:val="hybridMultilevel"/>
    <w:lvl w:ilvl="0">
      <w:lvlJc w:val="left"/>
      <w:lvlText w:val="%1."/>
      <w:numFmt w:val="decimal"/>
      <w:start w:val="1"/>
    </w:lvl>
  </w:abstractNum>
  <w:abstractNum w:abstractNumId="27">
    <w:nsid w:val="3804823E"/>
    <w:multiLevelType w:val="hybridMultilevel"/>
    <w:lvl w:ilvl="0">
      <w:lvlJc w:val="left"/>
      <w:lvlText w:val="(%1)"/>
      <w:numFmt w:val="lowerLetter"/>
      <w:start w:val="1"/>
    </w:lvl>
  </w:abstractNum>
  <w:abstractNum w:abstractNumId="28">
    <w:nsid w:val="77465F01"/>
    <w:multiLevelType w:val="hybridMultilevel"/>
    <w:lvl w:ilvl="0">
      <w:lvlJc w:val="left"/>
      <w:lvlText w:val="%1."/>
      <w:numFmt w:val="decimal"/>
      <w:start w:val="2"/>
    </w:lvl>
  </w:abstractNum>
  <w:abstractNum w:abstractNumId="29">
    <w:nsid w:val="7724C67E"/>
    <w:multiLevelType w:val="hybridMultilevel"/>
    <w:lvl w:ilvl="0">
      <w:lvlJc w:val="left"/>
      <w:lvlText w:val="(%1)"/>
      <w:numFmt w:val="lowerLetter"/>
      <w:start w:val="1"/>
    </w:lvl>
  </w:abstractNum>
  <w:abstractNum w:abstractNumId="30">
    <w:nsid w:val="5C482A97"/>
    <w:multiLevelType w:val="hybridMultilevel"/>
    <w:lvl w:ilvl="0">
      <w:lvlJc w:val="left"/>
      <w:lvlText w:val="(%1)"/>
      <w:numFmt w:val="lowerLetter"/>
      <w:start w:val="1"/>
    </w:lvl>
    <w:lvl w:ilvl="1">
      <w:lvlJc w:val="left"/>
      <w:lvlText w:val="(%2)"/>
      <w:numFmt w:val="lowerRoman"/>
      <w:start w:val="1"/>
    </w:lvl>
  </w:abstractNum>
  <w:abstractNum w:abstractNumId="31">
    <w:nsid w:val="2463B9EA"/>
    <w:multiLevelType w:val="hybridMultilevel"/>
    <w:lvl w:ilvl="0">
      <w:lvlJc w:val="left"/>
      <w:lvlText w:val="%1."/>
      <w:numFmt w:val="decimal"/>
      <w:start w:val="3"/>
    </w:lvl>
  </w:abstractNum>
  <w:abstractNum w:abstractNumId="32">
    <w:nsid w:val="5E884ADC"/>
    <w:multiLevelType w:val="hybridMultilevel"/>
    <w:lvl w:ilvl="0">
      <w:lvlJc w:val="left"/>
      <w:lvlText w:val="(%1)"/>
      <w:numFmt w:val="lowerLetter"/>
      <w:start w:val="1"/>
    </w:lvl>
  </w:abstractNum>
  <w:abstractNum w:abstractNumId="33">
    <w:nsid w:val="51EAD36B"/>
    <w:multiLevelType w:val="hybridMultilevel"/>
    <w:lvl w:ilvl="0">
      <w:lvlJc w:val="left"/>
      <w:lvlText w:val="(%1)"/>
      <w:numFmt w:val="lowerLetter"/>
      <w:start w:val="2"/>
    </w:lvl>
  </w:abstractNum>
  <w:abstractNum w:abstractNumId="34">
    <w:nsid w:val="2D517796"/>
    <w:multiLevelType w:val="hybridMultilevel"/>
    <w:lvl w:ilvl="0">
      <w:lvlJc w:val="left"/>
      <w:lvlText w:val="(%1)"/>
      <w:numFmt w:val="lowerLetter"/>
      <w:start w:val="1"/>
    </w:lvl>
  </w:abstractNum>
  <w:abstractNum w:abstractNumId="35">
    <w:nsid w:val="580BD78F"/>
    <w:multiLevelType w:val="hybridMultilevel"/>
    <w:lvl w:ilvl="0">
      <w:lvlJc w:val="left"/>
      <w:lvlText w:val="%1."/>
      <w:numFmt w:val="decimal"/>
      <w:start w:val="4"/>
    </w:lvl>
  </w:abstractNum>
  <w:abstractNum w:abstractNumId="36">
    <w:nsid w:val="153EA438"/>
    <w:multiLevelType w:val="hybridMultilevel"/>
    <w:lvl w:ilvl="0">
      <w:lvlJc w:val="left"/>
      <w:lvlText w:val="%1."/>
      <w:numFmt w:val="decimal"/>
      <w:start w:val="5"/>
    </w:lvl>
  </w:abstractNum>
  <w:abstractNum w:abstractNumId="37">
    <w:nsid w:val="3855585C"/>
    <w:multiLevelType w:val="hybridMultilevel"/>
    <w:lvl w:ilvl="0">
      <w:lvlJc w:val="left"/>
      <w:lvlText w:val="6"/>
      <w:numFmt w:val="bullet"/>
      <w:start w:val="1"/>
    </w:lvl>
  </w:abstractNum>
  <w:abstractNum w:abstractNumId="38">
    <w:nsid w:val="70A64E2A"/>
    <w:multiLevelType w:val="hybridMultilevel"/>
    <w:lvl w:ilvl="0">
      <w:lvlJc w:val="left"/>
      <w:lvlText w:val="7"/>
      <w:numFmt w:val="bullet"/>
      <w:start w:val="1"/>
    </w:lvl>
  </w:abstractNum>
  <w:abstractNum w:abstractNumId="39">
    <w:nsid w:val="6A2342EC"/>
    <w:multiLevelType w:val="hybridMultilevel"/>
    <w:lvl w:ilvl="0">
      <w:lvlJc w:val="left"/>
      <w:lvlText w:val="8"/>
      <w:numFmt w:val="bullet"/>
      <w:start w:val="1"/>
    </w:lvl>
    <w:lvl w:ilvl="1">
      <w:lvlJc w:val="left"/>
      <w:lvlText w:val="(%2)"/>
      <w:numFmt w:val="lowerLetter"/>
      <w:start w:val="1"/>
    </w:lvl>
  </w:abstractNum>
  <w:abstractNum w:abstractNumId="40">
    <w:nsid w:val="2A487CB0"/>
    <w:multiLevelType w:val="hybridMultilevel"/>
    <w:lvl w:ilvl="0">
      <w:lvlJc w:val="left"/>
      <w:lvlText w:val="9"/>
      <w:numFmt w:val="bullet"/>
      <w:start w:val="1"/>
    </w:lvl>
  </w:abstractNum>
  <w:abstractNum w:abstractNumId="41">
    <w:nsid w:val="1D4ED43B"/>
    <w:multiLevelType w:val="hybridMultilevel"/>
    <w:lvl w:ilvl="0">
      <w:lvlJc w:val="left"/>
      <w:lvlText w:val="%1"/>
      <w:numFmt w:val="decimal"/>
      <w:start w:val="10"/>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1."/>
      <w:numFmt w:val="decimal"/>
      <w:start w:val="1"/>
    </w:lvl>
    <w:lvl w:ilvl="1">
      <w:lvlJc w:val="left"/>
      <w:lvlText w:val="%2."/>
      <w:numFmt w:val="lowerLetter"/>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4" Type="http://schemas.openxmlformats.org/officeDocument/2006/relationships/image" Target="media/image236.png"/><Relationship Id="rId245" Type="http://schemas.openxmlformats.org/officeDocument/2006/relationships/image" Target="media/image237.png"/><Relationship Id="rId246" Type="http://schemas.openxmlformats.org/officeDocument/2006/relationships/image" Target="media/image238.png"/><Relationship Id="rId247" Type="http://schemas.openxmlformats.org/officeDocument/2006/relationships/image" Target="media/image239.png"/><Relationship Id="rId248" Type="http://schemas.openxmlformats.org/officeDocument/2006/relationships/image" Target="media/image240.png"/><Relationship Id="rId250" Type="http://schemas.openxmlformats.org/officeDocument/2006/relationships/image" Target="media/image241.png"/><Relationship Id="rId251" Type="http://schemas.openxmlformats.org/officeDocument/2006/relationships/image" Target="media/image242.png"/><Relationship Id="rId252" Type="http://schemas.openxmlformats.org/officeDocument/2006/relationships/image" Target="media/image243.png"/><Relationship Id="rId253" Type="http://schemas.openxmlformats.org/officeDocument/2006/relationships/image" Target="media/image244.png"/><Relationship Id="rId254" Type="http://schemas.openxmlformats.org/officeDocument/2006/relationships/image" Target="media/image245.png"/><Relationship Id="rId255" Type="http://schemas.openxmlformats.org/officeDocument/2006/relationships/image" Target="media/image246.png"/><Relationship Id="rId256" Type="http://schemas.openxmlformats.org/officeDocument/2006/relationships/image" Target="media/image247.png"/><Relationship Id="rId257" Type="http://schemas.openxmlformats.org/officeDocument/2006/relationships/image" Target="media/image248.png"/><Relationship Id="rId258" Type="http://schemas.openxmlformats.org/officeDocument/2006/relationships/image" Target="media/image249.png"/><Relationship Id="rId259" Type="http://schemas.openxmlformats.org/officeDocument/2006/relationships/image" Target="media/image250.png"/><Relationship Id="rId260" Type="http://schemas.openxmlformats.org/officeDocument/2006/relationships/image" Target="media/image251.png"/><Relationship Id="rId261" Type="http://schemas.openxmlformats.org/officeDocument/2006/relationships/image" Target="media/image252.png"/><Relationship Id="rId262" Type="http://schemas.openxmlformats.org/officeDocument/2006/relationships/image" Target="media/image253.png"/><Relationship Id="rId263" Type="http://schemas.openxmlformats.org/officeDocument/2006/relationships/image" Target="media/image254.png"/><Relationship Id="rId264" Type="http://schemas.openxmlformats.org/officeDocument/2006/relationships/image" Target="media/image255.png"/><Relationship Id="rId265" Type="http://schemas.openxmlformats.org/officeDocument/2006/relationships/image" Target="media/image256.png"/><Relationship Id="rId266" Type="http://schemas.openxmlformats.org/officeDocument/2006/relationships/image" Target="media/image257.png"/><Relationship Id="rId267" Type="http://schemas.openxmlformats.org/officeDocument/2006/relationships/image" Target="media/image258.png"/><Relationship Id="rId268" Type="http://schemas.openxmlformats.org/officeDocument/2006/relationships/image" Target="media/image259.png"/><Relationship Id="rId269" Type="http://schemas.openxmlformats.org/officeDocument/2006/relationships/image" Target="media/image260.png"/><Relationship Id="rId270" Type="http://schemas.openxmlformats.org/officeDocument/2006/relationships/image" Target="media/image261.png"/><Relationship Id="rId271" Type="http://schemas.openxmlformats.org/officeDocument/2006/relationships/image" Target="media/image262.png"/><Relationship Id="rId272" Type="http://schemas.openxmlformats.org/officeDocument/2006/relationships/image" Target="media/image263.png"/><Relationship Id="rId273" Type="http://schemas.openxmlformats.org/officeDocument/2006/relationships/image" Target="media/image264.png"/><Relationship Id="rId243" Type="http://schemas.openxmlformats.org/officeDocument/2006/relationships/hyperlink" Target="https://www.sec.gov/Archives/edgar/data/897448/000110465925069672/tm2521393d1_exa.htm" TargetMode="External"/><Relationship Id="rId249" Type="http://schemas.openxmlformats.org/officeDocument/2006/relationships/hyperlink" Target="https://www.sec.gov/Archives/edgar/data/897448/000095017025089218/amrn-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2025-07-30T06:09:58Z</dcterms:created>
  <dcterms:modified xsi:type="dcterms:W3CDTF">2025-07-30T06:09:58Z</dcterms:modified>
</cp:coreProperties>
</file>