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183,448,877 shares held as American Depository Shares (ADSs), each representing one Ordinary Share, 50 pence par value per share, and 1,836,886 ordinary shares, were outstanding as of August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580" w:type="dxa"/>
            <w:vAlign w:val="bottom"/>
            <w:gridSpan w:val="11"/>
          </w:tcPr>
          <w:p>
            <w:pPr>
              <w:jc w:val="center"/>
              <w:ind w:right="4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5"/>
          </w:tcPr>
          <w:p>
            <w:pPr>
              <w:spacing w:after="0"/>
              <w:rPr>
                <w:sz w:val="24"/>
                <w:szCs w:val="24"/>
                <w:color w:val="auto"/>
              </w:rPr>
            </w:pPr>
          </w:p>
        </w:tc>
        <w:tc>
          <w:tcPr>
            <w:tcW w:w="41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2016 and 2015</w:t>
              </w:r>
            </w:hyperlink>
          </w:p>
        </w:tc>
        <w:tc>
          <w:tcPr>
            <w:tcW w:w="21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80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Deficit for the six months ended June 30, 2016</w:t>
              </w:r>
            </w:hyperlink>
          </w:p>
        </w:tc>
        <w:tc>
          <w:tcPr>
            <w:tcW w:w="20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2016 and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6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0"/>
          </w:tcPr>
          <w:p>
            <w:pPr>
              <w:jc w:val="center"/>
              <w:ind w:right="4220"/>
              <w:spacing w:after="0"/>
              <w:rPr>
                <w:rFonts w:ascii="Arial" w:cs="Arial" w:eastAsia="Arial" w:hAnsi="Arial"/>
                <w:sz w:val="18"/>
                <w:szCs w:val="18"/>
                <w:b w:val="1"/>
                <w:bCs w:val="1"/>
                <w:color w:val="0000EE"/>
                <w:w w:val="96"/>
              </w:rPr>
            </w:pPr>
            <w:hyperlink w:anchor="page54">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2280" w:type="dxa"/>
            <w:vAlign w:val="bottom"/>
            <w:tcBorders>
              <w:top w:val="single" w:sz="8" w:color="0000EE"/>
            </w:tcBorders>
            <w:gridSpan w:val="3"/>
          </w:tcPr>
          <w:p>
            <w:pPr>
              <w:spacing w:after="0"/>
              <w:rPr>
                <w:sz w:val="24"/>
                <w:szCs w:val="24"/>
                <w:color w:val="auto"/>
              </w:rPr>
            </w:pPr>
          </w:p>
        </w:tc>
        <w:tc>
          <w:tcPr>
            <w:tcW w:w="4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700" w:type="dxa"/>
            <w:vAlign w:val="bottom"/>
            <w:gridSpan w:val="9"/>
          </w:tcPr>
          <w:p>
            <w:pPr>
              <w:jc w:val="right"/>
              <w:ind w:right="10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72,491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17,639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20,306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9020" w:type="dxa"/>
            <w:vAlign w:val="bottom"/>
          </w:tcPr>
          <w:p>
            <w:pPr>
              <w:ind w:left="14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116,512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21,718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19,872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Intangible asset,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173,230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14,811</w:t>
            </w: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30,816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14,742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9020" w:type="dxa"/>
            <w:vAlign w:val="bottom"/>
          </w:tcPr>
          <w:p>
            <w:pPr>
              <w:ind w:left="14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Exchangeable senior notes, net of discount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125,644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136,734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90,150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91,512</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Long-term debt derivative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 long-term</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300,782</w:t>
            </w:r>
          </w:p>
        </w:tc>
        <w:tc>
          <w:tcPr>
            <w:tcW w:w="0" w:type="dxa"/>
            <w:vAlign w:val="bottom"/>
          </w:tcPr>
          <w:p>
            <w:pPr>
              <w:spacing w:after="0"/>
              <w:rPr>
                <w:sz w:val="1"/>
                <w:szCs w:val="1"/>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tcPr>
          <w:p>
            <w:pPr>
              <w:ind w:left="720"/>
              <w:spacing w:after="0" w:line="201" w:lineRule="exact"/>
              <w:rPr>
                <w:sz w:val="20"/>
                <w:szCs w:val="20"/>
                <w:color w:val="auto"/>
              </w:rPr>
            </w:pPr>
            <w:r>
              <w:rPr>
                <w:rFonts w:ascii="Arial" w:cs="Arial" w:eastAsia="Arial" w:hAnsi="Arial"/>
                <w:sz w:val="18"/>
                <w:szCs w:val="18"/>
                <w:color w:val="auto"/>
              </w:rPr>
              <w:t>Series A Convertible Preferred Stock, £0.05 par, unlimited authorized; 328,184,640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900"/>
              <w:spacing w:after="0"/>
              <w:rPr>
                <w:sz w:val="20"/>
                <w:szCs w:val="20"/>
                <w:color w:val="auto"/>
              </w:rPr>
            </w:pPr>
            <w:r>
              <w:rPr>
                <w:rFonts w:ascii="Arial" w:cs="Arial" w:eastAsia="Arial" w:hAnsi="Arial"/>
                <w:sz w:val="18"/>
                <w:szCs w:val="18"/>
                <w:color w:val="auto"/>
                <w:w w:val="96"/>
              </w:rPr>
              <w:t>outstanding as of June 30, 2016 and December 31, 2015 (equivalent to 32,818,464 ordinary shares upon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900"/>
              <w:spacing w:after="0"/>
              <w:rPr>
                <w:sz w:val="20"/>
                <w:szCs w:val="20"/>
                <w:color w:val="auto"/>
              </w:rPr>
            </w:pPr>
            <w:r>
              <w:rPr>
                <w:rFonts w:ascii="Arial" w:cs="Arial" w:eastAsia="Arial" w:hAnsi="Arial"/>
                <w:sz w:val="18"/>
                <w:szCs w:val="18"/>
                <w:color w:val="auto"/>
              </w:rPr>
              <w:t>future consolidation and redesignation at a 10:1 ratio)</w:t>
            </w:r>
          </w:p>
        </w:tc>
        <w:tc>
          <w:tcPr>
            <w:tcW w:w="100" w:type="dxa"/>
            <w:vAlign w:val="bottom"/>
          </w:tcPr>
          <w:p>
            <w:pPr>
              <w:spacing w:after="0"/>
              <w:rPr>
                <w:sz w:val="20"/>
                <w:szCs w:val="20"/>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24,364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Common stock, £0.50 par, unlimited authorized; 185,274,511 issued, 184,551,164 outstanding as of June 30,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2016; 183,577,765 issued, 183,403,263 outstanding as of December 31, 2015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151,183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149,978</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822,013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816,171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Treasury stock; 723,347 shares as of June 30, 2016; 174,502 shares as of December 31, 2015</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(1,160,779)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(1,117,654)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(164,416)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(127,552)</w:t>
            </w:r>
          </w:p>
        </w:tc>
        <w:tc>
          <w:tcPr>
            <w:tcW w:w="0" w:type="dxa"/>
            <w:vAlign w:val="bottom"/>
          </w:tcPr>
          <w:p>
            <w:pPr>
              <w:spacing w:after="0"/>
              <w:rPr>
                <w:sz w:val="1"/>
                <w:szCs w:val="1"/>
                <w:color w:val="auto"/>
              </w:rPr>
            </w:pP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147,636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19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Licensing revenue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8,861</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6,381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12,578</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38,644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75,418</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(14,394)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(26,737)</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(37,497)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(53,786)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(5,616)</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1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(14,382)</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(32,049)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(44,442)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(63,647)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(13,354)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(31,512)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(43,125)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(62,638)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Preferred stock beneficial conversion feature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(31,341)</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(94,847)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Basic</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184,471</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180,464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184,262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184,471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180,464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178,036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Preferred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Paid-</w:t>
            </w:r>
          </w:p>
        </w:tc>
        <w:tc>
          <w:tcPr>
            <w:tcW w:w="76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7"/>
              </w:rPr>
              <w:t>328,184,640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183,577,765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0"/>
              </w:rPr>
              <w:t>(174,502)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$ 24,364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$ 149,978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$ 816,171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$(1,119,293)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$(129,191)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Cumulative-effect adjustment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1,639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2016</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7"/>
              </w:rPr>
              <w:t>328,184,640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183,577,765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5"/>
              </w:rPr>
              <w:t>(174,502)</w:t>
            </w:r>
          </w:p>
        </w:tc>
        <w:tc>
          <w:tcPr>
            <w:tcW w:w="9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$ 24,364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$ 149,978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$ 816,171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$(1,117,654)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83,020</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(548,845)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June 30, 2016</w:t>
            </w: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7"/>
              </w:rPr>
              <w:t>328,184,640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185,274,511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(723,347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$ 24,364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$ 151,183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$ 822,013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(1,197</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(1,160,779</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(164,416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(43,125)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compensation—warrants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(Gain) loss on change in fair value of derivative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(33,780)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(38,260)</w:t>
            </w: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stock-based awards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54,771</w:t>
            </w: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(34,470)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106,961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119,539</w:t>
            </w: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Cash paid during the year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7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transactions: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700"/>
              <w:spacing w:after="0"/>
              <w:rPr>
                <w:sz w:val="20"/>
                <w:szCs w:val="20"/>
                <w:color w:val="auto"/>
              </w:rPr>
            </w:pPr>
            <w:r>
              <w:rPr>
                <w:rFonts w:ascii="Arial" w:cs="Arial" w:eastAsia="Arial" w:hAnsi="Arial"/>
                <w:sz w:val="18"/>
                <w:szCs w:val="18"/>
                <w:color w:val="auto"/>
              </w:rPr>
              <w:t>Accretion of preferred stock beneficial conversion feature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Vascepa is available in the United States by prescription only. In January 2013, the Company began selling and marketing Vascepa in the United States.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no less than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reached its approximately 8,000 patient enrollment target in March 2016, is designed to evaluate the efficacy of Vascepa in reducing major cardiovascular events in a high-risk patient population on statin therapy.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2015, or the 2015 Form 10-K, filed with the SEC. The consolidated balance sheet amounts at December 31, 2015 in this report were derived from the Company’s audited 2015 consolidated financial statements included in the 2015 Form 10-K.</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2016 and June 30, 2015, respectively,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Certain prior year balances have been reclassified to conform to current year presentation.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June 30, 2016, the Company had current assets of $116.5 million, including cash and cash equivalents of $72.5 million. The Company’s condensed consolidated balance sheets also include derivative liabilities as well as long-term debt and exchangeable senior notes. The outstanding January 2012 exchangeable senior notes, or the 2012 Notes, may be redeemed by the Company on or after January 19, 2017 and may be put back to the Company by the holders on each of January 19, 2017, 2022 and 2027 for cash equal to 100% of the principal amount of $15.1 million plus any accrued and unpaid interest. The outstanding May 2014 exchangeable senior notes, or the 2014 Notes, and the outstanding November 2015 exchangeable senior notes, or the 2015 Notes, may be redeemed by the Company on or after January 19, 2019 at the option of the holders and are not puttable by the holders prior to this date except upon the occurrence of certain contingent events. The 2012 Notes are exchangeable under certain circumstances into cash, American Depository Shares, or ADSs, or a combination of cash and ADSs, at the Company’s election. The 2014 Notes and 2015 Notes are exchangeable under certain circumstances into ADSs. Accordingly, the 2012 Notes represent a short-term obligation while the long-term debt, 2014 Notes, and 2015 Notes do not represent a short-term claim on the liquid assets of the Company.</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 Depending on the level of cash generated from operations, additional capital will likely be required to sustain operations. The Company anticipates that quarterly net cash outflows in future periods will be variable.</w:t>
      </w:r>
    </w:p>
    <w:p>
      <w:pPr>
        <w:spacing w:after="0" w:line="326" w:lineRule="exact"/>
        <w:rPr>
          <w:sz w:val="20"/>
          <w:szCs w:val="20"/>
          <w:color w:val="auto"/>
        </w:rPr>
      </w:pPr>
    </w:p>
    <w:p>
      <w:pPr>
        <w:ind w:left="460" w:right="8520" w:hanging="452"/>
        <w:spacing w:after="0" w:line="453" w:lineRule="auto"/>
        <w:tabs>
          <w:tab w:leader="none" w:pos="44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w:t>
      </w:r>
    </w:p>
    <w:p>
      <w:pPr>
        <w:ind w:right="72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persuasive evidence that an arrangement exists between the Company and the Distributor, (ii) delivery has occurred, (iii) collectability is reasonably assured and (iv) the price is fixed or determinable.</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conclude that the price is fixed or determinable, the Company must be able to (i) calculate its gross product revenues from the sales to Distributors and</w:t>
      </w:r>
    </w:p>
    <w:p>
      <w:pPr>
        <w:spacing w:after="0" w:line="35" w:lineRule="exact"/>
        <w:rPr>
          <w:sz w:val="20"/>
          <w:szCs w:val="20"/>
          <w:color w:val="auto"/>
        </w:rPr>
      </w:pPr>
    </w:p>
    <w:p>
      <w:pPr>
        <w:ind w:right="180" w:firstLine="8"/>
        <w:spacing w:after="0" w:line="253"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83" w:lineRule="exact"/>
        <w:rPr>
          <w:sz w:val="20"/>
          <w:szCs w:val="20"/>
          <w:color w:val="auto"/>
        </w:rPr>
      </w:pPr>
    </w:p>
    <w:p>
      <w:pPr>
        <w:ind w:left="460" w:right="60" w:firstLine="438"/>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460" w:right="40" w:firstLine="438"/>
        <w:spacing w:after="0" w:line="270"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0" w:lineRule="exact"/>
        <w:rPr>
          <w:sz w:val="20"/>
          <w:szCs w:val="20"/>
          <w:color w:val="auto"/>
        </w:rPr>
      </w:pPr>
    </w:p>
    <w:p>
      <w:pPr>
        <w:ind w:left="460" w:right="20" w:firstLine="438"/>
        <w:spacing w:after="0" w:line="271"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activity in each of the net product revenue allowance and reserve categories described above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89"/>
              </w:rPr>
              <w:t>Trade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Rebates,</w:t>
            </w:r>
          </w:p>
        </w:tc>
        <w:tc>
          <w:tcPr>
            <w:tcW w:w="7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7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20" w:type="dxa"/>
            <w:vAlign w:val="bottom"/>
            <w:vMerge w:val="continue"/>
          </w:tcPr>
          <w:p>
            <w:pPr>
              <w:spacing w:after="0"/>
              <w:rPr>
                <w:sz w:val="14"/>
                <w:szCs w:val="14"/>
                <w:color w:val="auto"/>
              </w:rPr>
            </w:pPr>
          </w:p>
        </w:tc>
        <w:tc>
          <w:tcPr>
            <w:tcW w:w="960" w:type="dxa"/>
            <w:vAlign w:val="bottom"/>
            <w:gridSpan w:val="7"/>
          </w:tcPr>
          <w:p>
            <w:pPr>
              <w:spacing w:after="0"/>
              <w:rPr>
                <w:sz w:val="20"/>
                <w:szCs w:val="20"/>
                <w:color w:val="auto"/>
              </w:rPr>
            </w:pPr>
            <w:r>
              <w:rPr>
                <w:rFonts w:ascii="Arial" w:cs="Arial" w:eastAsia="Arial" w:hAnsi="Arial"/>
                <w:sz w:val="14"/>
                <w:szCs w:val="14"/>
                <w:b w:val="1"/>
                <w:bCs w:val="1"/>
                <w:color w:val="auto"/>
              </w:rPr>
              <w:t>Allowances</w:t>
            </w:r>
          </w:p>
        </w:tc>
        <w:tc>
          <w:tcPr>
            <w:tcW w:w="14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and Discounts</w:t>
            </w: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9,881</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535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28,945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3"/>
              </w:rPr>
              <w:t>257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44,864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(6,415)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(10,750)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(2,910)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(20,075)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(1,284)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(14,187)</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 as of June 30, 2016</w:t>
            </w: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19,113</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566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Trade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Rebates,</w:t>
            </w:r>
          </w:p>
        </w:tc>
        <w:tc>
          <w:tcPr>
            <w:tcW w:w="40" w:type="dxa"/>
            <w:vAlign w:val="bottom"/>
          </w:tcPr>
          <w:p>
            <w:pPr>
              <w:spacing w:after="0"/>
              <w:rPr>
                <w:sz w:val="24"/>
                <w:szCs w:val="24"/>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Allowances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and Discounts</w:t>
            </w:r>
          </w:p>
        </w:tc>
        <w:tc>
          <w:tcPr>
            <w:tcW w:w="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481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11,957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2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3,691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(3,810)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(6,243)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(12,202)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 as of June 30, 2015</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5,749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6"/>
              </w:rPr>
              <w:t>743</w:t>
            </w:r>
          </w:p>
        </w:tc>
        <w:tc>
          <w:tcPr>
            <w:tcW w:w="2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evaluates whether each milestone is substantive.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10—Development, Commercialization and Supply Agreement for further information regarding licensing revenue and milestones related to the Company’s multiple-element arrangement with Eddingpharm (Asia) Macao Commercial Offshore Limited.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21,528</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(3,662)</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(4,296)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1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Effective April 2016, the Company adopted ASU No. 2015-11, </w:t>
      </w:r>
      <w:r>
        <w:rPr>
          <w:rFonts w:ascii="Arial" w:cs="Arial" w:eastAsia="Arial" w:hAnsi="Arial"/>
          <w:sz w:val="17"/>
          <w:szCs w:val="17"/>
          <w:i w:val="1"/>
          <w:iCs w:val="1"/>
          <w:color w:val="auto"/>
        </w:rPr>
        <w:t>Inventory (Topic 330)—Simplifying the Measurement of Inventory</w:t>
      </w:r>
      <w:r>
        <w:rPr>
          <w:rFonts w:ascii="Arial" w:cs="Arial" w:eastAsia="Arial" w:hAnsi="Arial"/>
          <w:sz w:val="17"/>
          <w:szCs w:val="17"/>
          <w:color w:val="auto"/>
        </w:rPr>
        <w:t>, which simplifies the subsequent measurement of inventories by replacing the lower of cost or market test with a lower of cost and net realizable value test and, as such, began to state inventories at the lower of cost or net realizable value. Such adoption had no impact on the carrying value of inventory.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195"/>
        </w:trPr>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Computer equipment and software</w:t>
            </w:r>
          </w:p>
        </w:tc>
        <w:tc>
          <w:tcPr>
            <w:tcW w:w="2740" w:type="dxa"/>
            <w:vAlign w:val="bottom"/>
          </w:tcPr>
          <w:p>
            <w:pPr>
              <w:jc w:val="center"/>
              <w:spacing w:after="0" w:line="195" w:lineRule="exact"/>
              <w:rPr>
                <w:sz w:val="20"/>
                <w:szCs w:val="20"/>
                <w:color w:val="auto"/>
              </w:rPr>
            </w:pPr>
            <w:r>
              <w:rPr>
                <w:rFonts w:ascii="Arial" w:cs="Arial" w:eastAsia="Arial" w:hAnsi="Arial"/>
                <w:sz w:val="18"/>
                <w:szCs w:val="18"/>
                <w:color w:val="auto"/>
                <w:w w:val="89"/>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Beneficial Conversion Features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 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8—Equity for further discussion.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April 2016, the Company adopted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which changes the accounting for certain aspects of share-based payments to employees. One aspect of the standard requires that excess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six months ended June 30, 2016, includes $0.1 million and $0.2 million, respectively,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of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The Company adopted the aspects of the standard affecting cash flow presentation retrospectively and, accordingly, reclassified $0.6 million of excess tax provision from cash flows provided by financing activities to cash flows used in operating activities in the condensed consolidated statement of cash flows for the six months ended June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 audit by the United States Internal Revenue Service (IRS) for the years 2012 to 2013.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Warrants are valued using a Black-Scholes option pricing model.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ectPr>
          <w:pgSz w:w="11900" w:h="16838" w:orient="portrait"/>
          <w:cols w:equalWidth="0" w:num="1">
            <w:col w:w="11400"/>
          </w:cols>
          <w:pgMar w:left="240" w:top="459"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six months ended June 30, 2016 and 2015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6180" w:type="dxa"/>
            <w:vAlign w:val="bottom"/>
            <w:vMerge w:val="continue"/>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8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(13,354)</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(31,512)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(43,125)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 (see Note 8)</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Net loss applicable to common shareholders—basic</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(13,354)</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Gain on warrant derivative liability</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Net loss—diluted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(13,354)</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780" w:type="dxa"/>
            <w:vAlign w:val="bottom"/>
          </w:tcPr>
          <w:p>
            <w:pPr>
              <w:jc w:val="right"/>
              <w:spacing w:after="0"/>
              <w:rPr>
                <w:sz w:val="20"/>
                <w:szCs w:val="20"/>
                <w:color w:val="auto"/>
              </w:rPr>
            </w:pPr>
            <w:r>
              <w:rPr>
                <w:rFonts w:ascii="Arial" w:cs="Arial" w:eastAsia="Arial" w:hAnsi="Arial"/>
                <w:sz w:val="18"/>
                <w:szCs w:val="18"/>
                <w:color w:val="auto"/>
              </w:rPr>
              <w:t>184,471</w:t>
            </w:r>
          </w:p>
        </w:tc>
        <w:tc>
          <w:tcPr>
            <w:tcW w:w="4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180,464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184,262</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178,036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and six months ended June 30, 2016 and 2015,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20,641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20,641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10,361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10,361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(if converted)</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59,407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49,215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59,407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49,215</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32,818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28,932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32,818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28,932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the 2012 Notes, 2014 Notes, and 2015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features in the 2014 Notes and 2015 Notes may only be settled in ADSs upon conversion and have been accounted for as part of the debt host.</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conversion options in the 2012 Notes, 2014 Notes, and 2015 Notes continue to be evaluated on a quarterly basis to determine if they still receive an exception from derivative accounting in accordance with ASC 815-40. The 2014 Notes were recognized initially at fair value as part of an extinguishment of a portion of the 2012 Notes. As a result, the 2014 Notes were initially recognized at a discount of $27.9 million. The 2015 Notes were recognized initially at fair value as part of the issuance of new debt in November 2015. As a result, the 2015 Notes were initially recognized at a discount of $3.8 million. These discounts are being amortized through interest expense over the expected terms of the 2014 Notes and 2015 Notes, which is through January 2019 for each. See Note 6—Debt for further discussion.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six months ending June 30, 2016 and 2015 and represented 94% and 96% of the gross accounts receivable balance as of June 30, 2016 and 2015, respectively. The Company has not experienced any write-offs of its accounts receivable.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8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condensed consolidated statements of operations. For transactions settled during the applicable period, gains and losses are included in other (expense) income,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Prior to January 2016, debt issuance costs were initially recorded as a deferred cost and amortized to interest expense using the effective interest method over the expected term of the related debt. Effective January 2016, the Company adopted ASU No. 2015-03, </w:t>
      </w:r>
      <w:r>
        <w:rPr>
          <w:rFonts w:ascii="Arial" w:cs="Arial" w:eastAsia="Arial" w:hAnsi="Arial"/>
          <w:sz w:val="16"/>
          <w:szCs w:val="16"/>
          <w:i w:val="1"/>
          <w:iCs w:val="1"/>
          <w:color w:val="auto"/>
        </w:rPr>
        <w:t>Interest—Imputation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and as such began recording debt issuance costs related to a recognized debt liability in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 as a direct deduction from the carrying amount of that debt liability and amortized to interest expense using the effective interest method over the expected term of the related debt. As the standard is required to be adopted on a retrospective basis, the Company reclassified $1.9 million of underwriters’ fees and offering costs related to the 2014 and 2015 exchangeable notes from other long-term assets to exchangeable senior notes, net of discount, within the condensed consolidated balance sheet as of December 31, 2015. Unamortized debt issuance costs related to the extinguishment of debt are expensed at the time the debt is extinguished and recorded in other (expense) income, net in the condensed consolidated statements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June 30, 2016 and December 31, 2015 that are measured at fair value on a recurring basis and indicate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7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14,210</w:t>
            </w:r>
          </w:p>
        </w:tc>
        <w:tc>
          <w:tcPr>
            <w:tcW w:w="1180" w:type="dxa"/>
            <w:vAlign w:val="bottom"/>
            <w:gridSpan w:val="4"/>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14,210</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$ 3,610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7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14,184</w:t>
            </w:r>
          </w:p>
        </w:tc>
        <w:tc>
          <w:tcPr>
            <w:tcW w:w="1180" w:type="dxa"/>
            <w:vAlign w:val="bottom"/>
            <w:gridSpan w:val="4"/>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14,184</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$ 8,170</w:t>
            </w:r>
          </w:p>
        </w:tc>
        <w:tc>
          <w:tcPr>
            <w:tcW w:w="1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June 30, 2016 and December 31, 2015 are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2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debt—December 2012 financing</w:t>
            </w:r>
          </w:p>
        </w:tc>
        <w:tc>
          <w:tcPr>
            <w:tcW w:w="1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$92,533</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$ 89,000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$91,512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2012 Notes</w:t>
            </w:r>
          </w:p>
        </w:tc>
        <w:tc>
          <w:tcPr>
            <w:tcW w:w="2680" w:type="dxa"/>
            <w:vAlign w:val="bottom"/>
            <w:gridSpan w:val="3"/>
          </w:tcPr>
          <w:p>
            <w:pPr>
              <w:jc w:val="right"/>
              <w:ind w:right="480"/>
              <w:spacing w:after="0"/>
              <w:rPr>
                <w:sz w:val="20"/>
                <w:szCs w:val="20"/>
                <w:color w:val="auto"/>
              </w:rPr>
            </w:pPr>
            <w:r>
              <w:rPr>
                <w:rFonts w:ascii="Arial" w:cs="Arial" w:eastAsia="Arial" w:hAnsi="Arial"/>
                <w:sz w:val="18"/>
                <w:szCs w:val="18"/>
                <w:color w:val="auto"/>
              </w:rPr>
              <w:t>15,107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14,686</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15,107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97,994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122,959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94,599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108,034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2015 Notes</w:t>
            </w:r>
          </w:p>
        </w:tc>
        <w:tc>
          <w:tcPr>
            <w:tcW w:w="2680" w:type="dxa"/>
            <w:vAlign w:val="bottom"/>
            <w:gridSpan w:val="3"/>
          </w:tcPr>
          <w:p>
            <w:pPr>
              <w:jc w:val="right"/>
              <w:ind w:right="480"/>
              <w:spacing w:after="0"/>
              <w:rPr>
                <w:sz w:val="20"/>
                <w:szCs w:val="20"/>
                <w:color w:val="auto"/>
              </w:rPr>
            </w:pPr>
            <w:r>
              <w:rPr>
                <w:rFonts w:ascii="Arial" w:cs="Arial" w:eastAsia="Arial" w:hAnsi="Arial"/>
                <w:sz w:val="18"/>
                <w:szCs w:val="18"/>
                <w:color w:val="auto"/>
              </w:rPr>
              <w:t>27,650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32,378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27,028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28,448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estimated fair value of the long-term debt pursuant to the December 2012 financing is calculated utilizing the same Level 3 inputs utilized in valuing the related derivative liability (see Long-Term Debt Redemption Features below). The estimated fair value of the 2012 Notes and 2014 Notes is calculated based on Level 1 quoted bond prices, while the estimated fair value of the 2015 Notes is calculated based on Level 2 quoted bond prices for the 2014 Notes. The carrying value of the 2012 Notes as of June 30, 2016 and December 31, 2015 does not include a debt discount, as it had been fully amortized as non-cash interest expense over the expected term of the 2012 Notes, which was calculated to be a period of twenty-four months. The carrying value of the 2014 Notes as of June 30, 2016 and December 31, 2015 includes a debt discount of $20.7 million and $24.1 million, respectively, which is being amortized as non-cash interest expense over the expected term of the 2014 Notes, through January 2019. The carrying value of the 2015 Notes as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of June 30, 2016 and December 31, 2015 includes a debt discount of $3.6 million and $4.2 million, respectively, which is being amortized as non-cash interest expense over the expected term of the 2015 Notes, through January 2019. The carrying values and related debt discounts of the 2014 Notes and 2015 Notes as of December 31, 2015 reflect the retroactive reclassification of debt issuance costs per adoption of ASU No. 2015-03 as described in Note 6—Debt. The change in the estimated fair values of these liabilities from December 31, 2015 to June 30, 2016 is largely related to changes in the quoted bond prices.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Company’s warrant derivative liability (discussed in Note 5—Warrants and Warrant Derivative Liability) was carried at fair value and was classified as Level 3 in the fair value hierarchy due to the use of significant unobservable inputs. During the six months ended June 30, 2015, of the 8,087,388 warrants outstanding as of December 31, 2014, 1,844,585 warrants were exercised while the remaining 6,242,803 warrants expired, and the related derivative liability was extinguished. As such, no warrants were outstanding as of June 30, 2016 and December 31, 2015.</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6—Debt) contains a redemption feature whereby, upon a change of control, the Company would be required to repay $150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June 30, 2016, the fair value of the derivative was determined to be $2.8 million, and the debt was valued by comparing debt issues of similar companies with</w:t>
      </w:r>
    </w:p>
    <w:p>
      <w:pPr>
        <w:spacing w:after="0" w:line="3" w:lineRule="exact"/>
        <w:rPr>
          <w:sz w:val="20"/>
          <w:szCs w:val="20"/>
          <w:color w:val="auto"/>
        </w:rPr>
      </w:pPr>
    </w:p>
    <w:p>
      <w:pPr>
        <w:ind w:right="100" w:firstLine="8"/>
        <w:spacing w:after="0" w:line="295"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remaining terms of between 1.6 and 5.9 years, (ii) coupon rates of between 6.6% and 12.5% and (iii) market yields of between 11.0% and 27.7%. As of December 31, 2015, the fair value of the derivative was determined to be $5.5 million, and the debt was valued by comparing debt issues of similar companies with (i) remaining terms of between 2.0 and 7.3 years, (ii) coupon rates of between 6.6% and 12.5% and (iii) market yields of between 13.0% and 30.7%. As such, the Company recognized a $2.7 million gain on change in fair value of derivative liability for the six months ended June 30, 2016.</w:t>
      </w:r>
    </w:p>
    <w:p>
      <w:pPr>
        <w:spacing w:after="0" w:line="162"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Company’s 2014 Notes and 2015 Notes each contain a redemption feature whereby, upon occurrence of a change in control, the Company would be required to repurchase the notes. The Company determined these redemption features to be embedded derivatives, requiring bifurcation in accordance with ASC 815. The derivatives are carried at fair value and are classified as Level 3 in the fair value hierarchy due to the use of significant unobservable</w:t>
      </w:r>
    </w:p>
    <w:p>
      <w:pPr>
        <w:ind w:right="60"/>
        <w:spacing w:after="0" w:line="281" w:lineRule="auto"/>
        <w:rPr>
          <w:sz w:val="20"/>
          <w:szCs w:val="20"/>
          <w:color w:val="auto"/>
        </w:rPr>
      </w:pPr>
      <w:r>
        <w:rPr>
          <w:rFonts w:ascii="Arial" w:cs="Arial" w:eastAsia="Arial" w:hAnsi="Arial"/>
          <w:sz w:val="16"/>
          <w:szCs w:val="16"/>
          <w:color w:val="auto"/>
        </w:rPr>
        <w:t>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June 30, 2016, the fair values of the derivatives related to the 2014 Notes and 2015 Notes were determined to be $0.6 million and $0.2 million, respectively, and the debts were valued by using (i) the estimated remaining term of the notes, (ii) a bond yield of 20.6%, (iii) a risk-free interest rate of 2.0% and (iv) volatility of 86.0%. As of December 31, 2015, the fair values of the derivatives related to the 2014 Notes and 2015 Notes were determined to be $2.1 million and $0.6 million, respectively, and the debts were valued by using</w:t>
      </w:r>
    </w:p>
    <w:p>
      <w:pPr>
        <w:spacing w:after="0" w:line="4" w:lineRule="exact"/>
        <w:rPr>
          <w:sz w:val="20"/>
          <w:szCs w:val="20"/>
          <w:color w:val="auto"/>
        </w:rPr>
      </w:pPr>
    </w:p>
    <w:p>
      <w:pPr>
        <w:ind w:right="80" w:firstLine="8"/>
        <w:spacing w:after="0" w:line="255"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estimated remaining term of the notes, (ii) a bond yield of 25.6%, (iii) a risk-free interest rate of 2.9% and (iv) volatility of 89.0%. As such, the Company recognized a $1.5 million gain and $0.4 million gain on change in fair value of derivative liability for the 2014 Notes and 2015 Notes, respectively, for the six months ended June 30, 2016.</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six months ended June 30, 2016 and 2015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October</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Long-Term Debt</w:t>
            </w:r>
          </w:p>
        </w:tc>
        <w:tc>
          <w:tcPr>
            <w:tcW w:w="4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Warrants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Liabilities</w:t>
            </w:r>
          </w:p>
        </w:tc>
        <w:tc>
          <w:tcPr>
            <w:tcW w:w="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Purchase Option</w:t>
            </w:r>
          </w:p>
        </w:tc>
        <w:tc>
          <w:tcPr>
            <w:tcW w:w="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8,170</w:t>
            </w: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$ 8,170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3,610</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$ 3,610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October</w:t>
            </w:r>
          </w:p>
        </w:tc>
        <w:tc>
          <w:tcPr>
            <w:tcW w:w="50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Long-Term Debt</w:t>
            </w: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4"/>
          </w:tcPr>
          <w:p>
            <w:pPr>
              <w:jc w:val="right"/>
              <w:ind w:right="52"/>
              <w:spacing w:after="0" w:line="149"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Derivative</w:t>
            </w:r>
          </w:p>
        </w:tc>
        <w:tc>
          <w:tcPr>
            <w:tcW w:w="13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Warrants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Liabilities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Purchase Option</w:t>
            </w:r>
          </w:p>
        </w:tc>
        <w:tc>
          <w:tcPr>
            <w:tcW w:w="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$ 7,519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93"/>
              </w:rPr>
              <w:t>868</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946</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employees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(1,814)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2015</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6,700</w:t>
            </w:r>
          </w:p>
        </w:tc>
        <w:tc>
          <w:tcPr>
            <w:tcW w:w="5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$ 6,700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2016, the Company adopted ASU No. 2015-03, </w:t>
      </w:r>
      <w:r>
        <w:rPr>
          <w:rFonts w:ascii="Arial" w:cs="Arial" w:eastAsia="Arial" w:hAnsi="Arial"/>
          <w:sz w:val="17"/>
          <w:szCs w:val="17"/>
          <w:i w:val="1"/>
          <w:iCs w:val="1"/>
          <w:color w:val="auto"/>
        </w:rPr>
        <w:t>Interest—Imputation of Interest (Subtopic 835-30): Simplifying the Presentation of Debt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Costs</w:t>
      </w:r>
      <w:r>
        <w:rPr>
          <w:rFonts w:ascii="Arial" w:cs="Arial" w:eastAsia="Arial" w:hAnsi="Arial"/>
          <w:sz w:val="17"/>
          <w:szCs w:val="17"/>
          <w:color w:val="auto"/>
        </w:rPr>
        <w:t>, which provides guidance on simplifying the presentation of debt issuance costs on the balance sheet. To simplify presentation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the Company applied the new guidance on a retrospective basis, wherein the condensed consolidated balance sheet of each individual period presented was adjusted to reflect the period-specific effects of applying the new guidance. See Note 6</w:t>
      </w:r>
      <w:r>
        <w:rPr>
          <w:rFonts w:ascii="Arial" w:cs="Arial" w:eastAsia="Arial" w:hAnsi="Arial"/>
          <w:sz w:val="17"/>
          <w:szCs w:val="17"/>
          <w:i w:val="1"/>
          <w:iCs w:val="1"/>
          <w:color w:val="auto"/>
        </w:rPr>
        <w:t>—</w:t>
      </w:r>
      <w:r>
        <w:rPr>
          <w:rFonts w:ascii="Arial" w:cs="Arial" w:eastAsia="Arial" w:hAnsi="Arial"/>
          <w:sz w:val="17"/>
          <w:szCs w:val="17"/>
          <w:color w:val="auto"/>
        </w:rPr>
        <w:t>Debt.</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April 2016, the Company adopted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simplifies the subsequent measurement of inventories by replacing the lower of cost or market test with a lower of cost or net realizable value test. When evidence exists that the net realizable value of inventory is less than its cost (due to damage, physical deterioration, obsolescence, changes in price levels or other causes), the Company will recognize the difference as a component of cost of goods sold in the period in which it occurs. In accordance with ASU No. 2015-11, the Company applied the new guidance on a prospective basis with no impact on the carrying amount of inventory.</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Also in April 2016, the Company adopted ASU No. 2016-09, </w:t>
      </w:r>
      <w:r>
        <w:rPr>
          <w:rFonts w:ascii="Arial" w:cs="Arial" w:eastAsia="Arial" w:hAnsi="Arial"/>
          <w:sz w:val="18"/>
          <w:szCs w:val="18"/>
          <w:i w:val="1"/>
          <w:iCs w:val="1"/>
          <w:color w:val="auto"/>
        </w:rPr>
        <w:t>Compensation—Stock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changes the accounting for certain aspects of share-based payments to employees. One aspect of the standard requires that excess</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six months ended June 30, 2016, includes $0.1 million and $0.2 million, respectively,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The Company adopted the aspects of the standard affecting cash flow presentation retrospectively and, accordingly, reclassified $0.6 million of excess tax provision from cash flows provided by financing activities to cash flows used in operating activities in the condensed consolidated statement of cash flows for the six months ended June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June 30, 2016:</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has determined that this standard would not have a material impact on its condensed consolidated financial statements based on the assessment of its ability to continue as a going concern as of June 30, 2016.</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that an entity is a principal when it controls the specified good or service before that good or service is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w:t>
      </w:r>
      <w:r>
        <w:rPr>
          <w:rFonts w:ascii="Arial" w:cs="Arial" w:eastAsia="Arial" w:hAnsi="Arial"/>
          <w:sz w:val="16"/>
          <w:szCs w:val="16"/>
          <w:i w:val="1"/>
          <w:iCs w:val="1"/>
          <w:color w:val="auto"/>
        </w:rPr>
        <w:t>, 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which provides clarifying guidance in certain 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9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14.1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June 30, 2016 and December 31, 2015 is as follows: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 2016</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(2,529)</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7"/>
        </w:trPr>
        <w:tc>
          <w:tcPr>
            <w:tcW w:w="3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2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June 30, 2016 and December 31, 2015 consist of the following:</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2016</w:t>
            </w:r>
          </w:p>
        </w:tc>
        <w:tc>
          <w:tcPr>
            <w:tcW w:w="2100" w:type="dxa"/>
            <w:vAlign w:val="bottom"/>
            <w:gridSpan w:val="4"/>
          </w:tcPr>
          <w:p>
            <w:pPr>
              <w:ind w:left="840"/>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8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2,748</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8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20,306</w:t>
            </w:r>
          </w:p>
        </w:tc>
        <w:tc>
          <w:tcPr>
            <w:tcW w:w="84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(one half)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(one half) of an ADS at an exercise price of $1.50 per ADS. The total number of warrants issued in conjunction with the financing was 35.2 million.</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were not considered to be indexed to the Company’s common stock. Accordingly, the warrants did not qualify for the exception to classify the warrants within equity and were classified as a derivative liability.</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fair value of this warrant derivative liability was remeasured at each reporting period, with changes in fair value recognized in the condensed consolidated statement of operations. Upon exercise, the fair value of the warrants exercised was remeasured and reclassified from warrant derivative liability to additional paid-in-capital. Although the warrants contained a pricing variability feature, the number of warrants issuable remained fixed. Therefore, the maximum number of common shares issuable as a result of the October 2009 private placement was 36.1 million.</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October 2014, the Company and the holders of the remaining October 2009 warrants mutually agreed to extend the expiration date of such warrants from October 16, 2014 to February 27, 2015. During the six months ended June 30, 2015, of the 8,087,388 warrants outstanding as of December 31, 2014, 1,844,585 warrants were exercised, resulting in net proceeds to the Company of $2.7 million, the remaining 6,242,803 warrants expired, and the related derivative liability was extinguished. As such, no warrants were outstanding as of June 30, 2016 and December 31, 2015.</w:t>
      </w:r>
    </w:p>
    <w:p>
      <w:pPr>
        <w:spacing w:after="0" w:line="31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Long-Term Debt—December 2012 Financing</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 million with such repayment based on a portion of revenues and receivables generated from Vascepa.</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June 30, 2016, the remaining amount to be repaid to BioPharma is $132.1 million. During the three and six months ended June 30, 2016, the Company made repayments under the agreement of $2.5 million and $5.2 million, respectively, to BioPharma and an additional $3.3 million is scheduled to be paid in August 2016 for the second quarter of 2016. These payments were calculated based on the threshold limitation, as described below, as opposed to the scheduled quarterly repayments. Additional quarterly repayments, subject to the threshold limitation, are scheduled to be paid.</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maximum quarterly amounts which could be due for payment, except upon a change of control and subject each quarter to the threshold limitation, are as follows: $15.0 million in the fourth quarter of 2016 and first quarter of 2017, and a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will be made, subject to the threshold limitation, until $150 million in aggregate has been repaid, including payments made previously. The Company can prepay an amount equal to $150 million less any previously repaid amount.</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The Company recognized a $2.7 million gain and a $0.8 million loss on change in fair value of derivative liability during the six months ended June 30, 2016 and 2015, respectively.</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June 30, 2016 and December 31, 2015, the carrying value of the BioPharma debt, net of the unamortized debt discount and issuance costs, was $92.5 million and $91.5 million, respectively. During the six months ended June 30, 2016, the Company recorded cash and non-cash interest expense of $3.4 million and $1.0 million, respectively, in connection with the BioPharma debt. During the six months ended June 30, 2015, the Company recorded cash and non-cash interest expense of $3.2 million and $0.9 million, respectively, in connection with the BioPharma debt. The Company will periodically evaluate the remaining term of the agreement and the effective interest rate is recalculated each period based on the Company’s most current estimate of repayment.</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(the “2012 Notes”), a portion of which was subsequently exchanged and a portion of which was extinguished (see discussion of May 2014 and November 2015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1,714,270 ADSs. Based on the closing price of the Company’s stock as of June 30, 2016, the principal amount of the 2012 Notes would exceed the value of the shares if converted on that date by $11.4 million.</w:t>
      </w:r>
    </w:p>
    <w:p>
      <w:pPr>
        <w:spacing w:after="0" w:line="18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maintain the listing of the 2012 Notes on the Global Exchange Market operated under the supervision of the Irish Stock Exchange (or other recognized stock exchange as defined in the 2012 Notes indenture). If the 2012 Notes are not freely tradable, as a result of restrictions pursuant to U.S. securities law or the terms of the 2012 Notes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both June 30, 2016 and December 31, 2015, the discount created from the allocation of the proceeds to the conversion option was fully amortized and the carrying amount of the conversion option was $11.5 million. The conversion option will not be subsequently remeasured as long as it continues to meet the criteria for equity classification.</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both June 30, 2016 and December 31, 2015, the debt discount was fully amortized and the carrying value of the 2012 Notes was $15.1 million after an exchange and repayment of a portion of the 2012 Notes (see below for further discussion of the May 2014 Notes and November 2015 Notes). The outstanding 2012 Notes may be put to the Company (at the holders’ option, upon fundamental change or an event of default), or converted by holders and the holders have the option to put the 2012 Notes back to the Company on each of January 19, 2017, 2022 and 2027 for cash equal to 100% of the principal amount plus accrued and unpaid interest. As a result, the carrying value of the 2012 Notes of $15.1 million is classified as a current liability as of June 30, 2016.</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ind w:right="280"/>
        <w:spacing w:after="0" w:line="261" w:lineRule="auto"/>
        <w:rPr>
          <w:sz w:val="20"/>
          <w:szCs w:val="20"/>
          <w:color w:val="auto"/>
        </w:rPr>
      </w:pPr>
      <w:r>
        <w:rPr>
          <w:rFonts w:ascii="Arial" w:cs="Arial" w:eastAsia="Arial" w:hAnsi="Arial"/>
          <w:sz w:val="18"/>
          <w:szCs w:val="18"/>
          <w:color w:val="auto"/>
        </w:rPr>
        <w:t>3.5% May 2014 Exchangeable Senior Notes due 2032 (the “2014 Notes”), following which $31.3 million in aggregate principal amount of the 2012 Notes remained outstanding with terms unchanged (the 2012 Notes and 2014 Notes are referred to collectively as the “Notes”).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2014 Notes indenture) occurs or the Company elects to redeem the 2014 Notes in connection with certain changes in tax law, in each case as described in the 2014 Notes indenture, and a holder elects to exchange its 2014 Notes in connection with such make-whole fundamental change or election, as the case may be, such holder may be entitled to an increase in the exchange rate as described in the 2014 Notes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as of June 30, 2016, the principal amount of the 2014 Notes would exceed the value of the shares if converted on that date by $20.1 million.</w:t>
      </w:r>
    </w:p>
    <w:p>
      <w:pPr>
        <w:spacing w:after="0" w:line="1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January 19, 2018, the Company may not redeem the 2014 Notes at its option other than in connection with certain changes in the tax law of a relevant taxing jurisdiction that results in additional amounts (as defined in the 2014 Notes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2014 Notes indenture) occurs, holders may require the Company to repurchase all or part of their 2014 Notes for cash at a fundamental change repurchase price equal to 100% of the aggregate principal amount of the 2014 Notes to be repurchased, plus accrued and unpaid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may elect at its option to cause all or any portion of the 2014 Notes to be mandatorily exchanged in whole or in part at any time prior to the close of business on the business day preceding January 15, 2032 if the Daily VWAP (as defined in the 2014 Notes indenture) equals or exceeds 110% of the Exchange Price then in effect for at least 20 VWAP Trading Days (as defined in the 2014 Notes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2014 Notes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2014 Notes indenture provides that, to the extent Corsicanto elects and for up to 360 days, the sole remedy for an event of default relating to certain failures by Corsicanto or the Company, as the case may be, to comply with certain reporting covenants in the 2014 Notes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initially recognized those costs as deferred assets. Effective January 2016, the Company adopted ASU No. 2015-03, </w:t>
      </w:r>
      <w:r>
        <w:rPr>
          <w:rFonts w:ascii="Arial" w:cs="Arial" w:eastAsia="Arial" w:hAnsi="Arial"/>
          <w:sz w:val="17"/>
          <w:szCs w:val="17"/>
          <w:i w:val="1"/>
          <w:iCs w:val="1"/>
          <w:color w:val="auto"/>
        </w:rPr>
        <w:t>Interest—Imputation of Interest (Subtopic 835-30): Simplifying the Presentation of Debt Issuance Costs</w:t>
      </w:r>
      <w:r>
        <w:rPr>
          <w:rFonts w:ascii="Arial" w:cs="Arial" w:eastAsia="Arial" w:hAnsi="Arial"/>
          <w:sz w:val="17"/>
          <w:szCs w:val="17"/>
          <w:color w:val="auto"/>
        </w:rPr>
        <w:t>, which requires that debt issuance costs related to a recognized debt liability be presented in the balance sheet as a direct deduction from the carrying amount of that debt liability, consistent with the treatment of debt discounts. As the standard is required to be adopted on a retrospective basis, the Company reclassified $1.8 million of underwriters’ fees and offering costs related to the 2014 Notes from other long-term assets to exchangeable senior notes, net of discount, within the condensed consolidated balance sheet as of December 31, 2015.</w:t>
      </w:r>
    </w:p>
    <w:p>
      <w:pPr>
        <w:spacing w:after="0" w:line="18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 further allocated $3.5 million of the $90.8 million fair value of the 2014 Notes to the derivative liability related to the fundamental change redemption feature (as described above).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The Company recognized a $1.5 million gain on the change in fair value of the redemption feature in each of the six months ended June 30, 2016 and 2015.</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Because the conversion option in the 2014 Notes receives an exception from derivative accounting and only requires gross physical settlement in shares,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embedded option does not require separate accounting and is therefore accounted for as part of the debt host at amortized cost. The debt discount is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as interest expense over the estimated life of the 2014 Notes and recognized in the condensed consolidated statement of operations as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As of June 30, 2016 and December 31, 2015, the carrying value of the 2014 Notes, net of the unamortized debt discount and issuance costs,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$98.0 million and $94.6 million, respectively. During the six months ended June 30, 2016, the Company recognized aggregate interest expense of $5.7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Notes, of which $3.4 million represents non-cash interest and $2.3 million represents contractual coupon interest.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2015, the Company recognized aggregate interest expense of $5.6 million related to the Notes, of which $3.0 million represents non-cash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$2.6 million represents contractual coupon interest.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November 2015 Exchangeable Senior Notes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2015, the Company entered into a privately negotiated subscription agreement with one of its existing investors (the “Investor”),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a portion of the 2012 Notes and the remainder will be used for working capital and general corporate purposes. The 2015 Notes have substantially identical terms to the 2014 Notes, except that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2015 Notes were issued by Amarin Corporation plc and are not guaranteed by any entity. In the event of physical settlement, the 2015 Notes would be exchangeable into 12,025,385 ADSs. The initial exchange rate is 384.6154 ADSs per $1,000 principal amount of 2015 Notes (equivalent to an initial exchange price of approximately $2.60 per ADS), provided that exchanges will be prohibited if, as a result, the holder of such 2015 Notes and its affiliates would beneficially own more than 4.99% of the total number of the Company’s ordinary shares or ADSs outstanding following such exchange (the “Beneficial Ownership Limitation”). By written notice to the Company, a holder may from time to time increase or decrease the Beneficial Ownership Limitation to any other percentage not in excess of 19.9% (the “Beneficial Ownership Cap”) specified in such notice; provided that any such increase will not be effective until the sixty-first (61st) day after such notice is delivered to the Company. The exchange rate is subject to adjustment from time to time upon the occurrence of certain events, including, but not limited to, the payment of cash dividends. Based on the closing price of the Company’s stock as of June 30, 2016, the principal amount of the 2015 Notes would exceed the value of the shares if converted on that date by $5.3 million.</w:t>
      </w:r>
    </w:p>
    <w:p>
      <w:pPr>
        <w:spacing w:after="0" w:line="16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2015 Notes are the senior unsecured obligations of the Company. The 2015 Notes bear interest at a rate of 3.5% per annum from, and including, November 24, 2015, payable semi-annually in arrears on January 15 and July 15 of each year, beginning on January 15, 2016. The 2015 Notes mature on January 15, 2032, unless earlier repurchased or redeemed by the Company or exchanged by the holders.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The 2015 Notes were recorded at fair value of $27.5 million representing a $3.8 million discount to par. In addition, the Company recognized $0.1 million in offering costs and initially recognized those costs as deferred assets. As described for the 2014 Notes above, effective January 2016, the Company adopted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 the standard is required to be adopted on a retrospective basis, the Company reclassified $0.1 million of underwriters’ fees and offering costs related to the 2015 Notes from other long-term assets to exchangeable senior notes, net of discount, within the condensed consolidated balance sheet as of December 31, 2015.</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further allocated $0.5 million of the $27.5 million fair value of the 2015 Notes to the derivative liability related to the fundamental change redemption feature (as described under the 2014 Notes above).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During the six months ended June 30, 2016, the Company recognized a gain on the change in fair value of the redemption feature of $0.4 million.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Because the conversion option in the 2015 Notes receives an exception from derivative accounting and only requires gross physical settlement in shares,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embedded option does not require separate accounting and is therefore accounted for as part of the debt host at amortized cost. The debt discount is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as interest expense over the estimated life of the 2015 Notes and recognized in the condensed consolidated statement of operations as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As of June 30, 2016 and December 31, 2015, the carrying value of the 2015 Notes, net of the unamortized debt discount and issuance costs,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$27.6 million and $27.0 million, respectively. During the six months ended June 30, 2016, the Company recognized aggregate interest expense of $1.2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2015 Notes, of which $0.6 million represents non-cash interest and $0.6 million represents contractual coupon interest.</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Concurrent with the issuance of the 2015 Notes, Corsicanto Limited and the Company entered into separate, privately negotiated purchase agreements with certain holders of the 2012 Notes pursuant to which the Company purchased (the “2012 Notes Purchase”) approximately $16.2 million in aggregate principal amount of the 2012 Notes for $15.9 million, which included accrued but unpaid interest on such 2012 Notes. The 2012 Notes Purchase was funded by the issuance of the 2015 Notes. Following the closing of the 2012 Notes Purchase, Corsicanto had approximately $15.1 million in aggregate principal amount of 2012 Notes outstanding. The 2012 Notes Purchase was accounted for as an extinguishment of debt and the Company recorded a gain of $1.3 million upon extinguishment during the fourth quarter of 2015, which represents the reacquisition of the conversion option at fair value and a negotiated discount on the purchase of the notes partially offset by legal and transaction advisory costs incurred.</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June 30, 2016 and December 31, 2015, the Company had total accrued interest on the notes of $2.7 million and $2.3 million, respectively, which is included in current portion of long-term debt. The Company made the contractual interest payments due on the notes during the six months ended June 30, 2016 and 2015 of $2.5 million and $2.6 million,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8420" w:hanging="452"/>
        <w:spacing w:after="0" w:line="378" w:lineRule="auto"/>
        <w:tabs>
          <w:tab w:leader="none" w:pos="44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2015, and “Item 1. Legal Proceedings” of the Company’s Quarterly Report on Form 10-Q for the quarter ended March 31, 2016, include discussions of the Company’s current legal proceedings. There have been no material changes to those disclosures as of the date of this filing other than as set forth below.</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On April 26, 2016, the U.S. District Court for the District of New Jersey granted a motion to dismiss in favor of the Company and related defendants in the putative consolidated class action lawsuit captioned </w:t>
      </w:r>
      <w:r>
        <w:rPr>
          <w:rFonts w:ascii="Arial" w:cs="Arial" w:eastAsia="Arial" w:hAnsi="Arial"/>
          <w:sz w:val="17"/>
          <w:szCs w:val="17"/>
          <w:i w:val="1"/>
          <w:iCs w:val="1"/>
          <w:color w:val="auto"/>
        </w:rPr>
        <w:t>In re Amarin Corporation plc, Securities Litigation,</w:t>
      </w:r>
      <w:r>
        <w:rPr>
          <w:rFonts w:ascii="Arial" w:cs="Arial" w:eastAsia="Arial" w:hAnsi="Arial"/>
          <w:sz w:val="17"/>
          <w:szCs w:val="17"/>
          <w:color w:val="auto"/>
        </w:rPr>
        <w:t xml:space="preserve"> No. 3:13-cv-06663 (D.N.J. Nov. 1, 2013). The class action was dismissed without prejudice with leave for plaintiffs to file an amended complaint. The lawsuit seeks unspecified monetary damages and attorneys’ fees and costs alleging that the Company and certain of its current and former officers and directors made misstatements and omissions regarding the FDA’s willingness to approve Vascepa’s ANCHOR indication and related contributing factors and the potential relevance of data from the ongoing REDUCE-IT trial to that potential approval. The April 2016 dismissal was the second motion to dismiss granted in favor of the Company and related defendants in this litigation. The first motion to dismiss in this litigation was granted in June 2015 in response to the original complaint and related amendment. On May 24, 2016, plaintiffs notified the court they would not file another amended complaint and, on May 26, 2016, filed a notice of appeal of the most recent dismissal to the Third Circuit Court of Appeals. The Company plans a vigorous defense to this appeal. The Company has insurance coverage that is anticipated to cover any significant loss exposure that may arise from this action.</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May 31, 2016, FDA granted five-year, new chemical entity exclusivity with respect to Vascepa in connection with Vascepa’s July 26, 2012 FDA approval. Following such exclusivity grant, on June 7, 2016, Watson Laboratories Inc., or Watson, moved for voluntarily dismissal of its own appeal to the United States Court of Appeals (case no. 2016-1596) of the January 22, 2016 U.S. District Court for the District of New Jersey order of dismissal of the abbreviated new drug application, or ANDA, patent infringement litigation (case no. 14-CV-3259) related to Vascepa. The Watson motion for voluntary dismissal, to which the Company consented, was granted on June 8, 2016. There is no pending patent litigation related to Vascepa.</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July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 Nisshin, Chemport and Novasep are currently the three manufacturers from which the Company purchases API.</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includes commitments for the Company to fund API purchases and contains a provision requiring the Company to pay Novasep a cash remedy for any shortfall in the minimum purchase obligations. The Company continues to meet its contractual purchase obligations.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$10.0 million as of June 30, 2016).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$6.7 million as of June 30, 2016) for each of the two potential market approvals (i.e. £10 million maximum, or approximately $13.4 million as of June 30,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as of June 30, 2016.</w:t>
      </w:r>
    </w:p>
    <w:p>
      <w:pPr>
        <w:spacing w:after="0" w:line="38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six months ended June 30, 2015, the Company issued 1,844,585 shares upon the exercise of warrants, resulting in gross and net proceeds of $2.8 million and $2.7 million, respectively. There was no warrant activity during the six months ended June 30, 2016 and no warrants remained outstanding as of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guidance became effective for all entities during the first quarter of fiscal 2016. The Company previously accounted for awards in a manner consistent with the new guidance and as such, adoption of the guidance did not have any impact on the Company’s condensed consolidated financial statements.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The Company early adopted this standard during the quarter ended June 30, 2016, without electing to change its existing accounting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forfeitures based on expected vesting. The new standard requires that excess tax benefits and deficiencies that arise upon vesting or exercise of share-based payments be recognized as an income tax benefit and expense in the income statement, and also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Further, the new standard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Refer to Note 2 above for additional discussion on the Company’s adoption of the new standard.</w:t>
      </w:r>
    </w:p>
    <w:p>
      <w:pPr>
        <w:spacing w:after="0" w:line="167"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As of June 30, 2016, there were an aggregate of 20,641,123 stock options and 10,361,147 restricted stock units (“RSUs”) outstanding, representing approximately 8% and 4%, respectively, of outstanding shares (including common and preferred shares) on a fully diluted basis.</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six months ended June 30, 2016 and 2015, the Company issued 83,020 and 18,020 shares, respectively, as a result of the exercise of stock options, resulting in gross and net proceeds of $0.1 million during the six months ended June 30, 2016 and $31 thousand during the six months ended June 30, 2015.</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February 1, 2016, the Company granted a total of 1,607,500 RSUs and 2,442,000 stock options to employees under the Amarin Corporation plc Stock Incentive Plan (the “2011 Plan”). The RSUs vest annually over a three year period and the stock options vest monthly over a four year period.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6, 2015, the Company granted a total of 1,455,000 RSUs and 5,470,000 stock options to employees under the 2011 Plan. The RSUs granted vest over a four year period. Of the total stock options granted, 3,670,000 stock options vest over a four year period while the remaining 1,800,000 stock options vest upon the achievement of certain performance conditions. During the six months ended June 30, 2016, the Company issued 181,874 common shares related to the vesting of these RSUs, of which 77,405 shares were retained as treasury shares as settlement of employee tax obligations.</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 year period upon the earlier of the one-year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On January 29, 2015, the Company granted a total of 2,564,251 RSUs and 1,622,500 stock options to employees under the 2011 Plan. The RSUs vest annually over a three year period and the stock options vest monthly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 During the six months ended June 30, 2016, the Company issued 818,352 common shares related to the vesting of these RSUs, of which 270,329 shares were retained as treasury shares as settlement of employee tax obligations.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Subsequently, at the request of the holders, a portion of the Series A Preference Shares were consolidated and redesignated during the three months ended June 30, 2015, resulting in the issuance of 6,283,333 ADSs such that a maximum of 32,818,464 ordinary shares remain issuable upon future consolidation and redesignation of the remaining Series A Preference Shares as of June 30, 2016, inclusive of the shares issued in July 2015 as discussed below, subject to certain adjustments for dilutive events.</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0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00" w:firstLine="8"/>
        <w:spacing w:after="0" w:line="261"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three months ended June 30, 2015.</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at that time,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Dr. James Healy, a member of the Company’s Board, is a managing general partner of Sofinnova Management VII, L.L.C., which is the general partner of Sofinnova.</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third quarter of 2015.</w:t>
      </w:r>
    </w:p>
    <w:p>
      <w:pPr>
        <w:spacing w:after="0" w:line="3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increases during the term. The percentage of aggregate Vascepa gross margin earned by Kowa Pharmaceuticals America, Inc. was fifteen percent (15%) in 2015, is nineteen percent (19%) in 2016, and is scheduled to increase to low twenty percent levels in 2017 and 2018, subject to certain adjustments.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co-promotion fee in effect prior to such expiration or termination for periods ranging from one to three years following such expiration or termination.</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June 30, 2016 and December 31, 2015, the Company had a net payable of $2.7 million and $2.5 million, respectively, to Kowa Pharmaceuticals America, Inc. representing co-promotion fees payable to Kowa Pharmaceuticals America, Inc. net of reimbursable amounts incurred for samples and other marketing expenses.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sales-based milestone events occur when annual aggregate net sales of Vascepa in the territory equals or exceeds certain specified thresholds.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Licensing and deferred revenues currently consist of revenue attributable to receipt of up-front, non-refundable payments and milestone payments related to the DCS Agreement and other licensing agreements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 During the six months ended June 30, 2016 and 2015, the Company recognized $0.5 million and $0.4 million of up-front and milestone payments as licensing revenue, respectively, and recorded $15.7 million as deferred revenue as of June 30, 2016.</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June 30, 2016 through the date of the issuance of these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2015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³200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marketing Vascepa in the United States for the treatment of the patient population studied in the ANCHOR study based on the federal court declaration described below. In March 2016, we reached agreement with the FDA and U.S. government under which they agreed to be bound by the terms of the August 2015 judicial declaration. Vascepa is available in the United States by prescription only. In May 2016, the FDA determined Vascepa to be eligible for five-year, new chemical entity (NCE) marketing exclusivity thereby providing Vascepa with the benefits of NCE exclusivity afforded by statute from its July 2012 FDA approval.</w:t>
      </w:r>
    </w:p>
    <w:p>
      <w:pPr>
        <w:spacing w:after="0" w:line="18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sales force of approximately 150 sales professionals, including sales representatives and their managers. In March 2014, we entered into a co-promotion agreement in the United States with Kowa Pharmaceuticals America, Inc. under which no less than 250 Kowa Pharmaceuticals America, Inc. sales representatives began to devote a substantial portion of their time to promoting Vascepa starting in May 2014.</w:t>
      </w:r>
    </w:p>
    <w:p>
      <w:pPr>
        <w:spacing w:after="0" w:line="15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have an exclusive agreement with Eddingpharm (Asia) Macao Commercial Offshore Limited, or Eddingpharm, to develop and commercialize Vascepa capsules in Mainland China, Hong Kong, Macau and Taiwan, or the China Territory. We also have an agreement to register and commercialize Vascepa in countries within the Middle East and North Africa and are assessing other partnership opportunities for licensing Vascepa in other territories outside of the United States.</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Triglycerides are the main constituent of body fat in humans.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150 mg/dL),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200 mg/dL), and approximately 4.0 million people in the United States have severely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500 mg/dL), commonly known as very high triglyceride levels. Many patients with high triglyceride levels also have diabetes and other lipid level abnormalities such as high cholesterol. The patient condition of having more than one lipid level abnormality is referred to as mixed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dyslipidemia. According to </w:t>
      </w:r>
      <w:r>
        <w:rPr>
          <w:rFonts w:ascii="Arial" w:cs="Arial" w:eastAsia="Arial" w:hAnsi="Arial"/>
          <w:sz w:val="16"/>
          <w:szCs w:val="16"/>
          <w:i w:val="1"/>
          <w:iCs w:val="1"/>
          <w:color w:val="auto"/>
        </w:rPr>
        <w:t>The American Heart Association Scientific Statement on Triglycerides and Cardiovascular Disease</w:t>
      </w:r>
      <w:r>
        <w:rPr>
          <w:rFonts w:ascii="Arial" w:cs="Arial" w:eastAsia="Arial" w:hAnsi="Arial"/>
          <w:sz w:val="16"/>
          <w:szCs w:val="16"/>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5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In March 2016, we announced the REDUCE-IT enrollment target of approximately 8,000 patients was reached and we have since begun to wind down patient enrollment on a country-by-country basis.</w:t>
      </w:r>
    </w:p>
    <w:p>
      <w:pPr>
        <w:spacing w:after="0" w:line="178"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The REDUCE-IT study is designed to be completed after reaching 1,612 aggregate cardiovascular events. Based on projected event rates, we estimate the onset of the target aggregate number of cardiovascular events to be reached in or about the second half of 2017 with study results then expected to be available and published in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20,000 patient years of study experience have been accumulated in the REDUCE-IT study. Following each periodic review of safety data to date, the DMC has communicated to us that we should continue the study as planned.</w:t>
      </w:r>
    </w:p>
    <w:p>
      <w:pPr>
        <w:spacing w:after="0" w:line="18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 March 2016, we announced that the onset of approximately 60% of the target aggregate number of primary cardiovascular events has triggered preparation for the first pre-specified interim analysis of efficacy and safety results. We currently expect the 60% interim analysis to be conducted by the independent DMC in September or October 2016, which interim analysis will include the first review of unblinded efficacy data by the DMC. In addition, assuming the 60% interim analysis results in a recommendation to continue the study, a second planned interim analysis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and safety analysis by the DMC expected around mid-2017.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to us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Accordingly, it is our expectation that each of the 60% and 80% interim analyses will result in a recommendation to continue the trial.</w:t>
      </w:r>
    </w:p>
    <w:p>
      <w:pPr>
        <w:spacing w:after="0" w:line="173" w:lineRule="exact"/>
        <w:rPr>
          <w:sz w:val="20"/>
          <w:szCs w:val="20"/>
          <w:color w:val="auto"/>
        </w:rPr>
      </w:pPr>
    </w:p>
    <w:p>
      <w:pPr>
        <w:ind w:right="200" w:firstLine="913"/>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6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permitted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promote Vascepa to healthcare professionals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including sales representatives and their managers. Commencing in May 2014, in addition to promotion by our sales representatives, no less than 250 Kowa Pharmaceuticals America, Inc. sales representatives began promoting Vascepa. We also employ various marketing personnel to support our commercialization of Vascepa.</w:t>
      </w:r>
    </w:p>
    <w:p>
      <w:pPr>
        <w:spacing w:after="0" w:line="18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increases during the term. The percentage of aggregate Vascepa gross margin earned by Kowa Pharmaceuticals America, Inc. was fifteen percent (15%) in 2015, is nineteen percent (19%) in 2016, and is scheduled to increase to low twenty percent levels in 2017 and 2018, subject to certain adjustments. The term of this co-promotion agreement expires on December 31, 2018, following which Kowa Pharmaceuticals America, Inc. will be entitled to earn tail royalties equal to declining fractions of the co-promotion fee in effect prior to such expiration for periods ranging from one to three years following such expiration.</w:t>
      </w:r>
    </w:p>
    <w:p>
      <w:pPr>
        <w:spacing w:after="0" w:line="18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June 30, 2016 was approximately 230,000 compared to 201,000 and 148,000 in the three months ended March 31, 2016 and June 30, 2015, respectively. According to data from another third party, IMS Health, the estimated number of normalized total Vascepa prescriptions for the three months ended June 30, 2016 was approximately 248,000 compared to 214,000 and 157,000 in the three months ended March 31, 2016 and June 30, 2015, respectively. Normalized total prescriptions represent the estimated total number of Vascepa prescriptions shipped to patients, calculated on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normalized basis (i.e., total capsules shipped divided by 120 capsules, or one month’s supply). Growth in Vascepa prescriptions resulted in increased shipment volumes to wholesalers during the three months ended June 30, 2016. Inventory levels at wholesalers tend to fluctuate based on seasonal factors, prescription trends and other factors. For example, during the quarter ended March 31, 2016, wholesalers decreased inventory levels from year-end 2015. During the three months ended June 30, 2016, the trend was reversed and wholesalers increased inventory levels.</w:t>
      </w:r>
    </w:p>
    <w:p>
      <w:pPr>
        <w:spacing w:after="0" w:line="17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period-to-period Distributor purchasing habits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r>
        <w:rPr>
          <w:rFonts w:ascii="Arial" w:cs="Arial" w:eastAsia="Arial" w:hAnsi="Arial"/>
          <w:sz w:val="18"/>
          <w:szCs w:val="18"/>
          <w:color w:val="auto"/>
        </w:rPr>
        <w:t>.”</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August 2015, we and our co-promotion partner began communicating ANCHOR clinical trial data to targeted healthcare professionals. Such qualified communications are being made pursuant to the August 7, 2015 federal district court declaration and related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with respect to the MARINE indication for Vascepa to the Chinese regulatory authority in March 2016, and future development, regulatory and sales-based milestone payments of up to an additional $153.0 million. Eddingpharm will also pay us tiered double-digit percentage royalties on net sales of Vascepa in the China Territory escalating to the high teens. We will supply finished product to Eddingpharm under negotiated terms.</w:t>
      </w:r>
    </w:p>
    <w:p>
      <w:pPr>
        <w:spacing w:after="0" w:line="17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We continue to assess other partnership opportunities for licensing Vascepa in other territories outside of the United States.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REDUCE-IT is designed to enroll approximately 8,000 patients. As announced in March 2016, this enrollment target has been reached and we have begun to wind down patient enrollment on a country-by-country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Completion of the REDUCE-IT study is designed to occur after reaching an aggregate number of cardiovascular events. Based on projected event rates, we estimate the onset of the target aggregate number of cardiovascular events to be reached in or about the second half of 2017 with study results then expected to be available in 2018. In addition, since its inception in 2011, our REDUCE-IT special protocol assessment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7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March 2016, we announced that the onset of approximately 60% of the target aggregate number of primary cardiovascular events has triggered preparation for the first pre-specified interim analysis of efficacy and safety results by the independent DMC. We currently expect this independent interim analysis to be conducted in September or October 2016. In addition, assuming the 60% interim analysis results in a recommendation to continue the study, a second planned interim analysis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and safety analysis by the DMC expected around mid-2017.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Accordingly, it is our expectation that each of the 60% and 80% interim analyses will result in a recommendation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7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Since patient enrollment commenced in 2011, more than 20,000 patient years of study experience have been accumulated in REDUCE-IT. The DMC has reviewed unblinded safety data on a quarterly basis since initiation of the REDUCE-IT study in 2011 and, after each such meeting to date, the DMC has recommended to us that the study be continued as planned.</w:t>
      </w:r>
    </w:p>
    <w:p>
      <w:pPr>
        <w:spacing w:after="0" w:line="18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We believe that our cash and cash equivalents of $72.5 million as of June 30, 2016 will be sufficient to fund our projected operations for at least the next twelve months. Depending on the level of cash generated from operations, additional capital will likely be required to sustain operations. We anticipate that quarterly net cash outflows in future periods will be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360" w:firstLine="913"/>
        <w:spacing w:after="0" w:line="291"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All of our product revenue is derived from product sales of Vascepa, net of allowances, discounts, incentives,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6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costs for encapsulation, packaging, shipment, supply management, quality assurance and insurance. The cost of the API included in cost of goods sold reflects the average cost method of inventory valuation and relief. This average cost reflects the actual purchase price of Vascepa API.</w:t>
      </w:r>
    </w:p>
    <w:p>
      <w:pPr>
        <w:spacing w:after="0" w:line="14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as well as costs of product supply received from suppliers when such receipt by us is prior to regulatory approval of the supplier. We expense research and development costs as incurred.</w:t>
      </w:r>
    </w:p>
    <w:p>
      <w:pPr>
        <w:spacing w:after="0" w:line="189"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88"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and interest incurred under our December 2012 financing arrangement with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income, net, consists primarily of foreign exchange losses and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condensed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revenues of $58.1 million and $33.3 million based on sales to Distributors during the six months ended June 30, 2016 and 2015, respectively.</w:t>
      </w:r>
    </w:p>
    <w:p>
      <w:pPr>
        <w:spacing w:after="0" w:line="178"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right="20" w:firstLine="8"/>
        <w:spacing w:after="0" w:line="290"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channel inventory would result in a change of less than 1% in net product revenues reported during each of the three and six months ended June 30, 2016 and 2015.</w:t>
      </w:r>
    </w:p>
    <w:p>
      <w:pPr>
        <w:spacing w:after="0" w:line="164"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7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condensed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9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condensed consolidated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condensed consolidated balance sheet and, therefore, our condensed consolidated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during the first quarter of 2015), the change in control provision associated with our December 2012 debt financing, the change in control provisions associated with our May 2014 and November 2015 exchangeable senior notes, and a preferred stock purchase option (subsequently reclassified to permanent equity).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i w:val="1"/>
          <w:iCs w:val="1"/>
          <w:color w:val="auto"/>
        </w:rPr>
        <w:t>Inventory</w:t>
      </w:r>
      <w:r>
        <w:rPr>
          <w:rFonts w:ascii="Arial" w:cs="Arial" w:eastAsia="Arial" w:hAnsi="Arial"/>
          <w:sz w:val="17"/>
          <w:szCs w:val="17"/>
          <w:color w:val="auto"/>
        </w:rPr>
        <w:t>—We capitalize purchases of saleable inventory of Vascepa from suppliers that have been qualified by the FDA. During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presented, we purchased API for Vascepa from three FDA-approved suppliers.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In April 2016, we adopted ASU No. 2015-11, Inventory (Topic 330)—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and as such, began to state inventories at the lower of cost or net realizable market value (previously, we stated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inventories at the lower of cost or market value).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our U.S. deferred tax assets as of June 30, 2016,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June 30, 2016.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69"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April 2016, we adopted ASU No. 2016-09, Compensation—</w:t>
      </w:r>
      <w:r>
        <w:rPr>
          <w:rFonts w:ascii="Arial" w:cs="Arial" w:eastAsia="Arial" w:hAnsi="Arial"/>
          <w:sz w:val="18"/>
          <w:szCs w:val="18"/>
          <w:i w:val="1"/>
          <w:iCs w:val="1"/>
          <w:color w:val="auto"/>
        </w:rPr>
        <w:t>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changes the accounting for certain aspects of share-based payments to employees. Refer to 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below for additional details on the impact of this recently adopted accounting guidance.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us or adopted as of the specified effective date.</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In January 2016, we adopted ASU No. 2015-03, </w:t>
      </w:r>
      <w:r>
        <w:rPr>
          <w:rFonts w:ascii="Arial" w:cs="Arial" w:eastAsia="Arial" w:hAnsi="Arial"/>
          <w:sz w:val="18"/>
          <w:szCs w:val="18"/>
          <w:i w:val="1"/>
          <w:iCs w:val="1"/>
          <w:color w:val="auto"/>
        </w:rPr>
        <w:t>Interest—Imputation of Interest (Subtopic 835-30): 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which provides guidance on simplifying the presentation of debt issuance costs on the balance sheet. To simplify presentation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the 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we applied the new guidance on a retrospective basis, wherein the condensed consolidated balance sheet of each individual period presented was adjusted to reflect the period-specific effects of applying the new guidance.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In April 2016, we adopted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simplifies the subsequent measurement of inventories by replacing the lower of cost or market test with a lower of cost or net realizable value test. When evidence exists that the net realizable value of inventory is less than its cost (due to damage, physical deterioration, obsolescence, changes in price levels or other causes), we will recognize the difference as a component of cost of goods sold in the period in which it occurs. In accordance with ASU No. 2015-11, we applied the new guidance on a prospective basis with no impact on the carrying amount of inventory.</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Also in April 2016, we adopted ASU No. 2016-09, </w:t>
      </w:r>
      <w:r>
        <w:rPr>
          <w:rFonts w:ascii="Arial" w:cs="Arial" w:eastAsia="Arial" w:hAnsi="Arial"/>
          <w:sz w:val="16"/>
          <w:szCs w:val="16"/>
          <w:i w:val="1"/>
          <w:iCs w:val="1"/>
          <w:color w:val="auto"/>
        </w:rPr>
        <w:t>Compensation—Stock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which changes the accounting for certain aspects of share-based payments to employees. One aspect of the standard requires that excess</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six months ended June 30, 2016, includes $0.1 million and $0.2 million, respectively,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we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We adopted the aspects of the standard affecting cash flow presentation retrospectively and, accordingly, reclassified $0.6 million of excess tax provision from cash flows provided by financing activities to cash flows used in operating activities in the condensed consolidated statement of cash flows for the six months ended June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also considered the following recent accounting pronouncements which were not yet adopted as of June 30, 2016:</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 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ASU 2014-15 requires management to assess an entity’s ability to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have determined that this standard would not have a material impact on our condensed consolidated financial statements based on the assessment of our ability to continue as a going concern as of June 30, 2016.</w:t>
      </w:r>
    </w:p>
    <w:p>
      <w:pPr>
        <w:spacing w:after="0" w:line="16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The new guidance is intended to improve the recognition and measurement of financial instruments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5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We are currently evaluating the accounting, transition and disclosure requirements of the standard and cannot currently estimate the financial statement impact of adoption.</w:t>
      </w:r>
    </w:p>
    <w:p>
      <w:pPr>
        <w:spacing w:after="0" w:line="18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clarifies that an entity is a principal when it controls the specified good or service before that good or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w:t>
      </w:r>
      <w:r>
        <w:rPr>
          <w:rFonts w:ascii="Arial" w:cs="Arial" w:eastAsia="Arial" w:hAnsi="Arial"/>
          <w:sz w:val="16"/>
          <w:szCs w:val="16"/>
          <w:i w:val="1"/>
          <w:iCs w:val="1"/>
          <w:color w:val="auto"/>
        </w:rPr>
        <w:t>, 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which provides clarifying guidance in certain narrow areas and adds some practical expedients. The amendments do not change the core principles of the guidance in Topic 606 and are effective for our fiscal year beginning January 1, 2018. Early application is permitted only as of annual reporting periods beginning after December 15, 2016, including interim reporting periods within that reporting period. We is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our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2016 and June 30, 2015</w:t>
      </w:r>
    </w:p>
    <w:p>
      <w:pPr>
        <w:spacing w:after="0" w:line="11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$32.8 million and $17.7 million during the three months ended June 30,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2015, respectively, an increase of $15.1 million, or 85%. This increase in revenue was driven primarily by an increase in estimated normalized total Vascepa prescriptions as well as an increase in the level of inventories held by our customers during the period. Based on data provided by Symphony Health Solutions and IMS Health, estimated normalized total Vascepa prescriptions increased by approximately 82,000 and 91,000, respectively, over the three months ended June 30, 2015, representing growth of 55% and 58%, respectively. The level of inventories held by our Distributors as of June 30, 2016 increased as compared to inventories held as of year-end 2015 calculated based on estimated days of Vascepa sales on hand, resulting in a net overall increase in product revenues of approximately $1.5 million to $1.8 million during the first half of 2016. We estimate that revenues during the quarter ended June 30, 2016 include approximately $2.9 million to $3.2 million in product revenues resulting from a net overall increase in Distributor inventory levels during the period compared to a less than $0.5 million decrease in revenues due to net inventory level changes in the corresponding period in 2015. The increase in Distributor inventory levels during the quarter ended June 30, 2016 follows an estimated $1.2 million to $1.5 million decline in first quarter 2016 product revenues due to reduced Distributor inventory levels during the first three months of 2016. All of our product revenue in the three months ended June 30, 2016 and 2015 was derived from product sales of Vascepa, net of allowances, discounts, incentives, rebates, chargebacks and returns. Timing of shipments to wholesalers, as used for revenue recognition, and timing of prescriptions as estimated by third-party sources such as Symphony Health Solutions and IMS Health may differ from period to period.</w:t>
      </w:r>
    </w:p>
    <w:p>
      <w:pPr>
        <w:spacing w:after="0" w:line="185"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During the quarters ended June 30,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June 30,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three months ended June 30, 2016 was $0.3 million. No licensing revenue was recorded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2015. Licensing revenue relates primarily to the amortization of a $15.0 million up-front payment received in February 2015 and a $1.0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w:t>
      </w:r>
    </w:p>
    <w:p>
      <w:pPr>
        <w:spacing w:after="0" w:line="19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2016 and 2015 was $8.9 million and $6.4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$2.5 million, or 39%.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jc w:val="both"/>
        <w:ind w:right="20" w:firstLine="913"/>
        <w:spacing w:after="0" w:line="279" w:lineRule="auto"/>
        <w:rPr>
          <w:sz w:val="20"/>
          <w:szCs w:val="20"/>
          <w:color w:val="auto"/>
        </w:rPr>
      </w:pPr>
      <w:r>
        <w:rPr>
          <w:rFonts w:ascii="Arial" w:cs="Arial" w:eastAsia="Arial" w:hAnsi="Arial"/>
          <w:sz w:val="17"/>
          <w:szCs w:val="17"/>
          <w:color w:val="auto"/>
        </w:rPr>
        <w:t>The API included in the calculation of the average cost of goods sold during the three months ended June 30, 2016 and 2015 was sourced from three API suppliers and two API suppliers, respectively.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w:t>
      </w:r>
    </w:p>
    <w:p>
      <w:pPr>
        <w:spacing w:after="0" w:line="17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Our gross margin on product sales for the three months ended June 30, 2016 and 2015 was 73% and 64%,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and potential cost efficiency through increased volume. The average cost may be variable from period to period depending upon the timing and quantity of API purchased from each supplier.</w:t>
      </w:r>
    </w:p>
    <w:p>
      <w:pPr>
        <w:spacing w:after="0" w:line="154"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June 30,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was $26.1 million in each period. Selling, general and administrative expenses for the three months ended June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0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$18,622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Co-promotion fees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26,066</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right="100" w:hanging="572"/>
        <w:spacing w:after="0" w:line="25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and co-promotion fees, for the three months ended June 30, 2016 and 2015 was $18.6 million and $22.0 million, respectively, a decrease of $3.4 million, or 15%. The decrease is due primarily to lower legal costs following the favorable federal court declaration on August 7, 2015 and related settlement on March 8, 2016 allowing communication of truthful and non-misleading ANCHOR clinical trial and related data to be communicated to healthcare professionals.</w:t>
      </w:r>
    </w:p>
    <w:p>
      <w:pPr>
        <w:spacing w:after="0" w:line="3"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June 30, 2016 and 2015 were $4.6 million and $1.7 million, respectively, an increase of $2.9 million, or 168%. The increase is due primarily to an increase in gross margin on product sales in the second quarter of 2016 compared to the second quarter of 2015, coupled with an increase in the percentage of aggregate Vascepa gross margin earned by Kowa Pharmaceuticals America, Inc. from 15% in 2015 to 19% in 2016.</w:t>
      </w:r>
    </w:p>
    <w:p>
      <w:pPr>
        <w:spacing w:after="0" w:line="1" w:lineRule="exact"/>
        <w:rPr>
          <w:rFonts w:ascii="Arial" w:cs="Arial" w:eastAsia="Arial" w:hAnsi="Arial"/>
          <w:sz w:val="18"/>
          <w:szCs w:val="18"/>
          <w:color w:val="auto"/>
        </w:rPr>
      </w:pPr>
    </w:p>
    <w:p>
      <w:pPr>
        <w:ind w:left="580" w:hanging="572"/>
        <w:spacing w:after="0" w:line="323"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Stock-based compensation expense for the three months ended June 30, 2016 and 2015 was $2.9 million and $2.4 million, respectively, an increase of $0.5 million, or 22%, primarily due to an increase in new stock option and restricted stock awards granted to attract and retain qualified employees.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We currently anticipate that prior to REDUCE-IT data, our selling, general and administrative costs in 2016 as a whole will be substantially consistent with that in 2015, with the exception of non-cash costs and anticipated increases in the co-promotion fees earned by Kowa Pharmaceuticals America, Inc. based on anticipated increases in net product revenues and the terms of our co-promotion agreement with Kowa Pharmaceuticals America, Inc.</w:t>
      </w:r>
    </w:p>
    <w:p>
      <w:pPr>
        <w:spacing w:after="0" w:line="14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June 30, 2016 and 2015 was $12.6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$12.0 million, respectively, an increase of $0.6 million, or 5%. Research and development expenses for the three months ended June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12,106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12,578</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increase in research and development expenses for the quarter ended June 30, 2016, as compared to the prior year period, is primarily due to quarterly variability in costs related to the REDUCE-IT study.</w:t>
      </w:r>
    </w:p>
    <w:p>
      <w:pPr>
        <w:spacing w:after="0" w:line="76" w:lineRule="exact"/>
        <w:rPr>
          <w:sz w:val="20"/>
          <w:szCs w:val="20"/>
          <w:color w:val="auto"/>
        </w:rPr>
      </w:pPr>
    </w:p>
    <w:p>
      <w:pPr>
        <w:ind w:left="460" w:right="20" w:hanging="452"/>
        <w:spacing w:after="0" w:line="26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June 30, 2016 and 2015, we incurred expenses through our CRO in connection with this trial of approximately $7.5 million and $7.2 million, respectively. Inclusive of CTM costs, the combined CRO and CTM costs during the three months ended June 30, 2016 and 2015 for REDUCE-IT were approximately $8.7 million and $8.1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the second half of 2017 with study results then expected to be available and published in 2018. We anticipate that our costs for this outcomes study will continue to represent the most significant component of our research and development expenditures.</w:t>
      </w:r>
    </w:p>
    <w:p>
      <w:pPr>
        <w:spacing w:after="0" w:line="5" w:lineRule="exact"/>
        <w:rPr>
          <w:rFonts w:ascii="Arial" w:cs="Arial" w:eastAsia="Arial" w:hAnsi="Arial"/>
          <w:sz w:val="17"/>
          <w:szCs w:val="17"/>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regulatory filing fees in each of the quarters ended June 30, 2016 and 2015 included annual FDA fees for maintaining manufacturing sites.</w:t>
      </w:r>
    </w:p>
    <w:p>
      <w:pPr>
        <w:spacing w:after="0" w:line="20" w:lineRule="exact"/>
        <w:rPr>
          <w:rFonts w:ascii="Arial" w:cs="Arial" w:eastAsia="Arial" w:hAnsi="Arial"/>
          <w:sz w:val="17"/>
          <w:szCs w:val="17"/>
          <w:color w:val="auto"/>
        </w:rPr>
      </w:pPr>
    </w:p>
    <w:p>
      <w:pPr>
        <w:ind w:left="460" w:right="2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Research and development costs, excluding non-cash costs, are expected to vary from quarter to quarter in 2016 due to the timing of REDUCE-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costs.</w:t>
      </w:r>
    </w:p>
    <w:p>
      <w:pPr>
        <w:spacing w:after="0" w:line="21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i w:val="1"/>
          <w:iCs w:val="1"/>
          <w:color w:val="auto"/>
        </w:rPr>
        <w:t>Gain (Loss) on Change in Fair Value of Derivative Liabilities</w:t>
      </w:r>
      <w:r>
        <w:rPr>
          <w:rFonts w:ascii="Arial" w:cs="Arial" w:eastAsia="Arial" w:hAnsi="Arial"/>
          <w:sz w:val="17"/>
          <w:szCs w:val="17"/>
          <w:color w:val="auto"/>
        </w:rPr>
        <w:t>. Gain (loss) on change in fair value of derivative liabilities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2016 was a gain of $5.8 million versus a loss of $0.6 million in the prior year period. Gain (loss) on change in fair value of derivative liabilities for the three months ended June 30, 2016 and 2015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March 31, 2016, the fair value of the derivative was determined to be $5.9 million, and as of June 30, 2016, the fair value of the derivative was determined to be $2.8 million. As such, we recognized a $3.1 million gain on change in fair value of derivative liability for the three months ended June 30, 2016. As of March 31, 2015, the fair value of the derivative was determined to be $4.8 million, and as of June 30, 2015, the fair value of the derivative was determined to be $5.6 million. As such, we recognized a $0.8 million loss on change in fair value of derivative liability for the three months ended June 30, 2015.</w:t>
      </w:r>
    </w:p>
    <w:p>
      <w:pPr>
        <w:spacing w:after="0" w:line="19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March 31, 2016, the fair value of the derivative was determined to be $2.8 million, and as of June 30, 2016, the fair value of the derivative was determined to be $0.6 million. As such, we recognized a $2.2 million gain on change in fair value of derivative liability for the three months ended June 30, 2016. As of March 31, 2015, the fair value of the derivative was determined to be $1.3 million, and as of June 30, 2015, the fair value of the derivative was determined to be $1.1 million. As such, we recognized a $0.2 million gain on change in fair value of derivative liability for the three months ended June 30, 2015.</w:t>
      </w:r>
    </w:p>
    <w:p>
      <w:pPr>
        <w:spacing w:after="0" w:line="179"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Our 2015 Notes, issued in November 2015, contain the same redemption feature as the 2014 Notes and the related derivative liability was calculated utilizing the same methodology. As of March 31, 2016, the fair value of the derivative was determined to be $0.7 million, and as of June 30, 2016, the fair value of the derivative was determined to be $0.2 million. As such, we recognized a $0.6 million gain on change in fair value of derivative liability for the three months ended June 30, 2016. There was no such change in fair value of derivative liability for the three months ended June 30, 2015.</w:t>
      </w:r>
    </w:p>
    <w:p>
      <w:pPr>
        <w:spacing w:after="0" w:line="154"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three months ended June 30, 2016 and 2015 was $5.6 million and $4.8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$0.8 million, or 17%. Net interest expense for the three months ended June 30, 2016 and 2015 is summarized in the table below:</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Amortization of debt discounts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3"/>
              </w:rPr>
              <w:t>$ 2,048</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Contractual coupon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Cash interest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long-term debt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(3)</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$ 5,616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80" w:hanging="452"/>
        <w:spacing w:after="0" w:line="25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June 30, 2016 and 2015 was $3.5 million and $2.9 million, respectively.</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BioPharma financing for the three months ended June 30, 2016 and 2015 was $2.2 million and $2.0 million, respectively. These amounts reflect the assumption that our Vascepa revenue levels will not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spacing w:after="0" w:line="288" w:lineRule="auto"/>
        <w:rPr>
          <w:sz w:val="20"/>
          <w:szCs w:val="20"/>
          <w:color w:val="auto"/>
        </w:rPr>
      </w:pPr>
      <w:r>
        <w:rPr>
          <w:rFonts w:ascii="Arial" w:cs="Arial" w:eastAsia="Arial" w:hAnsi="Arial"/>
          <w:sz w:val="16"/>
          <w:szCs w:val="16"/>
          <w:color w:val="auto"/>
        </w:rPr>
        <w:t>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represents income earned on cash balances.</w:t>
      </w:r>
    </w:p>
    <w:p>
      <w:pPr>
        <w:spacing w:after="0" w:line="211"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the three months ended June 30, 2016 was expense of $0.2 million versus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$0.1 million in the prior year period. Other (expense) income, net, primarily consists of gains and losses on foreign exchange transactions.</w:t>
      </w:r>
    </w:p>
    <w:p>
      <w:pPr>
        <w:spacing w:after="0" w:line="14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i w:val="1"/>
          <w:iCs w:val="1"/>
          <w:color w:val="auto"/>
        </w:rPr>
        <w:t xml:space="preserve">Benefit from Income Taxes. </w:t>
      </w:r>
      <w:r>
        <w:rPr>
          <w:rFonts w:ascii="Arial" w:cs="Arial" w:eastAsia="Arial" w:hAnsi="Arial"/>
          <w:sz w:val="16"/>
          <w:szCs w:val="16"/>
          <w:color w:val="auto"/>
        </w:rPr>
        <w:t>Benefit from income taxes for the three months ended June 30, 2016 and 2015 was $1.0 million and $0.5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The current benefit relates entirely to the U.S. subsidiary operations. We are profitable in the United States as a result of intercompany transactions between our U.S. subsidiary and our other companies. In April 2016, we adopted ASU No. 2016-09,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Employee Share-Based Payment Accounting, </w:t>
      </w:r>
      <w:r>
        <w:rPr>
          <w:rFonts w:ascii="Arial" w:cs="Arial" w:eastAsia="Arial" w:hAnsi="Arial"/>
          <w:sz w:val="16"/>
          <w:szCs w:val="16"/>
          <w:color w:val="auto"/>
        </w:rPr>
        <w:t>which requires that excess tax benefits and deficiencies that arise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months ended June 30, 2016, includes $0.1 million of excess tax deficiencies arising from share-based payments.</w:t>
      </w:r>
    </w:p>
    <w:p>
      <w:pPr>
        <w:spacing w:after="0" w:line="16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i w:val="1"/>
          <w:iCs w:val="1"/>
          <w:color w:val="auto"/>
        </w:rPr>
        <w:t xml:space="preserve">Preferred Stock Beneficial Conversion Feature. </w:t>
      </w:r>
      <w:r>
        <w:rPr>
          <w:rFonts w:ascii="Arial" w:cs="Arial" w:eastAsia="Arial" w:hAnsi="Arial"/>
          <w:sz w:val="16"/>
          <w:szCs w:val="16"/>
          <w:color w:val="auto"/>
        </w:rPr>
        <w:t>In 2015, we issued Series A preference shares in a private placement transaction executed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tranches that each contain a conversion feature whereby such shares are convertible into ordinary shares at a fixed rate. The conversion price on the date of issuance was less than the market price of our ordinary shares on such date. We determined that these discounts represent contingent beneficial conversion features, which were valued based on the difference between the conversion price and the market price of the ordinary shares on the date of issuance. These features are analogous to preference dividends and were recorded as a non-cash return to preferred shareholders through accumulated deficit, and are therefore reflected as an adjustment to net loss applicable to common shareholders for earnings per common share purposes in accordance with GAAP. During the three months ended June 30, 2015, we recorded an adjustment to net loss applicable to common shareholders of $31.3 million upon effectiveness of the related resale Registration Statement on Form S-3. There was no such adjustment to net loss in the three months ended June 30,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2016 and June 30, 2015</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$58.1 million and $33.3 million during the six months ended June 30, 2016 and 2015,</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$24.9 million, or 75%. This increase in revenue was driven primarily by an increase in estimated normalized total Vascepa prescriptions as well as an increase in the level of inventories held by our customers during the period. Based on data provided by Symphony Health Solutions and IMS Health, estimated normalized total Vascepa prescriptions increased by approximately 153,000 and 168,000, respectively, over the six months ended June 30, 2015, representing growth of 55% and 57%, respectively. The level of inventories held by our customers as of June 30, 2016 increased as compared to inventories held as of year-end 2015 calculated based on estimated days of Vascepa sales on hand. We estimate that revenues during the six months ended June 30, 2016 include approximately $1.5 million to $1.8 million in product revenues resulting from a net overall increase in Distributor inventory levels compared to a less than $1.0 million decrease in revenues due to net inventory level changes in the corresponding period in 2015. All of our product revenue in the six months ended June 30, 2016 and 2015 was derived from product sales of Vascepa, net of allowances, discounts, incentives, rebates, chargebacks and returns. Timing of shipments to wholesalers, as used for revenue recognition, and timing of prescriptions as estimated by third-party sources such as Symphony Health Solutions and IMS Health may differ from period to period.</w:t>
      </w:r>
    </w:p>
    <w:p>
      <w:pPr>
        <w:spacing w:after="0" w:line="183"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During the six months ended June 30,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six months ended June 30,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6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six months ended June 30, 2016 and 2015 was $0.5 million and $0.4 million,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$0.2. Licensing revenue relates to the amortization of a $15.0 million up-front payment received in February 2015 and a $1.0 million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w:t>
      </w:r>
    </w:p>
    <w:p>
      <w:pPr>
        <w:spacing w:after="0" w:line="19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2016 and 2015 was $15.8 million and $12.0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$3.7 million, or 31%.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API included in the calculation of the average cost of goods sold during the six months ended June 30, 2016 and 2015 was sourced from three API suppliers and two API suppliers, respectively.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w:t>
      </w:r>
    </w:p>
    <w:p>
      <w:pPr>
        <w:spacing w:after="0" w:line="17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Our gross margin on product sales for the six months ended June 30, 2016 and 2015 was 73% and 64%,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and potential cost efficiency through increased volume. The average cost may be variable from period to period depending upon the timing and quantity of API purchased from each supplier.</w:t>
      </w:r>
    </w:p>
    <w:p>
      <w:pPr>
        <w:spacing w:after="0" w:line="154"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six months ended June 30, 2016 and 2015 was</w:t>
      </w:r>
      <w:r>
        <w:rPr>
          <w:rFonts w:ascii="Arial" w:cs="Arial" w:eastAsia="Arial" w:hAnsi="Arial"/>
          <w:sz w:val="18"/>
          <w:szCs w:val="18"/>
          <w:i w:val="1"/>
          <w:iCs w:val="1"/>
          <w:color w:val="auto"/>
        </w:rPr>
        <w:t xml:space="preserve"> </w:t>
      </w:r>
      <w:r>
        <w:rPr>
          <w:rFonts w:ascii="Arial" w:cs="Arial" w:eastAsia="Arial" w:hAnsi="Arial"/>
          <w:sz w:val="18"/>
          <w:szCs w:val="18"/>
          <w:color w:val="auto"/>
        </w:rPr>
        <w:t>$54.1 million and $50.8 million, respectively, an increase of $3.3 million, or 6%. Selling, general and administrative expenses for the six months ended June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1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$40,260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$43,010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Co-promotion fees (2)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8,049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warrant related compensation income</w:t>
            </w:r>
          </w:p>
        </w:tc>
        <w:tc>
          <w:tcPr>
            <w:tcW w:w="172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54,086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and co-promotion fees, for the six months ended June 30, 2016 and 2015 was $40.3 million and $43.0 million, respectively, decrease of $2.7 million, or 6%. The decrease is due primarily to lower legal costs following the favorable federal court declaration on August 7, 2015 and related settlement on March 8, 2016 allowing communication of truthful and non-misleading ANCHOR clinical trial and related data to be communicated to healthcare professionals.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six months ended June 30, 2016 and 2015 were $8.0 million and $3.2 million, respectively, an increase of $4.9 million, or 152%. The increase is due primarily to an increase in gross margin on product sales in the second quarter of 2016 compared to the second quarter of 2015, coupled with an increase in the percentage of aggregate Vascepa gross margin earned by Kowa Pharmaceuticals America, Inc. from 15% in 2015 to 19% in 2016.</w:t>
      </w:r>
    </w:p>
    <w:p>
      <w:pPr>
        <w:spacing w:after="0" w:line="1" w:lineRule="exact"/>
        <w:rPr>
          <w:rFonts w:ascii="Arial" w:cs="Arial" w:eastAsia="Arial" w:hAnsi="Arial"/>
          <w:sz w:val="18"/>
          <w:szCs w:val="18"/>
          <w:color w:val="auto"/>
        </w:rPr>
      </w:pPr>
    </w:p>
    <w:p>
      <w:pPr>
        <w:jc w:val="both"/>
        <w:ind w:left="460" w:right="30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Stock-based compensation expense for the six months ended June 30, 2016 and 2015 was $5.8 million and $4.6 million, respectively, an increase of $1.2 million, or 25%, primarily due to an increase in new stock option and restricted stock awards granted to attract and retain qualified employees.</w:t>
      </w:r>
    </w:p>
    <w:p>
      <w:pPr>
        <w:spacing w:after="0" w:line="139"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We currently anticipate that prior to REDUCE-IT data, our selling, general and administrative costs in 2016 as a whole will be substantially consistent with that in 2015, with the exception of non-cash costs and anticipated increases in the co-promotion fees earned by Kowa Pharmaceuticals America, Inc. based on anticipated increases in net product revenues and the terms of our co-promotion agreement with Kowa Pharmaceuticals America, Inc.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2016 and 2015 was $26.3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$24.6 million, respectively, an increase of $1.7 million, or 7%. Research and development expenses for the six months ended June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$18,072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25,123</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26,308</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six months ended June 30, 2016, as compared to the prior year period, is primarily due to quarterly variability in costs related to the REDUCE-IT study.</w:t>
      </w:r>
    </w:p>
    <w:p>
      <w:pPr>
        <w:spacing w:after="0" w:line="76" w:lineRule="exact"/>
        <w:rPr>
          <w:sz w:val="20"/>
          <w:szCs w:val="20"/>
          <w:color w:val="auto"/>
        </w:rPr>
      </w:pPr>
    </w:p>
    <w:p>
      <w:pPr>
        <w:ind w:left="460" w:right="80" w:hanging="452"/>
        <w:spacing w:after="0" w:line="26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six months ended June 30, 2016 and 2015, we incurred expenses through our CRO in connection with this trial of approximately $15.1 million and $13.8 million, respectively. Inclusive of CTM costs, the combined CRO and CTM costs during the six months ended June 30, 2016 and 2015 for REDUCE-IT were approximately $18.1 million and $16.6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the second half of 2017 with study results then expected to be available and published in 2018. We anticipate that our costs for this outcomes study will continue to represent the most significant component of our research and development expenditures.</w:t>
      </w:r>
    </w:p>
    <w:p>
      <w:pPr>
        <w:spacing w:after="0" w:line="5"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regulatory filing fees in each of the six months ended June 30, 2016 and 2015 included annual FDA fees for maintaining manufacturing sites.</w:t>
      </w:r>
    </w:p>
    <w:p>
      <w:pPr>
        <w:spacing w:after="0" w:line="20" w:lineRule="exact"/>
        <w:rPr>
          <w:rFonts w:ascii="Arial" w:cs="Arial" w:eastAsia="Arial" w:hAnsi="Arial"/>
          <w:sz w:val="17"/>
          <w:szCs w:val="17"/>
          <w:color w:val="auto"/>
        </w:rPr>
      </w:pPr>
    </w:p>
    <w:p>
      <w:pPr>
        <w:ind w:left="460" w:right="2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Research and development costs, excluding non-cash costs, are expected to vary from quarter to quarter in 2016 due to the timing of REDUCE-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costs.</w:t>
      </w:r>
    </w:p>
    <w:p>
      <w:pPr>
        <w:spacing w:after="0" w:line="21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i w:val="1"/>
          <w:iCs w:val="1"/>
          <w:color w:val="auto"/>
        </w:rPr>
        <w:t>Gain (Loss) on Change in Fair Value of Derivative Liabilities</w:t>
      </w:r>
      <w:r>
        <w:rPr>
          <w:rFonts w:ascii="Arial" w:cs="Arial" w:eastAsia="Arial" w:hAnsi="Arial"/>
          <w:sz w:val="17"/>
          <w:szCs w:val="17"/>
          <w:color w:val="auto"/>
        </w:rPr>
        <w:t>. Gain (loss) on change in fair value of derivative liabilities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2016 was a gain of $4.6 million versus a loss of $0.1 million in the prior year period. Gain (loss) on change in fair value of derivative liabilities for the six months ended June 30, 2016 and 2015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warrant derivative liability was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 warrants issued. As these warrants were classified as a derivative liability, they were revalued at each reporting period, with changes in fair value recognized in the condensed consolidated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statement of operations. Of the 8,087,388 warrants outstanding as of December 31, 2014, 1,844,585 warrants were exercised and the remaining 6,242,803 warrants expired on February 27, 2015. As such, no warrants were outstanding as of June 30, 2015 and the derivative liability was extinguished. The fair value of the warrant derivative liability as of December 31, 2014 was $0.1 million and we recognized a $0.1 million gain on change in fair value of derivative liability for the six months ended June 30, 2015. There was no such change in fair value of derivative liability for the six months ended June 30, 2016.</w:t>
      </w:r>
    </w:p>
    <w:p>
      <w:pPr>
        <w:spacing w:after="0" w:line="154"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2015, the fair value of the derivative was determined to be $5.5 million, and as of June 30, 2016, the fair value of the derivative was determined to be $2.8 million. As such, we recognized a $2.7 million gain on change in fair value of derivative liability for the six months ended June 30, 2016. As of December 31, 2014, the fair value of the derivative was determined to be $4.8 million, and as of June 30, 2015, the fair value of the derivative was determined to be $5.6 million. As such, we recognized a $0.8 million loss on change in fair value of derivative liability for the six months ended June 30, 2015.</w:t>
      </w:r>
    </w:p>
    <w:p>
      <w:pPr>
        <w:spacing w:after="0" w:line="19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2015, the fair value of the derivative was determined to be $2.1 million, and as of June 30, 2016, the fair value of the derivative was determined to be $0.6 million. As such, we recognized a $1.5 million gain on change in fair value of derivative liability for the six months ended June 30, 2016. As of December 31, 2014, the fair value of the derivative was determined to be $2.6 million, and as of June 30, 2015, the fair value of the derivative was determined to be $1.1 million. As such, we recognized a $1.5 million gain on change in fair value of derivative liability for the six months ended June 30, 2015.</w:t>
      </w:r>
    </w:p>
    <w:p>
      <w:pPr>
        <w:spacing w:after="0" w:line="166"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Our 2015 Notes, issued in November 2015, contain the same redemption feature as the 2014 Notes and the related derivative liability was calculated utilizing the same methodology. As of December 31, 2015, the fair value of the derivative was determined to be $0.6 million, and as of June 30, 2016, the fair value of the derivative was determined to be $0.2 million. As such, we recognized a $0.4 million gain on change in fair value of derivative liability for the six months ended June 30, 2016. There was no such change in fair value of derivative liability for the six months ended June 30, 2015.</w:t>
      </w:r>
    </w:p>
    <w:p>
      <w:pPr>
        <w:spacing w:after="0" w:line="154"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six months ended June 30, 2015. The liability was then marked to fair value through March 30, 2015, the date on which we executed a separate subscription agreement with the investor, resulting in a charge of $0.9 million through gain (loss) on change in fair value of derivatives in the six months ended June 30, 2015. The liability of $1.8 million was then reclassified to permanent equity on March 30, 2015. There was no such change in fair value of derivative liability for the six months ended June 30, 2016.</w:t>
      </w:r>
    </w:p>
    <w:p>
      <w:pPr>
        <w:spacing w:after="0" w:line="166"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six months ended June 30, 2016 and 2015 was $11.2 million and $9.7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$1.5 million, or 16%. Net interest expense for the six months ended June 30, 2016 and 2015 is summarized in the table below:</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5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4,017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6,907</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11,300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 (3)</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11,202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40" w:hanging="452"/>
        <w:spacing w:after="0" w:line="25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six months ended June 30, 2016 and 2015 was $6.9 million and $5.6 million, respectively.</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Cash and non-cash interest expense related to the BioPharma financing for the six months ended June 30, 2016 and 2015 was $4.4 million and $4.1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right="2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2016 and 2015 was $0.1 million in each period. Interest income represents income earned on cash balances.</w:t>
      </w:r>
    </w:p>
    <w:p>
      <w:pPr>
        <w:spacing w:after="0" w:line="184"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(expense) income, net, for the six months ended June 30, 2016 was expense of $0.3 million versus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$0.03 million in the prior year period. Other (expense) income, net, primarily consists of gains and losses on foreign exchange transactions.</w:t>
      </w:r>
    </w:p>
    <w:p>
      <w:pPr>
        <w:spacing w:after="0" w:line="124"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Benefit from income taxes for the six months ended June 30, 2016 and 2015 was $1.3 million and $1.0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respectively. The current benefit relates entirely to the U.S. subsidiary operations. We are profitable in the United States as a result of intercompany transactions between our U.S. subsidiary and our other companies. In April 2016, we adopted ASU No. 2016-09, </w:t>
      </w:r>
      <w:r>
        <w:rPr>
          <w:rFonts w:ascii="Arial" w:cs="Arial" w:eastAsia="Arial" w:hAnsi="Arial"/>
          <w:sz w:val="17"/>
          <w:szCs w:val="17"/>
          <w:i w:val="1"/>
          <w:iCs w:val="1"/>
          <w:color w:val="auto"/>
        </w:rPr>
        <w:t>Compensation—Stock Compensation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718): Improvements to Employee Share-Based Payment Accounting, </w:t>
      </w:r>
      <w:r>
        <w:rPr>
          <w:rFonts w:ascii="Arial" w:cs="Arial" w:eastAsia="Arial" w:hAnsi="Arial"/>
          <w:sz w:val="17"/>
          <w:szCs w:val="17"/>
          <w:color w:val="auto"/>
        </w:rPr>
        <w:t>which requires that excess tax benefits and deficiencies that arise upon vesting or</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six months ended June 30, 2016, includes $0.2 million of excess tax deficiencies arising from share-based payments.</w:t>
      </w:r>
    </w:p>
    <w:p>
      <w:pPr>
        <w:spacing w:after="0" w:line="178" w:lineRule="exact"/>
        <w:rPr>
          <w:sz w:val="20"/>
          <w:szCs w:val="20"/>
          <w:color w:val="auto"/>
        </w:rPr>
      </w:pPr>
    </w:p>
    <w:p>
      <w:pPr>
        <w:ind w:right="260" w:firstLine="913"/>
        <w:spacing w:after="0" w:line="273" w:lineRule="auto"/>
        <w:rPr>
          <w:sz w:val="20"/>
          <w:szCs w:val="20"/>
          <w:color w:val="auto"/>
        </w:rPr>
      </w:pPr>
      <w:r>
        <w:rPr>
          <w:rFonts w:ascii="Arial" w:cs="Arial" w:eastAsia="Arial" w:hAnsi="Arial"/>
          <w:sz w:val="17"/>
          <w:szCs w:val="17"/>
          <w:i w:val="1"/>
          <w:iCs w:val="1"/>
          <w:color w:val="auto"/>
        </w:rPr>
        <w:t xml:space="preserve">Preferred Stock Purchase Option. </w:t>
      </w:r>
      <w:r>
        <w:rPr>
          <w:rFonts w:ascii="Arial" w:cs="Arial" w:eastAsia="Arial" w:hAnsi="Arial"/>
          <w:sz w:val="17"/>
          <w:szCs w:val="17"/>
          <w:color w:val="auto"/>
        </w:rPr>
        <w:t>In connection with the closing of a private placement transaction in early March 2015, we recorded a</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six months ended June 30, 2015. There was no such adjustment for the six months ended June 30, 2016.</w:t>
      </w:r>
    </w:p>
    <w:p>
      <w:pPr>
        <w:spacing w:after="0" w:line="17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i w:val="1"/>
          <w:iCs w:val="1"/>
          <w:color w:val="auto"/>
        </w:rPr>
        <w:t xml:space="preserve">Preferred Stock Beneficial Conversion Feature. </w:t>
      </w:r>
      <w:r>
        <w:rPr>
          <w:rFonts w:ascii="Arial" w:cs="Arial" w:eastAsia="Arial" w:hAnsi="Arial"/>
          <w:sz w:val="16"/>
          <w:szCs w:val="16"/>
          <w:color w:val="auto"/>
        </w:rPr>
        <w:t>In 2015, we issued Series A preference shares in a private placement transaction executed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tranches that each contain a conversion feature whereby such shares are convertible into ordinary shares at a fixed rate (see Note 8). The conversion price on the date of issuance was less than the market price of our ordinary shares on such date. We determined that these discounts represent contingent beneficial conversion features, which were valued based on the difference between the conversion price and the market price of the ordinary shares on the date of issuance. These features are analogous to preference dividends and were recorded as a non-cash return to preferred shareholders through accumulated deficit, and are therefore reflected as an adjustment to net loss applicable to common shareholders for earnings per common share purposes in accordance with GAAP. During the six months ended June 30, 2015, we recorded an adjustment to net loss applicable to common shareholders of $31.3 million upon effectiveness of the related resale Registration Statement on Form S-3. There was no such adjustment to net loss in the three months ended June 30, 2016.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40" w:firstLine="913"/>
        <w:spacing w:after="0" w:line="259" w:lineRule="auto"/>
        <w:rPr>
          <w:sz w:val="20"/>
          <w:szCs w:val="20"/>
          <w:color w:val="auto"/>
        </w:rPr>
      </w:pPr>
      <w:r>
        <w:rPr>
          <w:rFonts w:ascii="Arial" w:cs="Arial" w:eastAsia="Arial" w:hAnsi="Arial"/>
          <w:sz w:val="18"/>
          <w:szCs w:val="18"/>
          <w:color w:val="auto"/>
        </w:rPr>
        <w:t>Our sources of liquidity as of June 30, 2016 include cash and cash equivalents of $72.5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1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Net cash used in operating activities during the six months ended June 30, 2016 compared to the six months ended June 30, 2015 decreased primarily as a result of increased collections resulting from higher revenues and decreased legal costs following the favorable federal court declaration on August 7, 2015 and related settlement on March 8, 2016 allowing communication of truthful and non-misleading ANCHOR clinical trial and related data to be communicated to healthcare professionals, partially offset by receipt in 2015 of $15.0 million in up-front proceeds from the Eddingpharm license agreement. Increased sales and marketing spend in 2016 in support of expanded Vascepa promotion was more than offset by higher collections from product sales.</w:t>
      </w:r>
    </w:p>
    <w:p>
      <w:pPr>
        <w:spacing w:after="0" w:line="19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June 30, 2016, the net remaining amount to be repaid to BioPharma is $132.1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2016 is $23.4 million. The quarterly repayments through June 30, 2016 represent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8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January 9, 2012, through our wholly-owned subsidiary Corsicanto Limited, or Corsicanto, a private limited company incorporated under the laws of Ireland, we completed a private placement of $150.0 million in aggregate principal amount of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 May 2014 Exchangeable Senior Notes due 2032, or the 2014 Notes. In November 2015, $16.2 million of the 2012 Notes was extinguished, following which $15.1 million in aggregate principal amount of the 2012 Notes remains outstanding with terms unchanged. We may in the future seek to negotiate exchange agreements with the remaining holders of the outstanding 2012 Notes or to otherwise refinance this debt obligation on or before all or a portion of the $15.1 million is put to us. The outstanding 2012 Notes may be converted by holders or put to us at the holders’ option upon fundamental change or an event of default. The holders also have the option to put the 2012 Notes back to us on each of January 19, 2017, 2022 and 2027 for cash equal to 100% of the principal amount plus accrued and unpaid interest. As a result, the carrying value of the 2012 Notes of $15.1 million is classified as a current liability as of June 30, 2016.</w:t>
      </w:r>
    </w:p>
    <w:p>
      <w:pPr>
        <w:spacing w:after="0" w:line="173"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On November 24, 2015, we entered into a privately negotiated subscription agreement with one of our existing investors, or the Investor, pursuant to which the Investor agreed to purchase approximately $31.3 million in aggregate principal amount of new 3.5% November 2015 Exchangeable Senior Notes due 2032, or the 2015 Notes, for approximately $27.5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3"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guarantor, and Wilmington Trust, National Association, as trustee. The notes are the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On or after January 19, 2018, we may elect to redeem for cash all or a portion of the notes for the principal amount of the notes plus accrued and unpaid interest. On each of January 19,</w:t>
      </w:r>
    </w:p>
    <w:p>
      <w:pPr>
        <w:spacing w:after="0" w:line="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2019, January 19, 2024 and January 19, 2029, the holders of the notes may require that we repurchase in cash the principal amount of the notes plus accrued and unpaid interest.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2014 Notes indenture) occurs or we elect to redeem the 2014 Notes in connection with certain changes in tax law, in each case as described in the 2014 Notes indenture, and a holder elects to exchange its 2014 Notes in connection with such make-whole fundamental change or election, as the case may be, such holder may be entitled to an increase in the exchange rate as described in the 2014 Notes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Upon exchange, the notes may only be settled in ADSs. The 2015 Notes have substantially identical terms to the 2014 Notes, except that the 2015 Notes were issued by us and are not guaranteed by any entity.</w:t>
      </w:r>
    </w:p>
    <w:p>
      <w:pPr>
        <w:spacing w:after="0" w:line="170"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As of June 30, 2016, we had cash and cash equivalents of $72.5 million, a decrease of $8.9 million from March 31, 2016 and a decrease of $34.5 million from December 31, 2015. The decrease during 2016 is primarily due to net cash used in operating activities in support of the commercialization of Vascepa and funding of REDUCE-IT, less accounts receivable collections. We have incurred annual operating losses since our inception and, as a result, we had an accumulated deficit of $1.2 billion as of June 30, 2016. We believe that our cash and cash equivalents will be sufficient to fund our projected operations for at least the next twelve months. Depending on the level of cash generated from operations, additional capital will likely be required to sustain operations. We anticipate that quarterly net cash outflows in future periods will be variable.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Patheon and Capsugel contain minimum annual purchase levels to enable us to maintain certain supply exclusivity and also contain a provision that any shortfall in the minimum purchase commitments may be payable in cash. Each supplier is required to meet certain performance obligations and the agreements may be terminated by us in the event of non-performance.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operating lease costs consisting of leases for facilities in Dublin, Ireland and Bedminster, NJ, offset by sublease rental income.</w:t>
      </w:r>
    </w:p>
    <w:p>
      <w:pPr>
        <w:spacing w:after="0" w:line="23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the terms of the agreement with BioPharma, we agreed to repay up to $150 million of future revenue and receivables. As of June 30, 2016, the net remaining amount to be repaid to BioPharma is $132.1 million. To date, each payment made has reflected the calculated optional reduction amount as opposed to the contractual threshold payments for each quarterly period. The maximum amount payable under the contractual threshold for 2016 is $23.4 million. The quarterly repayments through June 30, 2016 represent interest only. In accordance with the agreement with BioPharma, quarterly differences between the calculated optional reduction amounts and the repayment schedule amounts are rescheduled for payment beginning in the second quarter of 2017.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5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have scheduled interest payments due under the terms of the 2012 Notes, 2014 Notes, and 2015 Notes, assuming that the 2012 Notes remain outstanding through January 19, 2017 and that the 2014 Notes and 2015 Notes remain outstanding through January 19, 2019 and they have not been exchanged for ADSs.</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as of both June 30, 2016 and December 31, 2015 is included in other long-term assets and is accounted for under the cost method.</w:t>
      </w:r>
    </w:p>
    <w:p>
      <w:pPr>
        <w:spacing w:after="0" w:line="16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$0.3 million in each of the six months ended June 30, 2016 and 2015.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$10.0 million as of June 30, 2016).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$6.7 million as of June 30, 2016) for each of the two potential market approvals (i.e. £10 million maximum, or approximately $13.4 million as of June 30, 2016).</w:t>
      </w:r>
    </w:p>
    <w:p>
      <w:pPr>
        <w:spacing w:after="0" w:line="169"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We have recorded a liability of $0.1 million for uncertain tax positions in other long-term liabilities as of June 30, 2016. We are not able to reasonably estimate in which future periods these amounts will ultimately be settled.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do not enter into financial instruments for trading or speculative purposes. As of June 30, 2016, we had no outstanding forward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2016.</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June 30, 2016,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June 30, 2016,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During the quarter ended June 30, 2016,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2015 and “Item 1. Legal Proceedings” of our Quarterly Report on Form 10-Q for the quarter ended March 31, 2016, include discussions of our current legal proceedings. There have been no material changes to those disclosures as of the date of this filing other than as set forth below.</w:t>
      </w:r>
    </w:p>
    <w:p>
      <w:pPr>
        <w:spacing w:after="0" w:line="18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On April 26, 2016, the U.S. District Court for the District of New Jersey granted our motion to dismiss the putative consolidated class action lawsuit captioned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class action was dismissed without prejudice with leave for plaintiffs to file an amended complaint. The lawsuit seeks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The April 2016 dismissal was the second motion to dismiss granted in favor of Amarin and related defendants in this litigation. The first motion to dismiss in this litigation was granted in June 2015 in response to the original complaint and related amendment. On May 24, 2016, plaintiffs notified the court they would not file another amended complaint and on May 26, 2016, filed a notice of appeal of the most recent dismissal to the Third Circuit Court of Appeals. We plan a vigorous defense to this appeal. We have insurance coverage that is anticipated to cover any significant loss exposure that may arise from this action.</w:t>
      </w:r>
    </w:p>
    <w:p>
      <w:pPr>
        <w:spacing w:after="0" w:line="16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On May 31, 2016, FDA granted five-year, new chemical entity exclusivity with respect to Vascepa in connection with Vascepa’s July 26, 2012, FDA approval. Following such exclusivity grant, on June 7, 2016, Watson Laboratories Inc., or Watson, moved for voluntarily dismissal of its own appeal to the United States Court of Appeals (case no. 2016-1596) of the January 22, 2016, U.S. District Court for the District of New Jersey order of dismissal of the abbreviated new drug application, or ANDA, patent infringement litigation (case no. 14-CV-3259) related to Vascepa. The Watson motion for voluntary dismissal, to which we consented, was granted on June 8, 2016. There is no pending patent litigation related to Vascepa.</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25,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40"/>
        <w:spacing w:after="0" w:line="342" w:lineRule="auto"/>
        <w:rPr>
          <w:sz w:val="20"/>
          <w:szCs w:val="20"/>
          <w:color w:val="auto"/>
        </w:rPr>
      </w:pPr>
      <w:r>
        <w:rPr>
          <w:rFonts w:ascii="Arial" w:cs="Arial" w:eastAsia="Arial" w:hAnsi="Arial"/>
          <w:sz w:val="16"/>
          <w:szCs w:val="16"/>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16"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In August 2015, based on a federal court order, we also began marketing Vascepa in the United States to healthcare professionals for the treatment of patients with high (TG ³200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7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42" w:lineRule="exact"/>
        <w:rPr>
          <w:rFonts w:ascii="Arial" w:cs="Arial" w:eastAsia="Arial" w:hAnsi="Arial"/>
          <w:sz w:val="17"/>
          <w:szCs w:val="17"/>
          <w:color w:val="auto"/>
        </w:rPr>
      </w:pPr>
    </w:p>
    <w:p>
      <w:pPr>
        <w:ind w:left="1480" w:right="96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75"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no less than 250 Kowa Pharmaceuticals America, Inc. sales representatives devote a substantial portion of their time to promoting Vascepa with our approximately 150 sales professionals, including sales representatives and their managers, based on a plan designed to increase both the number of sales targets reached and the frequency of sales calls on existing sales targets. However, the commercialization of pharmaceutical products is a complex undertaking for a company to manage, and we have very limited experience as a company operating in this area and co-promoting a pharmaceutical product with a partner.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In February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will be solely responsible for development and commercialization activities in the China Territory and associated expenses. Additionally, Eddingpharm may be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9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9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Development in this region, as in China, is also several years away and subject to similar risks. We continue to assess other partnership opportunities for licensing Vascepa in other territories outside of the United States.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jc w:val="both"/>
        <w:ind w:left="1480" w:right="40" w:hanging="446"/>
        <w:spacing w:after="0" w:line="286" w:lineRule="auto"/>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70" w:lineRule="exact"/>
        <w:rPr>
          <w:rFonts w:ascii="Arial" w:cs="Arial" w:eastAsia="Arial" w:hAnsi="Arial"/>
          <w:sz w:val="17"/>
          <w:szCs w:val="17"/>
          <w:color w:val="auto"/>
        </w:rPr>
      </w:pPr>
    </w:p>
    <w:p>
      <w:pPr>
        <w:ind w:left="1480" w:right="36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April 2015, we received a Complete Response Letter, or CRL, from the FDA on our supplemental new drug application (“sNDA”) that sought approval for the use of Vascepa in patients with high triglyceride levels (TG ³200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August 2015, based on a federal court order, we began marketing Vascepa in the United States to healthcare professionals for the treatment of patients in the ANCHOR population through use of a set of qualified statements that reflect the state of research related to this use.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Our ability to reach full potential in the commercialization of Vascepa in the United States is dependent upon marketing claims associated with Vascepa that are granted with the approval of an indication statement by the FDA.</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Federal Food, Drug, and Cosmetic Act, or FDCA, has been interpreted by the FDA to make it illegal for pharmaceutical companies to promote their products for uses that have not been approved by the FDA. Companies that market drugs for so called off-label uses or indications have been subject to related costly litigation, criminal penalties and civil liability under the False Claims Act.</w:t>
      </w:r>
    </w:p>
    <w:p>
      <w:pPr>
        <w:spacing w:after="0" w:line="181"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 so-called off-label use is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S.D.N.Y. (1:15-cv-03588-PAE),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6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promote Vascepa to healthcare professionals as permitted by this court declaration. The FDA did not appeal the court’s ruling. In March 2016, we settled this litigation under terms by which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Currently, six manufacturers have launched generic versions of Lovaza. 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respectively, received FDA approval of their respective versions of generic Lovaza.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w:t>
      </w:r>
    </w:p>
    <w:p>
      <w:pPr>
        <w:spacing w:after="0" w:line="16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5"/>
          <w:szCs w:val="15"/>
          <w:color w:val="auto"/>
        </w:rPr>
        <w:t>®</w:t>
      </w:r>
      <w:r>
        <w:rPr>
          <w:rFonts w:ascii="Arial" w:cs="Arial" w:eastAsia="Arial" w:hAnsi="Arial"/>
          <w:sz w:val="18"/>
          <w:szCs w:val="18"/>
          <w:color w:val="auto"/>
        </w:rPr>
        <w:t>, derived from krill oil for the treatment of hypertriglyceridemia. Acasti plans to begin a pivotal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bioavailability bridging study between CaPre and an omega-3 prescription drug to establish a scientific bridge between the two and determine the feasibility of a 505(b)(2) regulatory pathway. Acasti intends to complete long-term toxicity studies in the next 6-9 months and follow these with a Phase 3 clinical program to assess the safety and efficacy of CaPre in patients with very high (³500 mg/dL) triglycerides.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pivotal pharmacokinetic studies, and we expect the company to initiate a pivotal clinical endpoint study as the next step in development. 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announced favorable Phase 2 results of volanesorsen (formerly ISIS-APOCIII</w:t>
      </w:r>
      <w:r>
        <w:rPr>
          <w:rFonts w:ascii="Arial" w:cs="Arial" w:eastAsia="Arial" w:hAnsi="Arial"/>
          <w:sz w:val="14"/>
          <w:szCs w:val="14"/>
          <w:color w:val="auto"/>
        </w:rPr>
        <w:t>Rx</w:t>
      </w:r>
      <w:r>
        <w:rPr>
          <w:rFonts w:ascii="Arial" w:cs="Arial" w:eastAsia="Arial" w:hAnsi="Arial"/>
          <w:sz w:val="17"/>
          <w:szCs w:val="17"/>
          <w:color w:val="auto"/>
        </w:rPr>
        <w:t>), a drug candidate administered through weekly subcutaneous injections, in patients with high triglycerides and type 2 diabetes and in patients with moderate to severe high triglycerides. Phase 3 trials are currently ongoing studying volanesorsen in patients with severe hypertriglyceridemia, familial chylomicronemia syndrome (FCS), and familial partial lipodystrophy (FPL) with data expected in 2017 and 2018. Madrigal Pharmaceuticals has completed Phase 1 clinical testing of MGL-3196 for the treatment of high triglycerides and various lipid parameters in patients. We expect Madrigal to begin Phase 2 trials in homozygous familial hypercholesterolemia (HoFH) and heterozygous familial hypercholesterolemia (HeFH) in 2016. Finally, Gemfire Therapeutics has initiated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w:t>
      </w:r>
    </w:p>
    <w:p>
      <w:pPr>
        <w:spacing w:after="0" w:line="301" w:lineRule="exact"/>
        <w:rPr>
          <w:sz w:val="20"/>
          <w:szCs w:val="20"/>
          <w:color w:val="auto"/>
        </w:rPr>
      </w:pPr>
    </w:p>
    <w:p>
      <w:pPr>
        <w:ind w:left="460" w:right="340"/>
        <w:spacing w:after="0" w:line="308" w:lineRule="auto"/>
        <w:rPr>
          <w:sz w:val="20"/>
          <w:szCs w:val="20"/>
          <w:color w:val="auto"/>
        </w:rPr>
      </w:pPr>
      <w:r>
        <w:rPr>
          <w:rFonts w:ascii="Arial" w:cs="Arial" w:eastAsia="Arial" w:hAnsi="Arial"/>
          <w:sz w:val="17"/>
          <w:szCs w:val="17"/>
          <w:b w:val="1"/>
          <w:bCs w:val="1"/>
          <w:i w:val="1"/>
          <w:iCs w:val="1"/>
          <w:color w:val="auto"/>
        </w:rPr>
        <w:t>*Vascepa’s recently granted five-year, new chemical entity, or NCE, regulatory exclusivity from the FDA, based on its July 2012 FDA approval, could be challenged by companies seeking to make generic versions of Vascepa or via a citizens’ petition.</w:t>
      </w:r>
    </w:p>
    <w:p>
      <w:pPr>
        <w:spacing w:after="0" w:line="3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8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7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expected to again seek FDA approval of generic versions of Vascepa.</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With this dismissal and terminated appeal, there is no pending patent litigation related to Vascepa.</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We plan to defend the exclusivity of Vascepa through patent litigation after the so called Paragraph IV notification from ANDA filers that FDA has accepted their ANDA application related to Vascepa. We expect notification of new ANDA acceptances in the third quarter of 2016, given their eligibility for submission under the NCE regulatory structure, after the expiration of four years from the July 2012 approval of Vascepa.</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301" w:lineRule="exact"/>
        <w:rPr>
          <w:sz w:val="20"/>
          <w:szCs w:val="20"/>
          <w:color w:val="auto"/>
        </w:rPr>
      </w:pPr>
    </w:p>
    <w:p>
      <w:pPr>
        <w:ind w:left="460" w:right="2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omega-3 fatty acid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11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no less than 250 Kowa Pharmaceuticals America, Inc. sales representatives devote a substantial portion of their time to promoting Vascepa with our approximately 150 sales professionals, including sales representatives and their managers.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30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 Thus, even though we have received regulatory approval of Vascepa for the MARINE indication under a SPA agreement, our ANCHOR SPA agreement was rescinded and there is no assurance that the FDA will not rescind our REDUCE-IT SPA agreement.</w:t>
      </w:r>
    </w:p>
    <w:p>
      <w:pPr>
        <w:spacing w:after="0" w:line="1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7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such as under the DCS Agreement with Eddingpharm, may be smaller than we anticipate.</w:t>
      </w:r>
    </w:p>
    <w:p>
      <w:pPr>
        <w:spacing w:after="0" w:line="6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jc w:val="both"/>
        <w:ind w:right="6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6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and in other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8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promoted Vascepa outside the terms of the litigation settlement or in violation of what federal or state government may determine to be acceptable, we may become subject to significant government fines and other related liability, such as under the False Claims Act or other theories of liability. Government may also seek to hold us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74"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reached its approximately 8,000 patient enrollment target in March 2016, is designed to evaluate the efficacy of Vascepa in reducing major cardiovascular events in an at-risk patient population on statin therapy.</w:t>
      </w:r>
    </w:p>
    <w:p>
      <w:pPr>
        <w:spacing w:after="0" w:line="1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even though they reduced triglyceride levels and showed other favorable effects on parameters relevant to cardiovascular health in studied patients.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Arial" w:cs="Arial" w:eastAsia="Arial" w:hAnsi="Arial"/>
          <w:sz w:val="16"/>
          <w:szCs w:val="16"/>
          <w:i w:val="1"/>
          <w:iCs w:val="1"/>
          <w:color w:val="auto"/>
        </w:rPr>
        <w:t xml:space="preserve">JAMA </w:t>
      </w:r>
      <w:r>
        <w:rPr>
          <w:rFonts w:ascii="Arial" w:cs="Arial" w:eastAsia="Arial" w:hAnsi="Arial"/>
          <w:sz w:val="16"/>
          <w:szCs w:val="16"/>
          <w:color w:val="auto"/>
        </w:rPr>
        <w:t>meta-analysis involved the use of omega-3 supplements containing a mixture of EPA and DHA, and most were evaluated at relatively lower doses.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outcomes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4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150 mg/dL) and low HDL-C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88"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 xml:space="preserve">Although we believe the results of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labeled approval of Vascepa or even call into question the currently understood efficacy and safety profile of Vascepa.</w:t>
      </w:r>
    </w:p>
    <w:p>
      <w:pPr>
        <w:spacing w:after="0" w:line="266"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b w:val="1"/>
          <w:bCs w:val="1"/>
          <w:i w:val="1"/>
          <w:iCs w:val="1"/>
          <w:color w:val="auto"/>
        </w:rPr>
        <w:t>*The prospective 60% and 80% interim efficacy and safety analyses of the REDUCE-IT cardiovascular outcomes trial may not be completed in the contemplated timeframes and may not demonstrate to the independent committee monitoring the study a sufficient benefit risk result to warrant the independent committee recommending stopping the study early for overwhelming efficacy. The independent monitoring committee may, at its discretion, also recommend that the study be stopped for safety or related concerns.</w:t>
      </w:r>
    </w:p>
    <w:p>
      <w:pPr>
        <w:spacing w:after="0" w:line="63"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In accordance with the SPA agreement for our REDUCE-IT cardiovascular outcomes trial, an interim analysis of the efficacy and safety results of the trial is scheduled to occur upon reaching approximately 60% of the target aggregate number of cardiovascular events. We currently expect this interim analysis by the study’s independent data monitoring committee (DMC) to occur in September or October 2016 based on our understanding of the current event rates in the study and expected future event rates and will include the first review of unblinded efficacy data by the DMC. Assuming the REDUCE-IT study continues following the 60% interim analysis, the second planned interim analysis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and safety analysis by the DMC expected around mid-2017. It may actually take longer than anticipated for the DMC assessment of data for the interim analysis.</w:t>
      </w:r>
    </w:p>
    <w:p>
      <w:pPr>
        <w:spacing w:after="0" w:line="179"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or about the second half of 2017. We do not expect the study to be stopped due to overwhelming efficacy at these interim looks.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83"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Moreover, it is the DMC that will make the formal recommendation as to whether to stop the study early or to continue as planned. We are blinded to the interim analysis results and are informed by the DMC of the recommendation to stop the study or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7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274"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98"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changed the way healthcare is financed by both governmental and private insurers. Among other cost-containment measures, PPACA established:</w:t>
      </w:r>
    </w:p>
    <w:p>
      <w:pPr>
        <w:spacing w:after="0" w:line="77"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products;</w:t>
      </w:r>
    </w:p>
    <w:p>
      <w:pPr>
        <w:spacing w:after="0" w:line="142" w:lineRule="exact"/>
        <w:rPr>
          <w:rFonts w:ascii="Arial" w:cs="Arial" w:eastAsia="Arial" w:hAnsi="Arial"/>
          <w:sz w:val="17"/>
          <w:szCs w:val="17"/>
          <w:color w:val="auto"/>
        </w:rPr>
      </w:pPr>
    </w:p>
    <w:p>
      <w:pPr>
        <w:ind w:left="1480" w:right="22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third-party manufacturers and key suppliers.</w:t>
      </w:r>
    </w:p>
    <w:p>
      <w:pPr>
        <w:spacing w:after="0" w:line="260"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API of Vascepa, from a single supplier, Nisshin Pharma, Inc., or Nisshin, located in Japan. Nisshin was approved by the FDA as a Vascepa API supplier as part of our FDA marketing approval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third-party sources of supply.</w:t>
      </w:r>
    </w:p>
    <w:p>
      <w:pPr>
        <w:spacing w:after="0" w:line="192"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While we have contractual freedom to source the API for Vascepa and have entered into supply agreements with multiple suppliers who also rely on other third-party suppliers of the key raw material to manufacture the API for Vascepa, Novasep, Nisshin and Chemport currently supply all of our API for Vascepa. Our strategy in adding API suppliers beyond Nisshin has been to expand manufacturing capacity and to partially mitigate the risk of reliance on any single supplier.</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 compliant with applicable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Plöermel SAS.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8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62"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3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287"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requirements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82"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54"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are unable to comply, we may be subject to regulatory, civil actions or penalties which could significantly and adversely affect our business.</w:t>
      </w:r>
    </w:p>
    <w:p>
      <w:pPr>
        <w:spacing w:after="0" w:line="28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b w:val="1"/>
          <w:bCs w:val="1"/>
          <w:i w:val="1"/>
          <w:iCs w:val="1"/>
          <w:color w:val="auto"/>
        </w:rPr>
        <w:t>We are dependent upon our collaboration with Eddingpharm and others to commercialize Vascepa in certain regions outside of the United States, and if such third parties fail to successfully fulfill their obligations, or are ineffective in their commercialization of Vascepa, or if our collaborations are terminated, our plans to commercialize Vascepa outside of the United States may be adversely affected.</w:t>
      </w:r>
    </w:p>
    <w:p>
      <w:pPr>
        <w:spacing w:after="0" w:line="3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8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Development in this region, as in China, is subject to similar third party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47 patent applications in the United States that have been either issued or allowed and more than 30 additional patent applications are pending in the United States. Such 47 allowed and issued applications include the following:</w:t>
      </w:r>
    </w:p>
    <w:p>
      <w:pPr>
        <w:spacing w:after="0" w:line="52" w:lineRule="exact"/>
        <w:rPr>
          <w:sz w:val="20"/>
          <w:szCs w:val="20"/>
          <w:color w:val="auto"/>
        </w:rPr>
      </w:pPr>
    </w:p>
    <w:p>
      <w:pPr>
        <w:ind w:left="1480" w:right="38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36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58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75" w:lineRule="exact"/>
        <w:rPr>
          <w:rFonts w:ascii="Arial" w:cs="Arial" w:eastAsia="Arial" w:hAnsi="Arial"/>
          <w:sz w:val="18"/>
          <w:szCs w:val="18"/>
          <w:color w:val="auto"/>
        </w:rPr>
      </w:pPr>
    </w:p>
    <w:p>
      <w:pPr>
        <w:ind w:left="1480" w:right="64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75"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8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86"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In January 2016, we issued financial and business guidance, including expected fiscal year 2016 total net revenue, which is based on estimates and the judgment of management. In August 2016, we updated this guidance based on new information. Because of the inherent nature of estimates, there could be significant differences between our estimates and the actual amount of product demand. If, for any reason, we are unable to realize our currently projected 2016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8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62"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July 29, 2015, the plaintiffs filed an amended complaint and we again moved to dismiss. On April 26, 2016, the court granted a second motion to dismiss, again without prejudice, with leave for plaintiffs to file an amended complaint. On May 24, 2016, plaintiffs notified the court they would not file another amended complaint and on May 26, 2016, filed a notice of appeal of the most recent dismissal to the Third Circuit Court of Appeals. We plan a vigorous defense to this appeal.</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4"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 audit by the United States Internal Revenue Service (IRS) for the years 2012 to 2013.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of gross product sales for each of the six months ended June 30, 2016 and 2015 and represented 94% and 96% of the gross accounts receivable balance as of June 30, 2016 and 2015,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We have not yet reached profitability. For the fiscal years ended December 31, 2015, 2014, and 2013, we reported losses of approximately $149.1 million, $56.4 million, and $166.2 million, respectively, and we had an accumulated deficit as of December 31, 2015 of $1.1 billion. For the six months ended June 30, 2016 and 2015, we reported losses of approximately $43.1 million and $94.8 million, respectively and we had an accumulated deficit as of June 30, 2016 of $1.2 billion.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220" w:firstLine="913"/>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0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demand for Vascepa, including due to changes in prescriber sentiment or period-to-period Distributor purchasing habits;</w:t>
      </w:r>
    </w:p>
    <w:p>
      <w:pPr>
        <w:spacing w:after="0" w:line="142" w:lineRule="exact"/>
        <w:rPr>
          <w:rFonts w:ascii="Arial" w:cs="Arial" w:eastAsia="Arial" w:hAnsi="Arial"/>
          <w:sz w:val="17"/>
          <w:szCs w:val="17"/>
          <w:color w:val="auto"/>
        </w:rPr>
      </w:pPr>
    </w:p>
    <w:p>
      <w:pPr>
        <w:ind w:left="1480" w:right="12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80" w:hanging="446"/>
        <w:spacing w:after="0" w:line="308"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ability of Eddingpharm to development and commercialize Vascepa in the China Territory and other territories outside the United States, including obtaining necessary regulatory approvals and establishing marketing channels;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our pending FDA determination on regulatory exclusivity, shareholder litigation, regulatory matters and tax matters;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will likely require substantial additional resources to fund our operations. If we cannot find additional capital resources, we will have difficulty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operating as a going concern and growing our business.</w:t>
      </w:r>
    </w:p>
    <w:p>
      <w:pPr>
        <w:spacing w:after="0" w:line="62"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$72.5 million as of June 30, 2016 will be sufficient to fund our projected operations for at least the next twelve months. Depending on the level of cash generated from operations, additional capital will likely be required to sustain operations. We anticipate that quarterly net cash outflows in future periods will be variable.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30" w:lineRule="exact"/>
        <w:rPr>
          <w:rFonts w:ascii="Arial" w:cs="Arial" w:eastAsia="Arial" w:hAnsi="Arial"/>
          <w:sz w:val="18"/>
          <w:szCs w:val="18"/>
          <w:color w:val="auto"/>
        </w:rPr>
      </w:pPr>
    </w:p>
    <w:p>
      <w:pPr>
        <w:ind w:left="1480" w:right="40" w:hanging="446"/>
        <w:spacing w:after="0" w:line="25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January 2012, we issued $150 million in aggregate principal amount of 3.5% exchangeable senior notes due 2032, or the 2012 Notes, $16.2 million of which was subsequently repaid.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the event of physical settlement, the remaining 2012 Notes and 2014 Notes would be exchangeable into a total of 1,714,270 ADSs and 45,666,925 ADSs, respectively.</w:t>
      </w:r>
    </w:p>
    <w:p>
      <w:pPr>
        <w:spacing w:after="0" w:line="173"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November 2015, we issued $31.3 million in aggregate principal amount of 3.5% exchangeable senior notes due 2032, or the 2015 Notes. In the event of physical settlement, the 2015 Notes would be exchangeable into a total of 12,025,385 ADSs.</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As of August 1, 2016 we had 185,285,763 common shares outstanding including 183,448,877 shares held as ADSs and 1,836,886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6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2014 or 2015. Our status as a PFIC is subject to change in 2016 and future years.</w:t>
      </w:r>
    </w:p>
    <w:p>
      <w:pPr>
        <w:spacing w:after="0" w:line="170"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152"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Our existing indebtedness consists of $165.1 million in aggregate principal amount of 3.5% exchangeable senior notes due 2032, $15.1 million of which relates to the 2012 Notes with a provision for such notes to be put to us by the holders on each of January 19, 2017, January 19, 2022 and January 19, 2027, and $118.7 million of which relates to the 2014 Notes and $31.3 million of which relates to the 2015 Notes, both with a provision for such notes to be put to us by the holders on each of January 19, 2019, January 19, 2024 and January 19, 2029.</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6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hanging="446"/>
        <w:spacing w:after="0" w:line="264"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6" w:lineRule="exact"/>
        <w:rPr>
          <w:rFonts w:ascii="Arial" w:cs="Arial" w:eastAsia="Arial" w:hAnsi="Arial"/>
          <w:sz w:val="18"/>
          <w:szCs w:val="18"/>
          <w:color w:val="auto"/>
        </w:rPr>
      </w:pPr>
    </w:p>
    <w:p>
      <w:pPr>
        <w:ind w:left="1480" w:right="60" w:hanging="446"/>
        <w:spacing w:after="0" w:line="34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480" w:right="14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2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480" w:hanging="446"/>
        <w:spacing w:after="0" w:line="291"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76" w:lineRule="auto"/>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40" w:type="dxa"/>
            <w:vAlign w:val="bottom"/>
            <w:gridSpan w:val="3"/>
          </w:tcPr>
          <w:p>
            <w:pPr>
              <w:ind w:left="300"/>
              <w:spacing w:after="0"/>
              <w:rPr>
                <w:sz w:val="20"/>
                <w:szCs w:val="20"/>
                <w:color w:val="auto"/>
              </w:rPr>
            </w:pPr>
            <w:r>
              <w:rPr>
                <w:rFonts w:ascii="Arial" w:cs="Arial" w:eastAsia="Arial" w:hAnsi="Arial"/>
                <w:sz w:val="18"/>
                <w:szCs w:val="18"/>
                <w:b w:val="1"/>
                <w:bCs w:val="1"/>
                <w:color w:val="auto"/>
                <w:w w:val="98"/>
              </w:rPr>
              <w:t>Unregistered Sales of Equity Securities and Use of Proceeds</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8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Shares purchased in the second quarter of 2016 are as follows:</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440" w:type="dxa"/>
            <w:vAlign w:val="bottom"/>
            <w:gridSpan w:val="3"/>
            <w:vMerge w:val="restart"/>
          </w:tcPr>
          <w:p>
            <w:pPr>
              <w:ind w:left="640"/>
              <w:spacing w:after="0"/>
              <w:rPr>
                <w:sz w:val="20"/>
                <w:szCs w:val="20"/>
                <w:color w:val="auto"/>
              </w:rPr>
            </w:pPr>
            <w:r>
              <w:rPr>
                <w:rFonts w:ascii="Arial" w:cs="Arial" w:eastAsia="Arial" w:hAnsi="Arial"/>
                <w:sz w:val="14"/>
                <w:szCs w:val="14"/>
                <w:i w:val="1"/>
                <w:iCs w:val="1"/>
                <w:color w:val="auto"/>
              </w:rPr>
              <w:t>Period</w:t>
            </w:r>
          </w:p>
        </w:tc>
        <w:tc>
          <w:tcPr>
            <w:tcW w:w="6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4"/>
                <w:szCs w:val="14"/>
                <w:b w:val="1"/>
                <w:bCs w:val="1"/>
                <w:color w:val="auto"/>
              </w:rPr>
              <w:t>Total Number of</w:t>
            </w:r>
          </w:p>
        </w:tc>
        <w:tc>
          <w:tcPr>
            <w:tcW w:w="98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440" w:type="dxa"/>
            <w:vAlign w:val="bottom"/>
            <w:gridSpan w:val="3"/>
            <w:vMerge w:val="continue"/>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2"/>
                <w:szCs w:val="12"/>
                <w:b w:val="1"/>
                <w:bCs w:val="1"/>
                <w:color w:val="auto"/>
              </w:rPr>
              <w:t>(1)</w:t>
            </w:r>
          </w:p>
        </w:tc>
        <w:tc>
          <w:tcPr>
            <w:tcW w:w="2000" w:type="dxa"/>
            <w:vAlign w:val="bottom"/>
            <w:gridSpan w:val="4"/>
          </w:tcPr>
          <w:p>
            <w:pPr>
              <w:ind w:left="980"/>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 30, 2016</w:t>
            </w:r>
          </w:p>
        </w:tc>
        <w:tc>
          <w:tcPr>
            <w:tcW w:w="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May 1 – 31, 2016</w:t>
            </w:r>
          </w:p>
        </w:tc>
        <w:tc>
          <w:tcPr>
            <w:tcW w:w="60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42,604</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440" w:type="dxa"/>
            <w:vAlign w:val="bottom"/>
            <w:gridSpan w:val="3"/>
          </w:tcPr>
          <w:p>
            <w:pPr>
              <w:ind w:left="64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42,604</w:t>
            </w:r>
          </w:p>
        </w:tc>
        <w:tc>
          <w:tcPr>
            <w:tcW w:w="9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Item 6.</w:t>
            </w:r>
          </w:p>
        </w:tc>
        <w:tc>
          <w:tcPr>
            <w:tcW w:w="1042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3"/>
          </w:tcPr>
          <w:p>
            <w:pPr>
              <w:ind w:left="18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0420" w:type="dxa"/>
            <w:vAlign w:val="bottom"/>
            <w:gridSpan w:val="3"/>
            <w:vMerge w:val="restart"/>
          </w:tcPr>
          <w:p>
            <w:pPr>
              <w:ind w:left="5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0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3"/>
              </w:rPr>
              <w:t>Letter Agreement with Mr. Michael Kalb, dated May 9, 2016 (incorporated herein by reference to Exhibit 10.1 to the Company’s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Report on Form 8-K filed June 30, 2016, File No. 000-21392)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Certification of President and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tcPr>
          <w:p>
            <w:pPr>
              <w:ind w:left="488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10360" w:type="dxa"/>
            <w:vAlign w:val="bottom"/>
            <w:gridSpan w:val="3"/>
            <w:vMerge w:val="restart"/>
          </w:tcPr>
          <w:p>
            <w:pPr>
              <w:ind w:left="4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10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500" w:type="dxa"/>
            <w:vAlign w:val="bottom"/>
          </w:tcPr>
          <w:p>
            <w:pPr>
              <w:jc w:val="right"/>
              <w:ind w:right="82"/>
              <w:spacing w:after="0"/>
              <w:rPr>
                <w:sz w:val="20"/>
                <w:szCs w:val="20"/>
                <w:color w:val="auto"/>
              </w:rPr>
            </w:pPr>
            <w:r>
              <w:rPr>
                <w:rFonts w:ascii="Arial" w:cs="Arial" w:eastAsia="Arial" w:hAnsi="Arial"/>
                <w:sz w:val="18"/>
                <w:szCs w:val="18"/>
                <w:color w:val="auto"/>
                <w:w w:val="91"/>
              </w:rPr>
              <w:t>31.2</w:t>
            </w:r>
          </w:p>
        </w:tc>
        <w:tc>
          <w:tcPr>
            <w:tcW w:w="360" w:type="dxa"/>
            <w:vAlign w:val="bottom"/>
          </w:tcPr>
          <w:p>
            <w:pPr>
              <w:spacing w:after="0"/>
              <w:rPr>
                <w:sz w:val="24"/>
                <w:szCs w:val="24"/>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Senior Vice President and Chief Financial Officer (Principal Financial Officer and Principal Accounting Officer) pursuant to</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Section 302 of Sarbanes-Oxley Act of 2002</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ind w:right="82"/>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President and Chief Executive Officer (Principal Executive Officer) and Senior Vice President and Chief Financial Officer</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 and Principal Accounting Officer) pursuant to Section 906 of Sarbanes-Oxley Act of 2002</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101.SCH</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101.PRE</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ind w:left="4600"/>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9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240" w:top="459" w:right="6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August 4, 2016</w:t>
            </w:r>
          </w:p>
        </w:tc>
        <w:tc>
          <w:tcPr>
            <w:tcW w:w="54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/s/  John F. Thero</w:t>
            </w:r>
          </w:p>
        </w:tc>
      </w:tr>
      <w:tr>
        <w:trPr>
          <w:trHeight w:val="195"/>
        </w:trPr>
        <w:tc>
          <w:tcPr>
            <w:tcW w:w="5960" w:type="dxa"/>
            <w:vAlign w:val="bottom"/>
          </w:tcPr>
          <w:p>
            <w:pPr>
              <w:spacing w:after="0"/>
              <w:rPr>
                <w:sz w:val="16"/>
                <w:szCs w:val="16"/>
                <w:color w:val="auto"/>
              </w:rPr>
            </w:pPr>
          </w:p>
        </w:tc>
        <w:tc>
          <w:tcPr>
            <w:tcW w:w="54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5960" w:type="dxa"/>
            <w:vAlign w:val="bottom"/>
          </w:tcPr>
          <w:p>
            <w:pPr>
              <w:spacing w:after="0"/>
              <w:rPr>
                <w:sz w:val="20"/>
                <w:szCs w:val="20"/>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August 4, 2016</w:t>
            </w:r>
          </w:p>
        </w:tc>
        <w:tc>
          <w:tcPr>
            <w:tcW w:w="5480" w:type="dxa"/>
            <w:vAlign w:val="bottom"/>
            <w:gridSpan w:val="2"/>
          </w:tcPr>
          <w:p>
            <w:pPr>
              <w:jc w:val="right"/>
              <w:ind w:right="2100"/>
              <w:spacing w:after="0"/>
              <w:rPr>
                <w:sz w:val="20"/>
                <w:szCs w:val="20"/>
                <w:color w:val="auto"/>
              </w:rPr>
            </w:pPr>
            <w:r>
              <w:rPr>
                <w:rFonts w:ascii="Arial" w:cs="Arial" w:eastAsia="Arial" w:hAnsi="Arial"/>
                <w:sz w:val="18"/>
                <w:szCs w:val="18"/>
                <w:color w:val="auto"/>
              </w:rPr>
              <w:t>/s/  Michael W. Kalb</w:t>
            </w:r>
          </w:p>
        </w:tc>
      </w:tr>
      <w:tr>
        <w:trPr>
          <w:trHeight w:val="195"/>
        </w:trPr>
        <w:tc>
          <w:tcPr>
            <w:tcW w:w="5960" w:type="dxa"/>
            <w:vAlign w:val="bottom"/>
          </w:tcPr>
          <w:p>
            <w:pPr>
              <w:spacing w:after="0"/>
              <w:rPr>
                <w:sz w:val="16"/>
                <w:szCs w:val="16"/>
                <w:color w:val="auto"/>
              </w:rPr>
            </w:pPr>
          </w:p>
        </w:tc>
        <w:tc>
          <w:tcPr>
            <w:tcW w:w="5460" w:type="dxa"/>
            <w:vAlign w:val="bottom"/>
            <w:tcBorders>
              <w:top w:val="single" w:sz="8" w:color="auto"/>
            </w:tcBorders>
          </w:tcPr>
          <w:p>
            <w:pPr>
              <w:jc w:val="right"/>
              <w:ind w:right="1970"/>
              <w:spacing w:after="0" w:line="195" w:lineRule="exact"/>
              <w:rPr>
                <w:sz w:val="20"/>
                <w:szCs w:val="20"/>
                <w:color w:val="auto"/>
              </w:rPr>
            </w:pPr>
            <w:r>
              <w:rPr>
                <w:rFonts w:ascii="Arial" w:cs="Arial" w:eastAsia="Arial" w:hAnsi="Arial"/>
                <w:sz w:val="18"/>
                <w:szCs w:val="18"/>
                <w:color w:val="auto"/>
              </w:rPr>
              <w:t>Michael W. Kalb</w:t>
            </w:r>
          </w:p>
        </w:tc>
        <w:tc>
          <w:tcPr>
            <w:tcW w:w="20" w:type="dxa"/>
            <w:vAlign w:val="bottom"/>
          </w:tcPr>
          <w:p>
            <w:pPr>
              <w:spacing w:after="0"/>
              <w:rPr>
                <w:sz w:val="16"/>
                <w:szCs w:val="16"/>
                <w:color w:val="auto"/>
              </w:rPr>
            </w:pPr>
          </w:p>
        </w:tc>
      </w:tr>
      <w:tr>
        <w:trPr>
          <w:trHeight w:val="216"/>
        </w:trPr>
        <w:tc>
          <w:tcPr>
            <w:tcW w:w="596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960" w:type="dxa"/>
            <w:vAlign w:val="bottom"/>
          </w:tcPr>
          <w:p>
            <w:pPr>
              <w:spacing w:after="0"/>
              <w:rPr>
                <w:sz w:val="20"/>
                <w:szCs w:val="20"/>
                <w:color w:val="auto"/>
              </w:rPr>
            </w:pPr>
          </w:p>
        </w:tc>
        <w:tc>
          <w:tcPr>
            <w:tcW w:w="5480" w:type="dxa"/>
            <w:vAlign w:val="bottom"/>
            <w:gridSpan w:val="2"/>
          </w:tcPr>
          <w:p>
            <w:pPr>
              <w:ind w:left="960"/>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92" w:lineRule="exact"/>
        <w:rPr>
          <w:sz w:val="20"/>
          <w:szCs w:val="20"/>
          <w:color w:val="auto"/>
        </w:rPr>
      </w:pPr>
    </w:p>
    <w:p>
      <w:pPr>
        <w:ind w:left="460" w:right="68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2016,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August 4, 2016</w:t>
            </w:r>
          </w:p>
        </w:tc>
        <w:tc>
          <w:tcPr>
            <w:tcW w:w="53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0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Kalb</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August 4, 2016</w:t>
            </w:r>
          </w:p>
        </w:tc>
        <w:tc>
          <w:tcPr>
            <w:tcW w:w="5360" w:type="dxa"/>
            <w:vAlign w:val="bottom"/>
          </w:tcPr>
          <w:p>
            <w:pPr>
              <w:spacing w:after="0"/>
              <w:rPr>
                <w:sz w:val="20"/>
                <w:szCs w:val="20"/>
                <w:color w:val="auto"/>
              </w:rPr>
            </w:pPr>
            <w:r>
              <w:rPr>
                <w:rFonts w:ascii="Arial" w:cs="Arial" w:eastAsia="Arial" w:hAnsi="Arial"/>
                <w:sz w:val="18"/>
                <w:szCs w:val="18"/>
                <w:color w:val="auto"/>
              </w:rPr>
              <w:t>Michael W. Kalb</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lowerRoman"/>
      <w:start w:val="1"/>
    </w:lvl>
  </w:abstractNum>
  <w:abstractNum w:abstractNumId="5">
    <w:nsid w:val="75A2A8D4"/>
    <w:multiLevelType w:val="hybridMultilevel"/>
    <w:lvl w:ilvl="0">
      <w:lvlJc w:val="left"/>
      <w:lvlText w:val="(%1)"/>
      <w:numFmt w:val="lowerRoman"/>
      <w:start w:val="2"/>
    </w:lvl>
  </w:abstractNum>
  <w:abstractNum w:abstractNumId="6">
    <w:nsid w:val="8EDBDAB"/>
    <w:multiLevelType w:val="hybridMultilevel"/>
    <w:lvl w:ilvl="0">
      <w:lvlJc w:val="left"/>
      <w:lvlText w:val="(%1)"/>
      <w:numFmt w:val="lowerRoman"/>
      <w:start w:val="1"/>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8"/>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decimal"/>
      <w:start w:val="9"/>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3"/>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2019-12-29T10:47:01Z</dcterms:created>
  <dcterms:modified xsi:type="dcterms:W3CDTF">2019-12-29T10:47:01Z</dcterms:modified>
</cp:coreProperties>
</file>