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200"/>
        <w:spacing w:after="0"/>
        <w:tabs>
          <w:tab w:leader="none" w:pos="70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5380" w:type="dxa"/>
            <w:vAlign w:val="bottom"/>
          </w:tcPr>
          <w:p>
            <w:pPr>
              <w:jc w:val="center"/>
              <w:ind w:right="1564"/>
              <w:spacing w:after="0"/>
              <w:rPr>
                <w:sz w:val="20"/>
                <w:szCs w:val="20"/>
                <w:color w:val="auto"/>
              </w:rPr>
            </w:pPr>
            <w:r>
              <w:rPr>
                <w:rFonts w:ascii="Arial" w:cs="Arial" w:eastAsia="Arial" w:hAnsi="Arial"/>
                <w:sz w:val="18"/>
                <w:szCs w:val="18"/>
                <w:b w:val="1"/>
                <w:bCs w:val="1"/>
                <w:color w:val="auto"/>
                <w:w w:val="88"/>
              </w:rPr>
              <w:t>England and Wales</w:t>
            </w:r>
          </w:p>
        </w:tc>
        <w:tc>
          <w:tcPr>
            <w:tcW w:w="2940" w:type="dxa"/>
            <w:vAlign w:val="bottom"/>
          </w:tcPr>
          <w:p>
            <w:pPr>
              <w:jc w:val="center"/>
              <w:ind w:left="1584"/>
              <w:spacing w:after="0"/>
              <w:rPr>
                <w:sz w:val="20"/>
                <w:szCs w:val="20"/>
                <w:color w:val="auto"/>
              </w:rPr>
            </w:pPr>
            <w:r>
              <w:rPr>
                <w:rFonts w:ascii="Arial" w:cs="Arial" w:eastAsia="Arial" w:hAnsi="Arial"/>
                <w:sz w:val="18"/>
                <w:szCs w:val="18"/>
                <w:b w:val="1"/>
                <w:bCs w:val="1"/>
                <w:color w:val="auto"/>
                <w:w w:val="87"/>
              </w:rPr>
              <w:t>Not applicable</w:t>
            </w:r>
          </w:p>
        </w:tc>
      </w:tr>
      <w:tr>
        <w:trPr>
          <w:trHeight w:val="149"/>
        </w:trPr>
        <w:tc>
          <w:tcPr>
            <w:tcW w:w="5380" w:type="dxa"/>
            <w:vAlign w:val="bottom"/>
          </w:tcPr>
          <w:p>
            <w:pPr>
              <w:jc w:val="center"/>
              <w:ind w:right="15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6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80" w:type="dxa"/>
            <w:vAlign w:val="bottom"/>
          </w:tcPr>
          <w:p>
            <w:pPr>
              <w:jc w:val="center"/>
              <w:ind w:right="1564"/>
              <w:spacing w:after="0"/>
              <w:rPr>
                <w:sz w:val="20"/>
                <w:szCs w:val="20"/>
                <w:color w:val="auto"/>
              </w:rPr>
            </w:pPr>
            <w:r>
              <w:rPr>
                <w:rFonts w:ascii="Arial" w:cs="Arial" w:eastAsia="Arial" w:hAnsi="Arial"/>
                <w:sz w:val="14"/>
                <w:szCs w:val="14"/>
                <w:b w:val="1"/>
                <w:bCs w:val="1"/>
                <w:color w:val="auto"/>
                <w:w w:val="89"/>
              </w:rPr>
              <w:t>Incorporation or Organization)</w:t>
            </w:r>
          </w:p>
        </w:tc>
        <w:tc>
          <w:tcPr>
            <w:tcW w:w="29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5380" w:type="dxa"/>
            <w:vAlign w:val="bottom"/>
          </w:tcPr>
          <w:p>
            <w:pPr>
              <w:jc w:val="center"/>
              <w:ind w:right="1584"/>
              <w:spacing w:after="0"/>
              <w:rPr>
                <w:sz w:val="20"/>
                <w:szCs w:val="20"/>
                <w:color w:val="auto"/>
              </w:rPr>
            </w:pPr>
            <w:r>
              <w:rPr>
                <w:rFonts w:ascii="Arial" w:cs="Arial" w:eastAsia="Arial" w:hAnsi="Arial"/>
                <w:sz w:val="18"/>
                <w:szCs w:val="18"/>
                <w:b w:val="1"/>
                <w:bCs w:val="1"/>
                <w:color w:val="auto"/>
                <w:w w:val="87"/>
              </w:rPr>
              <w:t>2 Pembroke House, Upper Pembroke Street 28-32</w:t>
            </w:r>
          </w:p>
        </w:tc>
        <w:tc>
          <w:tcPr>
            <w:tcW w:w="2940" w:type="dxa"/>
            <w:vAlign w:val="bottom"/>
          </w:tcPr>
          <w:p>
            <w:pPr>
              <w:jc w:val="center"/>
              <w:ind w:left="1584"/>
              <w:spacing w:after="0"/>
              <w:rPr>
                <w:sz w:val="20"/>
                <w:szCs w:val="20"/>
                <w:color w:val="auto"/>
              </w:rPr>
            </w:pPr>
            <w:r>
              <w:rPr>
                <w:rFonts w:ascii="Arial" w:cs="Arial" w:eastAsia="Arial" w:hAnsi="Arial"/>
                <w:sz w:val="18"/>
                <w:szCs w:val="18"/>
                <w:b w:val="1"/>
                <w:bCs w:val="1"/>
                <w:color w:val="auto"/>
                <w:w w:val="91"/>
              </w:rPr>
              <w:t>Dublin 2, Ireland</w:t>
            </w:r>
          </w:p>
        </w:tc>
      </w:tr>
      <w:tr>
        <w:trPr>
          <w:trHeight w:val="174"/>
        </w:trPr>
        <w:tc>
          <w:tcPr>
            <w:tcW w:w="5380" w:type="dxa"/>
            <w:vAlign w:val="bottom"/>
          </w:tcPr>
          <w:p>
            <w:pPr>
              <w:jc w:val="center"/>
              <w:ind w:right="15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135,502,062 shares held as American Depository Shares (ADS), each representing one Ordinary Share, 50 pence par value per share, and 315,480 ordinary shares, were outstanding as of November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20" w:type="dxa"/>
            <w:vAlign w:val="bottom"/>
            <w:gridSpan w:val="11"/>
            <w:vMerge w:val="restart"/>
          </w:tcPr>
          <w:p>
            <w:pPr>
              <w:jc w:val="center"/>
              <w:ind w:right="3820"/>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22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w:t>
              </w:r>
            </w:hyperlink>
          </w:p>
        </w:tc>
        <w:tc>
          <w:tcPr>
            <w:tcW w:w="2060" w:type="dxa"/>
            <w:vAlign w:val="bottom"/>
            <w:gridSpan w:val="2"/>
          </w:tcPr>
          <w:p>
            <w:pPr>
              <w:spacing w:after="0"/>
              <w:rPr>
                <w:sz w:val="24"/>
                <w:szCs w:val="24"/>
                <w:color w:val="auto"/>
              </w:rPr>
            </w:pPr>
          </w:p>
        </w:tc>
        <w:tc>
          <w:tcPr>
            <w:tcW w:w="2400" w:type="dxa"/>
            <w:vAlign w:val="bottom"/>
            <w:tcBorders>
              <w:top w:val="single" w:sz="8" w:color="0000EE"/>
            </w:tcBorders>
            <w:gridSpan w:val="5"/>
          </w:tcPr>
          <w:p>
            <w:pPr>
              <w:spacing w:after="0"/>
              <w:rPr>
                <w:sz w:val="24"/>
                <w:szCs w:val="24"/>
                <w:color w:val="auto"/>
              </w:rPr>
            </w:pPr>
          </w:p>
        </w:tc>
        <w:tc>
          <w:tcPr>
            <w:tcW w:w="382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2011 and December 31,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9"/>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Income (Loss) for the three and nine months ended September</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30, 2011 and 2010</w:t>
              </w:r>
            </w:hyperlink>
          </w:p>
        </w:tc>
        <w:tc>
          <w:tcPr>
            <w:tcW w:w="7920" w:type="dxa"/>
            <w:vAlign w:val="bottom"/>
            <w:tcBorders>
              <w:top w:val="single" w:sz="8" w:color="0000EE"/>
            </w:tcBorders>
            <w:gridSpan w:val="13"/>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Changes in Stockholders’ Deficit at September 30, 2011 and 2010</w:t>
              </w:r>
            </w:hyperlink>
          </w:p>
        </w:tc>
        <w:tc>
          <w:tcPr>
            <w:tcW w:w="24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740" w:type="dxa"/>
            <w:vAlign w:val="bottom"/>
            <w:tcBorders>
              <w:top w:val="single" w:sz="8" w:color="0000EE"/>
            </w:tcBorders>
            <w:gridSpan w:val="7"/>
          </w:tcPr>
          <w:p>
            <w:pPr>
              <w:spacing w:after="0"/>
              <w:rPr>
                <w:sz w:val="17"/>
                <w:szCs w:val="17"/>
                <w:color w:val="auto"/>
              </w:rPr>
            </w:pPr>
          </w:p>
        </w:tc>
        <w:tc>
          <w:tcPr>
            <w:tcW w:w="21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5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562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4"/>
              </w:rPr>
            </w:pPr>
            <w:hyperlink w:anchor="page21">
              <w:r>
                <w:rPr>
                  <w:rFonts w:ascii="Arial" w:cs="Arial" w:eastAsia="Arial" w:hAnsi="Arial"/>
                  <w:sz w:val="18"/>
                  <w:szCs w:val="18"/>
                  <w:b w:val="1"/>
                  <w:bCs w:val="1"/>
                  <w:color w:val="0000EE"/>
                  <w:w w:val="94"/>
                </w:rPr>
                <w:t>PART II – Other Information</w:t>
              </w:r>
            </w:hyperlink>
          </w:p>
        </w:tc>
        <w:tc>
          <w:tcPr>
            <w:tcW w:w="390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85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9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560" w:type="dxa"/>
            <w:vAlign w:val="bottom"/>
          </w:tcPr>
          <w:p>
            <w:pPr>
              <w:jc w:val="center"/>
              <w:ind w:left="1592"/>
              <w:spacing w:after="0"/>
              <w:rPr>
                <w:sz w:val="20"/>
                <w:szCs w:val="20"/>
                <w:color w:val="auto"/>
              </w:rPr>
            </w:pPr>
            <w:r>
              <w:rPr>
                <w:rFonts w:ascii="Arial" w:cs="Arial" w:eastAsia="Arial" w:hAnsi="Arial"/>
                <w:sz w:val="18"/>
                <w:szCs w:val="18"/>
                <w:b w:val="1"/>
                <w:bCs w:val="1"/>
                <w:color w:val="auto"/>
                <w:w w:val="99"/>
              </w:rPr>
              <w:t>PART I – FINANCIAL INFORMATION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60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00" w:type="dxa"/>
            <w:vAlign w:val="bottom"/>
            <w:tcBorders>
              <w:bottom w:val="single" w:sz="8" w:color="CCEEFF"/>
            </w:tcBorders>
          </w:tcPr>
          <w:p>
            <w:pPr>
              <w:spacing w:after="0"/>
              <w:rPr>
                <w:sz w:val="14"/>
                <w:szCs w:val="14"/>
                <w:color w:val="auto"/>
              </w:rPr>
            </w:pPr>
          </w:p>
        </w:tc>
        <w:tc>
          <w:tcPr>
            <w:tcW w:w="8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600" w:type="dxa"/>
            <w:vAlign w:val="bottom"/>
            <w:shd w:val="clear" w:color="auto" w:fill="CCEEFF"/>
          </w:tcPr>
          <w:p>
            <w:pPr>
              <w:spacing w:after="0"/>
              <w:rPr>
                <w:sz w:val="17"/>
                <w:szCs w:val="17"/>
                <w:color w:val="auto"/>
              </w:rPr>
            </w:pPr>
          </w:p>
        </w:tc>
        <w:tc>
          <w:tcPr>
            <w:tcW w:w="8560" w:type="dxa"/>
            <w:vAlign w:val="bottom"/>
            <w:shd w:val="clear" w:color="auto" w:fill="CCEEFF"/>
          </w:tcPr>
          <w:p>
            <w:pPr>
              <w:ind w:left="346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31,442</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r>
      <w:tr>
        <w:trPr>
          <w:trHeight w:val="115"/>
        </w:trPr>
        <w:tc>
          <w:tcPr>
            <w:tcW w:w="60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00" w:type="dxa"/>
            <w:vAlign w:val="bottom"/>
            <w:shd w:val="clear" w:color="auto" w:fill="CCEEFF"/>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128,069</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100" w:type="dxa"/>
            <w:vAlign w:val="bottom"/>
            <w:shd w:val="clear" w:color="auto" w:fill="CCEEFF"/>
          </w:tcPr>
          <w:p>
            <w:pPr>
              <w:spacing w:after="0"/>
              <w:rPr>
                <w:sz w:val="18"/>
                <w:szCs w:val="18"/>
                <w:color w:val="auto"/>
              </w:rPr>
            </w:pPr>
          </w:p>
        </w:tc>
      </w:tr>
      <w:tr>
        <w:trPr>
          <w:trHeight w:val="330"/>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7"/>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r>
      <w:tr>
        <w:trPr>
          <w:trHeight w:val="330"/>
        </w:trPr>
        <w:tc>
          <w:tcPr>
            <w:tcW w:w="600" w:type="dxa"/>
            <w:vAlign w:val="bottom"/>
          </w:tcPr>
          <w:p>
            <w:pPr>
              <w:spacing w:after="0"/>
              <w:rPr>
                <w:sz w:val="24"/>
                <w:szCs w:val="24"/>
                <w:color w:val="auto"/>
              </w:rPr>
            </w:pPr>
          </w:p>
        </w:tc>
        <w:tc>
          <w:tcPr>
            <w:tcW w:w="8560" w:type="dxa"/>
            <w:vAlign w:val="bottom"/>
          </w:tcPr>
          <w:p>
            <w:pPr>
              <w:ind w:left="2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131,670</w:t>
            </w:r>
          </w:p>
        </w:tc>
        <w:tc>
          <w:tcPr>
            <w:tcW w:w="5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35,367</w:t>
            </w:r>
          </w:p>
        </w:tc>
      </w:tr>
      <w:tr>
        <w:trPr>
          <w:trHeight w:val="20"/>
        </w:trPr>
        <w:tc>
          <w:tcPr>
            <w:tcW w:w="6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6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0" w:type="dxa"/>
            <w:vAlign w:val="bottom"/>
            <w:shd w:val="clear" w:color="auto" w:fill="CCEEFF"/>
          </w:tcPr>
          <w:p>
            <w:pPr>
              <w:spacing w:after="0"/>
              <w:rPr>
                <w:sz w:val="18"/>
                <w:szCs w:val="18"/>
                <w:color w:val="auto"/>
              </w:rPr>
            </w:pPr>
          </w:p>
        </w:tc>
        <w:tc>
          <w:tcPr>
            <w:tcW w:w="856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r>
      <w:tr>
        <w:trPr>
          <w:trHeight w:val="115"/>
        </w:trPr>
        <w:tc>
          <w:tcPr>
            <w:tcW w:w="60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00" w:type="dxa"/>
            <w:vAlign w:val="bottom"/>
            <w:shd w:val="clear" w:color="auto" w:fill="CCEEFF"/>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7,577</w:t>
            </w: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Warrant derivative liability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230,069</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Lease obligations and other long-term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115"/>
        </w:trPr>
        <w:tc>
          <w:tcPr>
            <w:tcW w:w="60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00" w:type="dxa"/>
            <w:vAlign w:val="bottom"/>
            <w:shd w:val="clear" w:color="auto" w:fill="CCEEFF"/>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237,734</w:t>
            </w:r>
          </w:p>
        </w:tc>
      </w:tr>
      <w:tr>
        <w:trPr>
          <w:trHeight w:val="329"/>
        </w:trPr>
        <w:tc>
          <w:tcPr>
            <w:tcW w:w="9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4)</w:t>
            </w: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160" w:type="dxa"/>
            <w:vAlign w:val="bottom"/>
            <w:gridSpan w:val="2"/>
          </w:tcPr>
          <w:p>
            <w:pPr>
              <w:ind w:left="440"/>
              <w:spacing w:after="0"/>
              <w:rPr>
                <w:sz w:val="20"/>
                <w:szCs w:val="20"/>
                <w:color w:val="auto"/>
              </w:rPr>
            </w:pPr>
            <w:r>
              <w:rPr>
                <w:rFonts w:ascii="Arial" w:cs="Arial" w:eastAsia="Arial" w:hAnsi="Arial"/>
                <w:sz w:val="18"/>
                <w:szCs w:val="18"/>
                <w:color w:val="auto"/>
                <w:w w:val="92"/>
              </w:rPr>
              <w:t>Common stock, £0.50 par, unlimited authorized; 135,780,817 issued, 135,760,738 outstanding at September 30, 2011;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0" w:type="dxa"/>
            <w:vAlign w:val="bottom"/>
          </w:tcPr>
          <w:p>
            <w:pPr>
              <w:spacing w:after="0"/>
              <w:rPr>
                <w:sz w:val="19"/>
                <w:szCs w:val="19"/>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106,856,731 issued, 106,836,652 outstanding at December 31, 2010</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113,280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90,465</w:t>
            </w:r>
          </w:p>
        </w:tc>
      </w:tr>
      <w:tr>
        <w:trPr>
          <w:trHeight w:val="217"/>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206,718</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Treasury stock; 20,079 shares at September 30, 2011 and December 31, 2010</w:t>
            </w: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(586,797)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(499,333)</w:t>
            </w:r>
          </w:p>
        </w:tc>
      </w:tr>
      <w:tr>
        <w:trPr>
          <w:trHeight w:val="20"/>
        </w:trPr>
        <w:tc>
          <w:tcPr>
            <w:tcW w:w="6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00" w:type="dxa"/>
            <w:vAlign w:val="bottom"/>
          </w:tcPr>
          <w:p>
            <w:pPr>
              <w:spacing w:after="0"/>
              <w:rPr>
                <w:sz w:val="24"/>
                <w:szCs w:val="24"/>
                <w:color w:val="auto"/>
              </w:rPr>
            </w:pPr>
          </w:p>
        </w:tc>
        <w:tc>
          <w:tcPr>
            <w:tcW w:w="8560" w:type="dxa"/>
            <w:vAlign w:val="bottom"/>
          </w:tcPr>
          <w:p>
            <w:pPr>
              <w:ind w:left="70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(30,335)</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(202,367)</w:t>
            </w:r>
          </w:p>
        </w:tc>
      </w:tr>
      <w:tr>
        <w:trPr>
          <w:trHeight w:val="116"/>
        </w:trPr>
        <w:tc>
          <w:tcPr>
            <w:tcW w:w="60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00" w:type="dxa"/>
            <w:vAlign w:val="bottom"/>
            <w:shd w:val="clear" w:color="auto" w:fill="CCEEFF"/>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STOCKHOLDERS’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35,367</w:t>
            </w:r>
          </w:p>
        </w:tc>
      </w:tr>
      <w:tr>
        <w:trPr>
          <w:trHeight w:val="20"/>
        </w:trPr>
        <w:tc>
          <w:tcPr>
            <w:tcW w:w="6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4"/>
              </w:rPr>
              <w:t>Three months ended</w:t>
            </w:r>
          </w:p>
        </w:tc>
        <w:tc>
          <w:tcPr>
            <w:tcW w:w="10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right"/>
              <w:ind w:right="74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640" w:type="dxa"/>
            <w:vAlign w:val="bottom"/>
            <w:gridSpan w:val="6"/>
          </w:tcPr>
          <w:p>
            <w:pPr>
              <w:ind w:left="3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Marketing, 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27,770</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(9,446)</w:t>
            </w: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(9,776)</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(31,836)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(27,770)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(53,403)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Interest income,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40" w:type="dxa"/>
            <w:vAlign w:val="bottom"/>
            <w:gridSpan w:val="2"/>
          </w:tcPr>
          <w:p>
            <w:pPr>
              <w:spacing w:after="0"/>
              <w:rPr>
                <w:sz w:val="20"/>
                <w:szCs w:val="20"/>
                <w:color w:val="auto"/>
              </w:rPr>
            </w:pPr>
            <w:r>
              <w:rPr>
                <w:rFonts w:ascii="Arial" w:cs="Arial" w:eastAsia="Arial" w:hAnsi="Arial"/>
                <w:sz w:val="18"/>
                <w:szCs w:val="18"/>
                <w:color w:val="auto"/>
              </w:rPr>
              <w:t>Income (loss) from operations before taxes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97,112</w:t>
            </w: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(11,101)</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(85,112)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(61,635)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40" w:type="dxa"/>
            <w:vAlign w:val="bottom"/>
            <w:gridSpan w:val="2"/>
          </w:tcPr>
          <w:p>
            <w:pPr>
              <w:spacing w:after="0"/>
              <w:rPr>
                <w:sz w:val="20"/>
                <w:szCs w:val="20"/>
                <w:color w:val="auto"/>
              </w:rPr>
            </w:pPr>
            <w:r>
              <w:rPr>
                <w:rFonts w:ascii="Arial" w:cs="Arial" w:eastAsia="Arial" w:hAnsi="Arial"/>
                <w:sz w:val="18"/>
                <w:szCs w:val="18"/>
                <w:color w:val="auto"/>
              </w:rPr>
              <w:t>Net and comprehensive income (loss)</w:t>
            </w:r>
          </w:p>
        </w:tc>
        <w:tc>
          <w:tcPr>
            <w:tcW w:w="18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96,345</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(87,464)</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133,238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100,150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128,377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99,284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155,975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100,150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128,377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99,284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Paid-in</w:t>
            </w:r>
          </w:p>
        </w:tc>
        <w:tc>
          <w:tcPr>
            <w:tcW w:w="3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30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2011</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106,856,731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90,465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$206,718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(217)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$(499,333)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(202,367)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Warrants 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12,855,642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10,263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9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129,458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 issued in January financing</w:t>
            </w:r>
          </w:p>
        </w:tc>
        <w:tc>
          <w:tcPr>
            <w:tcW w:w="940" w:type="dxa"/>
            <w:vAlign w:val="bottom"/>
          </w:tcPr>
          <w:p>
            <w:pPr>
              <w:jc w:val="right"/>
              <w:spacing w:after="0"/>
              <w:rPr>
                <w:sz w:val="20"/>
                <w:szCs w:val="20"/>
                <w:color w:val="auto"/>
              </w:rPr>
            </w:pPr>
            <w:r>
              <w:rPr>
                <w:rFonts w:ascii="Arial" w:cs="Arial" w:eastAsia="Arial" w:hAnsi="Arial"/>
                <w:sz w:val="18"/>
                <w:szCs w:val="18"/>
                <w:color w:val="auto"/>
              </w:rPr>
              <w:t>13,800,000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10,723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87,931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2,255,721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Tax benefits from stock-based compensation</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services</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(87,464)</w:t>
            </w: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At September 30, 2011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1"/>
              </w:rPr>
              <w:t>135,780,817</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113,280</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443,399</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rPr>
              <w:t>(217)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(586,797)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Paid-in</w:t>
            </w:r>
          </w:p>
        </w:tc>
        <w:tc>
          <w:tcPr>
            <w:tcW w:w="3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30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820" w:type="dxa"/>
            <w:vAlign w:val="bottom"/>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7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98,801,982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84,219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$172,339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(217)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$(249,744)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6,597</w:t>
            </w: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2,507,674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1,669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9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31,666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for the period</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(61,777)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September 30, 2010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101,341,322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86,141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180,660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(217)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 xml:space="preserve"> (311,521)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ind w:left="3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(87,464)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Expense for commitment fee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compensation—warrants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Stock issued for services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awards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Loss on changes in fair value of derivative liability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lease liability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(27,863)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(24,338)</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100" w:type="dxa"/>
            <w:vAlign w:val="bottom"/>
          </w:tcPr>
          <w:p>
            <w:pPr>
              <w:ind w:left="420"/>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 term investment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100" w:type="dxa"/>
            <w:vAlign w:val="bottom"/>
          </w:tcPr>
          <w:p>
            <w:pPr>
              <w:ind w:left="420"/>
              <w:spacing w:after="0"/>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123,959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31,442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52,258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125,855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420"/>
              <w:spacing w:after="0"/>
              <w:rPr>
                <w:sz w:val="20"/>
                <w:szCs w:val="20"/>
                <w:color w:val="auto"/>
              </w:rPr>
            </w:pPr>
            <w:r>
              <w:rPr>
                <w:rFonts w:ascii="Arial" w:cs="Arial" w:eastAsia="Arial" w:hAnsi="Arial"/>
                <w:sz w:val="18"/>
                <w:szCs w:val="18"/>
                <w:color w:val="auto"/>
              </w:rPr>
              <w:t>Supplemental disclosure of cash flow information:</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paid during the year for: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Interest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860"/>
              <w:spacing w:after="0"/>
              <w:rPr>
                <w:sz w:val="20"/>
                <w:szCs w:val="20"/>
                <w:color w:val="auto"/>
              </w:rPr>
            </w:pPr>
            <w:r>
              <w:rPr>
                <w:rFonts w:ascii="Arial" w:cs="Arial" w:eastAsia="Arial" w:hAnsi="Arial"/>
                <w:sz w:val="18"/>
                <w:szCs w:val="18"/>
                <w:color w:val="auto"/>
              </w:rPr>
              <w:t>Non-cash transactions:</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129,458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Capital Market (AMRN).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Amarin is a clinical-stage biopharmaceutical company focused on developing improved treatments for cardiovascular disease. The Company is currently focusing its efforts on AMR101 (icosapent ethyl), a prescription-only omega-3 fatty acid, comprising not less than 96% ultra pure icosapent ethyl (ethyl-EPA).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accompanying unaudited condensed consolidated financial statements of the Company and subsidiaries are unaudited and have been prepared on a basis that assumes that the Company will continue as a going concern, which contemplates the realization of assets and the satisfaction of liabilities and commitments in the normal course of business. Certain information and footnote disclosures normally included in financial statements prepared in accordance with accounting principles generally accepted in the United States (“U.S. GAAP”) have been condensed or omitted pursuant to the rules and regulations of the U.S. Securities and Exchange Commission. These financial statements should be read in conjunction with the audited financial statements and notes included in the Company’s Annual Report on Form 10-K for the year ended December 31, 2010. The Company’s current focus is on the development and commercialization of AMR101, which is still under development and not available for sale. However, the Company is not considered a development stage business, as the release and sale of the previous product represented the exit of the Company from the development stage.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and accompanying condensed consolidated financial statements are unaudited. The information furnished reflects all adjustments, which, in the opinion of management, are necessary for a fair presentation of results for the interim periods. Such adjustments consisted only of normal recurring items. The interim periods are not necessarily indicative of the results expected for the full year or any future period.</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preparation of these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net sales and expenses during the reporting period. Actual results could differ from those estimates.</w:t>
      </w:r>
    </w:p>
    <w:p>
      <w:pPr>
        <w:spacing w:after="0" w:line="107"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At September 30, 2011, the Company had cash and cash equivalents of $125.9 million. The Company’s consolidated balance sheet also includes a significant derivative liability (see footnote 3—warrants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98"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In January 2011, the Company completed an offering of 13.8 million American Depository Shares (ADSs), with each ADS representing one share of the Company’s common stock. The shares were sold at a price of $7.60 per share, and resulted in net proceeds of $98.7 million.</w:t>
      </w:r>
    </w:p>
    <w:p>
      <w:pPr>
        <w:spacing w:after="0" w:line="8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believes its cash will be sufficient to fund its projected operations for the next twelve months which contemplates not only working capital and general corporate needs but also commercial preparation of AMR101 and the initiation of a clinical outcomes study. This is based on management’s current operational plans and does not assume any cash inflows from strategic collaborations, warrant exercises or from equity or debt financings which may occur in future periods.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Unless the Company enters into a strategic collaboration to provide additional capital in connection with the launch, marketing and sale of AMR101, the Company will need to raise additional funds on its own to support these efforts. Additional financing may not be available when the Company needs it or may not be available on terms that are favorable to it. If adequate funds are not available to the Company on a timely basis, or at all, the Company may be required to delay the establishment of sales and marketing capabilities or terminate or delay the clinical outcomes study.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Marketing, General and Administrative Costs</w:t>
      </w:r>
    </w:p>
    <w:p>
      <w:pPr>
        <w:spacing w:after="0" w:line="9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Warrant related expense from non-cash changes in fair value of the warrant derivative liability associated with warrants issued in October 2009 to former employees of Amarin is recorded as compensation expense and classified as part of marketing, general and administrative costs, net of warrants exercised.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Income (Loss) per Share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Basic net income (loss) per share is determined by dividing net income (loss) by the weighted average shares of common stock outstanding during the period. Diluted net income (loss) per share is determined by dividing net income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 dilutive such that basic net loss per share and diluted net loss per share are equal.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both basic and diluted net income (loss)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(87,464)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(61,777)</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133,238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100,150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128,377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99,284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warrants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52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155,975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100,150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128,377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99,284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Potentially dilutive securities representing approximately 3.2 million and 51.0 million shares of common stock for the three month periods ended September 30, 2011 and September 30, 2010, respectively, and approximately 31.9 million and 51.0 million shares of common stock for the nine months ended September 30, 2011 and September 30, 2010, respectively were excluded from the computation of diluted earnings per share for these periods because their effect would have been anti-dilutive.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terms of warrants that initially require the warrants to be classified as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net in the consolidated financial statements of operations. For transactions settled during the period, gains and losses are included in other income, net in the consolidated statements of operations. Foreign exchange gains (and losses) have not been significant in the periods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following table presents information about the Company’s liability as of September 30, 2011 and December 31, 2010 that is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September 30, 2011</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vMerge w:val="continue"/>
          </w:tcPr>
          <w:p>
            <w:pPr>
              <w:spacing w:after="0"/>
              <w:rPr>
                <w:sz w:val="12"/>
                <w:szCs w:val="12"/>
                <w:color w:val="auto"/>
              </w:rPr>
            </w:pPr>
          </w:p>
        </w:tc>
        <w:tc>
          <w:tcPr>
            <w:tcW w:w="10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79"/>
              </w:rPr>
              <w:t>Level 1</w:t>
            </w:r>
          </w:p>
        </w:tc>
        <w:tc>
          <w:tcPr>
            <w:tcW w:w="4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4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Liability:</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155,018</w:t>
            </w:r>
          </w:p>
        </w:tc>
        <w:tc>
          <w:tcPr>
            <w:tcW w:w="4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center"/>
              <w:ind w:left="3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December 31, 2010</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40" w:type="dxa"/>
            <w:vAlign w:val="bottom"/>
            <w:vMerge w:val="continue"/>
          </w:tcPr>
          <w:p>
            <w:pPr>
              <w:spacing w:after="0"/>
              <w:rPr>
                <w:sz w:val="12"/>
                <w:szCs w:val="12"/>
                <w:color w:val="auto"/>
              </w:rPr>
            </w:pPr>
          </w:p>
        </w:tc>
        <w:tc>
          <w:tcPr>
            <w:tcW w:w="10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79"/>
              </w:rPr>
              <w:t>Level 1</w:t>
            </w:r>
          </w:p>
        </w:tc>
        <w:tc>
          <w:tcPr>
            <w:tcW w:w="4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4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Liability:</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230,069</w:t>
            </w:r>
          </w:p>
        </w:tc>
        <w:tc>
          <w:tcPr>
            <w:tcW w:w="4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 —</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center"/>
              <w:ind w:left="3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December 31, 2010, the fair value of the warrant derivative liability was determined to be $230.1 million using the Black-Scholes option valuation model applying the following assumptions: (i) risk-free rate of 1.52%, (ii) remaining term of 3.8 years, (iii) no dividend yield (iv) volatility of 117%, and (v) the stock price on the date of measurement.</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September 30, 2011, the fair value of the warrant derivative liability was determined to be $155.0 million using the Black-Scholes option valuation model applying the following assumptions: (i) risk-free rate of 0.42%, (ii) remaining term of 3.0 years, (iii) no dividend yield, (iv) volatility of 118%, and (v) the stock price on the date of measurement. The $75.1 million decrease in the fair value of the warrant liability during the nine months ended September 30, 2011 was recognized as: (i) a $129.5 million transfer from warrant liability to additional paid-in capital for the fair value of warrants exercised during the nine months ended September 30, 2011, (ii) a $53.4 million loss on the change in fair value of the remaining derivative liability and (iii) $1.0 million in compensation expense for the change in fair value of warrants issued to former employees. The change in the fair value of the warrant derivative liability is as follows (in thousands):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2010 &amp; December 31, 2009</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72,422</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 expense for change in fair value of warrants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to former employees</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Transfers to equity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(2,685)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71,143</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2011 &amp; December 31, 2010</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285,984</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(106,614)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 (income) expense for change in fair value of</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 issued to former employees</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(3,352)</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Transfers to equity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(21,000)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(129,458)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2011</w:t>
            </w:r>
          </w:p>
        </w:tc>
        <w:tc>
          <w:tcPr>
            <w:tcW w:w="72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155,018</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three and nine months ended September 30, 2011 and 2010,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Liability</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 has 21,139,090 warrants to purchase common shares outstanding at September 30, 2011 at a weighted-average exercise price of $1.48,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Issue Date</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040" w:type="dxa"/>
            <w:vAlign w:val="bottom"/>
          </w:tcPr>
          <w:p>
            <w:pPr>
              <w:spacing w:after="0"/>
              <w:rPr>
                <w:sz w:val="14"/>
                <w:szCs w:val="14"/>
                <w:color w:val="auto"/>
              </w:rPr>
            </w:pPr>
          </w:p>
        </w:tc>
        <w:tc>
          <w:tcPr>
            <w:tcW w:w="2900" w:type="dxa"/>
            <w:vAlign w:val="bottom"/>
            <w:gridSpan w:val="3"/>
          </w:tcPr>
          <w:p>
            <w:pPr>
              <w:jc w:val="right"/>
              <w:ind w:right="2080"/>
              <w:spacing w:after="0"/>
              <w:rPr>
                <w:sz w:val="20"/>
                <w:szCs w:val="20"/>
                <w:color w:val="auto"/>
              </w:rPr>
            </w:pPr>
            <w:r>
              <w:rPr>
                <w:rFonts w:ascii="Arial" w:cs="Arial" w:eastAsia="Arial" w:hAnsi="Arial"/>
                <w:sz w:val="14"/>
                <w:szCs w:val="14"/>
                <w:b w:val="1"/>
                <w:bCs w:val="1"/>
                <w:color w:val="auto"/>
                <w:w w:val="83"/>
              </w:rPr>
              <w:t>Exercise Price</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Expiration Date</w:t>
            </w:r>
          </w:p>
        </w:tc>
      </w:tr>
      <w:tr>
        <w:trPr>
          <w:trHeight w:val="210"/>
        </w:trPr>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20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0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gridSpan w:val="2"/>
          </w:tcPr>
          <w:p>
            <w:pPr>
              <w:jc w:val="right"/>
              <w:ind w:right="2040"/>
              <w:spacing w:after="0"/>
              <w:rPr>
                <w:sz w:val="20"/>
                <w:szCs w:val="20"/>
                <w:color w:val="auto"/>
              </w:rPr>
            </w:pPr>
            <w:r>
              <w:rPr>
                <w:rFonts w:ascii="Arial" w:cs="Arial" w:eastAsia="Arial" w:hAnsi="Arial"/>
                <w:sz w:val="18"/>
                <w:szCs w:val="18"/>
                <w:color w:val="auto"/>
              </w:rPr>
              <w:t>6/1/07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55,737</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2"/>
          </w:tcPr>
          <w:p>
            <w:pPr>
              <w:jc w:val="right"/>
              <w:ind w:right="2080"/>
              <w:spacing w:after="0"/>
              <w:rPr>
                <w:sz w:val="20"/>
                <w:szCs w:val="20"/>
                <w:color w:val="auto"/>
              </w:rPr>
            </w:pPr>
            <w:r>
              <w:rPr>
                <w:rFonts w:ascii="Arial" w:cs="Arial" w:eastAsia="Arial" w:hAnsi="Arial"/>
                <w:sz w:val="18"/>
                <w:szCs w:val="18"/>
                <w:color w:val="auto"/>
              </w:rPr>
              <w:t>7.20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5/31/12</w:t>
            </w:r>
          </w:p>
        </w:tc>
      </w:tr>
      <w:tr>
        <w:trPr>
          <w:trHeight w:val="216"/>
        </w:trPr>
        <w:tc>
          <w:tcPr>
            <w:tcW w:w="2740" w:type="dxa"/>
            <w:vAlign w:val="bottom"/>
            <w:gridSpan w:val="2"/>
            <w:shd w:val="clear" w:color="auto" w:fill="CCEEFF"/>
          </w:tcPr>
          <w:p>
            <w:pPr>
              <w:jc w:val="right"/>
              <w:ind w:right="2040"/>
              <w:spacing w:after="0"/>
              <w:rPr>
                <w:sz w:val="20"/>
                <w:szCs w:val="20"/>
                <w:color w:val="auto"/>
              </w:rPr>
            </w:pPr>
            <w:r>
              <w:rPr>
                <w:rFonts w:ascii="Arial" w:cs="Arial" w:eastAsia="Arial" w:hAnsi="Arial"/>
                <w:sz w:val="18"/>
                <w:szCs w:val="18"/>
                <w:color w:val="auto"/>
              </w:rPr>
              <w:t>12/5/07</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539,027</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080"/>
              <w:spacing w:after="0"/>
              <w:rPr>
                <w:sz w:val="20"/>
                <w:szCs w:val="20"/>
                <w:color w:val="auto"/>
              </w:rPr>
            </w:pPr>
            <w:r>
              <w:rPr>
                <w:rFonts w:ascii="Arial" w:cs="Arial" w:eastAsia="Arial" w:hAnsi="Arial"/>
                <w:sz w:val="18"/>
                <w:szCs w:val="18"/>
                <w:color w:val="auto"/>
              </w:rPr>
              <w:t>1.17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w:t>
            </w:r>
          </w:p>
        </w:tc>
      </w:tr>
      <w:tr>
        <w:trPr>
          <w:trHeight w:val="216"/>
        </w:trPr>
        <w:tc>
          <w:tcPr>
            <w:tcW w:w="2740" w:type="dxa"/>
            <w:vAlign w:val="bottom"/>
            <w:gridSpan w:val="2"/>
          </w:tcPr>
          <w:p>
            <w:pPr>
              <w:jc w:val="right"/>
              <w:ind w:right="2040"/>
              <w:spacing w:after="0"/>
              <w:rPr>
                <w:sz w:val="20"/>
                <w:szCs w:val="20"/>
                <w:color w:val="auto"/>
              </w:rPr>
            </w:pPr>
            <w:r>
              <w:rPr>
                <w:rFonts w:ascii="Arial" w:cs="Arial" w:eastAsia="Arial" w:hAnsi="Arial"/>
                <w:sz w:val="18"/>
                <w:szCs w:val="18"/>
                <w:color w:val="auto"/>
              </w:rPr>
              <w:t>7/31/09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138,888</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2"/>
          </w:tcPr>
          <w:p>
            <w:pPr>
              <w:jc w:val="right"/>
              <w:ind w:right="208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2740" w:type="dxa"/>
            <w:vAlign w:val="bottom"/>
            <w:gridSpan w:val="2"/>
            <w:shd w:val="clear" w:color="auto" w:fill="CCEEFF"/>
          </w:tcPr>
          <w:p>
            <w:pPr>
              <w:jc w:val="right"/>
              <w:ind w:right="2040"/>
              <w:spacing w:after="0"/>
              <w:rPr>
                <w:sz w:val="20"/>
                <w:szCs w:val="20"/>
                <w:color w:val="auto"/>
              </w:rPr>
            </w:pPr>
            <w:r>
              <w:rPr>
                <w:rFonts w:ascii="Arial" w:cs="Arial" w:eastAsia="Arial" w:hAnsi="Arial"/>
                <w:sz w:val="18"/>
                <w:szCs w:val="18"/>
                <w:color w:val="auto"/>
              </w:rPr>
              <w:t>7/31/09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1,666,000</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2740" w:type="dxa"/>
            <w:vAlign w:val="bottom"/>
            <w:gridSpan w:val="2"/>
          </w:tcPr>
          <w:p>
            <w:pPr>
              <w:jc w:val="right"/>
              <w:ind w:right="2040"/>
              <w:spacing w:after="0"/>
              <w:rPr>
                <w:sz w:val="20"/>
                <w:szCs w:val="20"/>
                <w:color w:val="auto"/>
              </w:rPr>
            </w:pPr>
            <w:r>
              <w:rPr>
                <w:rFonts w:ascii="Arial" w:cs="Arial" w:eastAsia="Arial" w:hAnsi="Arial"/>
                <w:sz w:val="18"/>
                <w:szCs w:val="18"/>
                <w:color w:val="auto"/>
                <w:w w:val="96"/>
              </w:rPr>
              <w:t>10/16/09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18,074,888</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2"/>
          </w:tcPr>
          <w:p>
            <w:pPr>
              <w:jc w:val="right"/>
              <w:ind w:right="2080"/>
              <w:spacing w:after="0"/>
              <w:rPr>
                <w:sz w:val="20"/>
                <w:szCs w:val="20"/>
                <w:color w:val="auto"/>
              </w:rPr>
            </w:pPr>
            <w:r>
              <w:rPr>
                <w:rFonts w:ascii="Arial" w:cs="Arial" w:eastAsia="Arial" w:hAnsi="Arial"/>
                <w:sz w:val="18"/>
                <w:szCs w:val="18"/>
                <w:color w:val="auto"/>
              </w:rPr>
              <w:t>1.50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2740" w:type="dxa"/>
            <w:vAlign w:val="bottom"/>
            <w:gridSpan w:val="2"/>
            <w:shd w:val="clear" w:color="auto" w:fill="CCEEFF"/>
          </w:tcPr>
          <w:p>
            <w:pPr>
              <w:jc w:val="right"/>
              <w:ind w:right="2040"/>
              <w:spacing w:after="0"/>
              <w:rPr>
                <w:sz w:val="20"/>
                <w:szCs w:val="20"/>
                <w:color w:val="auto"/>
              </w:rPr>
            </w:pPr>
            <w:r>
              <w:rPr>
                <w:rFonts w:ascii="Arial" w:cs="Arial" w:eastAsia="Arial" w:hAnsi="Arial"/>
                <w:sz w:val="18"/>
                <w:szCs w:val="18"/>
                <w:color w:val="auto"/>
                <w:w w:val="96"/>
              </w:rPr>
              <w:t>10/16/09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647,050</w:t>
            </w:r>
          </w:p>
        </w:tc>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080"/>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20"/>
        </w:trPr>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21,139,090</w:t>
            </w:r>
          </w:p>
        </w:tc>
        <w:tc>
          <w:tcPr>
            <w:tcW w:w="2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8"/>
                <w:szCs w:val="18"/>
                <w:b w:val="1"/>
                <w:bCs w:val="1"/>
                <w:color w:val="auto"/>
                <w:w w:val="79"/>
              </w:rPr>
              <w:t>$</w:t>
            </w:r>
          </w:p>
        </w:tc>
        <w:tc>
          <w:tcPr>
            <w:tcW w:w="2640" w:type="dxa"/>
            <w:vAlign w:val="bottom"/>
            <w:gridSpan w:val="2"/>
          </w:tcPr>
          <w:p>
            <w:pPr>
              <w:jc w:val="right"/>
              <w:ind w:right="2080"/>
              <w:spacing w:after="0"/>
              <w:rPr>
                <w:sz w:val="20"/>
                <w:szCs w:val="20"/>
                <w:color w:val="auto"/>
              </w:rPr>
            </w:pPr>
            <w:r>
              <w:rPr>
                <w:rFonts w:ascii="Arial" w:cs="Arial" w:eastAsia="Arial" w:hAnsi="Arial"/>
                <w:sz w:val="18"/>
                <w:szCs w:val="18"/>
                <w:b w:val="1"/>
                <w:bCs w:val="1"/>
                <w:color w:val="auto"/>
              </w:rPr>
              <w:t>1.48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w:t>
      </w:r>
    </w:p>
    <w:p>
      <w:pPr>
        <w:sectPr>
          <w:pgSz w:w="11900" w:h="16838" w:orient="portrait"/>
          <w:cols w:equalWidth="0" w:num="1">
            <w:col w:w="11380"/>
          </w:cols>
          <w:pgMar w:left="240" w:top="459" w:right="27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4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warrants issued in connection with the October 2009 financing contained a pricing variability feature which provided for an increase to the exercise price if the exchange rate between the U.S. dollar and British pound adjusts such that the warrants could be issued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fair value of this warrant derivative liability is remeasured at each reporting period, with changes in fair value recognized in the statement of operations. The fair value of the warrants at December 31, 2010 was determined to be approximately $230.1 million using the Black-Scholes option pricing model.</w:t>
      </w:r>
    </w:p>
    <w:p>
      <w:pPr>
        <w:spacing w:after="0" w:line="118"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Although the warrants contain a pricing variability feature, the number of warrants issuable remains fixed. Therefore, as of September 30, 2011 the maximum number of common shares issuable as a result of the October 2009 private placement is 18.7 million. During the three and nine months ended September 30, 2011, approximately 2.5 million and 12.1 million of the October 2009 warrants were exercised, respectively, resulting in gross proceeds to the Company of approximately $3.8 million and $18.1 million, respectively. During the three and nine months ended September 30, 2010, approximately 1.3 million and</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2.2 million warrants were exercised, respectively, resulting in gross proceeds of the Company of approximately $1.9 million and $3.3 million, respectively. Upon exercise, the fair value of the warrants exercised is remeasured and reclassified from warrant liability to additional paid-in capital. During the nine months ended September 30, 2011, $129.5 million of fair value for the exercised warrants was transferred from warrant liability to additional paid in capital, with the change in the fair value on the exercise date recognized in the statement of operations. The fair value of the warrant liability at September 30, 2011 for the remaining warrants was determined to be approximately $155.0 million. The Company recognized a loss on change in fair value of derivative liability of $53.4 million and compensation expense of $1.0 million for the nine month period ended September 30, 2011.</w:t>
      </w:r>
    </w:p>
    <w:p>
      <w:pPr>
        <w:spacing w:after="0" w:line="234" w:lineRule="exact"/>
        <w:rPr>
          <w:sz w:val="20"/>
          <w:szCs w:val="20"/>
          <w:color w:val="auto"/>
        </w:rPr>
      </w:pPr>
    </w:p>
    <w:p>
      <w:pPr>
        <w:ind w:left="240" w:right="8440" w:hanging="232"/>
        <w:spacing w:after="0" w:line="347"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The Company is, from time to time, subject to legal proceedings, claims, and litigation arising in the normal course of business. At September 30, 2011, there were no asserted claims against the Company which, in the opinion of management, would have a material effect on the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12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2010 supply agreement with the Company’s existing Japan-based supplier: (i) a one-time non-refundable payment of $0.5 million is due to the supplier upon the first marketing approval of AMR101 in the United States (ii) the Company is subject to minimum supply purchase commitments; and (iii) if the Company is not successful in obtaining NDA approval for AMR101, a penalty equal to the facility expansion costs incurred by the supplier to meet the supply demands, not to exceed $5.0 million, less any profits paid to the supplier for purchased materials under the existing agreement;</w:t>
      </w:r>
    </w:p>
    <w:p>
      <w:pPr>
        <w:spacing w:after="0" w:line="61"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signed agreements in the second quarter of 2011 for the supply of materials for AMR101 with two new API suppliers, Equateq and Chemport. These agreements provide access to additional API supply that is incremental to supply from its existing Japan-based API supplier. These agreements include requirements for the suppliers to qualify their materials and facilities. The Company anticipates incurring certain costs associated with the qualification of product produced by these suppliers. Following FDA approvals of AMR101, both agreements include annual purchase levels to enable Amarin to maintain exclusivity with each respective supplier, and to prevent potential termination of the agreements. Because the Company has not yet obtained FDA approval for AMR101, no liability has been recorded. The 2011 supply agreement with Equateq also includes</w:t>
      </w:r>
    </w:p>
    <w:p>
      <w:pPr>
        <w:ind w:left="900" w:right="20"/>
        <w:spacing w:after="0" w:line="292" w:lineRule="auto"/>
        <w:rPr>
          <w:rFonts w:ascii="Arial" w:cs="Arial" w:eastAsia="Arial" w:hAnsi="Arial"/>
          <w:sz w:val="15"/>
          <w:szCs w:val="15"/>
          <w:color w:val="auto"/>
        </w:rPr>
      </w:pPr>
      <w:r>
        <w:rPr>
          <w:rFonts w:ascii="Arial" w:cs="Arial" w:eastAsia="Arial" w:hAnsi="Arial"/>
          <w:sz w:val="16"/>
          <w:szCs w:val="16"/>
          <w:color w:val="auto"/>
        </w:rPr>
        <w:t>(i) a one-time commitment fee of $1.0 million, (ii) development fees up to a maximum of $0.5 million, and (iii) material commitments of up to $5.0 million for initial raw materials, which will be credited against future API purchases, and is refundable to Amarin if Equateq fails to successfully develop and qualify the API by a certain date. The $1.0 million commitment fee paid to Equateq in May 2011 is refundable if Equateq fails to satisfy certain capital sufficiency requirements. The 2011 supply agreement with Chemport includes, prior to a marketing approval, a raw material purchase commitment of $1.1 million. No payments have been made under this agreement as of September 30, 2011;</w:t>
      </w:r>
    </w:p>
    <w:p>
      <w:pPr>
        <w:spacing w:after="0" w:line="35" w:lineRule="exact"/>
        <w:rPr>
          <w:rFonts w:ascii="Arial" w:cs="Arial" w:eastAsia="Arial" w:hAnsi="Arial"/>
          <w:sz w:val="15"/>
          <w:szCs w:val="15"/>
          <w:color w:val="auto"/>
        </w:rPr>
      </w:pPr>
    </w:p>
    <w:p>
      <w:pPr>
        <w:jc w:val="both"/>
        <w:ind w:left="900" w:right="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Concurrent with the agreement with Chemport for commercial supply, Amarin agreed to make a minority share equity investment in Chemport of up to $3.3 million. In July 2011, the Company paid to Chemport $1.7 million under this agreement, which has been included in other long term assets at September 30, 2011.</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2009 Lorazepam sale agreement with Elan, whereunder Elan did not assume any obligations under a related Neurostat development agreement and, as a result, Amarin retained a potential obligation to make two milestone payments to Neurostat, contingent upon future events: (i) a $0.2 million payment if the drug is administered to human subjects by Elan and (ii) a $0.2 million payment if the drug is tested by Elan in an efficacy study. During the third quarter of 2011, the Company was notified that the first milestone was completed. The milestone payable of $0.2 million has been included in accounts payable at September 30, 2011, and was paid in October 2011.</w:t>
      </w:r>
    </w:p>
    <w:p>
      <w:pPr>
        <w:sectPr>
          <w:pgSz w:w="11900" w:h="16838" w:orient="portrait"/>
          <w:cols w:equalWidth="0" w:num="1">
            <w:col w:w="11380"/>
          </w:cols>
          <w:pgMar w:left="240" w:top="459" w:right="279" w:bottom="1440" w:gutter="0" w:footer="0" w:header="0"/>
        </w:sectPr>
      </w:pP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45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2004 share repurchase agreement with Laxdale Limited, in connection with commercialization of AMR101 for cardiovascular indications, prior to the end of 2012 the Company is required to pay potential royalties to a former employee of Laxdale of 1% on net sales up to £100 million (approximately $156 million at September 30, 2011); 0.5% for net sales between £100 million (approximately $156 million at September 30, 2011) and £500 million (approximately $781 million at September 30, 2011); and 0.25% for sales in excess of £500 million (approximately $781 million at September 30, 2011).</w:t>
      </w:r>
    </w:p>
    <w:p>
      <w:pPr>
        <w:spacing w:after="0" w:line="6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under this same agreement with Laxdale Limited, upon receipt of marketing approval in the U.S. and/or Europe for the first indication for AMR101 (or first indication of any product containing Amarin Neuroscience intellectual property acquired from Laxdale Limited in 2004), the Company must make an aggregate stock or cash payment to the former shareholders of Laxdale Limited (at the sole option of each of the sellers) of £7.5 million (approximately $11.7 million at September 30, 2011) for each of the two potential marketing approvals (i.e. £15 million maximum, or approximately $23.4 million at September 30, 2011).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 million (approximately $7.8 million at September 30, 2011) for each of the two potential market approvals (i.e. £10 million maximum, or approximately $15.6 million at September 30, 2011).</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Other than $0.2 million for the Neurostat milestone payable to Neurostat noted above, the Company has no provision for any of the obligations noted above since the amounts are either not probable or estimable at September 30, 2011.</w:t>
      </w:r>
    </w:p>
    <w:p>
      <w:pPr>
        <w:spacing w:after="0" w:line="248" w:lineRule="exact"/>
        <w:rPr>
          <w:sz w:val="20"/>
          <w:szCs w:val="20"/>
          <w:color w:val="auto"/>
        </w:rPr>
      </w:pPr>
    </w:p>
    <w:p>
      <w:pPr>
        <w:ind w:left="240" w:right="10120" w:hanging="232"/>
        <w:spacing w:after="0" w:line="417" w:lineRule="auto"/>
        <w:tabs>
          <w:tab w:leader="none" w:pos="458"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proceeds of $98.7 million, net of $6.2 million in transaction costs.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and nine months ended September 30, 2011, the Company issued 91,074 and 2,255,721 shares, respectively, as a result of the exercise of stock options, resulting in net proceeds of $0.1 million and $5.1 million, respectively. In addition, during the three and nine months ended September 30, 2011, the Company issued 2,525,000 and 12,855,642 shares, respectively, as a result of the exercise of warrants, resulting in net proceeds of $3.7 million and $18.7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2010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We are a clinical-stage biopharmaceutical company focused on developing improved treatments for cardiovascular disease. We are currently focusing our efforts on AMR101, a semi-synthetic omega-3 fatty acid, comprising not less than 96% ultra pure icosapent ethyl (ethyl-EPA). On October 16, 2009, we completed a private placement resulting in gross proceeds of $70.0 million. These proceeds were used primarily to fund the MARINE and ANCHOR studies for AMR101. In connection with this private placement, a significant portion of our board of directors and executive management were changed, and our research and development activities, as well as certain executive functions, were consolidated in the United States. In connection with these changes, we re-focused our efforts on developing improved treatments for cardiovascular disease and ceased development of all product candidates outside of our cardiovascular disease focus.</w:t>
      </w:r>
    </w:p>
    <w:p>
      <w:pPr>
        <w:spacing w:after="0" w:line="10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November 2010, we reported positive top-line results from the MARINE trial, the first to complete of our two concurrently run Phase 3 clinical trials of AMR101. In the MARINE trial, AMR101 was investigated as a treatment for patients with very high triglycerides ( ³ 500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mg/dL). The MARINE trial was a multi-center, placebo-controlled, randomized, double-blind, 12-week pivotal study to evaluate the efficacy and safety of 2 grams and 4 grams of AMR101 in 229 patients with fasting triglyceride levels ³ 500 mg/dL. Patients with this level of triglycerides are characterized as having very high triglyceride levels, as outlined in the National Cholesterol Education Program (NCEP) Expert Panel (Adult Treatment Panel III, 2002), or the NCEP Guidelines. The primary endpoint in the trial was the percentage change in triglyceride level from baseline compared to placebo after 12 weeks of treatment. Reported top-line results of this study included announcement that AMR101 met the primary endpoint at both the 4 gram and 2 gram doses. In addition to achieving the primary endpoint of the trial, no statistically significant increase in low-density lipoprotein cholesterol, or LDL-C, was observed in this trial at either dose. Additionally, we observed in the trial a safety profile for AMR101 similar to placebo.</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Patients enrolled in the MARINE trial were given the option to be treated with AMR101 for a period of up to 40-weeks after their last dose in the pivotal trial.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results from this 40-week open label non-placebo controlled extension period are not part of the MARINE trial primary endpoints.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2011, we reported positive top-line results from the ANCHOR trial, the second of our two Phase 3 clinical trials of AMR101. In the ANCHOR trial, AMR101 was investigated as a treatment for patients with high triglycerides ( ³ 200 and &lt;500 mg/dL) who are also receiving statin therapy. The ANCHOR trial was a multi-center, placebo-controlled, randomized, double-blind, 12-week pivotal study to evaluate the efficacy and safety of 2 grams and 4 grams of AMR101 in 702 patients with high triglycerides who were on optimized statin therapy. Patients in this trial are characterized as having high triglyceride levels, as outlined in the NCEP Guidelines, with mixed dyslipidemia (two or more lipid disorders). The primary endpoint in the trial was the percentage change in triglyceride level from baseline compared to placebo after 12 weeks of treatment. No prescription omega-3 based drug is currently approved in the U.S. for treating high triglyceride levels in statin-treated patients who have mixed dyslipidemia. Reported top-line results of this study included an announcement that AMR101 met the study’s primary endpoint at both the 4 gram and 2 gram doses. In addition, AMR101 met each of the secondary endpoints in the trial, including at both doses the key secondary endpoint of LDL-C non-inferiority to statin therapy alone. Additionally, we observed in the trial a safety profile for AMR101 similar to placebo.</w:t>
      </w:r>
    </w:p>
    <w:p>
      <w:pPr>
        <w:spacing w:after="0" w:line="1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to achieving the primary endpoints of the MARINE and ANCHOR trials, AMR101, particularly at the 4 gram dose, demonstrated significant reductions in various secondary and exploratory efficacy endpoints for other lipid and inflammate biomarkers which we believe are important as they potentially represent additional predictors of cardiovascular risk. These biomarkers include total cholesterol; non-HDL-cholesterol; VLDL-cholesterol; Apo B (Apolipoprotein B), a sensitive index of residual cardiovascular risk which is generally considered to be a better predictor than LDL-C; Lp-PLA2 (Lipoprotein-phospholipase A2), an enzyme found in blood and atherosclerotic plaque and high levels of which have been implicated in the development and progression of atherosclerosis; and high sensitivity C-reactive protein (hsCRP), an important marker of vascular inflammation.</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MARINE and ANCHOR trials were conducted under separate Special Protocol Assessment, or SPA, with the FDA. An SPA is an evaluation by the FDA of a protocol with the goal of reaching an agreement that the Phase III 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 Although we are not aware of any such issue, there is no assurance that the FDA will ultimately consider either of our SPAs to be binding. Moreover, any change to a study protocol can invalidate an SPA. If the FDA does not consider either of the SPAs to be binding, the agency could assert that additional studies or data are required to support a regulatory submission.</w:t>
      </w:r>
    </w:p>
    <w:p>
      <w:pPr>
        <w:spacing w:after="0" w:line="11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On September 26, 2011 we submitted a New Drug Application (NDA) to the FDA seeking approval to market and sell AMR101 in the United States for the indication studied in the MARINE trial (for the treatment of patients with very high triglycerides). Also included in our NDA submission were the safety and efficacy results of the ANCHOR trial. The FDA has 60 days after receipt of the NDA to preliminarily review the NDA and determine if the application is sufficiently complete to permit a substantive review and if it meets the threshold for filing.</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order to obtain a separate indication for AMR101 based on the ANCHOR trial results, our SPA with the FDA for the ANCHOR trial requires that we have a cardiovascular outcomes study substantially underway at the time of the NDA submission. In accordance with this SPA, the final results of an outcomes study are not required for FDA approval of indication studied in the ANCHOR trial. In accordance with our SPA for the MARINE trial an outcomes study is not required for the indication studied in such trial.</w:t>
      </w:r>
    </w:p>
    <w:p>
      <w:pPr>
        <w:spacing w:after="0" w:line="14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August 2011, we reached agreement with the FDA on a SPA for the design of the cardiovascular outcomes study of AMR101, titled REDUCE-IT (Reduction of Cardiovascular Events with EPA – Intervention Trial). REDUCE-IT, is a multi-center, prospective, randomized, double-blind, placebo-controlled, parallel-group study to evaluate the effectiveness of AMR101 in reducing first major cardiovascular events in an at-risk patient population. The control arm of the study will be patients on optimized statin therapy. The active arm of the study will be patients on optimized statin therapy plus AMR101. All subjects enrolled in the study will have elevated triglyceride levels (fasting TG levels of ³ 135 mg/dL and &lt; 500 mg/dL) and either coronary heart disease or risk factors for coronary heart disease. This study will be conducted internationally. Based on the results of REDUCE-IT, we may seek additional indications for AMR101 beyond the indication studied in the ANCHOR trial such as prevention of cardiac events, although there can be no assurance as to whether the results of the study will support to any such indication. In September 2011 we engaged a clinical research organization to begin initial trial and clinical site preparation. We will seek to have REDUCE-IT at least 50% enrolled by the end of 2012, and project the study to cost between $100 and $125 million over the anticipated six year study period, of which we anticipate not more than $25 million being paid before the end of 2012. We will require additional funds to complete REDUCE-IT.</w:t>
      </w:r>
    </w:p>
    <w:p>
      <w:pPr>
        <w:spacing w:after="0" w:line="12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accordance with our SPA for the ANCHOR trial, we currently intend to file a supplemental NDA (sNDA) seeking approval of the indication studied in the ANCHOR trial once we have a cardiovascular outcomes study substantially underway. The sNDA cannot be filed until after both</w:t>
      </w:r>
    </w:p>
    <w:p>
      <w:pPr>
        <w:sectPr>
          <w:pgSz w:w="11900" w:h="16838" w:orient="portrait"/>
          <w:cols w:equalWidth="0" w:num="1">
            <w:col w:w="11400"/>
          </w:cols>
          <w:pgMar w:left="240" w:top="459" w:right="25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initially submitted NDA for the indication studied in the MARINE trial is approved and the cardiovascular outcomes study is substantially underway. However, as part of our interaction with the FDA regarding our NDA for the indication studied in the MARINE trial, we may explore whether there is an opportunity for the indication studied in the ANCHOR trial to be considered in conjunction with the FDA’s review of the indication studied in the MARINE trial. However, there can be no assurance that the FDA will approve such an approach.</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filed and are prosecuting numerous patent applications in the U.S. and internationally. In the U.S. we have filed patent applications which seek to expand to eleven the number of patent families protecting the proprietary position of AMR101. For certain of these patent families, we have filed multiple patent applications. Collectively the patent applications include numerous independent claims and dependent claims. Several of our patent applications contain claims based upon unexpected and positive findings from the MARINE and ANCHOR trials. If granted, we believe that many of these resulting patents would expire in 2030. However, no assurance can be given that any of our patent applications will be granted or, if they grant, that they will prevent competitors from competing with AMR101. Securing additional patent protection for a product is a complex process involving many legal and factual questions. The patent applications we have filed in the U.S. and internationally are at varying stages of examination, the timing of which is outside our control. Many of our patent applications are unlikely to be examined by the U.S. Patent Office or other international patent offices during 2011. In addition, we may elect to submit, or patent office’s may require, additional evidence to support certain of the claims we are pursuing. Providing such additional evidence could result in us incurring additional costs. We cannot be certain what commercial value any granted patent in our patent portfolio will provide to us.</w:t>
      </w:r>
    </w:p>
    <w:p>
      <w:pPr>
        <w:spacing w:after="0" w:line="1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order to commercialize AMR101, we must either develop a sales, marketing and distribution infrastructure or collaborate with third parties that have such experience. With the assistance of financial advisors, we have held discussions about collaboration and other strategic opportunities with larger pharmaceutical companies in the past, and may continue to hold such discussions in the future. These strategic opportunities may include licensing or similar transactions, joint ventures, partnerships, strategic alliances, business associations, or a sale of the company. However, no assurance can be given that we will enter into any such strategic transaction.</w:t>
      </w:r>
    </w:p>
    <w:p>
      <w:pPr>
        <w:spacing w:after="0" w:line="14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Until such time as we complete any such strategic transaction, if ever, we are continuing to develop plans to launch, market and sell AMR101 on our own. This includes making preparations for securing a sufficient commercial supply of AMR101 and expanding sales and marketing capabilities. In order to secure a sufficient commercial supply of AMR101, we have completed agreements for the supply of materials for AMR101 to provide for raw materials that are incremental to our existing Japan-based API supplier. Each agreement contemplates a phased capacity expansion plan aimed at creating sufficient capacity to meet anticipated demand for API material for AMR101 following FDA approval. These API suppliers are self-funding these expansion plans with contributions from Amarin. We are also considering adding a fourth API supplier. These agreements include requirements for the qualification of the suppliers’ material and facilities with the FDA prior to the commercial sale of any such material. We will make no purchase commitments until such time as these qualification events have been completed.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Opportunities to market and sell AMR101 outside of the United States are also under evaluation.</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Unless we enter into a strategic collaboration in connection with the launch, marketing and sale of AMR101 to provide us with additional capital, we will need to raise additional capital on our own to support these efforts. We will also need additional capital to complete our REDUCE-IT cardiovascular outcomes trial. Additional financing may not be available when we need it or may not be available on terms that are acceptable to us. If adequate funds are not available to us on a timely basis, or at all, we may be required to delay the establishment of sales and marketing capabilities or terminate or delay our planned cardiovascular outcomes study. If we seek to raise additional funds, we may do so through the sale of additional equity, debt or convertible securities. Debt financing, if available, would result in increased fixed payment obligations and may involve agreements that include covenants limiting or restricting our ability to take specific actions such as incurring debt, making capital expenditures or declaring dividends. The terms of any financings may be dilutive to, or otherwise adversely affect, holders of our outstanding securities.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our cash balance was $125.9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contract manufacturing,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consists primarily of non-cash warrant related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attributable to October 2009 warrants issued to former employees, salaries and other related costs for current personnel, including stock-based compensation expense, in our executive, business development, marketing, finance and information technology functions. Other costs primarily include facility costs and professional fees for accounting, consulting and legal services.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expense consists of interest incurred under lease obligations. Interest income consists of interest earned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Other income, net, consists primarily of foreign exchange gains and losses.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There have been no changes in our critical accounting policies and significant judgments and estimates, as described in Note 2 to our consolidated financial statements included in our Annual Report on Form 10-K for the year ended December 31, 2010 filed with the SEC on March 16,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2011 versus September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September 30, 2011 was $6.0 million, versus $7.6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 decrease of $1.6 million, or 21.0%. Research and development expenses for the three months ended September 30, 2011 and 2010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5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61"/>
        </w:trPr>
        <w:tc>
          <w:tcPr>
            <w:tcW w:w="5980" w:type="dxa"/>
            <w:vAlign w:val="bottom"/>
          </w:tcPr>
          <w:p>
            <w:pPr>
              <w:spacing w:after="0"/>
              <w:rPr>
                <w:sz w:val="14"/>
                <w:szCs w:val="14"/>
                <w:color w:val="auto"/>
              </w:rPr>
            </w:pPr>
          </w:p>
        </w:tc>
        <w:tc>
          <w:tcPr>
            <w:tcW w:w="1620" w:type="dxa"/>
            <w:vAlign w:val="bottom"/>
            <w:gridSpan w:val="2"/>
          </w:tcPr>
          <w:p>
            <w:pPr>
              <w:ind w:left="1240"/>
              <w:spacing w:after="0"/>
              <w:rPr>
                <w:sz w:val="20"/>
                <w:szCs w:val="20"/>
                <w:color w:val="auto"/>
              </w:rPr>
            </w:pPr>
            <w:r>
              <w:rPr>
                <w:rFonts w:ascii="Arial" w:cs="Arial" w:eastAsia="Arial" w:hAnsi="Arial"/>
                <w:sz w:val="14"/>
                <w:szCs w:val="14"/>
                <w:b w:val="1"/>
                <w:bCs w:val="1"/>
                <w:color w:val="auto"/>
              </w:rPr>
              <w:t>2011</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$ 5,607</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r>
      <w:tr>
        <w:trPr>
          <w:trHeight w:val="115"/>
        </w:trPr>
        <w:tc>
          <w:tcPr>
            <w:tcW w:w="5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$ 7,642</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three months ended September 30, 2011 was $5.6 million, versus $7.4 million in the prior year period, a decrease of $1.8 million, or 24.3%. The decrease in research and development expense was primarily due to lower costs in 2011 for our AMR101 cardiovascular program, primarily costs associated with our two Phase III clinical trials incurred through the clinical research organization (CRO) we engaged in late 2009 to help manage the two trials. We began enrolling patients in these trials in early 2010 and announced the completion of enrollment in both trials during the second half of 2010 with top-line results announced in November 2010 and April 2011 for the MARINE and ANCHOR trials, respectively. We estimate to incur approximately $2.0 million in additional CRO expenses to complete these studies.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estimate of remaining costs to be incurred to complete the MARINE and ANCHOR studies are significantly lower than the costs we included for these studies during 2010. However, we anticipate the decline in research and development expenditures for those two trials to be offset by an increase in clinical costs associated with our planned REDUCE-IT cardiovascular outcomes study. We currently estimate that cumulative costs incurred through a CRO for REDUCE-IT will not exceed $25 million by the end of 2012.</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three months ended September 30, 2011 was $3.4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versus $2.1 million in the prior year period, an increase of $1.3 million, or 61.9%. Marketing, general and administrative expenses for the three months ended September 30, 2011 and 2010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September 30</w:t>
            </w:r>
          </w:p>
        </w:tc>
      </w:tr>
      <w:tr>
        <w:trPr>
          <w:trHeight w:val="161"/>
        </w:trPr>
        <w:tc>
          <w:tcPr>
            <w:tcW w:w="7000" w:type="dxa"/>
            <w:vAlign w:val="bottom"/>
          </w:tcPr>
          <w:p>
            <w:pPr>
              <w:spacing w:after="0"/>
              <w:rPr>
                <w:sz w:val="14"/>
                <w:szCs w:val="14"/>
                <w:color w:val="auto"/>
              </w:rPr>
            </w:pPr>
          </w:p>
        </w:tc>
        <w:tc>
          <w:tcPr>
            <w:tcW w:w="5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 (1)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$ 4,529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2,256</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expense (3)</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70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$ 3,433</w:t>
            </w:r>
          </w:p>
        </w:tc>
        <w:tc>
          <w:tcPr>
            <w:tcW w:w="2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2,134</w:t>
            </w:r>
          </w:p>
        </w:tc>
        <w:tc>
          <w:tcPr>
            <w:tcW w:w="100" w:type="dxa"/>
            <w:vAlign w:val="bottom"/>
          </w:tcPr>
          <w:p>
            <w:pPr>
              <w:spacing w:after="0"/>
              <w:rPr>
                <w:sz w:val="24"/>
                <w:szCs w:val="24"/>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hanging="452"/>
        <w:spacing w:after="0" w:line="28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Marketing, general and administrative expense, excluding non-cash compensation charges for stock compensation and warrants, for the three months ended September 30, 2011 was $4.5 million, versus $1.6 million in the prior year period, an increase of $2.9 million, or 181.25%. The increase was primarily due to higher staffing and marketing related expenses in 2011 to prepare for the commercialization of AMR101.</w:t>
      </w:r>
    </w:p>
    <w:p>
      <w:pPr>
        <w:spacing w:after="0" w:line="1" w:lineRule="exact"/>
        <w:rPr>
          <w:rFonts w:ascii="Arial" w:cs="Arial" w:eastAsia="Arial" w:hAnsi="Arial"/>
          <w:sz w:val="16"/>
          <w:szCs w:val="16"/>
          <w:color w:val="auto"/>
        </w:rPr>
      </w:pPr>
    </w:p>
    <w:p>
      <w:pPr>
        <w:ind w:left="460" w:right="40" w:hanging="452"/>
        <w:spacing w:after="0" w:line="30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Stock based compensation expense for the three months ended September 30, 2011 was $2.3 million, versus $0.5 million in the prior year period, an increase of $1.8 million reflecting an increase in expense associated with option awards granted in 2010 and 2011 to attract and retain qualified employees.</w:t>
      </w:r>
    </w:p>
    <w:p>
      <w:pPr>
        <w:ind w:left="460" w:right="200" w:hanging="452"/>
        <w:spacing w:after="0" w:line="30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Warrant related compensation income for the three months ended September 30, 2011 was $3.4 million, versus expense of $0.04 million in the prior year period. Warrant related compensation income for the three months ended September 30, 2011 reflects a non-cash change in fair value of the warrant derivative liability associated with warrants issued in October 2009 to former employees of Amarin, net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warrants exercised. The decrease in the fair value of the warrants for the three months ended September 30, 2011 is due primarily to a decrease in our stock price between June 30, 2011 and September 30, 2011.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4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expect marketing, general and administrative costs, excluding non-cash warrant related compensation expense the value of which we cannot reasonably estimate, to increase as we prepare for the commercialization of AMR101, including costs for market research, sales force preparation and inventory management.</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Gain/(Loss) on Change in Fair Value of Derivative Liability</w:t>
      </w:r>
      <w:r>
        <w:rPr>
          <w:rFonts w:ascii="Arial" w:cs="Arial" w:eastAsia="Arial" w:hAnsi="Arial"/>
          <w:sz w:val="16"/>
          <w:szCs w:val="16"/>
          <w:color w:val="auto"/>
        </w:rPr>
        <w:t>. Gain on change in fair value of derivative liability for the three months ended September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was a gain of $106.6 million versus a loss of $(1.4) million in the prior year period. Gain/(loss)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July 1, 2011 was $286.0 million and we recognized a $106.6 million gain on the change in fair value of derivative liability during the three months ended September 30, 2011 for these warrants. The fair value of the warrant derivative liability at July 1, 2010 was $72.4 million and we recognized a $(1.4) million loss on the change in fair value of derivative liability during the three months ended September 30, 2010. The decrease or increase in the fair value of the warrant derivative liability is due primarily to the decrease or increase in the price of our common stock on the date of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primarily includes gains and losses on foreign exchange transactions.</w:t>
      </w:r>
    </w:p>
    <w:p>
      <w:pPr>
        <w:spacing w:after="0" w:line="252" w:lineRule="exact"/>
        <w:rPr>
          <w:sz w:val="20"/>
          <w:szCs w:val="20"/>
          <w:color w:val="auto"/>
        </w:rPr>
      </w:pPr>
    </w:p>
    <w:p>
      <w:pPr>
        <w:ind w:right="5380"/>
        <w:spacing w:after="0" w:line="362" w:lineRule="auto"/>
        <w:rPr>
          <w:sz w:val="20"/>
          <w:szCs w:val="20"/>
          <w:color w:val="auto"/>
        </w:rPr>
      </w:pPr>
      <w:r>
        <w:rPr>
          <w:rFonts w:ascii="Arial" w:cs="Arial" w:eastAsia="Arial" w:hAnsi="Arial"/>
          <w:sz w:val="18"/>
          <w:szCs w:val="18"/>
          <w:b w:val="1"/>
          <w:bCs w:val="1"/>
          <w:i w:val="1"/>
          <w:iCs w:val="1"/>
          <w:color w:val="auto"/>
        </w:rPr>
        <w:t xml:space="preserve">Comparison of Nine Months Ended September 30, 2011 versus September 30, 2010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nine months ended September 30, 2011 was $15.7 million, versus $20.6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period, a decrease of $4.9 million, or 23.8%. Research and development expenses for the nine months ended September 30, 2011 and 2010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49"/>
        </w:trPr>
        <w:tc>
          <w:tcPr>
            <w:tcW w:w="5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5940" w:type="dxa"/>
            <w:vAlign w:val="bottom"/>
          </w:tcPr>
          <w:p>
            <w:pPr>
              <w:spacing w:after="0"/>
              <w:rPr>
                <w:sz w:val="14"/>
                <w:szCs w:val="14"/>
                <w:color w:val="auto"/>
              </w:rPr>
            </w:pPr>
          </w:p>
        </w:tc>
        <w:tc>
          <w:tcPr>
            <w:tcW w:w="16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$14,751</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115"/>
        </w:trPr>
        <w:tc>
          <w:tcPr>
            <w:tcW w:w="5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20,565</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20" w:hanging="452"/>
        <w:spacing w:after="0" w:line="29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nine months ended September 30, 2011 was $14.8 million, versus $19.6 million in the prior year period, a decrease of $4.8 million, or 24.5%. The decrease in research and development expense was primarily due to lower costs in 2011 for our AMR101 cardiovascular program, primarily costs associated with our two Phase III clinical trials incurred through the CRO we engaged in late 2009 to help manage the two trials. We began enrolling patients in these trials in early 2010 and completed enrollment in both trials during the second half of 2010. We estimate to incur approximately $2.0 million in additional expense through this CRO to complete these studies.</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estimate of remaining costs to be incurred to complete the MARINE and ANCHOR studies are significantly lower than the costs we included for these studies during 2010. However, we anticipate the decline in research and development expenditures for those two trials to be offset by an increase in clinical costs associated with our planned cardiovascular outcomes study. We currently estimate that cumulative costs incurred through a CRO for REDUCE-IT will not exceed $25 million by the end of 2012.</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nine months ended September 30, 2011 was $16.2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versus $7.2 million in the prior year period, an increase of $9.0 million, or 125%. Marketing, general and administrative expenses for the nine months ended September 30, 2011 and 2010 are summarized in the table below:</w:t>
      </w:r>
    </w:p>
    <w:p>
      <w:pPr>
        <w:sectPr>
          <w:pgSz w:w="11900" w:h="16838" w:orient="portrait"/>
          <w:cols w:equalWidth="0" w:num="1">
            <w:col w:w="11400"/>
          </w:cols>
          <w:pgMar w:left="240" w:top="459" w:right="259" w:bottom="1440" w:gutter="0" w:footer="0" w:header="0"/>
        </w:sectPr>
      </w:pPr>
    </w:p>
    <w:bookmarkStart w:id="16" w:name="page17"/>
    <w:bookmarkEnd w:id="16"/>
    <w:tbl>
      <w:tblPr>
        <w:tblLayout w:type="fixed"/>
        <w:tblInd w:w="1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12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Marketing, general and administrative expenses, excluding non-cash expense (1)</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$10,059</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(3)</w:t>
            </w:r>
          </w:p>
        </w:tc>
        <w:tc>
          <w:tcPr>
            <w:tcW w:w="7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3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right"/>
              <w:ind w:right="1852"/>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7"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60" w:hanging="452"/>
        <w:spacing w:after="0" w:line="28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Marketing, general and administrative expense, excluding non-cash compensation charges for stock compensation and warrants, for the nine months ended September 30, 2011 was $10.1 million, versus $5.3 million in the prior year period, an increase of $4.8 million, or 90.6%. The increase was primarily due to higher staffing and marketing related expenses in 2011 to prepare for the commercialization of AMR101.</w:t>
      </w:r>
    </w:p>
    <w:p>
      <w:pPr>
        <w:spacing w:after="0" w:line="1" w:lineRule="exact"/>
        <w:rPr>
          <w:rFonts w:ascii="Arial" w:cs="Arial" w:eastAsia="Arial" w:hAnsi="Arial"/>
          <w:sz w:val="16"/>
          <w:szCs w:val="16"/>
          <w:color w:val="auto"/>
        </w:rPr>
      </w:pPr>
    </w:p>
    <w:p>
      <w:pPr>
        <w:ind w:left="460" w:hanging="452"/>
        <w:spacing w:after="0" w:line="30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Stock based compensation expense for the nine months ended September 30, 2011 was $5.1 million, versus $1.0 million in the prior year period, an increase of $4.1 million, reflecting an increase in expense associated with option awards granted in 2010 and 2011 to attract and retain qualified employees.</w:t>
      </w:r>
    </w:p>
    <w:p>
      <w:pPr>
        <w:ind w:left="460" w:right="20" w:hanging="452"/>
        <w:spacing w:after="0" w:line="287"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Warrant related compensation expense for the nine months ended September 30, 2011 was $1.0 million, versus $0.9 million in the prior year period. Warrant related compensation expense reflects the non-cash change in fair value of the warrant derivative liability associated with warrants issued in October 2009 to former employees of Amarin, net of warrants exercised. The decrease in the fair value of the warrants for the nine months ended September 30, 2011 is due primarily to an increase in our stock price between December 31, 2010 and September 30, 2011.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expect marketing, general and administrative costs, excluding non-cash warrant related compensation expense the value of which we cannot reasonably estimate, to increase as we prepare for the commercialization of AMR101, including costs for market research, sales force preparation and inventory management.</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Loss on Change in Fair Value of Derivative Liability</w:t>
      </w:r>
      <w:r>
        <w:rPr>
          <w:rFonts w:ascii="Arial" w:cs="Arial" w:eastAsia="Arial" w:hAnsi="Arial"/>
          <w:sz w:val="16"/>
          <w:szCs w:val="16"/>
          <w:color w:val="auto"/>
        </w:rPr>
        <w:t>. Loss on change in fair value of derivative liability for the nine months ended September 30, 2011 was $53.4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versus $33.4 million in the prior year period. Loss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2010 was $230.1 million and we recognized a $53.4 million loss on change in fair value of derivative liability for the nine months period ended September 30, 2011 for these warrants. The fair value of the warrant derivative liability at December 31, 2009 was $41.5 million and we recognized a $33.4 million loss on change in fair value of derivative liability for the nine months period ended September 30, 2010. The decrease or increase in the fair value of the warrant derivative liability is due primarily to the decrease or increase in the price of our common stock on the date of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primarily includes gains and losses on foreign exchange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Our sources of liquidity at September 30, 2011 include cash and cash equivalents of $125.9 million. Our projected uses of cash include commencement of the REDUCE-IT cardiovascular outcomes study, commercial preparation of AMR101, working capital and other general corporate activities. Our cash flows from operating, investing and financing activities, as reflected in the consolidated statements of cash flows, are summarized in the following table (in millions):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61"/>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(27.8)</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 (24.4)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123.9</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obligations at September 30, 2011 or December 31, 2010.</w:t>
      </w:r>
    </w:p>
    <w:p>
      <w:pPr>
        <w:spacing w:after="0" w:line="171"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believe that our cash will be sufficient to fund our projected operations for the next twelve months which contemplates not only working capital and general corporate needs but also, commencement of a cardiovascular outcomes study and commercial preparations for AMR101. This is based on our current operational plans and activities at normal levels and does not assume any cash inflows from partnerships, warrant exercises or other dilutive or non-dilutive financings in the longer-term. If we elect to commercialize AMR101 ourselves, rather than through a collaborator, we will need additional funds to complete such activities. The sale of any equity or debt securities may result in additional dilution to our stockholders, and we cannot be certain that additional financing will be available in amounts or on terms acceptable to us, if at all.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our contractual obligations at September 30, 2011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2013</w:t>
            </w:r>
          </w:p>
        </w:tc>
        <w:tc>
          <w:tcPr>
            <w:tcW w:w="4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to 2015</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2015</w:t>
            </w:r>
          </w:p>
        </w:tc>
      </w:tr>
      <w:tr>
        <w:trPr>
          <w:trHeight w:val="196"/>
        </w:trPr>
        <w:tc>
          <w:tcPr>
            <w:tcW w:w="75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gridSpan w:val="4"/>
          </w:tcPr>
          <w:p>
            <w:pPr>
              <w:ind w:left="440"/>
              <w:spacing w:after="0"/>
              <w:rPr>
                <w:sz w:val="20"/>
                <w:szCs w:val="20"/>
                <w:color w:val="auto"/>
              </w:rPr>
            </w:pPr>
            <w:r>
              <w:rPr>
                <w:rFonts w:ascii="Arial" w:cs="Arial" w:eastAsia="Arial" w:hAnsi="Arial"/>
                <w:sz w:val="18"/>
                <w:szCs w:val="18"/>
                <w:color w:val="auto"/>
              </w:rPr>
              <w:t>Purchase obligations (1)</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w:t>
            </w:r>
          </w:p>
        </w:tc>
        <w:tc>
          <w:tcPr>
            <w:tcW w:w="3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$0.8</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$ 12.6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91"/>
        </w:trPr>
        <w:tc>
          <w:tcPr>
            <w:tcW w:w="7580" w:type="dxa"/>
            <w:vAlign w:val="bottom"/>
            <w:gridSpan w:val="4"/>
          </w:tcPr>
          <w:p>
            <w:pPr>
              <w:ind w:left="440"/>
              <w:spacing w:after="0"/>
              <w:rPr>
                <w:sz w:val="20"/>
                <w:szCs w:val="20"/>
                <w:color w:val="auto"/>
              </w:rPr>
            </w:pPr>
            <w:r>
              <w:rPr>
                <w:rFonts w:ascii="Arial" w:cs="Arial" w:eastAsia="Arial" w:hAnsi="Arial"/>
                <w:sz w:val="18"/>
                <w:szCs w:val="18"/>
                <w:color w:val="auto"/>
              </w:rPr>
              <w:t>Total contractual cash obligations</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14.9</w:t>
            </w:r>
          </w:p>
        </w:tc>
        <w:tc>
          <w:tcPr>
            <w:tcW w:w="38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$ 13.3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
        </w:trPr>
        <w:tc>
          <w:tcPr>
            <w:tcW w:w="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9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minimum purchase obligations with our Japan-based supplier. We purchased $1.2 million of materials during the nine months ended September 30, 2011 and have additional purchase obligations of $12.6 million in 2012. Not included in this obligation is a non-refundable milestone payment of $0.5 million payable upon the first marketing approval of AMR101 in the United States. Additional future minimum purchases will be required, subject to an NDA approval, and in preparation for commercialization of AMR101 we may purchase more than the minimum amount.</w:t>
      </w:r>
    </w:p>
    <w:p>
      <w:pPr>
        <w:spacing w:after="0" w:line="31"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In addition, provided the supplier has expanded its manufacturing capacity in accordance with the agreement, the supplier may terminate the agreement in the event that (i) Amarin does not receive marketing approval for AMR101 in the United States on or before December 31, 2014 or (ii) in the event that Amarin abandons development of AMR101 for hypertriglyceridemia in the United States. In either case, Amarin will be required to reimburse the supplier for certain costs incurred by the supplier in connection with its manufacturing expansion, less the amount of profit received as a result of purchases of ethyl-EPA by Amarin, not to exceed $5.0 million.</w:t>
      </w:r>
    </w:p>
    <w:p>
      <w:pPr>
        <w:spacing w:after="0" w:line="61" w:lineRule="exact"/>
        <w:rPr>
          <w:rFonts w:ascii="Arial" w:cs="Arial" w:eastAsia="Arial" w:hAnsi="Arial"/>
          <w:sz w:val="16"/>
          <w:szCs w:val="16"/>
          <w:color w:val="auto"/>
        </w:rPr>
      </w:pPr>
    </w:p>
    <w:p>
      <w:pPr>
        <w:jc w:val="both"/>
        <w:ind w:left="460" w:right="480"/>
        <w:spacing w:after="0" w:line="306" w:lineRule="auto"/>
        <w:rPr>
          <w:rFonts w:ascii="Arial" w:cs="Arial" w:eastAsia="Arial" w:hAnsi="Arial"/>
          <w:sz w:val="16"/>
          <w:szCs w:val="16"/>
          <w:color w:val="auto"/>
        </w:rPr>
      </w:pPr>
      <w:r>
        <w:rPr>
          <w:rFonts w:ascii="Arial" w:cs="Arial" w:eastAsia="Arial" w:hAnsi="Arial"/>
          <w:sz w:val="16"/>
          <w:szCs w:val="16"/>
          <w:color w:val="auto"/>
        </w:rPr>
        <w:t>We anticipate incurring certain costs associated with the qualification of product produced by this Japan-based supplier.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Mystic, CT and Bedminster, NJ.</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above table also does not reflect potential material purchases under new agreements signed in the second quarter of 2011 for the supply of materials for AMR101 with two new API suppliers, Equateq and Chemport. These agreements provide access to additional API supply that is incremental to supply from our existing Japan-based API supplier. Each agreement contemplates a phased capacity expansion plan aimed at creating sufficient capacity to meet anticipated demand for API material for AMR101 following FDA approval.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Following FDA approval of AMR101 both agreements include annual purchase levels enabling Amarin to maintain supply exclusivity with each respective supplier, and to prevent potential termination of the agreements. Because we have not yet obtained FDA approval for AMR101, these amounts are excluded from the above table. The 2011 supply agreement with Equateq also includes (i) a one-time commitment fee of $1.0 million (paid in May 2011), (ii) development fees up to a maximum of $0.5 million, and (iii) material commitments of up to $5.0 million for initial raw materials, which will be credited against future API purchases, and is refundable to Amarin if Equateq does not successfully develop and qualify the API by a certain date. The $1.0 million commitment fee paid to Equateq in May 2011 is refundable if Equateq fails to satisfy certain capital sufficiency requirements. The 2011 supply agreement with Chemport includes, prior to a marketing approval, a raw material purchase commitment of $1.1 million. No payments have been made under this agreement as of September 30, 2011.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agreement with Chemport for commercial supply, we agreed to make a minority share equity investment in Chemport of up to $3.3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July 2011, we paid to Chemport $1.7 million under this agreement, which has been included in other long term assets at September 30, 2011.</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our 2004 share repurchase agreement with Laxdale Limited, in connection with commercialization of AMR101 for cardiovascular indications, prior to the end of 2012 we are required to pay potential royalties to a former employee of Laxdale of 1% on net sales up to £100 million (approximately $156 million at September 30, 2011); 0.5% for net sales between £100 million (approximately $156 million at September 30, 2011) and £500 million (approximately $781 million at September 30, 2011); and 0.25% for sales in excess of £500 million (approximately $781 million at September 30, 2011). In addition, under this same agreement with Laxdale Limited, upon receipt of marketing approval in the U.S. and/or Europe for the first indication for AMR101 (or first indication of any product containing Amarin Neuroscience intellectual property acquired from Laxdale Limited in 2004), we must make an aggregate stock or cash payment (at the sole option of each of the sellers) of £7.5 million (approximately $11.7 million at September 30, 2011) for each of the two potential marketing approvals (i.e. £15 million maximum, or approximately $23.4 million at September 30, 2011). In addition, upon receipt of a marketing approval in the U.S. or Europe for a further indication of AMR101 (or further indication of any other product using Amarin Neuroscience intellectual property), we must make an aggregate stock or cash payment (at the sole option of each of the sellers) of £5 million (approximately $7.8 million at September 30, 2011) for each of the two potential market approvals (i.e. £10 million maximum, or approximately $15.6 million at September 30, 2011).</w:t>
      </w:r>
    </w:p>
    <w:p>
      <w:pPr>
        <w:spacing w:after="0" w:line="127"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$0.5 million of gross liability for uncertain tax positions that have been recorded as liabilities at December 31, 2010.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 We record as a liability the fair value of warrants to purchase 18.7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stock ($10.12 based on the $9.20 market price of our stock at September 30, 2011) on which the September 30, 2011 valuation was based, the value would have increased by $16.8 million. Such increase would have been reflected as a reduction in the gain on revaluation of the warrant liability in our statement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September 30, 2011,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2011, our disclosure controls and procedures were not effective at the reasonable assurance level, due to a material weakness in internal control over financial reporting described below.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three months ended September 30, 2011, there have been no changes in our internal control over financial reporting, as such term is defined in Rules 13a-15(f) and 15(d)-15(f) under the Exchange Act, that have materially affected, or are reasonably likely to materially affect, our internal control over financial reporting, other than as described below.</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previously described in Item 9A “Controls and Procedures” in our Annual Report on Form 10-K filed for the year ended December 31, 2010, our management identified a material weakness in internal control over financial reporting as of December 31, 2009 and which persisted on December 31, 2010.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In response to this material weakness, our management, with the input, oversight, and support of the Audit Committee, identified and took the following steps beginning during the second half of 2010 and all of which efforts continued into the third quarter of 2011: non-ordinary course transactions are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there are no matters, as of September 30, 2011, that, in the opinion of management, might have a material adverse effect on our financial position, results of operations or cash flows.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Investment in our securities involves a high degree of risk. Our Annual Report on Form 10-K for the year ended December 31, 2010, which was filed with the SEC on March 16, 2011, contains numerous risk factors relating to our business and operations, our intellectual property, clinical trials, regulatory matters, our dependence on third parties, our industry and our common stock.</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risk factors are either new or have changed materially from those set forth in our Annual Report on Form 10-K for the year ended December 31, 2010. You should carefully review the risks involved and those described in our Annual Report on Form 10-K and in other reports we file with the Securities and Exchange Commission in evaluating our business.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There can be no assurance that the FDA will accept the NDA we submitted to the FDA in September 2011, nor can there be any assurance that the NDA will be approved.</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26, 2011 we submitted an NDA to the FDA seeking approval to market and sell AMR101 in the United States for the indication studied in the MARINE trial (for the treatment of patients with very high triglycerides). After submission of an NDA, the FDA may refuse to file the application, deny approval of the application and/or require additional testing or data. In the event the FDA takes any such action, such actions would have a material adverse effect on our operations and financial condition.</w:t>
      </w:r>
    </w:p>
    <w:p>
      <w:pPr>
        <w:spacing w:after="0" w:line="143" w:lineRule="exact"/>
        <w:rPr>
          <w:sz w:val="20"/>
          <w:szCs w:val="20"/>
          <w:color w:val="auto"/>
        </w:rPr>
      </w:pPr>
    </w:p>
    <w:p>
      <w:pPr>
        <w:ind w:left="240" w:right="6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and to develop our product candidates. If we cannot find additional capital resources, we will have difficulty in operating as a going concern and growing our business.</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currently operate with limited resources. At September 30, 2011, we had cash and cash equivalents of approximately $125.9 million. We believe that our current resources will be sufficient to fund our projected operations for the next twelve months, which contemplates not only working capital and general corporate needs but also commercial preparation of AMR101 and the initiation of the REDUCE-IT cardiovascular outcomes study. 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Although we are in discussions with pharmaceutical companies regarding such collaboration, there can be no assurance that these discussions will result in any such transaction. Accordingly, we are also developing plans to launch, market and sell AMR101 in the United States on our own.</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we do not enter into a strategic collaboration in connection with the launch, marketing and sale of AMR101, we will need to raise additional capital to support these efforts. We will also need additional capital to complete our REDUCE-IT cardiovascular outcomes trial.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we seek to raise additional funds, we may do so through the sale of additional equity, debt, convertible securities or a combination of these securities. Debt financing, if available, would result in increased fixed payment obligations and may involve agreements that include covenants limiting or restricting our ability to take specific actions such as incurring debt, making capital expenditures or declaring dividends. The terms of any financings may be dilutive to, or otherwise adversely affect, holders of our outstanding securities. There can be no assurance that additional financing will be available in amounts or on terms acceptable to us, if at all. If we raise additional funds through collaboration, strategic alliance and licensing arrangements with third parties, we may have to relinquish valuable rights to our technologies, future revenue streams or product candidates, or grant licenses on terms that are not favorable to us. Any inability to obtain additional funds when needed would have a material adverse effect on our business and on our ability to operate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we enter into a strategic collaboration in connection with the launch, marketing and sale of AMR101;</w:t>
      </w:r>
    </w:p>
    <w:p>
      <w:pPr>
        <w:spacing w:after="0" w:line="90" w:lineRule="exact"/>
        <w:rPr>
          <w:rFonts w:ascii="Arial" w:cs="Arial" w:eastAsia="Arial" w:hAnsi="Arial"/>
          <w:sz w:val="18"/>
          <w:szCs w:val="18"/>
          <w:color w:val="auto"/>
        </w:rPr>
      </w:pPr>
    </w:p>
    <w:p>
      <w:pPr>
        <w:ind w:left="1480" w:right="720" w:hanging="446"/>
        <w:spacing w:after="0" w:line="268"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we elect to commence an outcomes study to support the filing of an NDA for the clinical indication evaluated in the ANCHOR trial;</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and costs involved in obtaining regulatory approvals for AMR101;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additional product candidates we may pursue;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involved in filing and prosecuting patent applications and enforcing or defending patent claims; and</w:t>
      </w:r>
    </w:p>
    <w:p>
      <w:pPr>
        <w:spacing w:after="0" w:line="90" w:lineRule="exact"/>
        <w:rPr>
          <w:rFonts w:ascii="Arial" w:cs="Arial" w:eastAsia="Arial" w:hAnsi="Arial"/>
          <w:sz w:val="18"/>
          <w:szCs w:val="18"/>
          <w:color w:val="auto"/>
        </w:rPr>
      </w:pPr>
    </w:p>
    <w:p>
      <w:pPr>
        <w:ind w:left="1480" w:right="440" w:hanging="446"/>
        <w:spacing w:after="0" w:line="259"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commercializing our product candidates if they receive regulatory approval, including the cost and timing of developing sales and marketing capabilities, or entering into strategic collaboration with others relating to the commercialization of our product candidates.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do not enter into a collaboration agreement as described above, or if adequate funds are not available to us in amounts or on terms acceptable to us or on a timely basis, or at all, we may be required to terminate or delay our development efforts in support of our product candidates, or delay the advancement of the REDUCE-IT cardiovascular outcomes trial, or delay our establishment of sales and marketing capabilities or other activities that may be necessary to commercialize AMR101 in the event we obtain regulatory approval for this product candidate.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 order to commercialize any future product that is approved for marketing, we may need to find a collaborative partner to help with marketing and sales.</w:t>
      </w:r>
    </w:p>
    <w:p>
      <w:pPr>
        <w:spacing w:after="0" w:line="20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If we do complete such a collaboration agreement, we will be reliant on one or more of these strategic partners to generate revenue on our behalf. Until such time as we complete any such strategic transaction, if ever, we are continuing to develop plans to launch, market and sell AMR101 on our own. This includes making preparations for securing a sufficient commercial supply of AMR101 and expanding sales and marketing capabilities and would require that we build a substantial commercialization infrastructure in order to compete with larger companies with established marketing and sales capabilities.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cannot raise sufficient funds, we will not be able to bring our product candidates to market and generate product revenue.</w:t>
      </w:r>
    </w:p>
    <w:p>
      <w:pPr>
        <w:spacing w:after="0" w:line="11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For example, in October 2009, we announced our heightened strategic and operating focus on cardiovascular disease and our cessation of research and development of product candidates to treat central nervous system disorders. Subsequent to October 2009, we did not receive any acceptable offers to acquire, out-license or otherwise continue the development of any of these product candidates to treat central nervous system disorders.</w:t>
      </w:r>
    </w:p>
    <w:p>
      <w:pPr>
        <w:spacing w:after="0" w:line="107"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may experience delays in the initiation of our cardiovascular outcomes study, or such outcomes study may take longer and cost more than we expect. The FDA may not approve our request to consider the indication studied in the ANCHOR trial in conjunction with the FDA’s review of the indication studied in the MARINE trial.</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obtain a separate indication for AMR101 based on the ANCHOR trial results, our SPA with the FDA requires that we have a cardiovascular outcomes study substantially underway at the time of the NDA submission. In August 2011, we reached a agreement with the FDA on an SPA for the design of the cardiovascular outcomes study of AMR101, titled REDUCE-IT (Reduction of Cardiovascular Events with EPA – Intervention Trial). REDUCE-IT, is a multi-center, prospective, randomized, double-blind, placebo-controlled, parallel-group study to evaluate the effectiveness of AMR101 in reducing first major cardiovascular events in an at-risk patient population. The control arm of the study will be patients on optimized statin therapy. The active arm of the study will be patients on optimized statin therapy plus AMR101. All subjects enrolled in the study will have elevated triglyceride levels and either coronary heart disease or risk factors for coronary heart disease. This study will be conducted internationally. Based on the results of REDUCE-IT, we may seek additional indications for AMR101 beyond the indication studied in the ANCHOR trial such as prevention of cardiac events, although there can be no assurance as to whether the results of REDUCE-IT will support any such indication.</w:t>
      </w: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the event we experience delays in initiating or achieving substantial enrolment for REDUCE-IT, our filing of a supplemental NDA (sNDA) seeking approval of an indication based on the ANCHOR trial results will be delayed.</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our SPA for the ANCHOR trial, we currently intend to file a sNDA seeking approval of the indication studied in the ANCHOR trial once we have a cardiovascular outcomes study substantially underway. The sNDA cannot be filed until after both the initially submitted NDA is approved and the cardiovascular outcomes study is substantially underway. However, as part of our interaction with the FDA regarding our NDA for the indication studied in the MARINE trial, we may explore whether there is an opportunity for the indication studied in the ANCHOR trial to be considered in conjunction with the FDA’s review of the indication studied in the MARINE trial once the REDUCE-IT trial is substantially underway. However, there can be no assurance that the FDA will approve such an approach. If the FDA requires additional enrollment, our ability to seek approval for the indication evaluated in the ANCHOR trial could be delayed.</w:t>
      </w:r>
    </w:p>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The REDUCE-IT cardiovascular trial may fail to achieve its clinical endpoints, and the long-term clinical results of AMR101 may not be consistent with the clinical results we observed in our Phase 3 pivotal trials.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SPA for our MARINE and ANCHOR trials, efficacy was evaluated in these trials compared to placebo at twelve weeks. No placebo-controlled studies have been conducted regarding the long-term effect of AMR101 on lipids and no outcomes study has been conducted evaluating AMR101. Outcomes studies of certain other lipid modifying therapies have failed to achieve the endpoints of such studies. There can be no assurance that the endpoints of the REDUCE-IT cardiovascular outcomes study will be achieved or that the lipid modifying effects of AMR101 in REDUCE-IT or any other study of AMR101 will not be subject to variation beyond twelve weeks. If the REDUCE-IT trial fails to achieve its clinical endpoints or if the results of these long-term studies are not consistent with the clinical results it could prevent us from expanding the label of any approved product.</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Even if we obtain marketing approval for AMR101 in the United States, there can be no assurance as to the final indication approved by the FDA, and the actual number of patients with the condition included in such approved indication may be smaller than we anticipate.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can be no assurance as to the final indication approved by the FDA in the event that marketing approval is obtained. Even if marketing approval is obtained, the number of actual patients with the condition included in such approved indication may be smaller than we anticipate. Even if we obtain marketing approval, the FDA may impose restrictions on the product’s conditions for use, distribution or marketing and in some cases may impose ongoing requirements for post-market surveillance, post-approval studies or clinical trials. If any such approved indication is narrower than we anticipate, the market potential for our product candidate would suffer.</w:t>
      </w:r>
    </w:p>
    <w:p>
      <w:pPr>
        <w:spacing w:after="0" w:line="143"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liability.</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If we receive marketing approval for AMR101, physicians may nevertheless prescribe AMR101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product liability claims as a result of our prior sales and marketing activities related to Permax.</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Amarin was responsible for the sales and marketing of Permax </w:t>
      </w:r>
      <w:r>
        <w:rPr>
          <w:rFonts w:ascii="Arial" w:cs="Arial" w:eastAsia="Arial" w:hAnsi="Arial"/>
          <w:sz w:val="10"/>
          <w:szCs w:val="10"/>
          <w:color w:val="auto"/>
        </w:rPr>
        <w:t>®</w:t>
      </w:r>
      <w:r>
        <w:rPr>
          <w:rFonts w:ascii="Arial" w:cs="Arial" w:eastAsia="Arial" w:hAnsi="Arial"/>
          <w:sz w:val="16"/>
          <w:szCs w:val="16"/>
          <w:color w:val="auto"/>
        </w:rPr>
        <w:t xml:space="preserve"> (pergolide mesylate), as an adjunctive treatment for Parkinson’s disease, from May 2001 until February 2004. On May 17, 2001, Amarin acquired the U.S. sales and marketing rights to Permax from Elan Corporation, or Elan. An affiliate of Elan had previously obtained the licensing rights to Permax from Eli Lilly and Company in 1993. Eli Lilly originally obtained approval for Permax on December 30, 1988, and has been responsible for the manufacture and supply of Permax since that date. On February 25, 2004, Amarin sold its U.S. subsidiary, Amarin Pharmaceuticals, Inc., including the rights to Permax, to Valeant Pharmaceuticals.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March 29, 2007, the FDA announced that the manufacturers of pergolide drug products would voluntarily remove these drug products, including Permax, from the market because of the risk of serious damage to patients’ heart valves. Further information about the removal of Permax and other pergolide drug products is available on the FDA’s website.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Six cases alleging claims related to cardiac valvulopathy and Permax were filed in April 2008 in the United States and currently remain pending. Eli Lilly, Valeant, Amarin Pharmaceuticals (sold to Valeant in 2004 as described above) and unidentified parties were named as defendants in these cases. Amarin was never named as a defendant or served with the complaints from these cases. We understand that, as of the date of this Quarterly Report on Form 10-Q, all of these cases have either settled or been dismissed.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any future payment obligations payable by Amarin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43"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Amarin.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received correspondence on behalf of the former shareholders of Ester asserting that Amarin is in breach of its amended agreement due to the fact that the Yissum terminated its license and Amarin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AMR101 or its use will issue as patents.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filed and are prosecuting numerous patent applications in the U.S. and internationally. In the U.S. we have filed patent applications which seek to expand to eleven the number of patent families protecting the proprietary position of AMR101. For certain of these patent families, we have filed multiple patent applications. Collectively the patent applications include numerous independent claims and dependent claims. Several of our patent applications contain claims that are based upon unexpected and positive findings from the MARINE and ANCHOR trials. If granted, many of these patents would expire in 2030. However, no assurance can be given that any of our patent applications will be granted or, if they grant, that they will prevent competitors from competing with AMR101. The patent applications we have filed in the U.S. and internationally are at varying stages of examination, the timing of which is outside our control. We cannot be certain what commercial value any granted patent in our patent estate will provide to us.</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process of obtaining a patent can be lengthy, during which patent claims may undergo substantial modification before allowance and could result in significantly reduced coverage for a product. There can be no assurance that the U.S. Patent Office or international patent offices will find the our arguments in support of patentability to be persuasive. The timing of the patent examination process is independent of and has no effect on the timing of the FDA’s review of our NDA.</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ind w:left="100"/>
              <w:spacing w:after="0"/>
              <w:rPr>
                <w:sz w:val="20"/>
                <w:szCs w:val="20"/>
                <w:color w:val="auto"/>
              </w:rPr>
            </w:pPr>
            <w:r>
              <w:rPr>
                <w:rFonts w:ascii="Arial" w:cs="Arial" w:eastAsia="Arial" w:hAnsi="Arial"/>
                <w:sz w:val="18"/>
                <w:szCs w:val="18"/>
                <w:color w:val="auto"/>
              </w:rPr>
              <w:t>10.1</w:t>
            </w:r>
          </w:p>
        </w:tc>
        <w:tc>
          <w:tcPr>
            <w:tcW w:w="10060" w:type="dxa"/>
            <w:vAlign w:val="bottom"/>
          </w:tcPr>
          <w:p>
            <w:pPr>
              <w:ind w:left="240"/>
              <w:spacing w:after="0"/>
              <w:rPr>
                <w:sz w:val="20"/>
                <w:szCs w:val="20"/>
                <w:color w:val="auto"/>
              </w:rPr>
            </w:pPr>
            <w:r>
              <w:rPr>
                <w:rFonts w:ascii="Arial" w:cs="Arial" w:eastAsia="Arial" w:hAnsi="Arial"/>
                <w:sz w:val="18"/>
                <w:szCs w:val="18"/>
                <w:color w:val="auto"/>
              </w:rPr>
              <w:t>Stuart Sedlack offer letter, dated August 1, 2007.</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10.2</w:t>
            </w:r>
          </w:p>
        </w:tc>
        <w:tc>
          <w:tcPr>
            <w:tcW w:w="10060" w:type="dxa"/>
            <w:vAlign w:val="bottom"/>
          </w:tcPr>
          <w:p>
            <w:pPr>
              <w:ind w:left="240"/>
              <w:spacing w:after="0"/>
              <w:rPr>
                <w:sz w:val="20"/>
                <w:szCs w:val="20"/>
                <w:color w:val="auto"/>
              </w:rPr>
            </w:pPr>
            <w:r>
              <w:rPr>
                <w:rFonts w:ascii="Arial" w:cs="Arial" w:eastAsia="Arial" w:hAnsi="Arial"/>
                <w:sz w:val="18"/>
                <w:szCs w:val="18"/>
                <w:color w:val="auto"/>
                <w:w w:val="96"/>
              </w:rPr>
              <w:t>Online Office Agreement dated as of September 30, 2011 by and between Amarin Corporation plc and Regus CME Ireland Ltd.</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060" w:type="dxa"/>
            <w:vAlign w:val="bottom"/>
          </w:tcPr>
          <w:p>
            <w:pPr>
              <w:ind w:left="240"/>
              <w:spacing w:after="0"/>
              <w:rPr>
                <w:sz w:val="20"/>
                <w:szCs w:val="20"/>
                <w:color w:val="auto"/>
              </w:rPr>
            </w:pPr>
            <w:r>
              <w:rPr>
                <w:rFonts w:ascii="Arial" w:cs="Arial" w:eastAsia="Arial" w:hAnsi="Arial"/>
                <w:sz w:val="18"/>
                <w:szCs w:val="18"/>
                <w:color w:val="auto"/>
                <w:w w:val="99"/>
              </w:rPr>
              <w:t>Certification of Chief Executive Officer (Principal Executive Officer) pursuant to Section 302 of Sarbanes-Oxley Act of 2002.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060" w:type="dxa"/>
            <w:vAlign w:val="bottom"/>
          </w:tcPr>
          <w:p>
            <w:pPr>
              <w:ind w:left="24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060" w:type="dxa"/>
            <w:vAlign w:val="bottom"/>
          </w:tcPr>
          <w:p>
            <w:pPr>
              <w:ind w:left="240"/>
              <w:spacing w:after="0"/>
              <w:rPr>
                <w:sz w:val="20"/>
                <w:szCs w:val="20"/>
                <w:color w:val="auto"/>
              </w:rPr>
            </w:pPr>
            <w:r>
              <w:rPr>
                <w:rFonts w:ascii="Arial" w:cs="Arial" w:eastAsia="Arial" w:hAnsi="Arial"/>
                <w:sz w:val="18"/>
                <w:szCs w:val="18"/>
                <w:color w:val="auto"/>
                <w:w w:val="90"/>
              </w:rPr>
              <w:t>Certification of Chief Executive Officer (Principal Executive Officer) and President (Principal Financial Officer) pursuant to Section 906 of</w:t>
            </w:r>
          </w:p>
        </w:tc>
      </w:tr>
      <w:tr>
        <w:trPr>
          <w:trHeight w:val="222"/>
        </w:trPr>
        <w:tc>
          <w:tcPr>
            <w:tcW w:w="920" w:type="dxa"/>
            <w:vAlign w:val="bottom"/>
          </w:tcPr>
          <w:p>
            <w:pPr>
              <w:spacing w:after="0"/>
              <w:rPr>
                <w:sz w:val="19"/>
                <w:szCs w:val="19"/>
                <w:color w:val="auto"/>
              </w:rPr>
            </w:pPr>
          </w:p>
        </w:tc>
        <w:tc>
          <w:tcPr>
            <w:tcW w:w="10060" w:type="dxa"/>
            <w:vAlign w:val="bottom"/>
          </w:tcPr>
          <w:p>
            <w:pPr>
              <w:ind w:left="240"/>
              <w:spacing w:after="0"/>
              <w:rPr>
                <w:sz w:val="20"/>
                <w:szCs w:val="20"/>
                <w:color w:val="auto"/>
              </w:rPr>
            </w:pPr>
            <w:r>
              <w:rPr>
                <w:rFonts w:ascii="Arial" w:cs="Arial" w:eastAsia="Arial" w:hAnsi="Arial"/>
                <w:sz w:val="18"/>
                <w:szCs w:val="18"/>
                <w:color w:val="auto"/>
              </w:rPr>
              <w:t>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5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240" w:top="459" w:right="8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118110</wp:posOffset>
            </wp:positionV>
            <wp:extent cx="1852295"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Floor, Block 3, The Oval, Shelbourne Road, Ballsbridge, Dublin 4, Ireland.</w:t>
      </w:r>
    </w:p>
    <w:p>
      <w:pPr>
        <w:spacing w:after="0" w:line="1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Tel: +353 (0) 1 669 9020</w:t>
      </w:r>
      <w:r>
        <w:rPr>
          <w:sz w:val="20"/>
          <w:szCs w:val="20"/>
          <w:color w:val="auto"/>
        </w:rPr>
        <w:tab/>
      </w:r>
      <w:r>
        <w:rPr>
          <w:rFonts w:ascii="Arial" w:cs="Arial" w:eastAsia="Arial" w:hAnsi="Arial"/>
          <w:sz w:val="15"/>
          <w:szCs w:val="15"/>
          <w:color w:val="auto"/>
        </w:rPr>
        <w:t>Fax: +353 (0) 1 669 9028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Stuart Sedlack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15505 Carrs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Woodbine, MD 21797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Stuart,</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refer to our recent conversations regarding your proposed appointment to the position of Vice President, Business Development. I am delighted to offer you this position on the following terms.</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purposes of this letter “Amarin” shall mean Amarin Corporation plc and its Affiliates. “Affiliates” shall mean any corporation or other business entity which is part of the same enterprise grouping as Amarin and which is controlled by, is under common control with, or controls the party, where control includes the ability to vote at least a majority of the voting shares of an entity.</w:t>
      </w:r>
    </w:p>
    <w:p>
      <w:pPr>
        <w:spacing w:after="0" w:line="21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Role/Title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Your title will be Executive Vice President, Strategic Development reporting to Alan Cooke, President and Chief Financial Officer. Initially you will be employed by Amarin Pharmaceutical Ireland Limited. Once an Affiliate of Amarin is established in the US, you will be employed by that Affiliate. For the avoidance of doubt the terms of this Offer Letter will apply to your employment by any such Affiliate.</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Specifically, you will be required to perform the role of Vice President, Business Development and to perform such other duties as may be assigned to you from time to time.</w:t>
      </w:r>
    </w:p>
    <w:p>
      <w:pPr>
        <w:spacing w:after="0" w:line="20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Commencement Date/Location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your starting date will be as soon as is practicable following your departure from your current employment (“</w:t>
      </w:r>
      <w:r>
        <w:rPr>
          <w:rFonts w:ascii="Arial" w:cs="Arial" w:eastAsia="Arial" w:hAnsi="Arial"/>
          <w:sz w:val="18"/>
          <w:szCs w:val="18"/>
          <w:b w:val="1"/>
          <w:bCs w:val="1"/>
          <w:color w:val="auto"/>
        </w:rPr>
        <w:t>Commencement Date</w:t>
      </w:r>
      <w:r>
        <w:rPr>
          <w:rFonts w:ascii="Arial" w:cs="Arial" w:eastAsia="Arial" w:hAnsi="Arial"/>
          <w:sz w:val="18"/>
          <w:szCs w:val="18"/>
          <w:color w:val="auto"/>
        </w:rPr>
        <w:t>”). You will work from home and you may be required to work at other locations from time to time. When we have established an office on the East coast of the U.S., which is likely to be in New Jersey, we will discuss your attendance requirements at that office in addition to your work from your home office. Normal office hours are from 9.00 am to 5.00 pm Monday to Friday. However, your duties are critical to the smooth running of the operation and as such you may be required to work outside these hours.</w:t>
      </w:r>
    </w:p>
    <w:p>
      <w:pPr>
        <w:sectPr>
          <w:pgSz w:w="11900" w:h="16838" w:orient="portrait"/>
          <w:cols w:equalWidth="0" w:num="1">
            <w:col w:w="11420"/>
          </w:cols>
          <w:pgMar w:left="240" w:top="125" w:right="239" w:bottom="1440" w:gutter="0" w:footer="0" w:header="0"/>
        </w:sectPr>
      </w:pPr>
    </w:p>
    <w:bookmarkStart w:id="26" w:name="page27"/>
    <w:bookmarkEnd w:id="26"/>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Amarin shall pay you the sum of US$265,000 gross per annum payable on or around the last Friday in each calendar month.</w:t>
      </w:r>
    </w:p>
    <w:p>
      <w:pPr>
        <w:spacing w:after="0" w:line="246"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will be entitled to the grant of options over 300,000 ordinary shares in Amarin Corporation plc of 5 pence each (equivalent to 300,000 American Depositary Receipts) which will vest one third on the first anniversary of the option grant date and the reminder in equal amounts over the following two anniversary dates. These options will be priced, approved and granted at the first remuneration committee meeting following the date of signature of this employment contract and your commencement of employment with Amarin. The provisions of the Amarin Corporation plc 2002 Stock Option Plan (as may be amended from time to time) shall apply to any options granted.</w:t>
      </w:r>
    </w:p>
    <w:p>
      <w:pPr>
        <w:spacing w:after="0" w:line="218"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Bonus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You will be entitled to be considered for a discretionary bonus for each calendar year served with Amarin up to a maximum of 50% of your annual salary although any such bonus shall be payable in the absolute discretion of Amarin’s management having regard to the performance of the Amarin group as a whole and in the light of your own personal performance during such year. Additionally, in the event that Amarin’s management determines, in its absolute discretion, to make an annual performance stock option grant to senior management, you will be entitled to be considered for such a grant.</w:t>
      </w:r>
    </w:p>
    <w:p>
      <w:pPr>
        <w:spacing w:after="0" w:line="18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Health Insurance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Amarin will reimburse you for the cost of your existing health and life insurance schemes, assuming the benefits and costs are somewhat comparable to the cost and benefits of those schemes offered to existing employees.</w:t>
      </w:r>
    </w:p>
    <w:p>
      <w:pPr>
        <w:spacing w:after="0" w:line="20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Pension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Amarin will pay 6% of your gross salary into your self-directed retirement account. Currently our pension benefit is undergoing a review at group level. If this review changes the pension contribution % for senior management, your contribution will be adjusted accordingly.</w:t>
      </w:r>
    </w:p>
    <w:p>
      <w:pPr>
        <w:spacing w:after="0" w:line="20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Amarin shall reimburse you for all reasonable expenses that you are authorised to incur whilst carrying out your duties on behalf of Amarin. You must follow the correct claims procedure and provide invoices or other evidence of payment in order to be reimbursed.</w:t>
      </w:r>
    </w:p>
    <w:p>
      <w:pPr>
        <w:spacing w:after="0" w:line="20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Hours of work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Your normal hours of work shall be 35 hours per week, although Amarin expects you to work such hours and at such times as may be reasonably necessary in order for you to carry out your duties effectively. There is no entitlement to payment for overtime.</w:t>
      </w:r>
    </w:p>
    <w:p>
      <w:pPr>
        <w:sectPr>
          <w:pgSz w:w="11900" w:h="16838" w:orient="portrait"/>
          <w:cols w:equalWidth="0" w:num="1">
            <w:col w:w="11400"/>
          </w:cols>
          <w:pgMar w:left="240" w:top="274" w:right="259" w:bottom="1440" w:gutter="0" w:footer="0" w:header="0"/>
        </w:sectPr>
      </w:pPr>
    </w:p>
    <w:bookmarkStart w:id="27" w:name="page28"/>
    <w:bookmarkEnd w:id="27"/>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Holidays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You are entitled to paid holidays of 24 days per annum, excluding statutory and customary holidays. The holiday year is from 1 January to 31 December and unused holiday entitlement may not be carried forward. Holidays must be taken at times convenient to Amarin and sufficient notice of intention to take holiday must be given to accommodate the needs of the business.</w:t>
      </w:r>
    </w:p>
    <w:p>
      <w:pPr>
        <w:spacing w:after="0" w:line="140" w:lineRule="exact"/>
        <w:rPr>
          <w:sz w:val="20"/>
          <w:szCs w:val="20"/>
          <w:color w:val="auto"/>
        </w:rPr>
      </w:pPr>
    </w:p>
    <w:p>
      <w:pPr>
        <w:ind w:right="160" w:firstLine="8"/>
        <w:spacing w:after="0" w:line="332" w:lineRule="auto"/>
        <w:tabs>
          <w:tab w:leader="none" w:pos="2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working hours you shall devote all of your time, attention and skill to Amarin’s business and interests in a proper and efficient manner, and shall use your best efforts to further and promote Amarin’s business and to act loyally and faithfully to Amarin.</w:t>
      </w:r>
    </w:p>
    <w:p>
      <w:pPr>
        <w:spacing w:after="0" w:line="160" w:lineRule="exact"/>
        <w:rPr>
          <w:rFonts w:ascii="Arial" w:cs="Arial" w:eastAsia="Arial" w:hAnsi="Arial"/>
          <w:sz w:val="16"/>
          <w:szCs w:val="16"/>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Confidential Information and Company Documents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You shall neither during your engagement with Amarin (except in the proper performance of your duties) nor at any time after the termination of your engagement with Amarin:</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divulge or communicate to any person, company, business entity or other organisation;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for your own purposes or for any other purposes other than those of Amarin or any Affiliate;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permit or cause any unauthorised disclosure of</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any Confidential Information. These restrictions shall cease to apply to any information which shall become available to the public generally otherwise than through your default.</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“Confidential Information” shall mean any proprietary information of Amarin, including, without limitation, information relating to products, processes, services, businesses, personnel, research, financial strategies and activities, commercial strategies and activities, formulas, materials, compounds, substances, programmes, devices, concepts, inventions, patents, designs, methods, techniques, intellectual property, marketing strategies, data, trade secrets, know-how, plans, operations, tests, studies, manuals, market reports, customers, financial status, cash flow projections and the like or any other matter connected with the business of Amarin, or any of its suppliers, partners or customers related to Amarin or its business.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books, notes, memoranda, records, lists of customers and suppliers and employees, correspondence, documents, computer and other discs, tapes and other data storage, date listings, codes, designs, and drawings and other documents and material whatsoever (whether made or created by you or otherwise) relating to the business of Amarin (and copies of the same):</w:t>
      </w:r>
    </w:p>
    <w:p>
      <w:pPr>
        <w:spacing w:after="0" w:line="5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shall be and remain the property of Amarin or the relevant Affiliate; and</w:t>
      </w:r>
    </w:p>
    <w:p>
      <w:pPr>
        <w:sectPr>
          <w:pgSz w:w="11900" w:h="16838" w:orient="portrait"/>
          <w:cols w:equalWidth="0" w:num="1">
            <w:col w:w="11380"/>
          </w:cols>
          <w:pgMar w:left="240" w:top="274" w:right="279" w:bottom="1440" w:gutter="0" w:footer="0" w:header="0"/>
        </w:sectPr>
      </w:pPr>
    </w:p>
    <w:bookmarkStart w:id="28" w:name="page29"/>
    <w:bookmarkEnd w:id="28"/>
    <w:p>
      <w:pPr>
        <w:ind w:left="900" w:hanging="446"/>
        <w:spacing w:after="0"/>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handed over by you to Amarin or to the relevant Affiliate on demand and in any event on the termination of your engagement with Amarin.</w:t>
      </w:r>
    </w:p>
    <w:p>
      <w:pPr>
        <w:spacing w:after="0" w:line="269" w:lineRule="exact"/>
        <w:rPr>
          <w:rFonts w:ascii="Arial" w:cs="Arial" w:eastAsia="Arial" w:hAnsi="Arial"/>
          <w:sz w:val="16"/>
          <w:szCs w:val="16"/>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96" w:lineRule="exact"/>
        <w:rPr>
          <w:sz w:val="20"/>
          <w:szCs w:val="20"/>
          <w:color w:val="auto"/>
        </w:rPr>
      </w:pPr>
    </w:p>
    <w:p>
      <w:pPr>
        <w:ind w:left="460" w:right="40" w:hanging="445"/>
        <w:spacing w:after="0" w:line="259" w:lineRule="auto"/>
        <w:rPr>
          <w:sz w:val="20"/>
          <w:szCs w:val="20"/>
          <w:color w:val="auto"/>
        </w:rPr>
      </w:pPr>
      <w:r>
        <w:rPr>
          <w:rFonts w:ascii="Arial" w:cs="Arial" w:eastAsia="Arial" w:hAnsi="Arial"/>
          <w:sz w:val="18"/>
          <w:szCs w:val="18"/>
          <w:color w:val="auto"/>
        </w:rPr>
        <w:t>13.1 Subject to clause 13.2, you are entitled to give and receive from Amarin 12 months notice of the termination of your employment. If written notice is given by you or by Amarin to terminate your employment, Amarin may, notwithstanding any other terms of these terms and conditions and in its absolute discretion, require you to:</w:t>
      </w:r>
    </w:p>
    <w:p>
      <w:pPr>
        <w:spacing w:after="0" w:line="59" w:lineRule="exact"/>
        <w:rPr>
          <w:sz w:val="20"/>
          <w:szCs w:val="20"/>
          <w:color w:val="auto"/>
        </w:rPr>
      </w:pPr>
    </w:p>
    <w:p>
      <w:pPr>
        <w:ind w:left="900" w:right="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perform such duties as Amarin may direct or to perform no duties during the period of your notice provided always that it shall continue to pay you your salary and provide all contractual benefits to which you are entitled during such notice period. You agree that, during any part of any period of notice, you will not work for any other employer;</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 a payment of salary in lieu of notice and your employment shall terminate immediately but without prejudice to any other claim Amarin or you may have against the other.</w:t>
      </w:r>
    </w:p>
    <w:p>
      <w:pPr>
        <w:spacing w:after="0" w:line="51" w:lineRule="exact"/>
        <w:rPr>
          <w:sz w:val="20"/>
          <w:szCs w:val="20"/>
          <w:color w:val="auto"/>
        </w:rPr>
      </w:pPr>
    </w:p>
    <w:p>
      <w:pPr>
        <w:ind w:left="460" w:right="20" w:hanging="445"/>
        <w:spacing w:after="0" w:line="294" w:lineRule="auto"/>
        <w:rPr>
          <w:sz w:val="20"/>
          <w:szCs w:val="20"/>
          <w:color w:val="auto"/>
        </w:rPr>
      </w:pPr>
      <w:r>
        <w:rPr>
          <w:rFonts w:ascii="Arial" w:cs="Arial" w:eastAsia="Arial" w:hAnsi="Arial"/>
          <w:sz w:val="16"/>
          <w:szCs w:val="16"/>
          <w:color w:val="auto"/>
        </w:rPr>
        <w:t>13.2 In the event that Amarin serves notice of termination of your employment under clause 13.1 within the first 18 months following the Commencement Date, in addition to your rights set forth in Clause 13.1, following the expiry of the 12 months notice period (“</w:t>
      </w:r>
      <w:r>
        <w:rPr>
          <w:rFonts w:ascii="Arial" w:cs="Arial" w:eastAsia="Arial" w:hAnsi="Arial"/>
          <w:sz w:val="16"/>
          <w:szCs w:val="16"/>
          <w:b w:val="1"/>
          <w:bCs w:val="1"/>
          <w:color w:val="auto"/>
        </w:rPr>
        <w:t>Initial Notice Period</w:t>
      </w:r>
      <w:r>
        <w:rPr>
          <w:rFonts w:ascii="Arial" w:cs="Arial" w:eastAsia="Arial" w:hAnsi="Arial"/>
          <w:sz w:val="16"/>
          <w:szCs w:val="16"/>
          <w:color w:val="auto"/>
        </w:rPr>
        <w:t>”), you shall be entitled to act as a consultant to Amarin on a month to month basis from the expiry of the Initial Notice Period until the earlier of (a) the thirty month anniversary of the Commencement Date and (b) the date upon which you accept an offer of employment with a third party (“</w:t>
      </w:r>
      <w:r>
        <w:rPr>
          <w:rFonts w:ascii="Arial" w:cs="Arial" w:eastAsia="Arial" w:hAnsi="Arial"/>
          <w:sz w:val="16"/>
          <w:szCs w:val="16"/>
          <w:b w:val="1"/>
          <w:bCs w:val="1"/>
          <w:color w:val="auto"/>
        </w:rPr>
        <w:t>Optional Consultancy Period</w:t>
      </w:r>
      <w:r>
        <w:rPr>
          <w:rFonts w:ascii="Arial" w:cs="Arial" w:eastAsia="Arial" w:hAnsi="Arial"/>
          <w:sz w:val="16"/>
          <w:szCs w:val="16"/>
          <w:color w:val="auto"/>
        </w:rPr>
        <w:t>”). During the Optional Consultancy Period, you will be required to provide transitional consultancy services to Amarin of 5 hours each month at a rate of $200 per hour.</w:t>
      </w:r>
    </w:p>
    <w:p>
      <w:pPr>
        <w:spacing w:after="0" w:line="191"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Termination without Notice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cases of gross misconduct Amarin may terminate your engagement immediately without notice and without liability for compensation or damages. In the event of a dispute arising in respect of any such termination by Amarin this dispute will be governed by the laws of the State of New York and shall be subject to the exclusive jurisdiction of the courts of New York.</w:t>
      </w:r>
    </w:p>
    <w:p>
      <w:pPr>
        <w:spacing w:after="0" w:line="215"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Sickness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you are ill and unfit for work, you must personally contact your manager as early as possible on the first day and comply with the absence policy as detailed in the handbook.</w:t>
      </w:r>
    </w:p>
    <w:p>
      <w:pPr>
        <w:sectPr>
          <w:pgSz w:w="11900" w:h="16838" w:orient="portrait"/>
          <w:cols w:equalWidth="0" w:num="1">
            <w:col w:w="11400"/>
          </w:cols>
          <w:pgMar w:left="240" w:top="280" w:right="259" w:bottom="1440" w:gutter="0" w:footer="0" w:header="0"/>
        </w:sectPr>
      </w:pPr>
    </w:p>
    <w:bookmarkStart w:id="29" w:name="page30"/>
    <w:bookmarkEnd w:id="2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are ill for less than 7 consecutive days (including weekends) you must complete a self certification form. For longer periods of illness a Doctor’s certificate must be supplied and additional ones sent to cover the whole period of sickness.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Company Sick Pay may be paid at Amarin’s absolute discretion as follows in a rolling 12 month period:</w:t>
      </w:r>
    </w:p>
    <w:p>
      <w:pPr>
        <w:sectPr>
          <w:pgSz w:w="11900" w:h="16838" w:orient="portrait"/>
          <w:cols w:equalWidth="0" w:num="1">
            <w:col w:w="11400"/>
          </w:cols>
          <w:pgMar w:left="240" w:top="280" w:right="259" w:bottom="1440" w:gutter="0" w:footer="0" w:header="0"/>
        </w:sectPr>
      </w:pPr>
    </w:p>
    <w:p>
      <w:pPr>
        <w:spacing w:after="0" w:line="356" w:lineRule="exact"/>
        <w:rPr>
          <w:sz w:val="20"/>
          <w:szCs w:val="20"/>
          <w:color w:val="auto"/>
        </w:rPr>
      </w:pPr>
    </w:p>
    <w:p>
      <w:pPr>
        <w:ind w:left="1840"/>
        <w:spacing w:after="0"/>
        <w:rPr>
          <w:sz w:val="20"/>
          <w:szCs w:val="20"/>
          <w:color w:val="auto"/>
        </w:rPr>
      </w:pPr>
      <w:r>
        <w:rPr>
          <w:rFonts w:ascii="Arial" w:cs="Arial" w:eastAsia="Arial" w:hAnsi="Arial"/>
          <w:sz w:val="11"/>
          <w:szCs w:val="11"/>
          <w:b w:val="1"/>
          <w:bCs w:val="1"/>
          <w:color w:val="auto"/>
        </w:rPr>
        <w:t>Length of continuous employment on</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commencement of absence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Period for which full pay is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normally payable in a twelve</w:t>
      </w:r>
    </w:p>
    <w:p>
      <w:pPr>
        <w:spacing w:after="0" w:line="235" w:lineRule="auto"/>
        <w:rPr>
          <w:sz w:val="20"/>
          <w:szCs w:val="20"/>
          <w:color w:val="auto"/>
        </w:rPr>
      </w:pPr>
      <w:r>
        <w:rPr>
          <w:rFonts w:ascii="Arial" w:cs="Arial" w:eastAsia="Arial" w:hAnsi="Arial"/>
          <w:sz w:val="14"/>
          <w:szCs w:val="14"/>
          <w:b w:val="1"/>
          <w:bCs w:val="1"/>
          <w:color w:val="auto"/>
        </w:rPr>
        <w:t>month period</w:t>
      </w:r>
    </w:p>
    <w:p>
      <w:pPr>
        <w:spacing w:after="0" w:line="20" w:lineRule="exact"/>
        <w:rPr>
          <w:sz w:val="20"/>
          <w:szCs w:val="20"/>
          <w:color w:val="auto"/>
        </w:rPr>
      </w:pPr>
    </w:p>
    <w:p>
      <w:pPr>
        <w:sectPr>
          <w:pgSz w:w="11900" w:h="16838" w:orient="portrait"/>
          <w:cols w:equalWidth="0" w:num="2">
            <w:col w:w="5300" w:space="720"/>
            <w:col w:w="5380"/>
          </w:cols>
          <w:pgMar w:left="240" w:top="280" w:right="259" w:bottom="1440" w:gutter="0" w:footer="0" w:header="0"/>
          <w:type w:val="continuous"/>
        </w:sectPr>
      </w:pPr>
    </w:p>
    <w:tbl>
      <w:tblPr>
        <w:tblLayout w:type="fixed"/>
        <w:tblInd w:w="1840" w:type="dxa"/>
        <w:tblCellMar>
          <w:top w:w="0" w:type="dxa"/>
          <w:left w:w="0" w:type="dxa"/>
          <w:bottom w:w="0" w:type="dxa"/>
          <w:right w:w="0" w:type="dxa"/>
        </w:tblCellMar>
      </w:tblPr>
      <w:tr>
        <w:trPr>
          <w:trHeight w:val="20"/>
        </w:trPr>
        <w:tc>
          <w:tcPr>
            <w:tcW w:w="2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Up to 1 year</w:t>
            </w:r>
          </w:p>
        </w:tc>
        <w:tc>
          <w:tcPr>
            <w:tcW w:w="3660" w:type="dxa"/>
            <w:vAlign w:val="bottom"/>
            <w:gridSpan w:val="2"/>
          </w:tcPr>
          <w:p>
            <w:pPr>
              <w:ind w:left="1900"/>
              <w:spacing w:after="0" w:line="195" w:lineRule="exact"/>
              <w:rPr>
                <w:sz w:val="20"/>
                <w:szCs w:val="20"/>
                <w:color w:val="auto"/>
              </w:rPr>
            </w:pPr>
            <w:r>
              <w:rPr>
                <w:rFonts w:ascii="Arial" w:cs="Arial" w:eastAsia="Arial" w:hAnsi="Arial"/>
                <w:sz w:val="18"/>
                <w:szCs w:val="18"/>
                <w:color w:val="auto"/>
              </w:rPr>
              <w:t>4 weeks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w w:val="94"/>
              </w:rPr>
              <w:t>Over 1 year and up to 3 years</w:t>
            </w:r>
          </w:p>
        </w:tc>
        <w:tc>
          <w:tcPr>
            <w:tcW w:w="3660" w:type="dxa"/>
            <w:vAlign w:val="bottom"/>
            <w:gridSpan w:val="2"/>
          </w:tcPr>
          <w:p>
            <w:pPr>
              <w:ind w:left="1900"/>
              <w:spacing w:after="0"/>
              <w:rPr>
                <w:sz w:val="20"/>
                <w:szCs w:val="20"/>
                <w:color w:val="auto"/>
              </w:rPr>
            </w:pPr>
            <w:r>
              <w:rPr>
                <w:rFonts w:ascii="Arial" w:cs="Arial" w:eastAsia="Arial" w:hAnsi="Arial"/>
                <w:sz w:val="18"/>
                <w:szCs w:val="18"/>
                <w:color w:val="auto"/>
              </w:rPr>
              <w:t>8 weeks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w w:val="91"/>
              </w:rPr>
              <w:t>Over 3 years and up to 5 years</w:t>
            </w:r>
          </w:p>
        </w:tc>
        <w:tc>
          <w:tcPr>
            <w:tcW w:w="3660" w:type="dxa"/>
            <w:vAlign w:val="bottom"/>
            <w:gridSpan w:val="2"/>
          </w:tcPr>
          <w:p>
            <w:pPr>
              <w:ind w:left="1900"/>
              <w:spacing w:after="0"/>
              <w:rPr>
                <w:sz w:val="20"/>
                <w:szCs w:val="20"/>
                <w:color w:val="auto"/>
              </w:rPr>
            </w:pPr>
            <w:r>
              <w:rPr>
                <w:rFonts w:ascii="Arial" w:cs="Arial" w:eastAsia="Arial" w:hAnsi="Arial"/>
                <w:sz w:val="18"/>
                <w:szCs w:val="18"/>
                <w:color w:val="auto"/>
              </w:rPr>
              <w:t>13 weeks</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Over 5 years</w:t>
            </w:r>
          </w:p>
        </w:tc>
        <w:tc>
          <w:tcPr>
            <w:tcW w:w="3660" w:type="dxa"/>
            <w:vAlign w:val="bottom"/>
            <w:gridSpan w:val="2"/>
          </w:tcPr>
          <w:p>
            <w:pPr>
              <w:ind w:left="1900"/>
              <w:spacing w:after="0"/>
              <w:rPr>
                <w:sz w:val="20"/>
                <w:szCs w:val="20"/>
                <w:color w:val="auto"/>
              </w:rPr>
            </w:pPr>
            <w:r>
              <w:rPr>
                <w:rFonts w:ascii="Arial" w:cs="Arial" w:eastAsia="Arial" w:hAnsi="Arial"/>
                <w:sz w:val="18"/>
                <w:szCs w:val="18"/>
                <w:color w:val="auto"/>
              </w:rPr>
              <w:t>26 weeks</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Amarin may at any time require you to have a medical examination at Amarin’s expense.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Should you have, or develop a condition that could be described as a disability you have a duty to inform us so that any reasonable adjustment may be made to your work or working environment. This disclosure would be treated in strictest confidence and you would not be discriminated against in any way.</w:t>
      </w:r>
    </w:p>
    <w:p>
      <w:pPr>
        <w:spacing w:after="0" w:line="160"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shall be part of your contractual duties (whether alone or with any other employee of Amarin or any Affiliate) at all times to further the interests of Amarin and, without prejudice to the generality of the foregoing and to the extent as is consistent with the your role within Amarin;</w:t>
      </w:r>
    </w:p>
    <w:p>
      <w:pPr>
        <w:spacing w:after="0" w:line="51" w:lineRule="exact"/>
        <w:rPr>
          <w:sz w:val="20"/>
          <w:szCs w:val="20"/>
          <w:color w:val="auto"/>
        </w:rPr>
      </w:pPr>
    </w:p>
    <w:p>
      <w:pPr>
        <w:ind w:left="900" w:right="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make, discover and conceive inventions, processes, techniques, designs, improvements or developments relating to or capable of use or adaptation for use in connection with the business of Amarin or any Affiliate (“an Invention”)</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consider in what manner and by what new methods or devices the products, services, processes, equipment or systems of Amarin or any Affiliate with which you are concerned or for which you are responsible, might be improved (“a Development”);</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promptly to give to Amarin or any Affiliate full details of any such Invention or Development which you may from time to time make or discover in the course of your engagement with Amarin;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further the interests of Amarin’s or any Affiliate’s undertaking with regard thereto</w:t>
      </w:r>
    </w:p>
    <w:p>
      <w:pPr>
        <w:sectPr>
          <w:pgSz w:w="11900" w:h="16838" w:orient="portrait"/>
          <w:cols w:equalWidth="0" w:num="1">
            <w:col w:w="11400"/>
          </w:cols>
          <w:pgMar w:left="240" w:top="280"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Amarin or any Affiliate shall be entitled to the exclusive ownership of any such Invention or Development and to the exclusive use thereof.</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You shall immediately give full information to the board of directors of Amarin (the “Board”) as to such Invention or Development and the exact mode of working, producing, using and exploiting the same and shall also give all such explanations and instructions to the Board as may be necessary or useful to enable Amarin or any Affiliate to obtain full benefit of them and will at the expense of Amarin or any Affiliate furnish it with all necessary plans, drawings, formulae and models applicable to the same and shall at the cost and expense of Amarin or any Affiliate execute all documents and do all acts and things necessary to enable Amarin or any Affiliate (or its or their nominees) to apply for and obtain protection for such Inventions and Developments throughout the world and for vesting the ownership of them in Amarin or any Affiliate (or its or their nominees).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You shall not knowingly do anything to imperil the validity of any patent or protection related to the business of Amarin or any Affiliate or any application therefore but shall at the expense of Amarin or any Affiliate render all possible assistance to Amarin or any Affiliate, both in obtaining and in maintaining such patents or other protection.</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shall not either during your engagement with Amarin or any time thereafter exploit or assist others to exploit any Invention or Development which you may from time to time make or discover in the course of your engagement with Amarin or (unless the same shall have become public knowledge otherwise than by breach by you of the terms of this Offer Letter) make public or disclose any such Invention or Development or improvement or give any information in respect of the same except to Amarin or any Affiliate or as it may direct.</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You hereby irrevocably appoint Amarin or any Affiliate to be your attorney in your name and on your behalf to execute all documents and do all things necessary and generally to use your name for the purpose of giving Amarin or any Affiliate (or its or their nominees) the full benefit of the provisions of this clause and in favour of any third party a certificate in writing signed by any director or the secretary of Amarin or any Affiliate that any instrument or act which falls within the authority conferred by this clause which shall be conclusive evidence that such is the case.</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Copyright and unregistered design rights in all works created by you in the course of your engagement with Amarin will, in accordance with the Copyright Designs and Patent Act 1988, vest in Amarin or any Affiliate. Rights in any design registerable pursuant to the Registered Designs Act 1949, (as amended) (the “Act”) created by you in the course of your engagement with Amarin shall, in accordance with the Act, vest in Amarin or any Affiliate.</w:t>
      </w:r>
    </w:p>
    <w:p>
      <w:pPr>
        <w:spacing w:after="0" w:line="182"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Restrictions during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course of your engagement with Amarin, you shall not: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directly or indirectly employed, engaged, concerned or interested in any other business or undertaking; or</w:t>
      </w:r>
    </w:p>
    <w:p>
      <w:pPr>
        <w:sectPr>
          <w:pgSz w:w="11900" w:h="16838" w:orient="portrait"/>
          <w:cols w:equalWidth="0" w:num="1">
            <w:col w:w="11380"/>
          </w:cols>
          <w:pgMar w:left="240" w:top="280" w:right="279" w:bottom="1440" w:gutter="0" w:footer="0" w:header="0"/>
        </w:sectPr>
      </w:pPr>
    </w:p>
    <w:bookmarkStart w:id="31" w:name="page32"/>
    <w:bookmarkEnd w:id="31"/>
    <w:p>
      <w:pPr>
        <w:ind w:left="460" w:right="5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engage in any activity which the Board reasonably considers may be, or become, harmful to the interests of Amarin or any Affiliate or which might reasonably be considered to interfere with the performance of your duties under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above provisions shall not apply:</w:t>
      </w:r>
    </w:p>
    <w:p>
      <w:pPr>
        <w:spacing w:after="0" w:line="90" w:lineRule="exact"/>
        <w:rPr>
          <w:sz w:val="20"/>
          <w:szCs w:val="20"/>
          <w:color w:val="auto"/>
        </w:rPr>
      </w:pPr>
    </w:p>
    <w:p>
      <w:pPr>
        <w:ind w:left="460" w:right="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holding by you (directly or through nominees) of investments listed on the London Stock Exchange or in respect of which dealing takes place in the Unlisted Securities Market on the London Stock Exchange or any recognised stock exchange as long as you do not hold more than 5 % of the issued shares or other securities of any class of any one company; or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any act undertaken by you with the prior written consent of the Board; or</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any interest permitted with the prior approval of the Board (such interest not to be unreasonably withheld) for you to serve from time to time and continue to serve on the boards of, and hold any other offices or positions in, companies or organisations which will not present any conflict of interest with Amarin or any Affiliate and provided that such activities do not materially detract from the performance of your duties;</w:t>
      </w:r>
    </w:p>
    <w:p>
      <w:pPr>
        <w:spacing w:after="0" w:line="25"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your serving as a member of the Business Advisory Board of Fountain Healthcare Partners on the basis of a maximum time commitment of 2 half days per calendar quarter and provided that, save with the prior approval of Amarin’s Chief Financial Officer, you shall exclude yourself from any involvement in any assignments or discussions with Fountain Healthcare Partners which may present any conflict of interest with the business or affairs of Amarin or any of its Affiliates.</w:t>
      </w:r>
    </w:p>
    <w:p>
      <w:pPr>
        <w:spacing w:after="0" w:line="218"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Share Dealings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shall comply fully with Amarin’s Share Dealing Code.</w:t>
      </w:r>
    </w:p>
    <w:p>
      <w:pPr>
        <w:spacing w:after="0" w:line="246"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Conditions of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offer of employment is conditional upon:</w:t>
      </w:r>
    </w:p>
    <w:p>
      <w:pPr>
        <w:spacing w:after="0" w:line="90" w:lineRule="exact"/>
        <w:rPr>
          <w:sz w:val="20"/>
          <w:szCs w:val="20"/>
          <w:color w:val="auto"/>
        </w:rPr>
      </w:pPr>
    </w:p>
    <w:p>
      <w:pPr>
        <w:ind w:left="460" w:right="6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receipt by the Amarin of two satisfactory employment references, one of which must be given by your current employer. Please provide names and addresses of two referees, who may be contacted immediately;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receipt of original professional and educational qualifications (where requested);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pre-employment checks being acceptable to the Amarin.</w:t>
      </w:r>
    </w:p>
    <w:p>
      <w:pPr>
        <w:sectPr>
          <w:pgSz w:w="11900" w:h="16838" w:orient="portrait"/>
          <w:cols w:equalWidth="0" w:num="1">
            <w:col w:w="11400"/>
          </w:cols>
          <w:pgMar w:left="240" w:top="280" w:right="25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choose to accept the offer on the above terms and conditions, please sign and return the copy of this Offer Letter to our General Counsel, Tom Maher at Amarin, First Floor, Block 3, The Oval, Shelbourne Road, Ballsbridge, Dublin 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 joining our company and I am sure you will have a successful and challenging career with Amarin.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AMARIN CORPORATION plc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Alan Cooke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Alan Cooke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President and CFO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hereby accept and agree to be bound by the terms and conditions of the Offer Letter set out above.</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Signed</w:t>
      </w:r>
      <w:r>
        <w:rPr>
          <w:sz w:val="20"/>
          <w:szCs w:val="20"/>
          <w:color w:val="auto"/>
        </w:rPr>
        <w:tab/>
      </w:r>
      <w:r>
        <w:rPr>
          <w:rFonts w:ascii="Arial" w:cs="Arial" w:eastAsia="Arial" w:hAnsi="Arial"/>
          <w:sz w:val="18"/>
          <w:szCs w:val="18"/>
          <w:color w:val="auto"/>
        </w:rPr>
        <w:t>/s/ Stuart Sedlack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Stuart Sedlack</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1 August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120"/>
          </w:cols>
          <w:pgMar w:left="240" w:top="280" w:right="539" w:bottom="1440" w:gutter="0" w:footer="0" w:header="0"/>
        </w:sectPr>
      </w:pPr>
    </w:p>
    <w:bookmarkStart w:id="33" w:name="page34"/>
    <w:bookmarkEnd w:id="33"/>
    <w:p>
      <w:pPr>
        <w:ind w:left="10520"/>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Regus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46125" cy="3689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30/09/2011</w:t>
      </w:r>
    </w:p>
    <w:p>
      <w:pPr>
        <w:spacing w:after="0" w:line="200" w:lineRule="exact"/>
        <w:rPr>
          <w:sz w:val="20"/>
          <w:szCs w:val="20"/>
          <w:color w:val="auto"/>
        </w:rPr>
      </w:pPr>
    </w:p>
    <w:p>
      <w:pPr>
        <w:sectPr>
          <w:pgSz w:w="11900" w:h="16838" w:orient="portrait"/>
          <w:cols w:equalWidth="0" w:num="2">
            <w:col w:w="9900" w:space="720"/>
            <w:col w:w="800"/>
          </w:cols>
          <w:pgMar w:left="240" w:top="125"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Online Office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Agreement Date: Friday, September 30, 2011</w:t>
            </w: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Confirmation No: 32768-146551</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640" w:type="dxa"/>
            <w:vAlign w:val="bottom"/>
          </w:tcPr>
          <w:p>
            <w:pPr>
              <w:spacing w:after="0"/>
              <w:rPr>
                <w:sz w:val="20"/>
                <w:szCs w:val="20"/>
                <w:color w:val="auto"/>
              </w:rPr>
            </w:pPr>
            <w:r>
              <w:rPr>
                <w:rFonts w:ascii="Arial" w:cs="Arial" w:eastAsia="Arial" w:hAnsi="Arial"/>
                <w:sz w:val="18"/>
                <w:szCs w:val="18"/>
                <w:b w:val="1"/>
                <w:bCs w:val="1"/>
                <w:color w:val="auto"/>
              </w:rPr>
              <w:t>Business Center Details</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Client Details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b w:val="1"/>
                <w:bCs w:val="1"/>
                <w:color w:val="auto"/>
              </w:rPr>
              <w:t>DUBLIN, 2 Pembroke House</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Company Name</w:t>
            </w:r>
          </w:p>
        </w:tc>
        <w:tc>
          <w:tcPr>
            <w:tcW w:w="2420" w:type="dxa"/>
            <w:vAlign w:val="bottom"/>
          </w:tcPr>
          <w:p>
            <w:pPr>
              <w:ind w:left="240"/>
              <w:spacing w:after="0"/>
              <w:rPr>
                <w:sz w:val="20"/>
                <w:szCs w:val="20"/>
                <w:color w:val="auto"/>
              </w:rPr>
            </w:pPr>
            <w:r>
              <w:rPr>
                <w:rFonts w:ascii="Arial" w:cs="Arial" w:eastAsia="Arial" w:hAnsi="Arial"/>
                <w:sz w:val="18"/>
                <w:szCs w:val="18"/>
                <w:color w:val="auto"/>
              </w:rPr>
              <w:t>Amarin Corporation</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3580" w:type="dxa"/>
            <w:vAlign w:val="bottom"/>
            <w:gridSpan w:val="2"/>
          </w:tcPr>
          <w:p>
            <w:pPr>
              <w:ind w:left="460"/>
              <w:spacing w:after="0"/>
              <w:rPr>
                <w:sz w:val="20"/>
                <w:szCs w:val="20"/>
                <w:color w:val="auto"/>
              </w:rPr>
            </w:pPr>
            <w:r>
              <w:rPr>
                <w:rFonts w:ascii="Arial" w:cs="Arial" w:eastAsia="Arial" w:hAnsi="Arial"/>
                <w:sz w:val="18"/>
                <w:szCs w:val="18"/>
                <w:color w:val="auto"/>
              </w:rPr>
              <w:t>Upper Pembroke Street 28-32</w:t>
            </w: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Contact Name</w:t>
            </w:r>
          </w:p>
        </w:tc>
        <w:tc>
          <w:tcPr>
            <w:tcW w:w="2420" w:type="dxa"/>
            <w:vAlign w:val="bottom"/>
          </w:tcPr>
          <w:p>
            <w:pPr>
              <w:ind w:left="240"/>
              <w:spacing w:after="0"/>
              <w:rPr>
                <w:sz w:val="20"/>
                <w:szCs w:val="20"/>
                <w:color w:val="auto"/>
              </w:rPr>
            </w:pPr>
            <w:r>
              <w:rPr>
                <w:rFonts w:ascii="Arial" w:cs="Arial" w:eastAsia="Arial" w:hAnsi="Arial"/>
                <w:sz w:val="18"/>
                <w:szCs w:val="18"/>
                <w:color w:val="auto"/>
              </w:rPr>
              <w:t>Conor Dalton</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20" w:type="dxa"/>
            <w:vAlign w:val="bottom"/>
          </w:tcPr>
          <w:p>
            <w:pPr>
              <w:ind w:left="460"/>
              <w:spacing w:after="0"/>
              <w:rPr>
                <w:sz w:val="20"/>
                <w:szCs w:val="20"/>
                <w:color w:val="auto"/>
              </w:rPr>
            </w:pPr>
            <w:r>
              <w:rPr>
                <w:rFonts w:ascii="Arial" w:cs="Arial" w:eastAsia="Arial" w:hAnsi="Arial"/>
                <w:sz w:val="18"/>
                <w:szCs w:val="18"/>
                <w:color w:val="auto"/>
              </w:rPr>
              <w:t>Dublin</w:t>
            </w:r>
          </w:p>
        </w:tc>
        <w:tc>
          <w:tcPr>
            <w:tcW w:w="1760" w:type="dxa"/>
            <w:vAlign w:val="bottom"/>
          </w:tcPr>
          <w:p>
            <w:pPr>
              <w:spacing w:after="0"/>
              <w:rPr>
                <w:sz w:val="24"/>
                <w:szCs w:val="24"/>
                <w:color w:val="auto"/>
              </w:rPr>
            </w:pP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Address</w:t>
            </w:r>
          </w:p>
        </w:tc>
        <w:tc>
          <w:tcPr>
            <w:tcW w:w="2420" w:type="dxa"/>
            <w:vAlign w:val="bottom"/>
          </w:tcPr>
          <w:p>
            <w:pPr>
              <w:ind w:left="240"/>
              <w:spacing w:after="0"/>
              <w:rPr>
                <w:sz w:val="20"/>
                <w:szCs w:val="20"/>
                <w:color w:val="auto"/>
              </w:rPr>
            </w:pPr>
            <w:r>
              <w:rPr>
                <w:rFonts w:ascii="Arial" w:cs="Arial" w:eastAsia="Arial" w:hAnsi="Arial"/>
                <w:sz w:val="18"/>
                <w:szCs w:val="18"/>
                <w:color w:val="auto"/>
              </w:rPr>
              <w:t>1st Floor</w:t>
            </w:r>
          </w:p>
        </w:tc>
        <w:tc>
          <w:tcPr>
            <w:tcW w:w="0" w:type="dxa"/>
            <w:vAlign w:val="bottom"/>
          </w:tcPr>
          <w:p>
            <w:pPr>
              <w:spacing w:after="0"/>
              <w:rPr>
                <w:sz w:val="1"/>
                <w:szCs w:val="1"/>
                <w:color w:val="auto"/>
              </w:rPr>
            </w:pPr>
          </w:p>
        </w:tc>
      </w:tr>
      <w:tr>
        <w:trPr>
          <w:trHeight w:val="224"/>
        </w:trPr>
        <w:tc>
          <w:tcPr>
            <w:tcW w:w="2640" w:type="dxa"/>
            <w:vAlign w:val="bottom"/>
          </w:tcPr>
          <w:p>
            <w:pPr>
              <w:spacing w:after="0"/>
              <w:rPr>
                <w:sz w:val="19"/>
                <w:szCs w:val="19"/>
                <w:color w:val="auto"/>
              </w:rPr>
            </w:pPr>
          </w:p>
        </w:tc>
        <w:tc>
          <w:tcPr>
            <w:tcW w:w="1820" w:type="dxa"/>
            <w:vAlign w:val="bottom"/>
          </w:tcPr>
          <w:p>
            <w:pPr>
              <w:ind w:left="460"/>
              <w:spacing w:after="0"/>
              <w:rPr>
                <w:sz w:val="20"/>
                <w:szCs w:val="20"/>
                <w:color w:val="auto"/>
              </w:rPr>
            </w:pPr>
            <w:r>
              <w:rPr>
                <w:rFonts w:ascii="Arial" w:cs="Arial" w:eastAsia="Arial" w:hAnsi="Arial"/>
                <w:sz w:val="18"/>
                <w:szCs w:val="18"/>
                <w:color w:val="auto"/>
                <w:w w:val="89"/>
              </w:rPr>
              <w:t>Republic of Ireland</w:t>
            </w: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The Oval</w:t>
            </w:r>
          </w:p>
        </w:tc>
        <w:tc>
          <w:tcPr>
            <w:tcW w:w="0" w:type="dxa"/>
            <w:vAlign w:val="bottom"/>
          </w:tcPr>
          <w:p>
            <w:pPr>
              <w:spacing w:after="0"/>
              <w:rPr>
                <w:sz w:val="1"/>
                <w:szCs w:val="1"/>
                <w:color w:val="auto"/>
              </w:rPr>
            </w:pPr>
          </w:p>
        </w:tc>
      </w:tr>
      <w:tr>
        <w:trPr>
          <w:trHeight w:val="208"/>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Sales Manager</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auto"/>
                <w:w w:val="94"/>
              </w:rPr>
              <w:t>Althaea Federlein</w:t>
            </w:r>
          </w:p>
        </w:tc>
        <w:tc>
          <w:tcPr>
            <w:tcW w:w="1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Shelbourne Road</w:t>
            </w:r>
          </w:p>
        </w:tc>
        <w:tc>
          <w:tcPr>
            <w:tcW w:w="0" w:type="dxa"/>
            <w:vAlign w:val="bottom"/>
          </w:tcPr>
          <w:p>
            <w:pPr>
              <w:spacing w:after="0"/>
              <w:rPr>
                <w:sz w:val="1"/>
                <w:szCs w:val="1"/>
                <w:color w:val="auto"/>
              </w:rPr>
            </w:pPr>
          </w:p>
        </w:tc>
      </w:tr>
      <w:tr>
        <w:trPr>
          <w:trHeight w:val="141"/>
        </w:trPr>
        <w:tc>
          <w:tcPr>
            <w:tcW w:w="26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20" w:type="dxa"/>
            <w:vAlign w:val="bottom"/>
            <w:vMerge w:val="restart"/>
          </w:tcPr>
          <w:p>
            <w:pPr>
              <w:ind w:left="240"/>
              <w:spacing w:after="0"/>
              <w:rPr>
                <w:sz w:val="20"/>
                <w:szCs w:val="20"/>
                <w:color w:val="auto"/>
              </w:rPr>
            </w:pPr>
            <w:r>
              <w:rPr>
                <w:rFonts w:ascii="Arial" w:cs="Arial" w:eastAsia="Arial" w:hAnsi="Arial"/>
                <w:sz w:val="18"/>
                <w:szCs w:val="18"/>
                <w:color w:val="auto"/>
              </w:rPr>
              <w:t>Dublin</w:t>
            </w:r>
          </w:p>
        </w:tc>
        <w:tc>
          <w:tcPr>
            <w:tcW w:w="0" w:type="dxa"/>
            <w:vAlign w:val="bottom"/>
          </w:tcPr>
          <w:p>
            <w:pPr>
              <w:spacing w:after="0"/>
              <w:rPr>
                <w:sz w:val="1"/>
                <w:szCs w:val="1"/>
                <w:color w:val="auto"/>
              </w:rPr>
            </w:pPr>
          </w:p>
        </w:tc>
      </w:tr>
      <w:tr>
        <w:trPr>
          <w:trHeight w:val="75"/>
        </w:trPr>
        <w:tc>
          <w:tcPr>
            <w:tcW w:w="26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D4</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Republic of Ireland</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Phone</w:t>
            </w:r>
          </w:p>
        </w:tc>
        <w:tc>
          <w:tcPr>
            <w:tcW w:w="2420" w:type="dxa"/>
            <w:vAlign w:val="bottom"/>
          </w:tcPr>
          <w:p>
            <w:pPr>
              <w:ind w:left="240"/>
              <w:spacing w:after="0"/>
              <w:rPr>
                <w:sz w:val="20"/>
                <w:szCs w:val="20"/>
                <w:color w:val="auto"/>
              </w:rPr>
            </w:pPr>
            <w:r>
              <w:rPr>
                <w:rFonts w:ascii="Arial" w:cs="Arial" w:eastAsia="Arial" w:hAnsi="Arial"/>
                <w:sz w:val="18"/>
                <w:szCs w:val="18"/>
                <w:color w:val="auto"/>
              </w:rPr>
              <w:t>+353(0)862715407</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Email</w:t>
            </w:r>
          </w:p>
        </w:tc>
        <w:tc>
          <w:tcPr>
            <w:tcW w:w="2420" w:type="dxa"/>
            <w:vAlign w:val="bottom"/>
          </w:tcPr>
          <w:p>
            <w:pPr>
              <w:ind w:left="240"/>
              <w:spacing w:after="0"/>
              <w:rPr>
                <w:sz w:val="20"/>
                <w:szCs w:val="20"/>
                <w:color w:val="auto"/>
              </w:rPr>
            </w:pPr>
            <w:r>
              <w:rPr>
                <w:rFonts w:ascii="Arial" w:cs="Arial" w:eastAsia="Arial" w:hAnsi="Arial"/>
                <w:sz w:val="18"/>
                <w:szCs w:val="18"/>
                <w:color w:val="auto"/>
                <w:w w:val="87"/>
              </w:rPr>
              <w:t>conor.dalton@amarincorp.com</w:t>
            </w:r>
          </w:p>
        </w:tc>
        <w:tc>
          <w:tcPr>
            <w:tcW w:w="0" w:type="dxa"/>
            <w:vAlign w:val="bottom"/>
          </w:tcPr>
          <w:p>
            <w:pPr>
              <w:spacing w:after="0"/>
              <w:rPr>
                <w:sz w:val="1"/>
                <w:szCs w:val="1"/>
                <w:color w:val="auto"/>
              </w:rPr>
            </w:pPr>
          </w:p>
        </w:tc>
      </w:tr>
      <w:tr>
        <w:trPr>
          <w:trHeight w:val="37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Office Payment Details (exc. tax and exc. services)</w:t>
            </w: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Office Number</w:t>
            </w:r>
          </w:p>
        </w:tc>
        <w:tc>
          <w:tcPr>
            <w:tcW w:w="18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Number of people</w:t>
            </w:r>
          </w:p>
        </w:tc>
        <w:tc>
          <w:tcPr>
            <w:tcW w:w="1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305</w:t>
            </w:r>
          </w:p>
        </w:tc>
        <w:tc>
          <w:tcPr>
            <w:tcW w:w="18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w:t>
            </w:r>
          </w:p>
        </w:tc>
        <w:tc>
          <w:tcPr>
            <w:tcW w:w="1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308</w:t>
            </w:r>
          </w:p>
        </w:tc>
        <w:tc>
          <w:tcPr>
            <w:tcW w:w="18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w:t>
            </w:r>
          </w:p>
        </w:tc>
        <w:tc>
          <w:tcPr>
            <w:tcW w:w="1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309</w:t>
            </w:r>
          </w:p>
        </w:tc>
        <w:tc>
          <w:tcPr>
            <w:tcW w:w="18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w:t>
            </w:r>
          </w:p>
        </w:tc>
        <w:tc>
          <w:tcPr>
            <w:tcW w:w="1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20"/>
                <w:szCs w:val="20"/>
                <w:color w:val="auto"/>
              </w:rPr>
            </w:pPr>
            <w:r>
              <w:rPr>
                <w:rFonts w:ascii="Arial" w:cs="Arial" w:eastAsia="Arial" w:hAnsi="Arial"/>
                <w:sz w:val="18"/>
                <w:szCs w:val="18"/>
                <w:b w:val="1"/>
                <w:bCs w:val="1"/>
                <w:color w:val="auto"/>
              </w:rPr>
              <w:t>Initial Payment:</w:t>
            </w:r>
          </w:p>
        </w:tc>
        <w:tc>
          <w:tcPr>
            <w:tcW w:w="224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First month’s fee:</w:t>
            </w:r>
          </w:p>
        </w:tc>
        <w:tc>
          <w:tcPr>
            <w:tcW w:w="13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324"/>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Service Retainer:</w:t>
            </w:r>
          </w:p>
        </w:tc>
        <w:tc>
          <w:tcPr>
            <w:tcW w:w="13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5,400.00</w:t>
            </w:r>
          </w:p>
        </w:tc>
      </w:tr>
      <w:tr>
        <w:trPr>
          <w:trHeight w:val="324"/>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Total Initial Payment:</w:t>
            </w:r>
          </w:p>
        </w:tc>
        <w:tc>
          <w:tcPr>
            <w:tcW w:w="13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5,400.00</w:t>
            </w:r>
          </w:p>
        </w:tc>
      </w:tr>
      <w:tr>
        <w:trPr>
          <w:trHeight w:val="324"/>
        </w:trPr>
        <w:tc>
          <w:tcPr>
            <w:tcW w:w="1920" w:type="dxa"/>
            <w:vAlign w:val="bottom"/>
          </w:tcPr>
          <w:p>
            <w:pPr>
              <w:spacing w:after="0"/>
              <w:rPr>
                <w:sz w:val="20"/>
                <w:szCs w:val="20"/>
                <w:color w:val="auto"/>
              </w:rPr>
            </w:pPr>
            <w:r>
              <w:rPr>
                <w:rFonts w:ascii="Arial" w:cs="Arial" w:eastAsia="Arial" w:hAnsi="Arial"/>
                <w:sz w:val="18"/>
                <w:szCs w:val="18"/>
                <w:b w:val="1"/>
                <w:bCs w:val="1"/>
                <w:color w:val="auto"/>
              </w:rPr>
              <w:t>Monthly Payment:</w:t>
            </w:r>
          </w:p>
        </w:tc>
        <w:tc>
          <w:tcPr>
            <w:tcW w:w="224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Total Monthly Payment therafter:</w:t>
            </w:r>
          </w:p>
        </w:tc>
        <w:tc>
          <w:tcPr>
            <w:tcW w:w="13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2,700.00</w:t>
            </w:r>
          </w:p>
        </w:tc>
      </w:tr>
      <w:tr>
        <w:trPr>
          <w:trHeight w:val="419"/>
        </w:trPr>
        <w:tc>
          <w:tcPr>
            <w:tcW w:w="1920" w:type="dxa"/>
            <w:vAlign w:val="bottom"/>
          </w:tcPr>
          <w:p>
            <w:pPr>
              <w:spacing w:after="0"/>
              <w:rPr>
                <w:sz w:val="20"/>
                <w:szCs w:val="20"/>
                <w:color w:val="auto"/>
              </w:rPr>
            </w:pPr>
            <w:r>
              <w:rPr>
                <w:rFonts w:ascii="Arial" w:cs="Arial" w:eastAsia="Arial" w:hAnsi="Arial"/>
                <w:sz w:val="18"/>
                <w:szCs w:val="18"/>
                <w:b w:val="1"/>
                <w:bCs w:val="1"/>
                <w:color w:val="auto"/>
              </w:rPr>
              <w:t>Service Provision:</w:t>
            </w:r>
          </w:p>
        </w:tc>
        <w:tc>
          <w:tcPr>
            <w:tcW w:w="2240" w:type="dxa"/>
            <w:vAlign w:val="bottom"/>
          </w:tcPr>
          <w:p>
            <w:pPr>
              <w:ind w:left="500"/>
              <w:spacing w:after="0"/>
              <w:rPr>
                <w:sz w:val="20"/>
                <w:szCs w:val="20"/>
                <w:color w:val="auto"/>
              </w:rPr>
            </w:pPr>
            <w:r>
              <w:rPr>
                <w:rFonts w:ascii="Arial" w:cs="Arial" w:eastAsia="Arial" w:hAnsi="Arial"/>
                <w:sz w:val="18"/>
                <w:szCs w:val="18"/>
                <w:b w:val="1"/>
                <w:bCs w:val="1"/>
                <w:color w:val="auto"/>
              </w:rPr>
              <w:t>Start Date</w:t>
            </w:r>
          </w:p>
        </w:tc>
        <w:tc>
          <w:tcPr>
            <w:tcW w:w="3680" w:type="dxa"/>
            <w:vAlign w:val="bottom"/>
          </w:tcPr>
          <w:p>
            <w:pPr>
              <w:jc w:val="right"/>
              <w:ind w:right="2232"/>
              <w:spacing w:after="0"/>
              <w:rPr>
                <w:sz w:val="20"/>
                <w:szCs w:val="20"/>
                <w:color w:val="auto"/>
              </w:rPr>
            </w:pPr>
            <w:r>
              <w:rPr>
                <w:rFonts w:ascii="Arial" w:cs="Arial" w:eastAsia="Arial" w:hAnsi="Arial"/>
                <w:sz w:val="18"/>
                <w:szCs w:val="18"/>
                <w:color w:val="auto"/>
                <w:w w:val="93"/>
              </w:rPr>
              <w:t>1 November 2011</w:t>
            </w:r>
          </w:p>
        </w:tc>
        <w:tc>
          <w:tcPr>
            <w:tcW w:w="1320" w:type="dxa"/>
            <w:vAlign w:val="bottom"/>
          </w:tcPr>
          <w:p>
            <w:pPr>
              <w:ind w:left="60"/>
              <w:spacing w:after="0"/>
              <w:rPr>
                <w:sz w:val="20"/>
                <w:szCs w:val="20"/>
                <w:color w:val="auto"/>
              </w:rPr>
            </w:pPr>
            <w:r>
              <w:rPr>
                <w:rFonts w:ascii="Arial" w:cs="Arial" w:eastAsia="Arial" w:hAnsi="Arial"/>
                <w:sz w:val="18"/>
                <w:szCs w:val="18"/>
                <w:b w:val="1"/>
                <w:bCs w:val="1"/>
                <w:color w:val="auto"/>
              </w:rPr>
              <w:t>End Date</w:t>
            </w:r>
          </w:p>
        </w:tc>
        <w:tc>
          <w:tcPr>
            <w:tcW w:w="2260" w:type="dxa"/>
            <w:vAlign w:val="bottom"/>
          </w:tcPr>
          <w:p>
            <w:pPr>
              <w:jc w:val="right"/>
              <w:ind w:right="432"/>
              <w:spacing w:after="0"/>
              <w:rPr>
                <w:sz w:val="20"/>
                <w:szCs w:val="20"/>
                <w:color w:val="auto"/>
              </w:rPr>
            </w:pPr>
            <w:r>
              <w:rPr>
                <w:rFonts w:ascii="Arial" w:cs="Arial" w:eastAsia="Arial" w:hAnsi="Arial"/>
                <w:sz w:val="18"/>
                <w:szCs w:val="18"/>
                <w:color w:val="auto"/>
              </w:rPr>
              <w:t>31 October 2012</w:t>
            </w:r>
          </w:p>
        </w:tc>
      </w:tr>
      <w:tr>
        <w:trPr>
          <w:trHeight w:val="378"/>
        </w:trPr>
        <w:tc>
          <w:tcPr>
            <w:tcW w:w="4160" w:type="dxa"/>
            <w:vAlign w:val="bottom"/>
            <w:gridSpan w:val="2"/>
          </w:tcPr>
          <w:p>
            <w:pPr>
              <w:spacing w:after="0"/>
              <w:rPr>
                <w:sz w:val="20"/>
                <w:szCs w:val="20"/>
                <w:color w:val="auto"/>
              </w:rPr>
            </w:pPr>
            <w:r>
              <w:rPr>
                <w:rFonts w:ascii="Arial" w:cs="Arial" w:eastAsia="Arial" w:hAnsi="Arial"/>
                <w:sz w:val="18"/>
                <w:szCs w:val="18"/>
                <w:color w:val="auto"/>
                <w:w w:val="89"/>
              </w:rPr>
              <w:t>All agreements end on the last calendar day of the month.</w:t>
            </w:r>
          </w:p>
        </w:tc>
        <w:tc>
          <w:tcPr>
            <w:tcW w:w="3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5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Comments: </w:t>
      </w:r>
      <w:r>
        <w:rPr>
          <w:rFonts w:ascii="Arial" w:cs="Arial" w:eastAsia="Arial" w:hAnsi="Arial"/>
          <w:sz w:val="16"/>
          <w:szCs w:val="16"/>
          <w:color w:val="auto"/>
        </w:rPr>
        <w:t>Terms and conditions have been read, understood and accepted. Payment is required in advance no later than 25th of each month. Late payment of</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will incur a penalty fee. It has been agreed that months 1, 4, 7 &amp; 10 will be rent free (this does not include services). All chargeable rental months are at 2700 per month (not including services). Monthly recurring fees at this stage are: 368. This breaks down as: 2 x RegusNet Broadband Bundle@ 129. Client has decided not to take phone line at this stage. 1 x beverage package @ 39. It has been agreed that the client can take one parking space for 200 per month. One off set up fees: 2 x months deposit has been agreed. 49 per person for keys, fobs and security settings. 1 x 129 for RegusNet Broadband Bundle connections Client is aware of the exit charges highlighted in Section 8 and wants the choice at the end of the contract to whether avail of the Business Continuity Package. Complimentary Businessworld Gold Card allowing access to all 1100 Business Lounges globally. All prices are subject to 21% VAT</w:t>
      </w:r>
    </w:p>
    <w:p>
      <w:pPr>
        <w:spacing w:after="0" w:line="10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1. This Agreement</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1.1 Nature of this agreement: This agreement is the commercial equivalent of an agreement for accommodation(s) in a hotel. The whole of the Center remains in Regus’ possession and control. THE CLIENT ACCEPTS THAT THIS AGREEMENT CREATES NO TENANCY INTEREST, LEASEHOLD ESTATE OR OTHER REAL PROPERTY INTEREST IN THE CLIENT’S FAVOUR WITH RESPECT TO THE ACCOMMODATION(S). Regus is giving the Client the right to share with Regus the use of the Center on these terms and conditions, as supplemented by the House Rules, so that Regus can provide the services to the Client. This agreement is personal to the Client and cannot be transferred to anyone else. This agreement is composed of the front page describing the accommodation(s), the present terms and conditions and the House Rules.</w:t>
      </w:r>
    </w:p>
    <w:p>
      <w:pPr>
        <w:spacing w:after="0" w:line="12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1.2 Comply with House Rules: The Client must comply with any House Rules which Regus imposes generally on users of the Center. The House Rules vary from country to country and from Center to Center and these can be requested locally.</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1.3 Duration: This agreement lasts for the period stated in it and then will be extended automatically for successive periods equal to the current term but no less than 3 months (unless legal renewal term limits apply) until brought to an end by the Client or by Regus. All periods shall run to the last day of the month in which they would otherwise expire. The fees on any renewal will be at the then prevailing market rate.</w:t>
      </w:r>
    </w:p>
    <w:p>
      <w:pPr>
        <w:spacing w:after="0" w:line="12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1.4 Bringing this agreement to an end: Either Regus or the Client can terminate this agreement at the end date stated in it, or at the end of any extension or renewal period, by giving at least three months written notice to the other. However, if this agreement, extension or renewal is for three months or less and either Regus or the Client wishes to terminate it, the notice period is two months or (if two months or shorter) one week less than the period stated in this agreement.</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1.5 Ending this agreement immediately: To the maximum extent permitted by applicable law, Regus may put an end to this agreement immediately by giving the Client notice and without need to follow any additional procedure if (a) the Client becomes insolvent, bankrupt, goes into liquidation or becomes unable to pay its debts as they fall due, or (b) the Client is in breach of one of its obligations which cannot be put right or which Regus have given the Client notice to put right and which the Client has failed to put right within fourteen (14) days of that notice, or (c) its conduct, or that of someone at the Center with its permission or invitation, is incompatible with ordinary office use.</w:t>
      </w:r>
    </w:p>
    <w:p>
      <w:pPr>
        <w:spacing w:after="0" w:line="336"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color w:val="auto"/>
        </w:rPr>
        <w:t>If Regus puts an end to this agreement for any of these reasons it does not put an end to any outstanding obligations, including additional services used and the monthly office fee for the remainder of the period for which this agreement would have lasted if Regus had not ended it.</w:t>
      </w:r>
    </w:p>
    <w:p>
      <w:pPr>
        <w:spacing w:after="0" w:line="113" w:lineRule="exact"/>
        <w:rPr>
          <w:sz w:val="20"/>
          <w:szCs w:val="20"/>
          <w:color w:val="auto"/>
        </w:rPr>
      </w:pPr>
    </w:p>
    <w:p>
      <w:pPr>
        <w:ind w:right="240"/>
        <w:spacing w:after="0" w:line="314" w:lineRule="auto"/>
        <w:rPr>
          <w:sz w:val="20"/>
          <w:szCs w:val="20"/>
          <w:color w:val="auto"/>
        </w:rPr>
      </w:pPr>
      <w:r>
        <w:rPr>
          <w:rFonts w:ascii="Arial" w:cs="Arial" w:eastAsia="Arial" w:hAnsi="Arial"/>
          <w:sz w:val="15"/>
          <w:szCs w:val="15"/>
          <w:color w:val="auto"/>
        </w:rPr>
        <w:t>1.6 If the Center is no longer available: In the event that Regus is permanently unable to provide the services and accommodation(s) at the Center stated in this agreement then this agreement will end and the Client will only have to pay monthly office fees up to the date it ends and for the additional services the Client has used. Regus will try to find suitable alternative accommodation(s) for the Client at another Regus Center.</w:t>
      </w:r>
    </w:p>
    <w:p>
      <w:pPr>
        <w:spacing w:after="0" w:line="1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1.7 When this agreement ends the Client is to vacate the accommodation(s) immediately, leaving the accommodation(s) in the same condition as it was when the Client took it. Upon the Client’s departure or if the Client, at its option, chooses to relocate to different rooms within the Centre, Regus will charge an Office Restoration Service fee to cover normal cleaning and testing and to return the accommodation(s) to its original state. This fee will differ by country and is listed in the House Rules. Regus reserves the right to charge additional reasonable fees for any repairs needed above and beyond normal wear and tear. If the Client leaves any property in the Centre Regus may dispose of it at the Client’s cost in any way Regus chooses without owing the Client any responsibility for it or any proceeds of sale. When a Client vacates its accommodation(s) invariably Regus continues to receive the Client’s mail, faxes, telephone calls and visitors. In order to professionally manage the redirection of the Client’s calls, mail, faxes and visitors Regus charges a one-time Business Continuity Service. This service lasts for three months after the end of the date of this agreement. If in the event that there are no calls, mail, faxes or visitors this service will not be applied. This fee is located in the house rules.</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4.3 Insurance: It is the Client’s responsibility to arrange insurance for its own property which it brings in to the Center and for its own liability to its employees and to third parties. Regus strongly recommends that the Client put such insurance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-675005</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Use</w:t>
      </w:r>
    </w:p>
    <w:p>
      <w:pPr>
        <w:spacing w:after="0" w:line="9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5.1 The Client must only use the accommodation(s) for office purposes. Office use of a “retail” or “medical” nature, involving frequent visits by members of the public, is not permitted.</w:t>
      </w:r>
    </w:p>
    <w:p>
      <w:pPr>
        <w:spacing w:after="0" w:line="14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5.2 The Client must not carry on a business that competes with Regus’ business of providing services office accommodation(s).</w:t>
      </w:r>
    </w:p>
    <w:p>
      <w:pPr>
        <w:spacing w:after="0" w:line="85"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5.3 The Client’s name and address: The Client may only carry on that business in its name or some other name that Regus previously agrees.</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5.4 Use of the Center Address: The Client may use the Center address as its business address. Any other uses are prohibited without Regus’ prior written consent.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Compliance</w:t>
      </w:r>
    </w:p>
    <w:p>
      <w:pPr>
        <w:spacing w:after="0" w:line="96" w:lineRule="exact"/>
        <w:rPr>
          <w:sz w:val="20"/>
          <w:szCs w:val="20"/>
          <w:color w:val="auto"/>
        </w:rPr>
      </w:pPr>
    </w:p>
    <w:p>
      <w:pPr>
        <w:ind w:firstLine="1"/>
        <w:spacing w:after="0" w:line="301" w:lineRule="auto"/>
        <w:tabs>
          <w:tab w:leader="none" w:pos="176" w:val="left"/>
        </w:tabs>
        <w:numPr>
          <w:ilvl w:val="0"/>
          <w:numId w:val="44"/>
        </w:numPr>
        <w:rPr>
          <w:rFonts w:ascii="Arial" w:cs="Arial" w:eastAsia="Arial" w:hAnsi="Arial"/>
          <w:sz w:val="15"/>
          <w:szCs w:val="15"/>
          <w:color w:val="auto"/>
        </w:rPr>
      </w:pPr>
      <w:r>
        <w:rPr>
          <w:rFonts w:ascii="Arial" w:cs="Arial" w:eastAsia="Arial" w:hAnsi="Arial"/>
          <w:sz w:val="15"/>
          <w:szCs w:val="15"/>
          <w:color w:val="auto"/>
        </w:rPr>
        <w:t>1 Comply with the law: The Client must comply with all relevant laws and regulations in the conduct of its business. The Client must do nothing illegal in connection with its use of the Business Center. The Client must not do anything that may interfere with the use of the Center by Regus or by others, cause any nuisance or annoyance, increase the insurance premiums Regus has to pay, or cause loss or damage to Regus (including damage to reputation) or to the owner of any interest in the building which contains the Center the Client is using. The Client acknowledges that (a) the terms of the foregoing sentence are a material inducement in Regus’ execution of this agreement and</w:t>
      </w:r>
    </w:p>
    <w:p>
      <w:pPr>
        <w:spacing w:after="0" w:line="4" w:lineRule="exact"/>
        <w:rPr>
          <w:rFonts w:ascii="Arial" w:cs="Arial" w:eastAsia="Arial" w:hAnsi="Arial"/>
          <w:sz w:val="15"/>
          <w:szCs w:val="15"/>
          <w:color w:val="auto"/>
        </w:rPr>
      </w:pPr>
    </w:p>
    <w:p>
      <w:pPr>
        <w:jc w:val="both"/>
        <w:ind w:right="320"/>
        <w:spacing w:after="0" w:line="302" w:lineRule="auto"/>
        <w:rPr>
          <w:rFonts w:ascii="Arial" w:cs="Arial" w:eastAsia="Arial" w:hAnsi="Arial"/>
          <w:sz w:val="15"/>
          <w:szCs w:val="15"/>
          <w:color w:val="auto"/>
        </w:rPr>
      </w:pPr>
      <w:r>
        <w:rPr>
          <w:rFonts w:ascii="Arial" w:cs="Arial" w:eastAsia="Arial" w:hAnsi="Arial"/>
          <w:sz w:val="16"/>
          <w:szCs w:val="16"/>
          <w:color w:val="auto"/>
        </w:rPr>
        <w:t>(b) any violation by the Client of the foregoing sentence shall constitute a material default by the Client hereunder, entitling Regus to terminate this agreement, without further notice or procedure.</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6.2 The Client’s personal data may be transferred outside the European Union where Regus has a Center for the purposes of providing the services herein. Regus has adopted internal rules to ensure data protection in accordance with European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Regus’ Liability</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7.1 The extent of Regus’ liability: To the maximum extent permitted by applicable law, Regus is not liable to the Client in respect of any loss or damage the Client suffers in connection with this agreement, with the services or with the Client’s accommodation(s) unless Regus has acted deliberately or negligently in causing that loss or damage. Regus is not liable for any loss as a result of Regus’ failure to provide a service as a result of mechanical breakdown, strike, termination of Regus’ interest in the building containing the Center or otherwise unless Regus does so deliberately or is negligent. In no event shall Regus be liable for any loss or damage until the Client provides Regus written notice and gives Regus a reasonable time to put it right. If Regus is liable for failing to provide the Client with any service under this agreement then subject to the exclusions and limits set out immediately below Regus will pay any actual and reasonable expenses the Client has incurred in obtaining that service from an alternative source. If the Client believes Regus has failed to deliver a service consistent with these terms and conditions the Client shall provide Regus written notice of such failure and give Regus a reasonable period to put it right.</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7.2. EXCLUSION OF CONSEQUENTIAL LOSSES, ETC.: REGUS WILL NOT IN ANY CIRCUMSTANCES HAVE ANY LIABILITY FOR LOSS OF BUSINESS, LOSS OF PROFITS, LOSS OF ANTICIPATED SAVINGS, LOSS OF OR DAMAGE TO DATA, THIRD PARTY CLAIMS OR ANY CONSEQUENTIAL LOSS UNLESS REGUS OTHERWISE AGREES IN WRITING. REGUS STRONGLY ADVISES THE CLIENT TO INSURE AGAINST ALL SUCH POTENTIAL LOSS, DAMAGE, EXPENSE OR LIABILITY.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7.3. Financial limits to Regus’ liability: In all cases, Regus’ liability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Client is subject to the following limits:</w:t>
      </w:r>
    </w:p>
    <w:p>
      <w:pPr>
        <w:spacing w:after="0" w:line="84" w:lineRule="exact"/>
        <w:rPr>
          <w:sz w:val="20"/>
          <w:szCs w:val="20"/>
          <w:color w:val="auto"/>
        </w:rPr>
      </w:pPr>
    </w:p>
    <w:p>
      <w:pPr>
        <w:ind w:left="400" w:hanging="399"/>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Without limit for personal injury or death;</w:t>
      </w:r>
    </w:p>
    <w:p>
      <w:pPr>
        <w:spacing w:after="0" w:line="90" w:lineRule="exact"/>
        <w:rPr>
          <w:rFonts w:ascii="Arial" w:cs="Arial" w:eastAsia="Arial" w:hAnsi="Arial"/>
          <w:sz w:val="18"/>
          <w:szCs w:val="18"/>
          <w:color w:val="auto"/>
        </w:rPr>
      </w:pPr>
    </w:p>
    <w:p>
      <w:pPr>
        <w:ind w:left="400" w:right="20" w:hanging="399"/>
        <w:spacing w:after="0" w:line="298" w:lineRule="auto"/>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 to a maximum of £1 million / USD$2 million / €1.3 million (or local equivalent) for any one event or series of connected events for damage to the Client’s personal property except in Turkey where it will be up to a maximum of the monthly office fee over the current term;</w:t>
      </w:r>
    </w:p>
    <w:p>
      <w:pPr>
        <w:sectPr>
          <w:pgSz w:w="11900" w:h="16838" w:orient="portrait"/>
          <w:cols w:equalWidth="0" w:num="2">
            <w:col w:w="5480" w:space="340"/>
            <w:col w:w="5480"/>
          </w:cols>
          <w:pgMar w:left="240" w:top="314" w:right="359" w:bottom="0" w:gutter="0" w:footer="0" w:header="0"/>
        </w:sectPr>
      </w:pPr>
    </w:p>
    <w:bookmarkStart w:id="35" w:name="page36"/>
    <w:bookmarkEnd w:id="35"/>
    <w:p>
      <w:pPr>
        <w:spacing w:after="0" w:line="34" w:lineRule="exact"/>
        <w:rPr>
          <w:sz w:val="20"/>
          <w:szCs w:val="20"/>
          <w:color w:val="auto"/>
        </w:rPr>
      </w:pPr>
    </w:p>
    <w:p>
      <w:pPr>
        <w:ind w:right="100" w:firstLine="365"/>
        <w:spacing w:after="0" w:line="255" w:lineRule="auto"/>
        <w:rPr>
          <w:sz w:val="20"/>
          <w:szCs w:val="20"/>
          <w:color w:val="auto"/>
        </w:rPr>
      </w:pPr>
      <w:r>
        <w:rPr>
          <w:rFonts w:ascii="Arial" w:cs="Arial" w:eastAsia="Arial" w:hAnsi="Arial"/>
          <w:sz w:val="18"/>
          <w:szCs w:val="18"/>
          <w:color w:val="auto"/>
        </w:rPr>
        <w:t>If the Client continues to use the accommodation(s) when this agreement has ended the Client is responsible for any loss, claim or liability Regus incurs as a result of the Client’s failure to vacate on time. Regus may, at its discretion, permit the Client an extension subject to a surcharge on the monthly office fee.</w:t>
      </w:r>
    </w:p>
    <w:p>
      <w:pPr>
        <w:spacing w:after="0" w:line="14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1.8 Employees: While this agreement is in force and for a period of six months after it ends, neither Regus nor the Client may knowingly solicit or offer employment to any of the other’s staff employed in the Center. This obligation applies to any employee employed at the Center up to that employee’s termination of employment, and for three months thereafter. It is stipulated that the breaching party shall pay the non-breaching party the equivalent of one year’s salary for any employee concerned. Nothing in this clause shall prevent either party from employing an individual who responds in good faith and independently to an advertisement which is made to the public at large.</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1.9 Client Representation of Regus Employees: Throughout the duration of this agreement, Client agrees that neither Client, nor any of Client’s partners, members, officers or employees will represent, or otherwise provide legal counsel to, any of Regus’ current or former employees in any dispute with, or legal proceeding against, Regus, or any of Regus’ affiliates, members, officers or employees.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1.10 Notices: All formal notices must be in writing to the address first written above.</w:t>
      </w:r>
    </w:p>
    <w:p>
      <w:pPr>
        <w:spacing w:after="0" w:line="13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1.11 Confidentiality: The terms of this agreement are confidential. Neither Regus nor the Client must disclose them without the other’s consent unless required to do so by law or an official authority. This obligation continues after this agreement ends.</w:t>
      </w:r>
    </w:p>
    <w:p>
      <w:pPr>
        <w:spacing w:after="0" w:line="143"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1.12 Applicable law: This agreement is interpreted and enforced in accordance with the law of the place where the relevant Centre is located. Regus and the Client both accept the exclusive jurisdiction of the courts of such jurisdiction. If any provision of these terms and conditions is held void or unenforceable under the applicable law, the other provisions shall remain in force. In the case of Japan all arrangements will interpreted and enforced by the Tokyo District Court, and in the case of France, any dispute regarding this agreement will be settled by the relevant courts of the Paris jurisdiction.</w:t>
      </w:r>
    </w:p>
    <w:p>
      <w:pPr>
        <w:spacing w:after="0" w:line="10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1.13 Enforcing this agreement: The Client must pay any reasonable and proper costs including legal fees that Regus incurs in enforcing this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Services and Obligations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2.1 Furnished office accommodation(s): Regus is to provide the number of serviced and furnished office accommodation(s) for which the Client has agreed to pay in the Center stated in this agreement. This agreement lists the accommodation(s) Regus has initially allocated for the Client’s use. The Client will have a non-exclusive right to the rooms allocated to it. Occasionally Regus may need to allocate different accommodation(s), but these accommodation(s) will be of reasonably equivalent size and Regus will notify the Client with respect to such different accommodation(s) in advance.</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2.2 Office Services: Regus is to provide during normal opening hours the services, if requested, described in the relevant service description (which is available on request). If Regus decides that a request for any particular service is excessive, it reserves the right to charge an additional fee.</w:t>
      </w:r>
    </w:p>
    <w:p>
      <w:pPr>
        <w:spacing w:after="0" w:line="11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2.3 RegusNET: REGUS DOES NOT MAKE ANY REPRESENTATIONS AS TO THE SECURITY OF REGUS’ NETWORK (OR THE INTERNET) OR OF ANY INFORMATION THAT THE CLIENT PLACES ON IT. The Client should adopt whatever security measures (such as encryption) it believes are appropriate to its circumstances. Regus cannot guarantee that a particular degree of availability will be attained in connection with the Client’s use of Regus’ network (or the internet). The Client’s sole and exclusive remedy shall be the remedy of such failure by Regus within a reasonable time after written notice.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Providing the Services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3.1 Access to the accommodation(s): Regus may need to enter the Client’s accommodation(s) and may do so at any time. However, unless there is an emergency or the Client has given notice to terminate, Regus will attempt to notify the Client verbally or electronically in advance when Regus needs access to carry out testing, repair or works other than routine inspection,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400" w:right="60" w:hanging="399"/>
        <w:spacing w:after="0" w:line="291" w:lineRule="auto"/>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 to a maximum equal to 125% of the total fees paid between the date the Client moved into its accommodation(s) and the date on which the claim in question arises or £50,000 / USD$100,000 / €66,000 (or local equivalent) whichever is the higher, in respect of any other loss or damage except in Turkey where it will be up to a maximum of the monthly office fee over the current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Fees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8.1 Taxes and duty charges: The Client agrees to pay promptly (i) all sales, use, excise, consumption and any other taxes and license fees which it is required to pay to any governmental authority (and, at Regus’ request, will provide to Regus evidence of such payment) and (ii) any taxes paid by Regus to any governmental authority that are attributable to the accommodation(s), including, without limitation, any gross receipts, rent and occupancy taxes, tangible personal property taxes, stamp tax or other documentary taxes and fees.</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8.2 Service Retainer/Deposit: The Client will be required to pay a service retainer/deposit equivalent to two months’ of the monthly office fee (plus VAT/Tax where applicable) upon entering into this agreement unless a greater amount is specified on the front of this agreement. This will be held by Regus without generating interest as security for performance of all the Client’s obligations under this agreement. The service retainer/deposit or any balance after deducting outstanding fees, the Business Continuity and Office Restoration Service and other costs due to Regus, will be returned to the Client after the Client has settled its account with Regus and funds have been cleared.</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8.3 Regus may require the Client to pay an increased retainer if outstanding fees exceed the service retainer/deposit held and/or the Client frequently fails to pay Regus when due.</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8.4 The Client will be charged an office set up fee per occupant. Fee amounts are located in the House Rules which can be requested at anytime.</w:t>
      </w:r>
    </w:p>
    <w:p>
      <w:pPr>
        <w:spacing w:after="0" w:line="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8.5 Late Payment: If the Client does not pay fees when due, a fee will be charged on all overdue balances. This will differ by country and is listed in the House Rules. If the Client disputes any part of an invoice the Client must pay the amount not in dispute by the due date or be subject to late fees. Regus also reserves the right to withhold services (including for the avoidance of doubt, denying the Client access to its accommodations(s)) while there are any outstanding fees and/or interest or the Client is in breach of this agreement.</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8.6 Payment : Regus is continually striving to reduce its environmental impact and supports its clients in doing the same. Therefore Regus will send all invoices electronically (where allowed by law) and the Client will make payments via an automated method such as Direct Debit or Credit Card, wherever local banking systems permit.</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8.7 Insufficient Funds: The Client will pay a fee for any returned check or any other declined payments due to insufficient funds. This fee will differ by country and is listed in the House Rules.</w:t>
      </w:r>
    </w:p>
    <w:p>
      <w:pPr>
        <w:spacing w:after="0" w:line="14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8.8. Regus will increase the monthly office fee each and every anniversary of the start date of this agreement by a percentage amount equal to the increase in the All Items Retail Prices Index, or such other broadly equivalent Index which Regus substitutes provided that if the foregoing increase is not permitted by applicable law, then the monthly office fee shall be increased as specified in the House Rules. This will only apply to agreements that have an original start and end date constituting more than a 12 month term. Renewals will be renewed as per clause 1.3 above and only those renewals with a start and end date constituting a term of over 12 months will have the same increase applied.</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8.9 Standard services: The monthly office fee and any recurring services requested by the Client are payable monthly in advance. Unless otherwise agreed in writing, these recurring services will be provided by Regus at the specified rates for the duration of this Agreement (including any renewal). Specific due dates will differ by country and are listed in the House rules. Where a daily rate applies, the charge for any such month will be 30 times the daily fee. For a period of less than a month the fee will be applied on a daily basis.</w:t>
      </w:r>
    </w:p>
    <w:p>
      <w:pPr>
        <w:spacing w:after="0" w:line="14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8.10 Pay-as-you-use and additional Variable Services: Fees for pay-as-you-use services, plus applicable taxes, in accordance with Regus’ published rates which may change from time to time, are invoiced in arrears and payable the month following the calendar month in which the additional services were</w:t>
      </w:r>
    </w:p>
    <w:p>
      <w:pPr>
        <w:sectPr>
          <w:pgSz w:w="11900" w:h="16872" w:orient="portrait"/>
          <w:cols w:equalWidth="0" w:num="2">
            <w:col w:w="5460" w:space="360"/>
            <w:col w:w="5480"/>
          </w:cols>
          <w:pgMar w:left="240" w:top="131" w:right="359" w:bottom="0" w:gutter="0" w:footer="0" w:header="0"/>
        </w:sectPr>
      </w:pPr>
    </w:p>
    <w:bookmarkStart w:id="36" w:name="page37"/>
    <w:bookmarkEnd w:id="36"/>
    <w:p>
      <w:pPr>
        <w:ind w:right="240"/>
        <w:spacing w:after="0" w:line="370" w:lineRule="auto"/>
        <w:rPr>
          <w:sz w:val="20"/>
          <w:szCs w:val="20"/>
          <w:color w:val="auto"/>
        </w:rPr>
      </w:pPr>
      <w:r>
        <w:rPr>
          <w:rFonts w:ascii="Arial" w:cs="Arial" w:eastAsia="Arial" w:hAnsi="Arial"/>
          <w:sz w:val="15"/>
          <w:szCs w:val="15"/>
          <w:color w:val="auto"/>
        </w:rPr>
        <w:t>cleaning and maintenance. Regus will also endeavor to respect reasonable security procedures to protect the confidentiality of the Client’s business.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3.2 Availability at the start of this agreement: If for any reason Regus cannot provide the accommodation(s) stated in this agreement by the date when this agreement is due to start it has no liability to the Client for any loss or damages but the Client may cancel this agreement without penalty. Regus will not charge the Client the monthly office fee for accommodation(s) the Client cannot use until it becomes available. Regus may delay the start date of this agreement provided it provides to the Client alternative accommodation(s) that shall be at least of equivalent size to the accommodation(s) stated in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Accommodation(s)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4.1 The Client must not alter any part of its accommodation and must take good care of all parts of the Center, its equipment, fixtures, fittings and furnishings which the Client uses. The Client is liable for any damage caused by it or those in the Center with the Client’s permission or at the Client’s invitation whether express or implied, including but not limited to all employees, contractors, agents or other persons present on the premises.</w:t>
      </w:r>
    </w:p>
    <w:p>
      <w:pPr>
        <w:spacing w:after="0" w:line="12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4.2 Office furniture and equipment: The Client must not install any cabling, IT or telecom connections without Regus’ consent, which Regus may refuse at its absolute discretion. As a condition to Regus’ consent, the Client must permit Regus to oversee any installations (for example IT or electrical systems) and to verify that such installations do not interfere with the use of the accommodation(s) by other Clients or Regus or any landlord of the building.</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provided. Specific due dates will differ by country and are listed in the House Rules.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8.11 Discounts, Promotions and Offers: If the Client benefited from a special discount, promotion or offer, Regus may discontinue that discount, promotion or offer without notice if the Client breaches these terms and conditions or becomes past due on two or more occasions.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Global – Terms &amp; Conditions – June 2011 – Iveber</w:t>
      </w:r>
    </w:p>
    <w:p>
      <w:pPr>
        <w:sectPr>
          <w:pgSz w:w="11900" w:h="16838" w:orient="portrait"/>
          <w:cols w:equalWidth="0" w:num="2">
            <w:col w:w="5440" w:space="380"/>
            <w:col w:w="5480"/>
          </w:cols>
          <w:pgMar w:left="240" w:top="131"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580" w:val="left"/>
          <w:tab w:leader="none" w:pos="792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80" w:val="left"/>
          <w:tab w:leader="none" w:pos="812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52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2011, to which this Certification is attached as Exhibit 32.1 (the “Quarterly Report”) fully complies with the requirements of Section 13(a) or 15(d) of the Exchange Act;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Date: November 8, 2011</w:t>
            </w:r>
          </w:p>
        </w:tc>
        <w:tc>
          <w:tcPr>
            <w:tcW w:w="546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9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96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Date: November 8, 2011</w:t>
            </w:r>
          </w:p>
        </w:tc>
        <w:tc>
          <w:tcPr>
            <w:tcW w:w="546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9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2"/>
    </w:lvl>
  </w:abstractNum>
  <w:abstractNum w:abstractNumId="18">
    <w:nsid w:val="614FD4A1"/>
    <w:multiLevelType w:val="hybridMultilevel"/>
    <w:lvl w:ilvl="0">
      <w:lvlJc w:val="left"/>
      <w:lvlText w:val="%1."/>
      <w:numFmt w:val="decimal"/>
      <w:start w:val="3"/>
    </w:lvl>
  </w:abstractNum>
  <w:abstractNum w:abstractNumId="19">
    <w:nsid w:val="419AC241"/>
    <w:multiLevelType w:val="hybridMultilevel"/>
    <w:lvl w:ilvl="0">
      <w:lvlJc w:val="left"/>
      <w:lvlText w:val="%1."/>
      <w:numFmt w:val="decimal"/>
      <w:start w:val="4"/>
    </w:lvl>
  </w:abstractNum>
  <w:abstractNum w:abstractNumId="20">
    <w:nsid w:val="5577F8E1"/>
    <w:multiLevelType w:val="hybridMultilevel"/>
    <w:lvl w:ilvl="0">
      <w:lvlJc w:val="left"/>
      <w:lvlText w:val="%1."/>
      <w:numFmt w:val="decimal"/>
      <w:start w:val="5"/>
    </w:lvl>
  </w:abstractNum>
  <w:abstractNum w:abstractNumId="21">
    <w:nsid w:val="440BADFC"/>
    <w:multiLevelType w:val="hybridMultilevel"/>
    <w:lvl w:ilvl="0">
      <w:lvlJc w:val="left"/>
      <w:lvlText w:val="%1."/>
      <w:numFmt w:val="decimal"/>
      <w:start w:val="6"/>
    </w:lvl>
  </w:abstractNum>
  <w:abstractNum w:abstractNumId="22">
    <w:nsid w:val="5072367"/>
    <w:multiLevelType w:val="hybridMultilevel"/>
    <w:lvl w:ilvl="0">
      <w:lvlJc w:val="left"/>
      <w:lvlText w:val="%1."/>
      <w:numFmt w:val="decimal"/>
      <w:start w:val="7"/>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9"/>
    </w:lvl>
  </w:abstractNum>
  <w:abstractNum w:abstractNumId="25">
    <w:nsid w:val="7724C67E"/>
    <w:multiLevelType w:val="hybridMultilevel"/>
    <w:lvl w:ilvl="0">
      <w:lvlJc w:val="left"/>
      <w:lvlText w:val="%1."/>
      <w:numFmt w:val="decimal"/>
      <w:start w:val="10"/>
    </w:lvl>
  </w:abstractNum>
  <w:abstractNum w:abstractNumId="26">
    <w:nsid w:val="5C482A97"/>
    <w:multiLevelType w:val="hybridMultilevel"/>
    <w:lvl w:ilvl="0">
      <w:lvlJc w:val="left"/>
      <w:lvlText w:val="%1."/>
      <w:numFmt w:val="decimal"/>
      <w:start w:val="1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decimal"/>
      <w:start w:val="1"/>
    </w:lvl>
    <w:lvl w:ilvl="1">
      <w:lvlJc w:val="left"/>
      <w:lvlText w:val="(%2)"/>
      <w:numFmt w:val="lowerLetter"/>
      <w:start w:val="2"/>
    </w:lvl>
  </w:abstractNum>
  <w:abstractNum w:abstractNumId="30">
    <w:nsid w:val="2D517796"/>
    <w:multiLevelType w:val="hybridMultilevel"/>
    <w:lvl w:ilvl="0">
      <w:lvlJc w:val="left"/>
      <w:lvlText w:val="%1."/>
      <w:numFmt w:val="decimal"/>
      <w:start w:val="13"/>
    </w:lvl>
    <w:lvl w:ilvl="1">
      <w:lvlJc w:val="left"/>
      <w:lvlText w:val="%2"/>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decimal"/>
      <w:start w:val="14"/>
    </w:lvl>
  </w:abstractNum>
  <w:abstractNum w:abstractNumId="33">
    <w:nsid w:val="3855585C"/>
    <w:multiLevelType w:val="hybridMultilevel"/>
    <w:lvl w:ilvl="0">
      <w:lvlJc w:val="left"/>
      <w:lvlText w:val="%1."/>
      <w:numFmt w:val="decimal"/>
      <w:start w:val="15"/>
    </w:lvl>
  </w:abstractNum>
  <w:abstractNum w:abstractNumId="34">
    <w:nsid w:val="70A64E2A"/>
    <w:multiLevelType w:val="hybridMultilevel"/>
    <w:lvl w:ilvl="0">
      <w:lvlJc w:val="left"/>
      <w:lvlText w:val="%1."/>
      <w:numFmt w:val="decimal"/>
      <w:start w:val="16"/>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17"/>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18"/>
    </w:lvl>
  </w:abstractNum>
  <w:abstractNum w:abstractNumId="41">
    <w:nsid w:val="7A6D8D3C"/>
    <w:multiLevelType w:val="hybridMultilevel"/>
    <w:lvl w:ilvl="0">
      <w:lvlJc w:val="left"/>
      <w:lvlText w:val="%1."/>
      <w:numFmt w:val="decimal"/>
      <w:start w:val="19"/>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6"/>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2019-12-10T11:59:10Z</dcterms:created>
  <dcterms:modified xsi:type="dcterms:W3CDTF">2019-12-10T11:59:10Z</dcterms:modified>
</cp:coreProperties>
</file>