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57"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69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88"/>
              </w:rPr>
              <w:t>England and Wales</w:t>
            </w:r>
          </w:p>
        </w:tc>
        <w:tc>
          <w:tcPr>
            <w:tcW w:w="2080" w:type="dxa"/>
            <w:vAlign w:val="bottom"/>
          </w:tcPr>
          <w:p>
            <w:pPr>
              <w:jc w:val="center"/>
              <w:ind w:left="644"/>
              <w:spacing w:after="0"/>
              <w:rPr>
                <w:sz w:val="20"/>
                <w:szCs w:val="20"/>
                <w:color w:val="auto"/>
              </w:rPr>
            </w:pPr>
            <w:r>
              <w:rPr>
                <w:rFonts w:ascii="Arial" w:cs="Arial" w:eastAsia="Arial" w:hAnsi="Arial"/>
                <w:sz w:val="18"/>
                <w:szCs w:val="18"/>
                <w:b w:val="1"/>
                <w:bCs w:val="1"/>
                <w:color w:val="auto"/>
                <w:w w:val="87"/>
              </w:rPr>
              <w:t>Not applicable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20" w:type="dxa"/>
            <w:vAlign w:val="bottom"/>
            <w:gridSpan w:val="5"/>
          </w:tcPr>
          <w:p>
            <w:pPr>
              <w:jc w:val="center"/>
              <w:ind w:right="19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080" w:type="dxa"/>
            <w:vAlign w:val="bottom"/>
          </w:tcPr>
          <w:p>
            <w:pPr>
              <w:jc w:val="center"/>
              <w:ind w:left="66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920"/>
              <w:spacing w:after="0"/>
              <w:rPr>
                <w:sz w:val="20"/>
                <w:szCs w:val="20"/>
                <w:color w:val="auto"/>
              </w:rPr>
            </w:pPr>
            <w:r>
              <w:rPr>
                <w:rFonts w:ascii="Arial" w:cs="Arial" w:eastAsia="Arial" w:hAnsi="Arial"/>
                <w:sz w:val="14"/>
                <w:szCs w:val="14"/>
                <w:b w:val="1"/>
                <w:bCs w:val="1"/>
                <w:color w:val="auto"/>
                <w:w w:val="88"/>
              </w:rPr>
              <w:t>incorporation or organization)</w:t>
            </w:r>
          </w:p>
        </w:tc>
        <w:tc>
          <w:tcPr>
            <w:tcW w:w="2080" w:type="dxa"/>
            <w:vAlign w:val="bottom"/>
          </w:tcPr>
          <w:p>
            <w:pPr>
              <w:jc w:val="center"/>
              <w:ind w:left="664"/>
              <w:spacing w:after="0"/>
              <w:rPr>
                <w:sz w:val="20"/>
                <w:szCs w:val="20"/>
                <w:color w:val="auto"/>
              </w:rPr>
            </w:pPr>
            <w:r>
              <w:rPr>
                <w:rFonts w:ascii="Arial" w:cs="Arial" w:eastAsia="Arial" w:hAnsi="Arial"/>
                <w:sz w:val="14"/>
                <w:szCs w:val="14"/>
                <w:b w:val="1"/>
                <w:bCs w:val="1"/>
                <w:color w:val="auto"/>
                <w:w w:val="89"/>
              </w:rPr>
              <w:t>Identification No.)</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2 Pembroke House</w:t>
            </w:r>
          </w:p>
        </w:tc>
        <w:tc>
          <w:tcPr>
            <w:tcW w:w="2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20" w:type="dxa"/>
            <w:vAlign w:val="bottom"/>
            <w:gridSpan w:val="4"/>
          </w:tcPr>
          <w:p>
            <w:pPr>
              <w:jc w:val="center"/>
              <w:ind w:right="1304"/>
              <w:spacing w:after="0"/>
              <w:rPr>
                <w:sz w:val="20"/>
                <w:szCs w:val="20"/>
                <w:color w:val="auto"/>
              </w:rPr>
            </w:pPr>
            <w:r>
              <w:rPr>
                <w:rFonts w:ascii="Arial" w:cs="Arial" w:eastAsia="Arial" w:hAnsi="Arial"/>
                <w:sz w:val="18"/>
                <w:szCs w:val="18"/>
                <w:b w:val="1"/>
                <w:bCs w:val="1"/>
                <w:color w:val="auto"/>
                <w:w w:val="90"/>
              </w:rPr>
              <w:t>Upper Pembroke Street 28-32, Dublin 2, Ireland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(Address of principal executive offices)</w:t>
            </w: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40" w:type="dxa"/>
            <w:vAlign w:val="bottom"/>
            <w:gridSpan w:val="4"/>
          </w:tcPr>
          <w:p>
            <w:pPr>
              <w:jc w:val="center"/>
              <w:ind w:left="4097"/>
              <w:spacing w:after="0"/>
              <w:rPr>
                <w:sz w:val="20"/>
                <w:szCs w:val="20"/>
                <w:color w:val="auto"/>
              </w:rPr>
            </w:pPr>
            <w:r>
              <w:rPr>
                <w:rFonts w:ascii="Arial" w:cs="Arial" w:eastAsia="Arial" w:hAnsi="Arial"/>
                <w:sz w:val="18"/>
                <w:szCs w:val="18"/>
                <w:b w:val="1"/>
                <w:bCs w:val="1"/>
                <w:color w:val="auto"/>
                <w:w w:val="88"/>
              </w:rPr>
              <w:t>+353 (0) 1 6699 020</w:t>
            </w:r>
          </w:p>
        </w:tc>
        <w:tc>
          <w:tcPr>
            <w:tcW w:w="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gridSpan w:val="3"/>
          </w:tcPr>
          <w:p>
            <w:pPr>
              <w:jc w:val="center"/>
              <w:ind w:left="617"/>
              <w:spacing w:after="0"/>
              <w:rPr>
                <w:sz w:val="20"/>
                <w:szCs w:val="20"/>
                <w:color w:val="auto"/>
              </w:rPr>
            </w:pPr>
            <w:r>
              <w:rPr>
                <w:rFonts w:ascii="Arial" w:cs="Arial" w:eastAsia="Arial" w:hAnsi="Arial"/>
                <w:sz w:val="14"/>
                <w:szCs w:val="14"/>
                <w:color w:val="auto"/>
                <w:w w:val="86"/>
              </w:rPr>
              <w:t>(Registrant’s telephone number, including area code)</w:t>
            </w: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20" w:type="dxa"/>
            <w:vAlign w:val="bottom"/>
            <w:gridSpan w:val="4"/>
          </w:tcPr>
          <w:p>
            <w:pPr>
              <w:jc w:val="center"/>
              <w:ind w:right="130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18"/>
                <w:szCs w:val="18"/>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20" w:type="dxa"/>
            <w:vAlign w:val="bottom"/>
            <w:gridSpan w:val="5"/>
          </w:tcPr>
          <w:p>
            <w:pPr>
              <w:jc w:val="center"/>
              <w:ind w:right="1920"/>
              <w:spacing w:after="0" w:line="201" w:lineRule="exact"/>
              <w:rPr>
                <w:sz w:val="20"/>
                <w:szCs w:val="20"/>
                <w:color w:val="auto"/>
              </w:rPr>
            </w:pPr>
            <w:r>
              <w:rPr>
                <w:rFonts w:ascii="Arial" w:cs="Arial" w:eastAsia="Arial" w:hAnsi="Arial"/>
                <w:sz w:val="18"/>
                <w:szCs w:val="18"/>
                <w:color w:val="auto"/>
                <w:w w:val="87"/>
              </w:rPr>
              <w:t>American Depositary Shares, each representing one Ordinary Share</w:t>
            </w:r>
          </w:p>
        </w:tc>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20" w:type="dxa"/>
            <w:vAlign w:val="bottom"/>
            <w:gridSpan w:val="5"/>
          </w:tcPr>
          <w:p>
            <w:pPr>
              <w:jc w:val="center"/>
              <w:ind w:right="1920"/>
              <w:spacing w:after="0"/>
              <w:rPr>
                <w:sz w:val="20"/>
                <w:szCs w:val="20"/>
                <w:color w:val="auto"/>
              </w:rPr>
            </w:pPr>
            <w:r>
              <w:rPr>
                <w:rFonts w:ascii="Arial" w:cs="Arial" w:eastAsia="Arial" w:hAnsi="Arial"/>
                <w:sz w:val="18"/>
                <w:szCs w:val="18"/>
                <w:color w:val="auto"/>
                <w:w w:val="86"/>
              </w:rPr>
              <w:t>Ordinary Shares, 50 pence par value per share</w:t>
            </w:r>
          </w:p>
        </w:tc>
        <w:tc>
          <w:tcPr>
            <w:tcW w:w="29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The NASDAQ Stock Market LLC</w:t>
            </w: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920" w:type="dxa"/>
            <w:vAlign w:val="bottom"/>
            <w:gridSpan w:val="4"/>
          </w:tcPr>
          <w:p>
            <w:pPr>
              <w:jc w:val="center"/>
              <w:ind w:right="128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None</w:t>
            </w:r>
          </w:p>
        </w:tc>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1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2460" w:type="dxa"/>
            <w:vAlign w:val="bottom"/>
            <w:gridSpan w:val="2"/>
          </w:tcPr>
          <w:p>
            <w:pPr>
              <w:spacing w:after="0"/>
              <w:rPr>
                <w:sz w:val="13"/>
                <w:szCs w:val="13"/>
                <w:color w:val="auto"/>
              </w:rPr>
            </w:pPr>
          </w:p>
        </w:tc>
        <w:tc>
          <w:tcPr>
            <w:tcW w:w="860" w:type="dxa"/>
            <w:vAlign w:val="bottom"/>
            <w:gridSpan w:val="2"/>
            <w:vMerge w:val="restart"/>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9000" w:type="dxa"/>
            <w:vAlign w:val="bottom"/>
            <w:gridSpan w:val="6"/>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 (d) of the Act.  YES</w:t>
            </w:r>
          </w:p>
        </w:tc>
        <w:tc>
          <w:tcPr>
            <w:tcW w:w="86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720"/>
            <w:col w:w="6180" w:space="720"/>
            <w:col w:w="134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80" w:space="720"/>
            <w:col w:w="160" w:space="40"/>
            <w:col w:w="6020" w:space="720"/>
            <w:col w:w="1940" w:space="8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80"/>
            <w:col w:w="320" w:space="100"/>
            <w:col w:w="160" w:space="180"/>
            <w:col w:w="240" w:space="100"/>
            <w:col w:w="1820"/>
          </w:cols>
          <w:pgMar w:left="240" w:top="230" w:right="239" w:bottom="1440" w:gutter="0" w:footer="0" w:header="0"/>
          <w:type w:val="continuous"/>
        </w:sectPr>
      </w:pPr>
    </w:p>
    <w:p>
      <w:pPr>
        <w:ind w:right="2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2011 was approximately $1.39 billion, based upon the closing price on the NASDAQ Capital Market reported for such date.</w:t>
      </w:r>
    </w:p>
    <w:p>
      <w:pPr>
        <w:spacing w:after="0" w:line="24"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135,745,861 shares held as American Depository Shares (ADS), each representing one Ordinary Share, 50 pence par value per share, and 313,834 Ordinary Shares, were outstanding as of February 23, 2012.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160" w:type="dxa"/>
            <w:vAlign w:val="bottom"/>
            <w:gridSpan w:val="7"/>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r>
      <w:tr>
        <w:trPr>
          <w:trHeight w:val="353"/>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96"/>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4"/>
              </w:rPr>
              <w:t>PART 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line="184"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520" w:type="dxa"/>
            <w:vAlign w:val="bottom"/>
            <w:gridSpan w:val="19"/>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92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81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Legal Proceedings</w:t>
              </w:r>
            </w:hyperlink>
          </w:p>
        </w:tc>
        <w:tc>
          <w:tcPr>
            <w:tcW w:w="88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9"/>
              </w:rPr>
              <w:t>PART II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140" w:type="dxa"/>
            <w:vAlign w:val="bottom"/>
            <w:gridSpan w:val="21"/>
          </w:tcPr>
          <w:p>
            <w:pPr>
              <w:spacing w:after="0" w:line="184" w:lineRule="exact"/>
              <w:rPr>
                <w:rFonts w:ascii="Arial" w:cs="Arial" w:eastAsia="Arial" w:hAnsi="Arial"/>
                <w:sz w:val="18"/>
                <w:szCs w:val="18"/>
                <w:color w:val="0000EE"/>
              </w:rPr>
            </w:pPr>
            <w:hyperlink w:anchor="page47">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45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Selected Financial Data</w:t>
              </w:r>
            </w:hyperlink>
          </w:p>
        </w:tc>
        <w:tc>
          <w:tcPr>
            <w:tcW w:w="6240" w:type="dxa"/>
            <w:vAlign w:val="bottom"/>
            <w:tcBorders>
              <w:top w:val="single" w:sz="8" w:color="0000EE"/>
            </w:tcBorders>
            <w:gridSpan w:val="13"/>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Quantitative and Qualitative Disclosures about Market Risk</w:t>
              </w:r>
            </w:hyperlink>
          </w:p>
        </w:tc>
        <w:tc>
          <w:tcPr>
            <w:tcW w:w="59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Financial Statements and Supplementary Data</w:t>
              </w:r>
            </w:hyperlink>
          </w:p>
        </w:tc>
        <w:tc>
          <w:tcPr>
            <w:tcW w:w="69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Changes in and Disagreements with Accountants on Accounting and Financial Disclosure</w:t>
              </w:r>
            </w:hyperlink>
          </w:p>
        </w:tc>
        <w:tc>
          <w:tcPr>
            <w:tcW w:w="38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Controls and Procedures</w:t>
              </w:r>
            </w:hyperlink>
          </w:p>
        </w:tc>
        <w:tc>
          <w:tcPr>
            <w:tcW w:w="8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14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140" w:type="dxa"/>
            <w:vAlign w:val="bottom"/>
            <w:gridSpan w:val="21"/>
          </w:tcPr>
          <w:p>
            <w:pPr>
              <w:spacing w:after="0" w:line="184" w:lineRule="exact"/>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61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14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 and Director Independence</w:t>
              </w:r>
            </w:hyperlink>
          </w:p>
        </w:tc>
        <w:tc>
          <w:tcPr>
            <w:tcW w:w="3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Principal Accountant Fees and Services</w:t>
              </w:r>
            </w:hyperlink>
          </w:p>
        </w:tc>
        <w:tc>
          <w:tcPr>
            <w:tcW w:w="48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336"/>
        </w:trPr>
        <w:tc>
          <w:tcPr>
            <w:tcW w:w="8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8"/>
              </w:rPr>
              <w:t>PART IV</w:t>
            </w:r>
          </w:p>
        </w:tc>
        <w:tc>
          <w:tcPr>
            <w:tcW w:w="3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line="184"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Exhibits and Financial Statement Schedules</w:t>
              </w:r>
            </w:hyperlink>
          </w:p>
        </w:tc>
        <w:tc>
          <w:tcPr>
            <w:tcW w:w="7060" w:type="dxa"/>
            <w:vAlign w:val="bottom"/>
            <w:gridSpan w:val="9"/>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66</w:t>
            </w:r>
          </w:p>
        </w:tc>
      </w:tr>
      <w:tr>
        <w:trPr>
          <w:trHeight w:val="304"/>
        </w:trPr>
        <w:tc>
          <w:tcPr>
            <w:tcW w:w="1102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SPECIAL NOTE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potential for, and timing of, approval of the AMR101 New Drug Application, or NDA, by the United States Food and Drug Administration, or FDA, and the next steps we may take thereto; the safety and efficacy of our product candidates; the scope of our intellectual property protection and the likelihood of securing additional patent protection and regulatory exclusivity; estimates of the potential markets for our product candidates; the likelihood of qualifying additional third party manufacturing suppliers and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Amarin Corporation plc (formerly Ethical Holdings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registered office is located at One New Change, London EC4M 9AF, England. Our principal offices are located at 2 Pembroke House, Upper Pembroke Street 28-32, Dublin 2 Ireland. Our primary office in the United States is located at 1430 Route 206, Bedminster, NJ 07921, USA. Our telephone number at that location is (908) 719-1315.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580" w:firstLine="456"/>
        <w:spacing w:after="0" w:line="335" w:lineRule="auto"/>
        <w:rPr>
          <w:sz w:val="20"/>
          <w:szCs w:val="20"/>
          <w:color w:val="auto"/>
        </w:rPr>
      </w:pPr>
      <w:r>
        <w:rPr>
          <w:rFonts w:ascii="Arial" w:cs="Arial" w:eastAsia="Arial" w:hAnsi="Arial"/>
          <w:sz w:val="15"/>
          <w:szCs w:val="15"/>
          <w:color w:val="auto"/>
        </w:rPr>
        <w:t>We are a late-stage biopharmaceutical company with expertise in lipid science focused on the treatment of cardiovascular disease. Our lead product candidate is AMR101, an ultra-pure omega-3 fatty acid, comprising not less than 96% icosapent ethyl, or ethyl-EPA. We are developing AMR101 for the treatment of patients with very high triglyceride levels and high triglyceride levels, or hypertriglyceridemia. Triglycerides are fats in the blood.</w:t>
      </w:r>
    </w:p>
    <w:p>
      <w:pPr>
        <w:spacing w:after="0" w:line="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September 2011, we filed a New Drug Application, or NDA, with the U.S. Food and Drug Administration, or FDA, seeking marketing approval for the use of AMR101 in the treatment of patients with very high triglyceride levels (³500 mg/dL), or what we refer to as the MARINE indication. The FDA has assigned a Prescription Drug User Fee Act, or PDUFA, date of July 26, 2012. The PDUFA date is the goal date for the FDA to complete its review of the NDA. The NDA for the MARINE indication is supported by a Special Protocol Assessment, or SPA, agreement with the FDA.</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plan to separately seek approval for the treatment of patients with high triglyceride levels (³200 and &lt;500mg/dL) who are also on statin therapy for elevated levels of low-density lipoprotein cholesterol, or LDL-C, (which we refer to as mixed dyslipidemia), or the ANCHOR indication. The ANCHOR indication is also supported by a SPA agreement with the FDA.</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potential efficacy and safety of AMR101 were studied in two Phase 3 clinical trials, the MARINE trial and the ANCHOR trial. These trials showed favorable clinical results in their respective patient populations in reducing triglyceride levels without a statistically significant increase in LDL-C levels and, in the 4 gram AMR101 ANCHOR results, with a statistically significant decrease in LDL-C levels. These trials also showed favorable results, particularly with the 4 gram dose of AMR101, in other important lipid and inflammation biomarkers, including Apo B (apolipoprotein B), non-high-density lipoprotein cholesterol, or non-HDL-C, Total-Cholesterol, very low-density lipoprotein cholesterol, or VLDL-C, Lp-PLA2 (lipoprotein-associated phospholipase), and hs-CRP (high sensitivity C-reactive protein). In each of these trials, AMR101 exhibited a safety profile comparable to placebo.</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November 2010, we announced the favorable results of the Phase 3 MARINE trial, and in April 2011 we announced the favorable results of the Phase 3 ANCHOR trial. The results of both of these studies were submitted to the FDA as part of the NDA for the MARINE indication. To obtain FDA approval of AMR101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ANCHOR indication, based on communications with the FDA, we believe that we must first obtain approval of AMR101 in the MARINE indication and be substantially underway with a cardiovascular outcomes study at the time of the submission of an NDA to the FDA for the ANCHOR indication. Based upon feedback from the FDA and consistent with the respective SPAs for the MARINE trial and ANCHOR trial, we do not believe the final results of an outcomes study are required for FDA approval of AMR101 for either indication.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AMR101, titled REDUCE-IT (Reduction of Cardiovascular Events with EPA – Intervention Trial), that is designed to evaluate the efficacy of AMR101 in reducing major cardiovascular events in an at-risk patient population on statin therapy. The REDUCE-IT study is also the subject of an SPA agreement with the FDA. If successful, we believe the results of this study could lead to a broadening of the market potential for AMR101 beyond the MARINE and ANCHOR indications.</w:t>
      </w:r>
    </w:p>
    <w:p>
      <w:pPr>
        <w:spacing w:after="0" w:line="11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Hypertriglyceridemia refers to a condition in which patients have high levels of triglycerides in the bloodstream and has been recognized as an independent risk factor for cardiac disease. We estimate that over 40 million adults in the United States have elevated triglyceride levels (³200mg/dL) and approximately</w:t>
      </w:r>
    </w:p>
    <w:p>
      <w:pPr>
        <w:ind w:right="120"/>
        <w:spacing w:after="0" w:line="255" w:lineRule="auto"/>
        <w:rPr>
          <w:sz w:val="20"/>
          <w:szCs w:val="20"/>
          <w:color w:val="auto"/>
        </w:rPr>
      </w:pPr>
      <w:r>
        <w:rPr>
          <w:rFonts w:ascii="Arial" w:cs="Arial" w:eastAsia="Arial" w:hAnsi="Arial"/>
          <w:sz w:val="18"/>
          <w:szCs w:val="18"/>
          <w:color w:val="auto"/>
        </w:rPr>
        <w:t>4.0 million people in the United States have very high triglyceride levels (³500 mg/dL).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w:t>
      </w:r>
    </w:p>
    <w:p>
      <w:pPr>
        <w:spacing w:after="0" w:line="144"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We are now preparing for the commercialization of AMR101 for use in the MARINE indication, subject to FDA approval. In preparation for commercialization, during 2011 we secured additional agreements for the clinical and commercial supply of AMR101. We also filed additional patent applications and continued the prosecution of currently pending patent applications as part of a strategy to enhance and extend the proprietary position of AMR101. We will seek to protect the potential commercial exclusivity of AMR101 through a combination of obtaining and maintaining intellectual property rights and regulatory exclusivity, taking advantage of manufacturing barriers to entry and maintaining trade secrets.</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currently considering three potential paths for the marketing and sale of AMR101: strategic collaboration, acquisition and self-commercialization, the latter of which could include a third-party collaboration. From time to time we have held discussions with larger pharmaceutical companies on potential collaborations and other strategic opportunities, and we may have discussions regarding such opportunities in the future. These strategic opportunities may include licensing or similar transactions, joint ventures, partnerships, strategic alliances, business associations, or a sale of the company. However, no assurance can be given as to when or whether we will enter into any such strategic transaction. Until such time that we enter into such a strategic transaction, if ever, we plan to continue to execute on our plans to launch, market and sell AMR101 on our own.</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U.S. market is currently the primary focus of Amarin for the initial commercial launch of AMR101. Opportunities to market and sell AMR101 outside the United States are also under evaluation.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January 2012 Financing and Financial Position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3.50% exchangeable senior notes due 2032. The notes are the senior unsecured obligations of Corsicanto and are guaranteed by Amarin Corporation plc. The notes bear interest at a rate of 3.50%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proceeds received by Amarin from the January 2012 debt offering were approximately $144.3 million, net of estimated fees and transaction costs. Together with our cash balance of $116.6 million at December 31, 2011, we believe that we have sufficient financial resources to fund our projected operations for at least the next twelve months, including the advancement of the REDUCE-IT cardiovascular outcomes study and preparations for and commercial launch of AMR101 on each of the three potential paths we are considering for commercialization subject to timely regulatory approval. Unless we enter into a strategic collaboration in support of a commercial launch, we may need to raise additional capital to support these efforts on our own.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3 Clinical Trials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November 2010, we reported favorable top-line results from the MARINE trial, the first to complete of our two concurrently run Phase 3 clinical trials of AMR101. In the MARINE trial, AMR101 was investigated as a treatment for patients with triglyceride levels of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Patients with this level of triglycerides are characterized as having very high triglyceride levels, as outlined in the National Cholesterol Education Program (NCEP) Expert Panel (Adult Treatment Panel III, 2002), or the NCEP Guidelines. The MARINE trial was a multi-center, placebo-controlled, randomized, double-blind, 12-week pivotal study to evaluate the efficacy and safety of 2 grams and 4 grams of AMR101 in 229 patients with fasting triglyceride levels </w:t>
      </w:r>
      <w:r>
        <w:rPr>
          <w:rFonts w:ascii="Arial" w:cs="Arial" w:eastAsia="Arial" w:hAnsi="Arial"/>
          <w:sz w:val="16"/>
          <w:szCs w:val="16"/>
          <w:u w:val="single" w:color="auto"/>
          <w:color w:val="auto"/>
        </w:rPr>
        <w:t>&gt;</w:t>
      </w:r>
      <w:r>
        <w:rPr>
          <w:rFonts w:ascii="Arial" w:cs="Arial" w:eastAsia="Arial" w:hAnsi="Arial"/>
          <w:sz w:val="16"/>
          <w:szCs w:val="16"/>
          <w:color w:val="auto"/>
        </w:rPr>
        <w:t>500 mg/dL. The primary endpoint in the trial was the percentage change in triglyceride level from baseline compared to placebo after 12 weeks of treatment. Reported top-line results of this study included announcement that AMR101 met the primary endpoint at both the 4 gram and 2 gram doses. In addition to achieving the primary endpoint of the trial, no statistically significant increase in low-density lipoprotein cholesterol, or LDL-C, was observed in this trial at either dose. At both doses AMR101 also showed a decrease in Apo B (Apolipoprotein B) compared to placebo, a sensitive biomarker which is generally considered to be a better predictor of residual cardiovascular risk than LDL-C. The reduction in Apo B compared to placebo was statistically significant at the 4 gram dose, but not the 2 gram dose. Additionally, we observed in the trial a safety profile for AMR101 similar to placebo. See “—Our Lead Product Candidate—The MARINE Trial.”</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April 2011, we reported favorable top-line results from the ANCHOR trial, the second of our two Phase 3 clinical trials of AMR101. In the ANCHOR trial, AMR101 was investigated as a treatment for patients with triglyceride levels of </w:t>
      </w:r>
      <w:r>
        <w:rPr>
          <w:rFonts w:ascii="Arial" w:cs="Arial" w:eastAsia="Arial" w:hAnsi="Arial"/>
          <w:sz w:val="16"/>
          <w:szCs w:val="16"/>
          <w:u w:val="single" w:color="auto"/>
          <w:color w:val="auto"/>
        </w:rPr>
        <w:t>&gt;</w:t>
      </w:r>
      <w:r>
        <w:rPr>
          <w:rFonts w:ascii="Arial" w:cs="Arial" w:eastAsia="Arial" w:hAnsi="Arial"/>
          <w:sz w:val="16"/>
          <w:szCs w:val="16"/>
          <w:color w:val="auto"/>
        </w:rPr>
        <w:t>200 and &lt;500 mg/dL who are also receiving statin therapy. Patients in this trial are characterized as having high triglyceride levels, as outlined in the NCEP Guidelines, with mixed dyslipidemia (two or more lipid disorders). The ANCHOR trial was a multi-center, placebo-controlled, randomized, double-blind, 12-week pivotal study to evaluate the efficacy and safety of 2 grams and 4 grams of AMR101 in 702 patients with high triglycerides who were on optimized statin therapy. The primary endpoint in the trial was the percentage change in triglyceride level from baseline compared to placebo after 12 weeks of treatment. Reported top-line results of this study included an announcement that AMR101 met the study’s primary endpoint at both the 4 gram and 2 gram doses. In addition, AMR101 met some of the secondary and exploratory efficacy endpoints in the trial, including at both doses the key secondary endpoint of LDL-C non-inferiority to statin therapy alone (which was observed with a statistically significant decrease in LDL-C at the 4 gram dose), and at both doses statistically significant decreases in Apo B compared to placebo. Additionally, we observed in the trial a safety profile for AMR101 similar to placebo. See “—Our Lead Product Candidate—The ANCHOR Trial.”</w:t>
      </w:r>
    </w:p>
    <w:p>
      <w:pPr>
        <w:spacing w:after="0" w:line="12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achieving the primary endpoints of the MARINE and ANCHOR trials for triglyceride reduction compared to placebo and the LDL-C and Apo B results described above, AMR101, particularly at the 4 gram dose, demonstrated in these trials significant reductions in various secondary and exploratory efficacy endpoints compared to placebo for other lipid and inflammatory biomarkers which we believe are important as they potentially represent additional predictors of cardiovascular risk. These biomarkers include total cholesterol; non-HDL-cholesterol; VLDL-C; Lp-PLA2 (Lipoprotein-phospholipase A2), an enzyme found in blood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atherosclerotic plaque and high levels of which have been implicated in the development and progression of atherosclerosis; and high sensitivity C-reactive protein, or hsCRP, an important marker of vascular inflammation.</w:t>
      </w:r>
    </w:p>
    <w:p>
      <w:pPr>
        <w:spacing w:after="0" w:line="132"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MARINE and ANCHOR trials were conducted under separate SPA agreements with the FDA. An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 There is no assurance that the FDA will ultimately consider either of our SPAs to be binding. Moreover, any change to a study protocol can invalidate an SPA. If the FDA does not consider either of the SPAs to be binding or makes a determination that we did not follow the SPA appropriately, the agency could assert that additional studies or data are required to support a regulatory submission.</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During 2011, both MARINE and ANCHOR Phase 3 pivotal clinical trial results were presented at a number of medical and scientific meetings, including the National Lipid Association (May), the European Society of Cardiology (August) and the American Heart Association (November). Additionally, the MARINE Phase 3 clinical results were published in the September edition of </w:t>
      </w:r>
      <w:r>
        <w:rPr>
          <w:rFonts w:ascii="Arial" w:cs="Arial" w:eastAsia="Arial" w:hAnsi="Arial"/>
          <w:sz w:val="16"/>
          <w:szCs w:val="16"/>
          <w:i w:val="1"/>
          <w:iCs w:val="1"/>
          <w:color w:val="auto"/>
        </w:rPr>
        <w:t>The American Journal of Cardiology</w:t>
      </w:r>
      <w:r>
        <w:rPr>
          <w:rFonts w:ascii="Arial" w:cs="Arial" w:eastAsia="Arial" w:hAnsi="Arial"/>
          <w:sz w:val="16"/>
          <w:szCs w:val="16"/>
          <w:color w:val="auto"/>
        </w:rPr>
        <w:t>, a prominent, peer-reviewed journal. We plan to continue to publish additional data from both the MARINE and ANCHOR trials in peer-reviewed journals.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Cardiovascular Outcomes Study</w:t>
      </w:r>
    </w:p>
    <w:p>
      <w:pPr>
        <w:spacing w:after="0" w:line="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In August 2011, we reached agreement with the FDA on an SPA for the design of the REDUCE-IT (Reduction of Cardiovascular Events with EPA— Intervention Trial) cardiovascular outcomes study. In December 2011, we announced that the first patient was dosed in the REDUCE-IT study. This study is designed to evaluate the efficacy of AMR101 in reducing major cardiovascular events in an at-risk patient population on statin therapy. REDUCE-IT is a multi-center, prospective, randomized, double-blind, placebo-controlled, parallel-group study to evaluate the effectiveness of AMR101, as an add-on to statin therapy, in reducing first major cardiovascular events in an at-risk patient population compared to statin therapy alone. The control arm of the study is comprised of patients on optimized statin therapy. The active arm of the study is comprised of patients on optimized statin therapy plus AMR101. All subjects enrolled in the study will have elevated triglyceride levels and either coronary heart disease or risk factors for coronary heart disease. This study will be conducted internationally. Based on the results of REDUCE-IT, we may seek additional indications for AMR101 beyond the indication studied in the ANCHOR and MARINE trials such as a potential indication for prevention of cardiovascular events, although there can be no assurance as to whether the results of the study will support any such indication.</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2011, we engaged a clinical research organization, or CRO, and began initial trial and clinical site preparation for REDUCE-IT. We anticipate utilizing approximately 300 clinical sites in connection with the trial, the largest number of which will be in the United States. We, with the support of our CRO, are currently active in qualifying and training such sites. The study is scheduled to be completed in approximately six years and is anticipated to include approximately 8,000 patients. We expect to be substantially underway by the end of 2012.</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Consistent with our SPA for the ANCHOR trial, we currently intend to file a supplemental NDA, or sNDA, seeking approval of the ANCHOR indication after the REDUCE-IT cardiovascular outcomes study is substantially underway. The sNDA cannot be filed until after both the initially submitted NDA for the indication studied in the MARINE trial is approved and the cardiovascular outcomes study is substantially underway.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Heart attacks, strokes and other cardiovascular events represent the leading cause of death and disability among men and women in western societies. According to the American Heart Association’s </w:t>
      </w:r>
      <w:r>
        <w:rPr>
          <w:rFonts w:ascii="Arial" w:cs="Arial" w:eastAsia="Arial" w:hAnsi="Arial"/>
          <w:sz w:val="18"/>
          <w:szCs w:val="18"/>
          <w:i w:val="1"/>
          <w:iCs w:val="1"/>
          <w:color w:val="auto"/>
        </w:rPr>
        <w:t>2010 At-A-Glance Report</w:t>
      </w:r>
      <w:r>
        <w:rPr>
          <w:rFonts w:ascii="Arial" w:cs="Arial" w:eastAsia="Arial" w:hAnsi="Arial"/>
          <w:sz w:val="18"/>
          <w:szCs w:val="18"/>
          <w:color w:val="auto"/>
        </w:rPr>
        <w:t>, over 831,000 deaths in the United States were caused by heart disease and stroke, substantially more than the approximately 560,000 reported deaths caused by cancer.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Hypertriglyceridemia refers to a condition in which patients have high levels of triglycerides in the bloodstream and has been recognized as an independent risk factor for cardiovascular disease. Triglyceride levels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We estimate that over 40 million adults in the United States have elevated triglyceride levels &gt;200mg/dL and approximately 4.0 million people in the United States have very high triglyceride levels ( </w:t>
      </w:r>
      <w:r>
        <w:rPr>
          <w:rFonts w:ascii="Arial" w:cs="Arial" w:eastAsia="Arial" w:hAnsi="Arial"/>
          <w:sz w:val="16"/>
          <w:szCs w:val="16"/>
          <w:u w:val="single" w:color="auto"/>
          <w:color w:val="auto"/>
        </w:rPr>
        <w:t>&gt;</w:t>
      </w:r>
      <w:r>
        <w:rPr>
          <w:rFonts w:ascii="Arial" w:cs="Arial" w:eastAsia="Arial" w:hAnsi="Arial"/>
          <w:sz w:val="16"/>
          <w:szCs w:val="16"/>
          <w:color w:val="auto"/>
        </w:rPr>
        <w:t>500 mg/dL). Since 1976, mean triglyceride levels have increased, in concert with the growing epidemic of obesity, insulin resistance, and type 2 diabetes mellitus. In contrast, mean LDL-C levels have receded.</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It is estimated that fewer than 4% of U.S. adults with triglyceride levels ³ 200 mg/dL are currently receiving prescription medication for lowering triglycerides. Many of these patients are taking statin therapy directed primarily at lowering their LDL-C levels.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leading treatments to lower triglyceride levels are fibrates (fenofibrate and gemfibrozil), statins and a prescription only omega-3 fatty acid, known as Lovaza</w:t>
      </w:r>
      <w:r>
        <w:rPr>
          <w:rFonts w:ascii="Arial" w:cs="Arial" w:eastAsia="Arial" w:hAnsi="Arial"/>
          <w:sz w:val="11"/>
          <w:szCs w:val="11"/>
          <w:color w:val="auto"/>
        </w:rPr>
        <w:t>®</w:t>
      </w:r>
      <w:r>
        <w:rPr>
          <w:rFonts w:ascii="Arial" w:cs="Arial" w:eastAsia="Arial" w:hAnsi="Arial"/>
          <w:sz w:val="18"/>
          <w:szCs w:val="18"/>
          <w:color w:val="auto"/>
        </w:rPr>
        <w:t xml:space="preserve"> in the United States, and as Omacor</w:t>
      </w:r>
      <w:r>
        <w:rPr>
          <w:rFonts w:ascii="Arial" w:cs="Arial" w:eastAsia="Arial" w:hAnsi="Arial"/>
          <w:sz w:val="11"/>
          <w:szCs w:val="11"/>
          <w:color w:val="auto"/>
        </w:rPr>
        <w:t>®</w:t>
      </w:r>
      <w:r>
        <w:rPr>
          <w:rFonts w:ascii="Arial" w:cs="Arial" w:eastAsia="Arial" w:hAnsi="Arial"/>
          <w:sz w:val="18"/>
          <w:szCs w:val="18"/>
          <w:color w:val="auto"/>
        </w:rPr>
        <w:t xml:space="preserve"> in Europe. The use of fenofibrates can lead to abnormal liver function tests (an increase in ALT (alanine transaminase) or AST (aspartate transaminase), which are liver enzymes, and are commonly measured clinically as a part of a diagnostic liver function test to determine liver health), especially when used with statins. The use of gemfibrozil can lead to rhabdomyolysis (severe breakdown of muscles), especially when used with a statin. Lovaza is comprised of the omega-3 ethyl esters of eicosapentanoic acid, or EPA, and docosahexaenoic acid, or DHA, and other fatty acids. We believe that DHA may increase LDL-C levels and thereby partially offset one of the typically desired benefits of lipid-lowering therapies, which is lowering LDL-C.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AMR101</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AMR101 is comprised of not less than 96% pure ethyl-EPA and contains no DHA. We believe that the removal of DHA mitigates against the LDL-C raising effect observed in omega-3 formulations that include DHA, as well removing the fishy taste and smell that is sometimes associated with DHA. Based on the results of the MARINE trial, AMR101 was the first omega-3 based product to demonstrate statistically significant triglyceride reduction without a statistically significant increase in LDL-C in this very high triglyceride population.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results of the MARINE trial and AMR101’s DHA-free composition suggest that AMR101 has the potential to become a “best-in-class” EPA based triglyceride-lowering agent in the United States and the European Union. In addition, currently no omega-3 based product is approved for lowering high triglycerides in patients with mixed dyslipidemia. If approved by the FDA, we believe that AMR101 has the potential to become “first-in-class” in the prescription-grade omega-3 market for lowering triglycerides in patients with mixed dyslipidemia.</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the potential market for AMR101 is large and growing. We estimate that drug treatment for hypercholesterolemia patients exceeds $26.5 billion per year in the United States, with sales dominated by statin therapies. U.S. sales of fibrates as a class of products were approximately $2.6 billion in 2010 with Tricor and Trilipix leading the class. U.S. sales of Lovaza in 2010, as reported by GlaxoSmithKline plc, were over $900 million, and worldwide sales of Lovaza/Omacor in 2011 exceeded $1.3 billion, reflecting substantial annual growth both in the United States and Europe.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Commercialization Strategy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strategy is to seek FDA approval for AMR101 based on the results of the MARINE and ANCHOR trials while we continue to conduct the REDUCE-IT trial and consider additional trials to further expand the potential indications of use for AMR101. The indication evaluated in the MARINE trial is independent of the ANCHOR trial and can be submitted independently for FDA approval. In September 2011, we filed a NDA with the FDA seeking marketing approval for the MARINE indication. The FDA has assigned a Prescription Drug User Fee Act, or PDUFA, date of July 26, 2012 for the completion of its review of this NDA. In order to obtain a separate indication for AMR101 based on the ANCHOR trial results, the FDA requires that the MARINE indication be approved and that we have a clinical outcomes study substantially underway at the time of the NDA filing for the ANCHOR indication. Based upon feedback from the FDA and consistent with the respective SPAs for the MARINE trial and the ANCHOR trial, we do not believe the final results of an outcomes study are required for FDA approval of AMR101 for either indication.</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currently considering three potential paths for the marketing and sale of AMR101: strategic collaboration, acquisition and self-commercialization, the latter of which could include a third-party collaboration. From time to time we have held discussions with larger pharmaceutical companies on potential collaborations and other strategic opportunities, and we may have discussions regarding such opportunities in the future. These strategic opportunities may include licensing or similar transactions, joint ventures, partnerships, strategic alliances, business associations, or a sale of the company. However, no assurance can be given as to when or whether we will enter into any such strategic transaction.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Until such time that we enter into such a strategic transaction, if ever, we plan to continue to execute on our plans to launch, market and sell AMR101 on our own. This includes making preparations for securing a sufficient commercial supply of AMR101 and expanding sales and marketing capabilities. If we launch AMR101 on our own, assuming a timely FDA approval, we are targeting an early 2013 launch and we expect to begin hiring the majority of the required sales force after NDA approval. In this scenario, we would seek to initially target the clinicians who are top prescribers of other lipid regulating therapies. We believe accomplishing this for the indication studied in the MARINE trial will require a sales force of approximately 200 to 300 representatives in the United States.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actively conducting market research to finalize our positioning, pricing and reimbursement strategy with health plans and pharmaceutical benefit managers in preparation for a product launch.</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U.S. market is currently the primary focus of Amarin for the initial commercial launch of AMR101. Opportunities to market and sell AMR101 outside of the United States are also under evaluation.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MARINE Trial</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MARINE trial, the largest study ever conducted with omega-3 fatty acids in treating patients with very high triglycerides (³500 mg/dL), was a Phase 3, multi-center, placebo-controlled, randomized, double-blind, 12-week study. Patients were randomized into three treatment arms for treatment with AMR101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was required to meet a stringent level of statistical significance of 1% (p &lt; 0.01) in our SPA agreement with the FDA.</w:t>
      </w:r>
    </w:p>
    <w:p>
      <w:pPr>
        <w:spacing w:after="0" w:line="1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On November 29, 2010, we reported top-line data for the MARINE trial. In the trial, MARINE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AMR101 and 2 grams of AMR101,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In a pre-specified secondary analysis in the subgroup of patients with baseline triglyceride &gt; 750 mg/dL, representing 39% of all patients, the effect of AMR101 in reducing triglyceride levels from placebo was 45% for 4 grams and 33% for 2 grams, both statistically significant (p = 0.0001 for 4 grams and P=</w:t>
      </w:r>
    </w:p>
    <w:p>
      <w:pPr>
        <w:ind w:right="20"/>
        <w:spacing w:after="0" w:line="255" w:lineRule="auto"/>
        <w:rPr>
          <w:sz w:val="20"/>
          <w:szCs w:val="20"/>
          <w:color w:val="auto"/>
        </w:rPr>
      </w:pPr>
      <w:r>
        <w:rPr>
          <w:rFonts w:ascii="Arial" w:cs="Arial" w:eastAsia="Arial" w:hAnsi="Arial"/>
          <w:sz w:val="18"/>
          <w:szCs w:val="18"/>
          <w:color w:val="auto"/>
        </w:rPr>
        <w:t>0.0016 for 2 grams, respectively). The median baseline triglyceride levels in this subgroup were 1052 mg/dL, 902 mg/dL and 948 mg/dL for placebo, 4 gram and 2 gram groups, respectively. Twenty-five percent of patients in this trial were on background statin therapy. These patients had greater median reduction in triglyceride levels, which was also statistically significant.</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patients did not experience a statistically significant increase in median LDL-C compared to placebo at either dose (-2.3% for the 4 gram group and +5.2% for the 2 gram group [p=NS]). In addition, there was a statistically significant decrease in median non-HDL-C (total cholesterol less so-called “good cholesterol”) compared to placebo with both of the AMR101 treated groups (-18% for the 4 gram group [p &lt; 0.001] and -8% for the 2 gram group [p &lt; 0.05]).</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MARINE trial results also included statistically significant reductions compared to placebo in several important lipid markers, including Apo B (apolipoprotein B) (8.5%), Lp-PLA2 (lipoprotein-phospholipase A2) (13.6%), VLDL-C (very low-density lipoprotein cholesterol) (28.6%), Total Cholesterol (16.3%), and hsCRP (high-sensitivity C-reactive protein) (36.0%) at the 4 gram dose. For these achieved endpoints, p-values were &lt;0.01 for most and &lt;0.05 for all. The 2 gram dose also showed reductions of Apo B (2.6%), Lp-PLA2 (5.1%), VLDL-C (15.3%), Total Cholesterol (6.8%), and hsCRP (10.1%) compared to placebo. For these achieved endpoints, p-values were not significant for most and &lt;0.05 for all. Apo B (Apolipoprotein B) is believed to be a sensitive biomarker of residual cardiovascular risk and is generally considered to be a better predictor of residual cardiovascular risk than LDL-C. Lp-PLA2 is an enzyme found in blood and atherosclerotic plaque; high levels have been implicated in the development and progression of atherosclerosis.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MARINE trial, patients treated with 4 grams per day of AMR101 experienced a significant reduction in median placebo-adjusted lipoprotein particle concentrations of total LDL and small LDL. When looking at lipoprotein particle concentrations and sizes as measured with nuclear magnetic resonance spectroscopy, AMR101 4 grams per day, compared with placebo, significantly reduced median total LDL particle count by 16.3% (P=0.0006), which is an important factor in atherogenesis. LDL particle count and Apo B are important risk markers for the prediction of cardiovascular events. Small LDL particle count was reduced by 25.6% (P&lt;0.0001) compared with placebo, which is a common risk factor for cardiovascular events in patients with diabetes. AMR101 2 grams per day, compared with placebo, significantly reduced median small LDL particle count by 12.8% (P &lt;0.05) and reduced median total LDL particle count by 1.1% (NS). LDL particle size did not change significantly for the 2 or 4 grams doses.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AMR101 was well tolerated in the MARINE trial with a safety profile comparable to placebo. There were no treatment-related serious adverse events in the MARINE study. No significant changes in fasting blood glucose, hemoglobin A1C, vital signs, electrocardiograms, or liver or kidney function were observed with either AMR101 dose.</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Patients enrolled in the MARINE trial were given the option to be treated with AMR101 for a period of up to 40-weeks after their last dose in the pivotal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AMR101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AMR101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AMR101, whether used alone or in combination with other lipid-altering regimens.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ANCHOR Trial</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ANCHOR trial was a multi-center, placebo-controlled, randomized, double-blind, 12-week pivotal study in patients with high triglycerides (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200 and &lt;500 mg/dL) who were on optimized statin therapy. Patients were randomized into three arms for treatment with AMR101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AMR101 per day, respectively. The analysis of subgroups by baseline triglyceride tertiles showed that higher baseline triglycerides resulted in greater triglyceride reductions.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One of the trial’s secondary endpoints was to demonstrate a lack of elevation of LDL-C in order to avoid offset to the primary target of cholesterol lowering therapy. The trial’s non-inferiority criterion for LDL-C was met at both AMR101 doses. The upper confidence boundaries for both doses were below the pre-specified +6% LDL-C threshold limit. At the 4 gram dose the upper confidence boundary was below zero (-1.7%) and at the 2 gram dose the upper confidence boundary was close to zero (0.5%). For the 4 grams per day AMR101 group, LDL-C decreased significantly by 6.2% from baseline versus placebo, demonstrating superiority over placebo (p=0.0067). For the 2 grams per day group, LDL-C decreased by 3.6% from baseline versus placebo (p=0.0867), which is not a statistically significant decrease.</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Other secondary efficacy endpoints included the median placebo-adjusted percent change in non-high-density lipoprotein cholesterol (non-HDL-C), apolipoprotein B (Apo B), and lipoprotein-associated phospholipase A2 (Lp-PLA2). The 4 gram dose was associated with statistically significant reductions in non-HDL-C (13.6%, p&lt;0.0001), Apo B (9.3%, p&lt;0.0001), Lp-PLA2 (19%, p&lt;0.0001) and high-sensitivity C-reactive protein (hsCRP) (22%, p&lt;0.001), at week 12 compared to placebo. The 2 gram dose was associated with statistically significant reductions in non-HDL-C (5.5%, p&lt;0.01), Apo B (3.8%, p&lt;0.05), Lp-PLA2 (8.0%, p&lt;0.0001) and a non-statistically significant reduction in high-sensitivity C-reactive protein (hsCRP) (6.8%) at week 12 compared to placebo.</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AMR101 was well tolerated in the ANCHOR trial with a safety profile comparable to placebo. There were no treatment-related serious adverse events in the ANCHOR study. No significant changes in fasting blood glucose, hemoglobin A1C, vital signs, electrocardiograms, or liver or kidney function were observed with either AMR101 dose.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Prior to commencing Phase 3 trials for AMR101, we did not conduct Phase 2 trials for the patient populations being studied in the MARINE and ANCHOR trials. Such Phase 2 studies were not required as part of the SPAs for either trial. Among the reasons why Phase 2 trials were not conducted or required is that the active ingredient in AMR101, ethyl-EPA of not less than 96% purity with no DHA, has been approved by regulatory authorities in Japan and marketed by Mochida Pharmaceutical Co. for over a decade. In Japan, ethyl-EPA is marketed under the product name of Epadel and is indicated for hyperlipidemia and peripheral vascular disease and which we understand had 2009 revenues in Japan that exceed $500 million per year. Clinical data from Japan show that Epadel is effective in reducing triglycerides. In addition, in an outcomes study called the Japan EPA Lipid Intervention Study, or JELIS study, which study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patients with triglyceride levels of ³ 150 mg/dL (average 269 mg/dL at entry) and HDL-C &lt;40 mg/dL.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Clinical Safety of AMR101</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commencing the MARINE and ANCHOR trials, we conducted a pre-clinical program for AMR101, including toxicology and pharmacology studies. In addition, we previously investigated AMR101 in central nervous system disorders in several double-blind, placebo-controlled studies, including Phase 3 trials in Huntington’s disease. Over 1,000 patients have been dosed with AMR101 in these studies, with over 100 receiving continuous treatment for a year or more. In all studies performed to date, AMR101 has shown a favorable safety and tolerability profile. In the MARINE trial, the patients dosed with AMR101 demonstrated a safety profile comparable to placebo. In the ANCHOR trial, the patients dosed with AMR101 demonstrated a safety profile comparable to placebo. There were no treatment-related serious adverse events in the MARINE study or in the ANCHOR study.</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addition to the MARINE and ANCHOR trials, we completed a 28-day pharmacokinetic study in healthy volunteers, a 26-week study to evaluate the toxicity of AMR101 in transgenic mice and multiple pharmacokinetic drug-drug interaction studies in healthy subjects in which we evaluated the effect of AMR101 on certain common prescription drugs. All findings from these studies were consistent with our expectations of no AMR101-related inhibition or metabolism of the drugs studied.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Lipid Compounds and other Preclinical Programs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also considering development of other next generation compounds based on our internal lipid science expertise, including potential combination and derivative therapies. Currently all such development is in formulative or pre-clinical stages. We believe that AMR101 and other lipid-based compositions may have an impact on a number of biological factors in the body such as anti-inflammatory mechanisms, cell membrane composition and plasticity, triglyceride levels and regulation of glucose metabolism.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AMR101</w:t>
      </w:r>
    </w:p>
    <w:p>
      <w:pPr>
        <w:spacing w:after="0" w:line="96"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We currently use third party manufacturers and suppliers to manufacture clinical quantities of ethyl-EPA, which constitutes the only active pharmaceutical ingredient, or API, within AMR101, to encapsulate, bottle and package AMR101 and to maintain inventory of AMR101. Our existing supplier, Nisshin Pharma, or Nisshin, which is based in Japan, has produced all of the active pharmaceutical ingredient for AMR101 API for Amarin’s clinical trials and has filed a U.S.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Drug Master File, or DMF, which contains information defining the processes and facilities used in API manufacture and storage. Key aspects of this specification include pharmaceutical grade compound at a level of purity of at least 96% EPA and containing no DHA. The API material that constitutes ethyl-EPA is a naturally occurring substance which is sourced from qualified producers of fish oil.</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limited number of other manufacturers have the ability, know-how and suitable facilities to produce ethyl-EPA to a similar level of purity. We have entered into agreements with additional suppliers beyond Nisshin to potentially manufacture commercial supply of AMR101 API. However, Nisshin is currently our only supplier of ethyl-EPA. We intend to submit supplemental NDAs, or sNDAs, to the FDA, following an NDA approval, requesting approval of such additional API manufacturers to supplement Amarin’s commercial needs, subject to regulatory requirements.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agreement with Nisshin for the supply of ethyl-EPA was entered into in November 2010. In connection with this agreement, we paid Nisshin a non-refundable upfront payment of $0.5 million upon execution of the agreement. In addition, the agreement includes the following financial obligations: a milestone payment of $0.5 million payable on the first marketing approval of AMR101 in the United States, and minimum purchase obligations that vary based on pre-NDA submission, six months after submission, and within six months after first marketing approval. Under the agreement, Nisshin is responsible for any capital costs required to meet the volume demand of Amarin. The supply agreement with Nisshin may be terminated by either party by giving to the other party a notice in writing in the event of a material breach of the agreement and (where such breach is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capable of remedy) the breaching party fails to remedy such breach within 60 days of receiving a written notice from the terminating party specifying the breach and requiring its remedy. The agreement may also be terminated by either party immediately by giving a written notice to the other, if a petition is filed by or against the other party for commencement of a bankruptcy proceeding, commencement of corporate reorganization proceeding, commencement of civil rehabilitation proceeding, or any other insolvency proceeding or the other party is unable to pay its debts in the normal course of business. Nisshin may terminate this agreement by giving Amarin 30 days notice in writing if Amarin fails to meet its minimum purchase requirements, unless, within such 30 days, Amarin pays to Nisshin the amount corresponding to the unfulfilled purchases.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Nisshin has expanded its manufacturing capacity in accordance with the agreement, Nisshin may terminate the agreement in the event that Amarin does not receive marketing approval for AMR101 in the United States on or before December 31, 2014 or in the event Amarin abandons development of AMR101 for hypertriglyceridemia in the United States. If terminated, Amarin is required to reimburse Nisshin for the costs incurred to expand its facility less any profits paid to Nisshin for the purchase of ethyl-EPA by Amarin under the agreement, but in any event, not to exceed $5.0 million. Unless terminated earlier, in accordance with the terms of the agreement, the agreement shall extend for a period of 10 years from the commencement date after which it may be renewed upon mutual agreement for successive three-year periods.</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believe Nisshin is capable of producing sufficient quantities of AMR101 API to support the initial commercial launch of AMR101. However, based on the positive results of our MARINE and ANCHOR clinical trials and the potential for greater than originally expected product demand, we determined in 2011 to add additional suppliers. Our goals in expanding our supply chain were to provide greater capacity to meet anticipated demand, enable supply diversification and flexibility and introduce cost competition. After conducting an extensive global search for manufactures capable of producing API for AMR101 to our technical specifications, we entered into limited exclusivity, long-term agreements with two additional API suppliers in 2011, Chemport Inc. and Equateq Limited. We are currently working to finalize terms and conditions with a fourth supplier. Certain of our API supply agreements contain provisions under which the cost of supply to us decreases as we purchase increased product volume.</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agreements with each of our API suppliers contemplate phased manufacturing capacity expansions designed to create sufficient manufacturing capacity to meet anticipated demand for API material for AMR101 following FDA approval. Accordingly, Nisshin and our other potential suppliers are currently working to expand and qualify their production capabilities to meet regulatory requirements to manufacture the API for AMR101. These API suppliers are self-funding these expansion and qualification plans with contributions from Amarin. There can be no assurance that additional suppliers will fully-fund the capital costs of our engagement or that they will successfully qualify with the FDA.</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Among the conditions for FDA approval of a pharmaceutical product is the requirement that the manufacturer’s quality control and manufacturing procedures conform to current Good Manufacturing Practice, or cGMP, which must be followed at all times. The FDA typically inspects manufacturing facilities before regulatory approval of a product candidate, such as AMR101, and on an ongoing basis. In complying with cGMP regulations, pharmaceutical manufacturers must expend resources and time to ensure compliance with product specifications as well as production, record keeping, quality control, reporting, and other requirements. Our NDA filed with the FDA for AMR101 references one supplier of our API, Nisshin, with which we have had the longest relationship and which we believe is qualified to support our initial commercial launch of AMR101. We have defined with the FDA our plan and specifications for qualifying the additional API suppliers. We intend to submit sNDAs for the use of these additional API suppliers after the suppliers successfully complete the specified process and facility qualifications and after the NDA for the MARINE indication is approved.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API encapsulation, we submitted two commercial encapsulators as part of our AMR101 NDA. We believe that both of these companies, who currently encapsulate Lovaza</w:t>
      </w:r>
      <w:r>
        <w:rPr>
          <w:rFonts w:ascii="Arial" w:cs="Arial" w:eastAsia="Arial" w:hAnsi="Arial"/>
          <w:sz w:val="11"/>
          <w:szCs w:val="11"/>
          <w:color w:val="auto"/>
        </w:rPr>
        <w:t>®</w:t>
      </w:r>
      <w:r>
        <w:rPr>
          <w:rFonts w:ascii="Arial" w:cs="Arial" w:eastAsia="Arial" w:hAnsi="Arial"/>
          <w:sz w:val="18"/>
          <w:szCs w:val="18"/>
          <w:color w:val="auto"/>
        </w:rPr>
        <w:t>, have the capacity and sufficient expertise to support our product launch requirements.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Plans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currently have minimal marketing, sales and distribution capabilities. In order to commercialize products that are approved for commercial sale, we must either develop a sales, marketing and distribution infrastructure or collaborate with third parties that have such experience. Until such time that we enter into any such collaborations, if ever, we plan to continue to execute on our plans to market, sell and distribute AMR101 on our own. If we launch AMR101 on our own, we expect to begin hiring the majority of the required sales force after NDA approval. In this scenario, we would seek to initially target the clinicians who are top prescribers of other lipid regulating therapies. We believe accomplishing this for the indication studied in the MARINE trial will require a sales force of approximately 200 to 300 representatives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Product Development Programs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2009, we completed a private placement resulting in gross proceeds of $70.0 million. These proceeds were used primarily to fund the MARINE and ANCHOR studies for AMR101. In connection with this private placement, our board of directors and executive management underwent significant change, and our research and development activities, as well as certain executive functions, were consolidated from multiple offices to our research and development headquarters in the United States. In connection with these changes, we re-focused our efforts on developing improved treatments for cardiovascular disease and ceased development of all product candidates outside of our cardiovascular disease focus. In particular, this decision resulted in our ceasing all direct development of product candidates for Huntington’s disease, Myasthenia gravis and Parkinson’s disease.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2009, we voluntarily withdrew our previously announced European marketing application for AMR101 relating to an Orphan Medicinal Product indication for a subset of Huntington’s disease patients. While the safety profile of AMR101 for Huntington’s disease was encouraging, feedback from European regulatory authorities indicated that at least one additional study of AMR101 was required to establish the efficacy of this product candidate in treating motor symptoms of Huntington’s disease.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Myasthenia gravis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2007, we purchased Ester Neurosciences Ltd (Ester),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authorized to seek a partner for EN101. The amendment agreement also provided that any future payment obligations payable by Amarin to the former shareholders of Ester would be made only out of income received from potential partners.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Under the terms of this amendment agreement, the former Ester shareholders had the option of reacquiring the original share capital of Ester if we are unable to successfully partner EN101. In connection with this amendment agreement, in August 2009 we issued 1,315,789 common shares to the former Ester shareholders.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Amarin. In June 2011 Yissum announced that it had entered into a license agreement with BiolineRX Ltd for the development of EN101 in a different indication, Inflammatory Bowel Disease.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received correspondence on behalf of the former shareholders of Ester asserting that Amarin is in breach of its amended agreement due to the fact that the Yissum terminated its license and Amarin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Parkinson’s disease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Previously we were engaged in the pre-clinical development of AMR103, a novel delivery form of levodopa, for the treatment of patients with Parkinson’s disease. The program was part of our development of different types of chemical linkage to attach a range of bioactive lipids either to other lipids or other drugs. This Targeted Lipid Transport Technology, or TLT, platform can result in novel chemical entities, potentially offering substantial and clinically relevant advantages over either compound alone. However, in keeping with our decision to re-focus our efforts on developing improved treatments for cardiovascular disease and cease development of all product candidates outside of our cardiovascular disease focus, we discontinued all further development of AMR103 and the TLT platform.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very high triglycerides, and Abbott Laboratories, which currently markets Tricor and Trilipix for the treatment of very high triglycerides and mixed dyslipidemia. In March 2011, Pronova BioPharma Norge AS, which owns the patents for Lovaza, entered into an agreement with Apotex Corp. and Apotex Inc. to settle their patent litigation in the United States related to Lovaza. Pursuant to the terms of the settlement agreement, Pronova granted Apotex a license to enter the U.S. market with a generic version of Lovaza in the first quarter of 2015, or earlier depending on circumstances. We expect Apotex to compete against us as well. Other companies are also seeking to introduce generic versions of Lovaza.</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AMR101. These include a free fatty acid form of omega-3 (comprised of 55% EPA and 20% DHA) which is being developed by Omthera Pharmaceuticals, which completed enrollment in a Phase 3 clinical trial in November 2011 and has announced that it expects to disclose initial top-line data by April 2012, and Trygg Pharma, which has completed a Phase 3 study of an omega-3 based drug candidate for hypertriglyceridemia, but we believe Trygg has not yet announced results from that study. In addition, Acasti Pharma, a subsidiary of Neptune Technologies &amp; Bioresources Inc., announced in late 2011 the enrollment of its Phase 2 clinical trial to assess the safety and efficacy of its omega-3 prescription drug candidate for the treatment of hypertriglceridemia. We believe Resolvyx Pharmaceuticals and Catabasis Pharmaceuticals are also developing potential treatments for hypertriglceridemia based on omega-3 fatty acids, but we believe that neither has initiated a Phase 2 clinical trial of its product.</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AMR101, if approved, will also face competition from dietary supplement companies marketing naturally occurring omega-3 fatty acids as nutritional supplements.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product development activities related to AMR101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Our drugs must be approved by the FDA through the NDA process before they may be legally marketed in the United States. For new chemical entities, the pre-clinical development stage generally involves synthesizing the active component, developing the formulation and determining the manufacturing process, as well as carrying out non-human toxicology, pharmacology and drug metabolism studies which support subsequent clinical testing. There is no assurance that we will receive FDA approval for AMR101 or any other product.</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they may suspend or terminate the study at any time. Studies must be conducted in accordance with good clinical practice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marketing a drug in the United States. In addition, in order to seek approval for a potentially expanded indication based on the ANCHOR study, we will be required to have substantially enrolled subjects in a medical “outcomes study” at the time of our NDA submission, and the MARINE indication must be approved. Based upon feedback from the FDA and in accordance with the SPA for the ANCHOR study, we do not believe that the results of the REDUCE-IT outcomes study are required for approval of the indication studied in the ANCHOR trial.</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FDA will likely re-analyze the clinical trial data, which could result in extensive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requirements and may also audit data from clinical and pre-clinical trials.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Even if AMR101 or a future product is approved,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the European Union (E.U.), our future products may also be subject to extensive regulatory requirements. As in the United States, the marketing of medicinal products has been subject to the granting of marketing authorizations by regulatory agencies. Particular emphasis is also being placed on more sophisticated and faster procedures for reporting of adverse events to the competent authorities.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Similar to the United States, the various phases of pre-clinical and clinical research in the E.U. are subject to significant regulatory controls. Although the regulatory controls on clinical research are currently undergoing a harmonization process following the adoption of the Clinical Trials Directive 2001/20/EC, there are currently significant variations in the member state regimes. However, all member states currently require independent institutional review board approval of interventional clinical trials. With the exception of U.K. Phase 1 studies in healthy volunteers, all clinical trials require either prior governmental notification or approval. Most regulators also require the submission of adverse event reports during a study and a copy of the final study report.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the E.U., approval of new medicinal products can be obtained through one of three processes: the mutual recognition procedure, the centralized procedure and the decentralized procedure.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Mutual Recognition Procedure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 applicant submits an application in one E.U. member state, known as the reference member state. Once the reference member state has granted the marketing authorization, the applicant may choose to submit applications in other concerned member states, requesting them to mutually recognize the marketing authorizations already granted. Under this mutual recognition process, authorities in other concerned member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states have 55 days to raise objections, which must then be resolved by discussions among the concerned member states, the reference member state and the applicant within 90 days of the commencement of the mutual recognition procedure. If any disagreement remains, all considerations by authorities in the concerned member states are suspended and the disagreement is resolved through an arbitration process. The mutual recognition procedure results in separate national marketing authorizations in the reference member state and each concerned member state.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Centralized Procedure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procedure is currently mandatory for products developed by means of a biotechnological process and optional for new active substances and other “innovative medicinal products with novel characteristics.” Under this procedure, an application is submitted to the European Agency for the Evaluation of Medical Products. Two European Union member states are appointed to conduct an initial evaluation of each application. These countries each prepare an assessment report that is then used as the basis of a scientific opinion of the Committee on Proprietary Medical Products. If this opinion is favorable, it is sent to the European Commission, which drafts a decision. After consulting with the member states, the European Commission adopts a decision and grants a marketing authorization, which is valid throughout the European Union and confers the same rights and obligations in each of the member states as a marketing authorization granted by that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Decentralized Procedure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most recently introduced of the three processes for obtaining approval of new medicinal processes in the E.U., the decentralized procedure is similar to the mutual recognition procedure described above, but with differences in the timing that key documents are provided to concerned member states by the reference member state, the overall timing of the procedure and the possibility of “clock stops” during the procedure, among others.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Following approval of a new product, a pharmaceutical company generally must engage in numerous specific monitoring and recordkeeping activities and continue to submit periodic and other reports to the applicable regulatory agencies, including any cases of adverse events and appropriate quality control records. Modifications or enhancements to the products or labeling or changes of site of manufacture are often subject to the approval of the FDA and other regulators, which may or may not be received or may result in a lengthy review process.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U.S. Federal Food, Drug, and Cosmetic Act.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current good manufacturing practices, or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the U.S. Medicare-Medicaid Anti-Fraud and Abuse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Market-exclusivity provisions under the Food, Drug and Cosmetic Act, or FDCA, also can delay the submission or the approval of certain applications. The FDCA provides a five-year period of non-patent marketing exclusivity within the United States to the first applicant to gain approval of an NDA for a new chemical entity, or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tentative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With respect to AMR101, we are seeking five-year NCE marketing exclusivity under the FDCA. We believe that the active pharmaceutical ingredient in AMR101, at least 96% ethyl-EPA, may be considered a new chemical entity, and could therefore be eligible for five-year market exclusivity under the FDCA if the NDA is approved. The only other omega-3 based product approved by the FDA is Lovaza. We believe the active moiety in Lovaza and the active moiety in AMR101 are different. Lovaza was approved as a lipid-regulating agent by the FDA in 2004 and has been described in its FDA-approved product label as a combination of ethyl esters of omega-3 fatty acids, principally ethyl-EPA and ethyl-DHA. Our belief that AMR101 should be granted NCE exclusivity is based in part on precedent at the FDA for granting NCE status to a previously uncharacterized active moiety, in this case, potentially ethyl-EPA that was part of a previously approved product. It is currently unclear whether the FDA will view the ethyl-EPA in AMR101 as a previously approved active moiety in Lovaza and deny our request that AMR101 be granted NCE status and the associated period of regulatory exclusivity. We expect the FDA determination on NCE exclusivity will be made in connection with, or soon after, an NDA approval of the MARINE application, if approved, but we cannot assure you that we will be granted NCE exclusivity even if the NDA is approved. If we are not granted NCE exclusivity, we may be granted three-year exclusivity. We also plan to seek regulatory exclusivity for AMR101 in Europe. There can be no assurance that we will be successful in securing marketing approval or regulatory exclusivity in the United States or in Europe.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Pediatric exclusivity is another type of exclusivity in the United States. Pediatric exclusivity, if granted, provides an additional six months to an existing exclusivity or a statutory delay in approval resulting from a patent certification. This six-month exclusivity, which runs from the end of other exclusivity protections or patent delay, may be granted based on the voluntary completion of a pediatric study in accordance with an FDA-issued “Written Request” for such a study. If market exclusivity, as described above, is successful, we will consider pursuing pediatric exclusivity, although there can be no assurance that we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We seek to protect our chemical compounds and technologies by, among other methods, filing U.S. and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 We, or our licensors, file patent applications directed to our key drug candidates in an effort to establish intellectual property positions regarding new chemical entities relating to our product candidates as well as uses of new chemical entities in the treatment of diseases. Our patenting strategy encompasses pursuing patents for compositions, formulations, indications/ uses and combinations with other drugs. Amarin is prosecuting multiple patent applications in an effort to protect the intellectual property developed during the AMR101 cardiovascular program.</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believe that patent protection of our technologies, processes and products is important to our future operations. The success of our products may depend, in part, upon our ability to obtain strong patent protection. There can, however, be no assurance that:</w:t>
      </w:r>
    </w:p>
    <w:p>
      <w:pPr>
        <w:spacing w:after="0" w:line="51" w:lineRule="exact"/>
        <w:rPr>
          <w:sz w:val="20"/>
          <w:szCs w:val="20"/>
          <w:color w:val="auto"/>
        </w:rPr>
      </w:pPr>
    </w:p>
    <w:p>
      <w:pPr>
        <w:ind w:left="900" w:right="7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patents will be granted from our pending patent applications directed to AMR101 or any of our future products in any or all appropriate jurisdictions;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patents that we or our licensees may obtain will not be successfully challenged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technologies, processes or products will not infringe upon the patents of third parties;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any patents will be sufficient to prevent third parties from developing similar products.</w:t>
      </w:r>
    </w:p>
    <w:p>
      <w:pPr>
        <w:spacing w:after="0" w:line="171"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strategy is to file patent applications where we think it is appropriate to protect and preserve the proprietary technology and inventions considered significant to our business. We currently have no patents that directly apply to the use of AMR101 for hypertriglyceridemia, hyperlipidemia or cardiovascular therapy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United States or Europe. We have filed and are prosecuting numerous patent applications in the United States and internationally that seek to protect the proprietary position of AMR101. For certain of these patent families, we have filed multiple patent applications. Collectively the patent applications include numerous independent claims and dependent claims. Several of our patent applications contain claims based upon what we believe are unexpected findings from the MARINE and ANCHOR trials. If granted, we believe that many of these resulting patents would expire in 2030 or beyond. However, no assurance can be given that any of our patent applications will be granted or, if they are granted, that they will prevent competitors from competing with AMR101. 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To our knowledge, the U.S. Patent and Trademark Office or other international patent offices have not yet commenced examining certain of these applications. While examination of certain of these applications is anticipated during 2012, we cannot predict the timing or results of such examination. In addition, we may elect to submit, or the patent office may require, additional evidence to support certain of the claims we are pursuing. Providing such additional evidence could result in us incurring additional costs. We cannot be certain what commercial value any granted patent in our patent portfolio will provide to us.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also rely upon trade secrets and know-how to retain our competitive position.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in the United States, it is possible that those parties will obtain patents that will be sufficiently broad so as to prevent us from utilizing such technology. In addition, we may use unpatented proprietary technology, in which case there would be no assurance that others would not develop similar technology. See Item 1A “Risk Factors—Risks Related to our Intellectual Property and Regulatory Exclusivity— We are dependent on patents, proprietary rights and confidentiality,” and “Risk Factors—Risks Related to our Business—Potential technological changes in our field of business create considerable uncertainty”.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Depending upon the timing, duration and specifics of FDA approval of the use of AMR101, if the NDA is approved, we believe that some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 patents may be eligible for a limited patent term extension under the Drug Price Competition and Patent Term Restoration Act of 1984,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Hatch-Waxman Amendments. The Hatch-Waxman Amendments permit a patent restoration term of up to five years as compensation for patent term lost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and the FDA regulatory review process. However, patent term restoration cannot extend the remaining term of a patent beyond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years from the product’s approval date. The patent term restoration period is generally one-half the time between the effective date of an IND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submission date of an NDA, plus the time between the submission date of an NDA and the approval of that application. Only one patent applicable to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approved drug is eligible for the extension and the extension must be applied for prior to expiration of the patent. The United States Patent and Trademark Office,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consultation with the FDA, reviews and approves the applications for any patent term extension or restoration for an approved NDA. In the future, we intend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apply for restorations of patent term for some of our currently owned or licensed patents to add patent life beyond their current expiration date, depending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length of clinical trials and other factors involved in the filing of the relevant NDA.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2011, we had 31 full-time employees employed in marketing, general and administrative and research and development functions. We believe our relations with our employees are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we had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Country of</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9"/>
              </w:rPr>
              <w:t>Subsidiary Name</w:t>
            </w:r>
          </w:p>
        </w:tc>
        <w:tc>
          <w:tcPr>
            <w:tcW w:w="384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20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Ownership Interest and</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2020" w:type="dxa"/>
            <w:vAlign w:val="bottom"/>
            <w:gridSpan w:val="2"/>
          </w:tcPr>
          <w:p>
            <w:pPr>
              <w:jc w:val="center"/>
              <w:ind w:right="1080"/>
              <w:spacing w:after="0" w:line="148" w:lineRule="exact"/>
              <w:rPr>
                <w:sz w:val="20"/>
                <w:szCs w:val="20"/>
                <w:color w:val="auto"/>
              </w:rPr>
            </w:pPr>
            <w:r>
              <w:rPr>
                <w:rFonts w:ascii="Arial" w:cs="Arial" w:eastAsia="Arial" w:hAnsi="Arial"/>
                <w:sz w:val="14"/>
                <w:szCs w:val="14"/>
                <w:b w:val="1"/>
                <w:bCs w:val="1"/>
                <w:color w:val="auto"/>
                <w:w w:val="86"/>
              </w:rPr>
              <w:t>or Registration</w:t>
            </w:r>
          </w:p>
        </w:tc>
        <w:tc>
          <w:tcPr>
            <w:tcW w:w="1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Voting Power Held</w:t>
            </w: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20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Ireland</w:t>
            </w:r>
          </w:p>
        </w:tc>
        <w:tc>
          <w:tcPr>
            <w:tcW w:w="10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4040" w:type="dxa"/>
            <w:vAlign w:val="bottom"/>
            <w:gridSpan w:val="3"/>
          </w:tcPr>
          <w:p>
            <w:pPr>
              <w:ind w:left="2020"/>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4040" w:type="dxa"/>
            <w:vAlign w:val="bottom"/>
            <w:gridSpan w:val="3"/>
            <w:shd w:val="clear" w:color="auto" w:fill="CCEEFF"/>
          </w:tcPr>
          <w:p>
            <w:pPr>
              <w:ind w:left="2020"/>
              <w:spacing w:after="0"/>
              <w:rPr>
                <w:sz w:val="20"/>
                <w:szCs w:val="20"/>
                <w:color w:val="auto"/>
              </w:rPr>
            </w:pPr>
            <w:r>
              <w:rPr>
                <w:rFonts w:ascii="Arial" w:cs="Arial" w:eastAsia="Arial" w:hAnsi="Arial"/>
                <w:sz w:val="18"/>
                <w:szCs w:val="18"/>
                <w:color w:val="auto"/>
              </w:rPr>
              <w:t>Scotland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Ester Neurosciences Limited</w:t>
            </w:r>
          </w:p>
        </w:tc>
        <w:tc>
          <w:tcPr>
            <w:tcW w:w="4040" w:type="dxa"/>
            <w:vAlign w:val="bottom"/>
            <w:gridSpan w:val="3"/>
          </w:tcPr>
          <w:p>
            <w:pPr>
              <w:ind w:left="2020"/>
              <w:spacing w:after="0"/>
              <w:rPr>
                <w:sz w:val="20"/>
                <w:szCs w:val="20"/>
                <w:color w:val="auto"/>
              </w:rPr>
            </w:pPr>
            <w:r>
              <w:rPr>
                <w:rFonts w:ascii="Arial" w:cs="Arial" w:eastAsia="Arial" w:hAnsi="Arial"/>
                <w:sz w:val="18"/>
                <w:szCs w:val="18"/>
                <w:color w:val="auto"/>
              </w:rPr>
              <w:t>Israel</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Our registered office is located at One New Change, London EC4M 9AF, England. Our principal offices are located at 2 Pembroke House, Upper Pembroke Street 28-32, Dublin 2 Ireland. Our primary offices in the United States are located at 1430 Route 206, Bedminster, NJ 07921, USA. Our telephone number at that location is (908) 719-1315. Our website address is </w:t>
      </w:r>
      <w:r>
        <w:rPr>
          <w:rFonts w:ascii="Arial" w:cs="Arial" w:eastAsia="Arial" w:hAnsi="Arial"/>
          <w:sz w:val="18"/>
          <w:szCs w:val="18"/>
          <w:i w:val="1"/>
          <w:iCs w:val="1"/>
          <w:color w:val="auto"/>
        </w:rPr>
        <w:t>www.amarincorp.com .</w:t>
      </w:r>
      <w:r>
        <w:rPr>
          <w:rFonts w:ascii="Arial" w:cs="Arial" w:eastAsia="Arial" w:hAnsi="Arial"/>
          <w:sz w:val="18"/>
          <w:szCs w:val="18"/>
          <w:color w:val="auto"/>
        </w:rPr>
        <w:t xml:space="preserve"> No information contained on, or accessible through, our website is incorporated by reference into this Annual Report on Form 10-K.</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with little to no activity being conducted by Amarin Neuroscience Limited or Ester Neurosciences Limited.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9, 2012, Amarin, through its wholly-owned subsidiary Corsicanto Limited, a private limited company incorporated under the laws of Ireland, completed a private placement of $150.0 million in aggregate principal amount of its 3.50% exchangeable senior notes due 2032. The notes are the senior unsecured obligations of Corsicanto and are guaranteed by Amarin Corporation plc. Corsicanto was formed in November 2011 and was subsequently acquired by Amarin in January 2012 for the sole purpose of facilitating this financing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are advised to read this Annual Report on Form 10-K in conjunction with other reports and documents that we file from time to time with the Securities and Exchange Commission, or SEC. You may obtain copies of these reports after the date of this annual report directly from us or from the SEC at the SEC’s Public Reference Room at 100 F Street, N.E. Washington, D.C. 20549. In addition, the SEC maintains information for electronic filers (including Amarin) at its website at www.sec.gov.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regulatory filings and commercialization activities,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losses and anticipate that we will incur continued losses for the foreseeable future.</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2011, 2010, and 2009, we reported losses of approximately $69.1 million, $249.6 million, and $30.6 million, respectively.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We expect to incur additional and increasing operating losses over the next several years. These losses, combined with expected future losses, have had and will continue to have an adverse effect on our cash resources, shareholders’ deficit and working capital. We expect our research and development expenses to significantly increase in connection with our proposed clinical outcomes study for AMR101 and any other studies for our product candidates. In addition, if we obtain regulatory approval for any of our product candidates, we may incur significant sales, marketing, in-licensing and outsourced manufacturing expenses, as well as continued research and development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 profitable.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 Unless and until marketing approval is obtained from either the FDA or European Medicines Agency, which we refer to as the EMA, for any of our product candidates, or we are otherwise able to acquire rights to products or product candidates that have received regulatory approval or are at an advanced stage of development and can be readily commercialized, we may not be able to generate sufficient revenue to attain profitability. In addition, our ability to generate profits after any FDA or EMA approval of our product candidates is subject to our ability to contract for the manufacture of commercial quantities of our product candidates at acceptable cost levels and establish sales and marketing capabilities or identify and enter into one or more strategic collaborations to effectively market and sell any approved product candidate.</w:t>
      </w:r>
    </w:p>
    <w:p>
      <w:pPr>
        <w:spacing w:after="0" w:line="12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Even if one of our product candidates is approved for commercial sale, any approved product candidate may not gain market acceptance or achieve commercial success. In addition, we would anticipate incurring significant costs associated with commercializing any approved product. We may not achieve profitability soon after generating product sales, if ever. If we are unable to generate product revenues, we will not become profitable and may be unable to continue operations without continued funding.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generate revenue depends on obtaining regulatory approvals for our products.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successfully commercialize a product, we or our potential partners are required to conduct tests and successfully complete clinical trials needed in order to meet regulatory requirements and to obtain applicable regulatory approvals. The costs of developing and obtaining regulatory approvals for pharmaceutical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can be substantial. Our ability to commercialize any of our products in development is dependent upon the success of development efforts in clinical studies. If these clinical trials fail to produce satisfactory results, or if we are unable to maintain the financial and operational capability to complete these development efforts, we may be unable to generate revenues. Even if we obtain regulatory approvals, the timing or scope of any approvals may prohibit or reduce our ability to commercialize products successfully. For example, if the approval process takes too long, we may miss market opportunities and give other companies the ability to develop competing products or establish market dominance. Additionally, the terms of any approvals may not have the scope or breadth needed for us to commercialize products successfully.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consequence of our decision in 2009 to focus on product development for cardiovascular indications and the discontinuation of development work related to other product candidates, our historical financial results do not form an accurate basis upon which investors should base their assessment of our business and prospects. In addition, we expect that our costs will increase substantially if we require additional clinical trials to obtain regulatory approval of AMR101, as a result of the initiation of the REDUCE-IT cardiovascular outcomes study and as we prepare for the commercialization of AMR101. Accordingly, our historical financial results reflect a substantially different business from that currently being conducted. In addition, we have not yet demonstrated an ability to obtain regulatory approval for or commercialize a product candidate. Consequently, any predictions about our future performance may not be as accurate as they could be if we had a history of successfully developing and commercializing pharmaceutical products.</w:t>
      </w:r>
    </w:p>
    <w:p>
      <w:pPr>
        <w:spacing w:after="0" w:line="199" w:lineRule="exact"/>
        <w:rPr>
          <w:sz w:val="20"/>
          <w:szCs w:val="20"/>
          <w:color w:val="auto"/>
        </w:rPr>
      </w:pPr>
    </w:p>
    <w:p>
      <w:pPr>
        <w:ind w:left="240" w:right="6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and to develop our product candidates. If we cannot find additional capital resources, we will have difficulty in operating as a going concern and growing our business.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currently operate with limited resources. At December 31, 2011, we had cash and cash equivalents of approximately $116.6 million. We believe that our current resources will be sufficient to fund our projected operations for the next twelve months, which projected operations contemplate not only working capital and general corporate needs but also commercial preparation of AMR101 and the continuation of the REDUCE-IT cardiovascular outcomes study. 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Although from time to time we are in discussions with pharmaceutical companies regarding such collaboration, there can be no assurance that these discussions will result in any such transaction. Accordingly, we are also developing plans to launch, market and sell AMR101 in the United States on our own.</w:t>
      </w:r>
    </w:p>
    <w:p>
      <w:pPr>
        <w:spacing w:after="0" w:line="11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enter into a strategic collaboration in connection with the launch, marketing and sale of AMR101, we will likely need to raise additional capital to fully support these efforts. We will also need additional capital to fully complete our REDUCE-IT cardiovascular outcomes trial.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 not we enter into a strategic collaboration in connection with the launch, marketing and sale of AMR101;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AMR101;</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cost associated with the REDUCE-IT outcomes study to support the filing of an NDA for the clinical indication evaluated in the ANCHOR trial;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additional product candidates we may pursue;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or defending patent claims; and</w:t>
      </w:r>
    </w:p>
    <w:p>
      <w:pPr>
        <w:spacing w:after="0" w:line="9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commercializing our product candidates if they receive regulatory approval, including the cost and timing of developing sales and marketing capabilities, or the cost and timing of securing commercial supply of AMR101 and the timing of entering into strategic collaboration with others relating to the commercialization of our product candidates, if at all.</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do not enter into a collaboration agreement to support the commercialization of AMR101, or if adequate funds are not available to us in amounts or on terms acceptable to us or on a timely basis, or at all, we may be required to terminate or delay our development efforts in support of our product candidates, or delay the advancement of the REDUCE-IT cardiovascular outcomes trial, or delay our establishment of sales and marketing capabilities or other activities that may be necessary to commercialize AMR101, in the event we obtain regulatory approval for this product candidate.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impact on Amarin’s ability to obtain financing on acceptable terms.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any of our product candidates,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December 31, 2011, there were warrants outstanding for the purchase of up to 21,106,363 American Depository Shares, or ADSs, each representing one of our ordinary shares, with a weighted average exercise price of $1.48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an initial exchange rate of 113.4752 ADS per $1,000 principal amount of notes, if we elected physical settlement, the notes would initially be exchangeable into 17,021,280 ADS.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or product candidates, or grant licenses on terms that are not favorable to 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upon the success of AMR101.</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development efforts for AMR101, including regulatory approval, are not successful for the MARINE, ANCHOR or any other indication, or if adequate demand for AMR101 is not generated,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AMR101. If we are not successful in developing any future product or products, or if there is not adequate demand AMR101 or the market for such product develops less rapidly than we anticipate, we may not have the ability to effectively shift our resources to the development of alternative products. As a result, the limited range of products we develop could constrain our ability to generate revenues and achieve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9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There can be no assurance that our NDA submitted to the FDA seeking approval to market AMR101 will be approved and there can be no assurance that the FDA will complete its review of our NDA by the PDUFA date.</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26, 2011, we submitted an NDA to the FDA seeking approval to market AMR101 in the United States for use in the treatment of patients with very high triglyceride levels, or the MARINE indication, and the FDA has assigned a Prescription Drug User Fee Act, or PDUFA, date of July 26, 2012 for the completion of its review. The PDUFA date is the goal date for the FDA to complete its review of the NDA. However, there can be no assurance that the FDA will complete its review of the NDA by this date. The FDA may deny approval of the application and require additional testing or data. In the event the FDA takes any such action, such actions would have a material adverse effect on our operations and financial condition.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SPA agreements with the FDA are not guarantees of FDA approval of AMR101 for the subject indications.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 SPA agreement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MARINE trial and ANCHOR trial were each conducted under an SPA with the FDA. The REDUCE-IT trial is also being conducted under an SPA with the FDA. The FDA agreed that, based on the information we submitted to the agency, the design and planned analysis of the MARINE and ANCHOR trials are adequate to support use of the studies as the primary basis for approval with respect to effectiveness. An SPA is generally binding upon the FDA except in limited circumstances, such as if the FDA identifies a substantial scientific issue essential to determining safety or efficacy is identified after the study begins, or if the study sponsor fails to follow the protocol that was agreed upon with the FDA. There is no assurance that the FDA will not identify a scientific issue and deem either or both of our SPAs no longer binding. Moreover, any change to a study protocol after agreement with the FDA is reached can invalidate an SPA. While we amended the protocol for the ANCHOR trial after the initial SPA evaluation was completed, we obtained the FDA’s evaluation of, and agreement to, the amendment. If, for example, the FDA does not consider the applicable SPA to be binding during its review of our regulatory approval applications, or if the FDA determines that we did not follow the SPAs appropriately, the agency could assert that additional studies or data are required to support approval of the application.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Even if we obtain marketing approval for AMR101 in the United States, there can be no assurance as to the final indication or indications approved by the FDA, and the commercial value to us of any approved indication may be smaller than we anticipate.</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There can be no assurance as to the final indication approved by the FDA, in the event that marketing approval is obtained. Even if marketing approval is obtained, the number of actual patients with the condition included in such approved indication may be smaller than we anticipate. For example, the FDA could approve the MARINE indication and not the ANCHOR indication. Even if we obtain marketing approval, the FDA may impose restrictions on the product’s conditions for use, distribution or marketing and in some cases may impose ongoing requirements for post-market surveillance, post-approval studies or clinical trials. If any such approved indication is narrower than we anticipate, the market potential for our product candidate would suffer.</w:t>
      </w:r>
    </w:p>
    <w:p>
      <w:pPr>
        <w:spacing w:after="0" w:line="197"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Even if we obtain marketing approval for AMR101 in the United States, it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AMR101 receives marketing approval, it may nonetheless fail to gain sufficient market acceptance by physicians, patients, healthcare payors and others in the medical community. Gaining market acceptance for our product may be particularly difficult. If AMR101 does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offer AMR101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 if our products are approved, we may not be able to compete effectively against our competitors’ pharmaceutical products.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pharmaceutical industry is highly competitive. If we are successful in completing the development of any of our products, we may face competition to the extent other pharmaceutical companies have on the market or are able to develop products for the treatment of similar indications. Potential competitors in this market include companies with greater resources and name recognition than we have. Furthermore, to the extent we are able to acquire or develop additional marketable products in the future, such products will compete with a variety of other products within the United States or elsewhere, possibly including established drugs and major brand names.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success of our future products will also depend in large part on the willingness of physicians to prescribe these products to their patients. Our future products may compete against products that have achieved broad recognition and acceptance among medical professionals. In order to achieve an acceptable level of prescriptions for our future products, we must be able to meet the needs of both the medical community and end users with respect to cost, efficacy and other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very high triglycerides, and Abbott Laboratories, which currently markets Tricor and Trilipix for the treatment of very high triglycerides and mixed dyslipidemia. In March 2011, Pronova BioPharma Norge AS, which owns the patents for Lovaza, entered into an agreement with Apotex Corp. and Apotex Inc. to settle their patent litigation in the United States related to Lovaza. Pursuant to the terms of the settlement agreement, Pronova granted Apotex a license to enter the United States market with a generic version of Lovaza in the first quarter of 2015, or earlier depending on circumstances. We expect Apotex to compete against us as well. Other companies are also seeking to introduce generic versions of Lovaza. These competitors have greater resources than we do, including financial, product development, marketing, personnel and other resources.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AMR101. These include a free fatty acid form of omega-3 (comprised of 55% EPA and 20% DHA) which is being developed by Omthera Pharmaceuticals, which completed enrollment in a Phase 3 clinical trial in November 2011 and has announced that it expects to disclose initial top-line data by April 2012, and Trygg Pharma, which has completed a Phase 3 study of an omega-3 based drug candidate for hypertriglyceridemia, but we believe Trygg has not yet announced results from that study. In addition, Acasti Pharma, a subsidiary of Neptune Technologies &amp; Bioresources Inc., announced in late 2011 the enrollment of its Phase 2 clinical trial to assess the safety and efficacy of its omega-3 prescription drug candidate for the treatment of hypertriglceridemia. We believe Resolvyx Pharmaceuticals and Catabasis Pharmaceuticals are also developing potential treatments for hypertriglceridemia based on omega-3 fatty acids, but neither has initiated a Phase 2 clinical trial of its product.</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AMR101, if approved, will also face competition from dietary supplement companies marketing naturally occurring omega-3 fatty acids as nutritional supplements.</w:t>
      </w:r>
    </w:p>
    <w:p>
      <w:pPr>
        <w:spacing w:after="0" w:line="213" w:lineRule="exact"/>
        <w:rPr>
          <w:sz w:val="20"/>
          <w:szCs w:val="20"/>
          <w:color w:val="auto"/>
        </w:rPr>
      </w:pPr>
    </w:p>
    <w:p>
      <w:pPr>
        <w:ind w:left="240" w:right="360"/>
        <w:spacing w:after="0" w:line="259" w:lineRule="auto"/>
        <w:rPr>
          <w:sz w:val="20"/>
          <w:szCs w:val="20"/>
          <w:color w:val="auto"/>
        </w:rPr>
      </w:pPr>
      <w:r>
        <w:rPr>
          <w:rFonts w:ascii="Arial" w:cs="Arial" w:eastAsia="Arial" w:hAnsi="Arial"/>
          <w:sz w:val="18"/>
          <w:szCs w:val="18"/>
          <w:b w:val="1"/>
          <w:bCs w:val="1"/>
          <w:i w:val="1"/>
          <w:iCs w:val="1"/>
          <w:color w:val="auto"/>
        </w:rPr>
        <w:t>Our current lead product candidate is a prescription-only omega-3 fatty acid. Omega-3 fatty acids are also marketed by other companies as non-prescription dietary supplements. As a result, our lead product candidate, if approved, would be subject to non-prescription competition and consumer substitution.</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current lead product candidate, AMR101, is a prescription-only omega-3 fatty acid. Mixtures of omega-3 fatty acids are naturally occurring substances in various foods, including fatty fish. Omega-3 fatty acids are also marketed by others as non-prescription dietary supplements. We believe the pharmaceutical grade purity of AMR101, if approved, will have a superior therapeutic profile to naturally occurring omega-3 fatty acids and dietary supplements. However, we cannot be sure physicians will view AMR101, if approved, as superior. To the extent the price of AMR101, if approved, is significantly higher than the prices of commercially available omega-3 fatty acids marketed by other companies as dietary supplements, physicians may recommend these commercial alternatives instead of writing prescriptions for AMR101 or patients may elect on their own to take commercially available omega-3 fatty acids. Either of these outcomes may adversely impact our results of operations by limiting how we price our product and limiting the revenue we receive from the sale of AMR101.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To maximize the commercial potential of AMR101, if approved, we may need to find collaborative partners to help market and sell the product.</w:t>
      </w:r>
    </w:p>
    <w:p>
      <w:pPr>
        <w:spacing w:after="0" w:line="113"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If we do complete such a collaboration agreement, we will be reliant on one or more of these strategic partners to generate revenue on our behalf.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cannot raise sufficient funds, we will not be able to bring our product candidates to market effectively and generate as much product revenue as we could under a collaboration.</w:t>
      </w:r>
    </w:p>
    <w:p>
      <w:pPr>
        <w:spacing w:after="0" w:line="201"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sell and market AMR101, we may not be successful in commercializing AMR101 on our own, if and when AMR101 is approved.</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organization or outsource these functions to third parties. Until such time as we complete a strategic transaction with a third party to market and sell AMR101, if ever, we are continuing to develop plans to launch, market and sell AMR101 on our own. This includes making preparations for securing a sufficient commercial supply of AMR101 and expanding sales and marketing capabilities and would require that we build a substantial commercialization infrastructure in order to compete with larger companies with established marketing and sales capabilities. We do not have a sales or marketing infrastructure and have no experience in the sale, marketing or distribution of pharmaceutical products.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unforseen costs and expenses associated with creating an independent sales and marketing organization.</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revenues or the profitability of these product revenues to us are likely to be lower than if we were to market and sell any products that we develop ourselves. In addition, we may not be successful in entering into arrangements with third parties to sell and market our product candidates or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approved, our products will be subject to extensive post-approval government regulation.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With respect to sales and marketing activities by our partners, advertising and promotional materials must comply with FDA rules in addition to other applicable federal and local laws in the United States and in other countries.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20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If we receive marketing approval for AMR101, physicians may nevertheless prescribe AMR101 to their patients in a manner that is inconsistent with the approved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99" w:lineRule="exact"/>
        <w:rPr>
          <w:sz w:val="20"/>
          <w:szCs w:val="20"/>
          <w:color w:val="auto"/>
        </w:rPr>
      </w:pPr>
    </w:p>
    <w:p>
      <w:pPr>
        <w:jc w:val="both"/>
        <w:ind w:left="240" w:right="220"/>
        <w:spacing w:after="0" w:line="306" w:lineRule="auto"/>
        <w:rPr>
          <w:sz w:val="20"/>
          <w:szCs w:val="20"/>
          <w:color w:val="auto"/>
        </w:rPr>
      </w:pPr>
      <w:r>
        <w:rPr>
          <w:rFonts w:ascii="Arial" w:cs="Arial" w:eastAsia="Arial" w:hAnsi="Arial"/>
          <w:sz w:val="16"/>
          <w:szCs w:val="16"/>
          <w:b w:val="1"/>
          <w:bCs w:val="1"/>
          <w:i w:val="1"/>
          <w:iCs w:val="1"/>
          <w:color w:val="auto"/>
        </w:rPr>
        <w:t>Our cardiovascular outcomes study, REDUCE-IT, may take longer than we anticipate to be determined by the FDA to be substantially underway, which could delay FDA review and approval of the ANCHOR indication and cost more than we expect. The FDA may not approve our request to consider the indication studied in the ANCHOR trial in conjunction with the FDA’s review of the indication studied in the MARINE trial.</w:t>
      </w:r>
    </w:p>
    <w:p>
      <w:pPr>
        <w:spacing w:after="0" w:line="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our communications with the FDA, in order to obtain FDA marketing approval of a separate indication for the use of AMR101 in the treatment of patients with high triglyceride levels who are also on statin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therapy for elevated LDL-cholesterol levels (which we refer to as mixed dyslipidemia), or the ANCHOR indication, we believe that we must first obtain approval in the MARINE indication and have a cardiovascular outcomes study substantially underway at the time of the NDA submission. In August 2011, we reached a agreement with the FDA on an SPA for the design of the REDUCE-IT cardiovascular outcomes study of AMR101, and we began dosing patients in December 2011. In the event we do not receive approval of the MARINE indication or experience delays in initiating or achieving substantial enrollment for REDUCE-IT or the FDA requires that we enroll more patients, our filing of an sNDA seeking approval of the ANCHOR indication will be delayed. We currently intend to file an sNDA seeking approval of the indication studied in the ANCHOR trial after we receive FDA marketing approval for the MARINE indication and after we believe the REDUCE-IT study will be determined to be substantially underway by the FDA.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REDUCE-IT cardiovascular trial may fail to achieve its clinical endpoints, and the long-term clinical results of AMR101 may not be consistent with the clinical results we observed in our Phase 3 pivotal trials.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AMR101 on lipids and no outcomes study has been conducted evaluating AMR101. Outcomes studies of certain other lipid modifying therapies have failed to achieve the endpoints of such studies. There can be no assurance that the endpoints of the REDUCE-IT cardiovascular outcomes study will be achieved or that the lipid modifying effects of AMR101 in REDUCE-IT or any other study of AMR101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228"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inability to manufacture sufficient quantities of qualified materials under current good manufacturing practices for use in 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Similarly, positive results from studies in Japan of a product containing the same active ingredient in AMR101 may not be predictive of success for AMR101 in trials outside of Japan.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AMR101 Phase 3 clinical trials for the treatment of Huntington’s disease were negative. As a result, we stopped development of that product candidate, we revised our clinical strategy and shifted our focus to develop AMR101 for use in the treatment of cardiovascular disease.</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228"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Legislative or regulatory reform of the health care system in the United States and foreign jurisdictions may affect our ability to profitably sell our products, if approved.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5620" w:right="1480" w:hanging="5045"/>
        <w:spacing w:after="0" w:line="440"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our product candidates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97"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As we evolve from a company primarily involved in research and development to a company also potentially involved in commercialization, we may encounter difficulties in managing our growth and expanding our operations successfully.</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Although certain of our employees have commercialization experience, as a company we currently have no sales, marketing or distribution capabilities. Accordingly, as we advance AMR101 through the development stage towards commercialization, we will need to expand our organization, including marketing and sales capabilities or contract with third parties to provide these capabilities for us, which will be expensive and time consuming. Any failure or delay in the development of our internal sales, marketing and distribution capabilities would adversely impact the commercialization of AMR101 in the event it receives regulatory approval. If we are not successful in commercializing AMR101 or our other product candidates in the event they receive regulatory approval, our future product revenue will suffer and we may incur significant additional losses.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our operations expand, we expect that we will need to manage additional relationships with various collaborative partners, suppliers and other third parties. Future growth will impose significant added responsibilities on members of management. Our future financial performance and our ability to commercialize AMR101 and to compete effectively will depend, in part, on our ability to manage any future growth effectively. To that end, we must be able to manage our development efforts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supply of product for commercial supply and clinical trials is dependent upon relationships with third party manufacturers and key suppliers.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affect on our ability to commercialize AMR101.</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purchase all of our supply of the bulk compound (ethyl-EPA), which constitutes the only active pharmaceutical ingredient, or API, of AMR101, from a single supplier with a single manufacturing facility, Nisshin Pharma, or Nisshin, located in Japan. Nisshin currently obtains its supply of the key raw material to manufacture API from another third party single source of supply. While we have contractual freedom to source the API for AMR101 elsewhere and have entered into supply agreements with additional suppliers who rely on other third party suppliers of the key raw material to manufacture the API for AMR101, Nisshin is the only supplier submitted for approval with our pending NDA to the FDA. Further, our agreements with our suppliers typically include minimum purchase obligations. Moreover, there is no guarantee that additional other suppliers with which we have contracted to supply API will be qualified to manufacture the product to our specifications or that these and any future suppliers will have the manufacturing capacity to meeting anticipated demand for AMR101. We cannot assure you that we can contract with any future manufacturer on acceptable terms or that any such alternative supplier will not require capital investment from us in order for them to meet our requirements.</w:t>
      </w:r>
    </w:p>
    <w:p>
      <w:pPr>
        <w:spacing w:after="0" w:line="20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AMR101 are subject to FDA requirements and those of similar foreign regulatory bodies. If we or our third party manufacturers fail to satisfy these requirements, our product development and commercialization efforts may be materially harmed.</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manufacture and packaging of pharmaceutical products, such as AMR101, are regulated by the FDA and similar foreign regulatory bodies and must be conducted in accordance with the FDA’s current good manufacturing practices and comparable requirements of foreign regulatory bodies. There are a limited number of manufacturers that operate under these current good manufacturing practices regulations who are both capable of manufacturing AMR101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our NDA filed with the FDA has only one supplier of API for AMR101, Nisshin, and Nisshin has plans to expand it capacity to supply API to us by building a new facility. If Nisshin facilities used for the manufacturing and testing of AMR101 API are delayed in passing FDA pre-approval inspection to ensure substantial compliance with current good manufacturing practices and other FDA standards, or if we are not able to manufacture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AMR101 to required specifications through Nisshin, our FDA marketing approval of AMR101 may be delayed, we may be delayed in launching the product and our anticipated future revenues and financial results may be materially adversely affected. The same requirements and risks are applicable to the suppliers of the key raw material used to manufacture the API for AMR101.</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current good manufacturing practices. Any new facility is subject to a pre-approval inspection by the FDA and would again require us to demonstrate product comparability to the FDA. There are comparable foreign requirements. This review may be costly and time consuming and could delay or prevent the launch of a product. For example, after FDA approval of AMR101, we plan to file a supplemental NDA to add new manufacturing facilities from other third party suppliers to manufacture API for AMR101. If these third parties cannot establish, to the satisfaction of the FDA, that they are in substantial compliance with current good manufacturing practices, and that the products manufactured at the new site meet FDA requirements, we may not be able to manufacture API from that site, our supply of API for AMR101 may be delayed, and our anticipated future revenues and financial results may be materially adversely affected.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in order to obtain approval of our products, including AMR101, by the FDA and foreign regulatory agencies, we will be required to consistently produce the active pharmaceutical ingredient and the finished product in commercial quantities and of specified quality on a repeated basis and document our ability to do so. This requirement is referred to as process validation. We have completed a validation process for the API for AMR101 at Nisshin, but have not yet done so at any other contract supplier. Each of our potential API suppliers use a different method to manufacture API, which has the potential to increase the risk to us that our manufacturers will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2012, we intend to increase our purchases of API and finished capsules of AMR101 in preparation of commercial launch. We plan to make certain of these purchases prior to NDA approval with the aim to further expand purchase levels of supply after NDA approval. We may elect to make API purchases from certain of our suppliers after we are satisfied that the material they produce and their facilities are qualified. However, in the event that we make such purchases, we will not be able to use such material for commercial sale until the sNDA for the applicable supplier is approved by the FDA. Similarly, if we are not compliant with other regulations with regard to this intended purchase of supply, our launch may be delayed.</w:t>
      </w:r>
    </w:p>
    <w:p>
      <w:pPr>
        <w:spacing w:after="0" w:line="197"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contractual duties or meet expected deadlines, we may be delayed in obtaining regulatory approvals for our product candidates and may be delayed in our efforts to successfully commercialize our product candidates for targeted diseases.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and maintain patent protection or market exclusivity for our current and acquired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currently have no issued patents that directly apply to the use of AMR101 for hypertriglyceridemia, hyperlipidemia or cardiovascular therapy in the United States or Europe. Although we are currently prosecuting a number of patent applications in this area, we will also rely upon trade secrets and know-how to retain our competitive position. When deemed appropriate, we intend to vigorously enforce our patent protection and intellectual property rights. We file patent applications either on a country-by-country basis or by using the European or international patent cooperation treaty systems.</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go into effect on March 16, 2013, it is possible that those parties will obtain patents that will be sufficiently broad so as to prevent us from utilizing such technology.</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in the future discover the existence of products that infringe upon patents that we own or that have been licensed to us.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patent applications to delay the approval process or to challenge granted patents, even if the opposition or challenge has little or no merit. Patent oppositions proceedings and challenges are generally highly technical, time consuming and expensive to pursue. Were we to be subject to one or more patent oppositions or challenges, that effort could consume substantial time and resources, with no assurances of success, even when holding an issued patent.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AMR101 or its use will issue as patents.</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AMR101.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positive findings from the MARINE and ANCHOR trials. If granted, many of the resulting granted patents would expire in 2030 or beyond. However, no assurance can be given that any of our patent applications will be granted or, if they grant, that they will prevent competitors from competing with AMR101. Securing additional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To our knowledge, the U.S. Patent and Trademark Office or other international patent offices have not yet commenced examining certain of these applications. While examination of certain of these applications is anticipated during 2012, we cannot predict the timing or results of such examination. In addition, we may elect to submit, or the patent office may require, additional evidence to support certain of the claims we are pursuing. Providing such additional evidence could result in us incurring additional costs. We cannot be certain what commercial value any granted patent in our patent estate will provide to us.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AMR101 is not granted new chemical entity exclusivity protection from the FDA our business may be materially harmed.</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sections 505(c)(3)(E)(ii) and 505(j)(5)(F)(ii) of the Food Drug and Cosmetic Act, or FDCA, as amended by the Drug Price Competition and Patent Term Restoration Act of 1984, as amended, or the Hatch-Waxman Amendments, a new chemical entity that is granted regulatory approval may be eligible for five years of marketing exclusivity in the United States following regulatory approval. A drug can be classified as a new chemical entity if the FDA has not previously approved any other drug containing the same active moiety.</w:t>
      </w:r>
    </w:p>
    <w:p>
      <w:pPr>
        <w:spacing w:after="0" w:line="14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believe that the active pharmaceutical ingredient in AMR101, at least 96% ethyl-EPA, may be considered a new chemical entity under the Hatch-Waxman Amendments and would therefore be eligible for five-year market exclusivity under the FDCA. The only other omega-3 based product approved by the FDA is Lovaza. We believe the active moiety in Lovaza and the active moiety in AMR101 are different. Lovaza was approved as a lipid-regulating agent by the FDA in 2004 and has been described in its FDA-approved product label as a combination of ethyl esters of omega-3 fatty acids, principally ethyl-EPA and ethyl-DHA. Our belief that AMR101 should be granted NCE exclusivity is based in part on precedent at FDA for granting NCE status to a previously uncharacterized active moiety, in this case, potentially ethyl-EPA, that was part of a previously approved product. It is currently unclear whether the FDA will view the ethyl-EPA in AMR101 as a previously approved active moiety in Lovaza and deny our request that AMR101 be granted new chemical entity status and the associate period of regulatory exclusivity. We expect the FDA determination on NCE exclusivity will be made in connection with, or soon after, an NDA approval of the MARINE application, and cannot assure you that we will be granted NCE exclusivity.</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marketing exclusivity, if granted, would preclude approval during the exclusivity period of certain 505(b)(2) applications or certain abbreviated new drug applications submitted by another company for another version of the drug. If we are not able to gain or exploit the period of marketing exclusivity, we may face significant competitive threats to our commercialization of these compounds from other manufacturers, including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manufacturers of generic alternatives. Further, even if AMR101 is considered to be a new chemical entity and we are able to gain five-year marketing exclusivity,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188"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biopharmaceutical products for the treatment of cardiovascular diseases. We cannot assure you that unforeseen problems will not develop with these technologies or applications or that any commercially feasible products will ultimately be developed by us.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2005, we had commercial revenue and remain subject to the potential risk of product liability claims relating to the manufacturing and marketing of our former products during the period prior to their divestiture. Any person who is injured as a result of using one of our former products during our period of ownership may have a product liability claim against us without having to prove that we were at fault.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 not guarantee that a product liability claim will not be asserted against us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received correspondence on behalf of the former shareholders of Ester asserting that we are in breach of its amended agreement due to the fact that the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224"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provisions of the Sarbanes-Oxley Act of 2002, and our management will be required to devote substantial time to new compliance initiatives.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In particular, we perform system and process evaluation and testing of our internal controls over financial reporting and our independent registered public accounting firm reports on the effectiveness of our internal controls over financial reporting, as required by Section 404 of The Sarbanes-Oxley Act of 2002. Based on this evaluation and testing, our management identified a material weakness in internal control over financial reporting as of December 31, 2009 which persisted on December 31, 2010 and which was remediated as of December 31, 2011. Our testing, or the subsequent testing by our independent registered public accounting firm, may reveal deficiencies in our internal controls over financial reporting that are deemed to be new material weaknesses. We expect to incur significant expense and devote substantial management effort toward ensuring compliance with Section 404. We currently do not have an internal audit function, and we will need to hire additional accounting and financial staff with appropriate public company experience and technical accounting knowledge. Moreover, the identification by us or our independent registered public accounting firm of deficiencies in our internal controls that are deemed to be additional material weaknesses could cause the market price of the ADSs to decline, and we could be subject to sanctions or investigations by The NASDAQ Stock Market, the SEC or other regulatory authorities, which would entail expenditure of additional financial and management resources.</w:t>
      </w:r>
    </w:p>
    <w:p>
      <w:pPr>
        <w:spacing w:after="0" w:line="208"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We have previously identified a material weakness in our internal control over financial reporting in the past and cannot assure you that material weaknesses will not occur in the future.</w:t>
      </w:r>
    </w:p>
    <w:p>
      <w:pPr>
        <w:spacing w:after="0" w:line="5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part of the annual financial statement review under International Financial Reporting Standards for the period ended December 31, 2009, management concluded that as of December 31, 2009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Accordingly, management determined that this control deficiency constituted a material weakness. During 2010, we did not engage in any new non-routine transactions. Nevertheless, based on management’s evaluation of our internal control over financial reporting as of December 31, 2010, management determined that this material weakness in our internal control over financial reporting remained.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response to this material weakness, our management, with the input, oversight, and support of the Audit Committee, identified and took the following steps to remediate the control deficiency: non-ordinary course transactions are now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 Any future deficiencies could materially and adversely affect our ability to provide timely and accurate financial information, and the current and future deficiencies may impact investors’ confidence in our internal controls and our company, which could cause our stock price to decline.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January 31, 2012 we had 135,929,996 common shares outstanding. As of January 31, 2012 there were 135,612,162 shares held as ADSs and 317,834 held as common shares (which are not held in the form of ADSs). In our October 2009 private placement we issued 66.4 million ADSs and warrants to purchase an additional 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status of our patent prosecution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52"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59"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5620" w:right="4940" w:hanging="5045"/>
        <w:spacing w:after="0" w:line="408" w:lineRule="auto"/>
        <w:tabs>
          <w:tab w:leader="none" w:pos="893"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 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1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5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tax consequences to U.S. investors.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While we cannot provide any assurance that we are, are not, or will or will not be, a PFIC now or in the future, we believe it prudent to assume that the we were classified as a PFIC in 2011 and that we could be classified as such in 2012 or in future years.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2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9" w:lineRule="exact"/>
        <w:rPr>
          <w:sz w:val="20"/>
          <w:szCs w:val="20"/>
          <w:color w:val="auto"/>
        </w:rPr>
      </w:pPr>
    </w:p>
    <w:p>
      <w:pPr>
        <w:ind w:left="900" w:right="32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2"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54" w:lineRule="auto"/>
        <w:rPr>
          <w:rFonts w:ascii="Arial" w:cs="Arial" w:eastAsia="Arial" w:hAnsi="Arial"/>
          <w:sz w:val="15"/>
          <w:szCs w:val="15"/>
          <w:color w:val="auto"/>
        </w:rPr>
      </w:pPr>
      <w:r>
        <w:rPr>
          <w:rFonts w:ascii="Arial" w:cs="Arial" w:eastAsia="Arial" w:hAnsi="Arial"/>
          <w:sz w:val="18"/>
          <w:szCs w:val="18"/>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representing 75% of the ordinary shares.</w:t>
      </w:r>
    </w:p>
    <w:p>
      <w:pPr>
        <w:spacing w:after="0" w:line="62"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Our directors, management and affiliated investment funds exercise significant control over our company, which will limit your ability to influence corporate matters.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February 15, 2012 our executive officers, directors and affiliated investment funds collectively controlled approximately 15.11% of our outstanding ordinary shares, excluding any shares subject to ADSs that such persons may have the right to acquire upon exercise of outstanding options or warrants. As a result, these shareholders, if they act together, will be able to influence our management and affairs and all matters requiring shareholder approval, including the election of directors and approval of significant corporate transactions.</w:t>
      </w:r>
    </w:p>
    <w:p>
      <w:pPr>
        <w:spacing w:after="0" w:line="14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In addition, we entered into an agreement with various participants in the October 2009 private placement under which investment funds affiliated with Orbimed Advisors LLC, Sofinnova Ventures and Abingworth LLP have the ability to designate persons for Amarin to nominate to its Board of Directors and the other participants have given these investments funds a proxy to vote their securities in favor of these nominees. We have a continuing obligation to nominate one</w:t>
      </w:r>
    </w:p>
    <w:p>
      <w:pPr>
        <w:spacing w:after="0" w:line="1" w:lineRule="exact"/>
        <w:rPr>
          <w:sz w:val="20"/>
          <w:szCs w:val="20"/>
          <w:color w:val="auto"/>
        </w:rPr>
      </w:pPr>
    </w:p>
    <w:p>
      <w:pPr>
        <w:ind w:right="20" w:firstLine="8"/>
        <w:spacing w:after="0" w:line="292"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designee of investment funds affiliated with Sofinnova Ventures to its Board of Directors for so long as such funds beneficially own at least fifty percent (50%) of the ADSs they purchased in the October 2009 private placement. Dr. James I. Healy was designated by investment funds affiliated with Sofinnova Ventures pursuant to this arrangement. In addition, we have agreed to nominate one (1) designee of investment funds affiliated with Abingworth LLP to its Board of Directors for so long as such funds beneficially own at least five percent (5%) of our outstanding voting securities. Dr. Joseph Anderson was designated by investment funds affiliated with Abingworth LLP under this arrangement.</w:t>
      </w:r>
    </w:p>
    <w:p>
      <w:pPr>
        <w:spacing w:after="0" w:line="11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concentration of ownership and the above-described arrangement may have the effect of delaying or preventing a change in control of our company that other shareholders may desire and might negatively affect the market price of the ADSs.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U.S. holders of the ADSs or ordinary shares may be subject to U.S. income taxation at ordinary income tax rates on undistributed earnings and profits.</w:t>
      </w:r>
    </w:p>
    <w:p>
      <w:pPr>
        <w:spacing w:after="0" w:line="1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Use</w:t>
            </w:r>
          </w:p>
        </w:tc>
        <w:tc>
          <w:tcPr>
            <w:tcW w:w="280" w:type="dxa"/>
            <w:vAlign w:val="bottom"/>
          </w:tcPr>
          <w:p>
            <w:pPr>
              <w:spacing w:after="0"/>
              <w:rPr>
                <w:sz w:val="15"/>
                <w:szCs w:val="15"/>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Ownership</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Size (sq. ft.)</w:t>
            </w:r>
          </w:p>
        </w:tc>
      </w:tr>
      <w:tr>
        <w:trPr>
          <w:trHeight w:val="195"/>
        </w:trPr>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Dublin,</w:t>
            </w:r>
          </w:p>
        </w:tc>
        <w:tc>
          <w:tcPr>
            <w:tcW w:w="5960" w:type="dxa"/>
            <w:vAlign w:val="bottom"/>
          </w:tcPr>
          <w:p>
            <w:pPr>
              <w:ind w:left="40"/>
              <w:spacing w:after="0" w:line="188" w:lineRule="exact"/>
              <w:rPr>
                <w:sz w:val="20"/>
                <w:szCs w:val="20"/>
                <w:color w:val="auto"/>
              </w:rPr>
            </w:pPr>
            <w:r>
              <w:rPr>
                <w:rFonts w:ascii="Arial" w:cs="Arial" w:eastAsia="Arial" w:hAnsi="Arial"/>
                <w:sz w:val="18"/>
                <w:szCs w:val="18"/>
                <w:color w:val="auto"/>
              </w:rPr>
              <w:t>Ireland</w:t>
            </w:r>
          </w:p>
        </w:tc>
        <w:tc>
          <w:tcPr>
            <w:tcW w:w="6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w w:val="85"/>
              </w:rPr>
              <w:t>Offices</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Bedminster, New Jersey, USA</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Leased</w:t>
            </w:r>
          </w:p>
        </w:tc>
        <w:tc>
          <w:tcPr>
            <w:tcW w:w="780" w:type="dxa"/>
            <w:vAlign w:val="bottom"/>
          </w:tcPr>
          <w:p>
            <w:pPr>
              <w:jc w:val="right"/>
              <w:spacing w:after="0"/>
              <w:rPr>
                <w:sz w:val="20"/>
                <w:szCs w:val="20"/>
                <w:color w:val="auto"/>
              </w:rPr>
            </w:pPr>
            <w:r>
              <w:rPr>
                <w:rFonts w:ascii="Arial" w:cs="Arial" w:eastAsia="Arial" w:hAnsi="Arial"/>
                <w:sz w:val="18"/>
                <w:szCs w:val="18"/>
                <w:color w:val="auto"/>
              </w:rPr>
              <w:t>11,889</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Groton, Connecticut, USA</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Leased</w:t>
            </w:r>
          </w:p>
        </w:tc>
        <w:tc>
          <w:tcPr>
            <w:tcW w:w="780" w:type="dxa"/>
            <w:vAlign w:val="bottom"/>
          </w:tcPr>
          <w:p>
            <w:pPr>
              <w:jc w:val="right"/>
              <w:spacing w:after="0"/>
              <w:rPr>
                <w:sz w:val="20"/>
                <w:szCs w:val="20"/>
                <w:color w:val="auto"/>
              </w:rPr>
            </w:pPr>
            <w:r>
              <w:rPr>
                <w:rFonts w:ascii="Arial" w:cs="Arial" w:eastAsia="Arial" w:hAnsi="Arial"/>
                <w:sz w:val="18"/>
                <w:szCs w:val="18"/>
                <w:color w:val="auto"/>
              </w:rPr>
              <w:t>4,327</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Ely, Cambridgeshire, UK (Gemini House )</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Ground Floor</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Leased and sublet</w:t>
            </w:r>
          </w:p>
        </w:tc>
        <w:tc>
          <w:tcPr>
            <w:tcW w:w="780" w:type="dxa"/>
            <w:vAlign w:val="bottom"/>
          </w:tcPr>
          <w:p>
            <w:pPr>
              <w:jc w:val="right"/>
              <w:spacing w:after="0"/>
              <w:rPr>
                <w:sz w:val="20"/>
                <w:szCs w:val="20"/>
                <w:color w:val="auto"/>
              </w:rPr>
            </w:pPr>
            <w:r>
              <w:rPr>
                <w:rFonts w:ascii="Arial" w:cs="Arial" w:eastAsia="Arial" w:hAnsi="Arial"/>
                <w:sz w:val="18"/>
                <w:szCs w:val="18"/>
                <w:color w:val="auto"/>
              </w:rPr>
              <w:t>7,135</w:t>
            </w:r>
          </w:p>
        </w:tc>
      </w:tr>
      <w:tr>
        <w:trPr>
          <w:trHeight w:val="222"/>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First Floor</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Assigned</w:t>
            </w:r>
          </w:p>
        </w:tc>
        <w:tc>
          <w:tcPr>
            <w:tcW w:w="780" w:type="dxa"/>
            <w:vAlign w:val="bottom"/>
          </w:tcPr>
          <w:p>
            <w:pPr>
              <w:jc w:val="right"/>
              <w:spacing w:after="0"/>
              <w:rPr>
                <w:sz w:val="20"/>
                <w:szCs w:val="20"/>
                <w:color w:val="auto"/>
              </w:rPr>
            </w:pPr>
            <w:r>
              <w:rPr>
                <w:rFonts w:ascii="Arial" w:cs="Arial" w:eastAsia="Arial" w:hAnsi="Arial"/>
                <w:sz w:val="18"/>
                <w:szCs w:val="18"/>
                <w:color w:val="auto"/>
              </w:rPr>
              <w:t>2,975</w:t>
            </w:r>
          </w:p>
        </w:tc>
      </w:tr>
    </w:tbl>
    <w:p>
      <w:pPr>
        <w:spacing w:after="0" w:line="15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Effective July 1, 2011, we leased 9,747 square feet of office space in Bedminster, NJ. The lease, as amended, terminates on June 30, 2014, and may also be terminated with six months prior notice. On December 6, 2011 we leased an additional 2,142 square feet of space in the same location.</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Effective November 1, 2011, we leased 320 square feet of office space in Dublin, Ireland. The lease terminates on October 31, 2012 and may be renewed annually.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Commencing on November 28, 2011, we leased 4,327 square feet of office space in Groton, CT. The lease terminates in December 2013 and may be extended for one three year term.</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lease for office space in Ely, Cambridgeshire expires in November 2014. The ground floor space has been sublet through the end of the lease term. On August 27, 2002 the lease for the first floor space was assigned to a third party, Amarin however, remains ultimately responsible for the lease through the end of the lease term.</w:t>
      </w:r>
    </w:p>
    <w:p>
      <w:pPr>
        <w:spacing w:after="0" w:line="140"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In January 2007, we leased 3,251 square feet of office space in Dublin, Ireland. In accordance with the lease provisions, we terminated this lease effective January 2012 and in December 2011, paid a sum equivalent to six months’ rent, rates, service fees and insurance premiums and customary dilapidation charges.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28, 2008, we leased 2,725 square feet of office space at 12 Roosevelt Avenue, Mystic, Connecticut, USA and on March 4, 2010 we leased an additional 1,350 square feet at the same location. Both leases expired on October 31, 2011.</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2011, we are not a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89"/>
              </w:rPr>
              <w:t>Common Stock Price</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Fiscal 2011</w:t>
            </w:r>
          </w:p>
        </w:tc>
        <w:tc>
          <w:tcPr>
            <w:tcW w:w="220" w:type="dxa"/>
            <w:vAlign w:val="bottom"/>
          </w:tcPr>
          <w:p>
            <w:pPr>
              <w:spacing w:after="0"/>
              <w:rPr>
                <w:sz w:val="12"/>
                <w:szCs w:val="12"/>
                <w:color w:val="auto"/>
              </w:rPr>
            </w:pP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Fiscal 2010</w:t>
            </w: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$1.60</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Second Quarter</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19.87</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$7.21</w:t>
            </w: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$2.95</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$1.46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15.02</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$3.23</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$2.02</w:t>
            </w:r>
          </w:p>
        </w:tc>
        <w:tc>
          <w:tcPr>
            <w:tcW w:w="100" w:type="dxa"/>
            <w:vAlign w:val="bottom"/>
            <w:shd w:val="clear" w:color="auto" w:fill="CCEEFF"/>
          </w:tcPr>
          <w:p>
            <w:pPr>
              <w:spacing w:after="0"/>
              <w:rPr>
                <w:sz w:val="18"/>
                <w:szCs w:val="18"/>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Fourth Quarter</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10.20</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$5.99</w:t>
            </w: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$8.64</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$2.43</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February 1, 2012, there were approximately 493 holders of record of our ordinary shares. Because many ordinary shares are held by brokers nominees, we are unable to estimate the total number of shareholders represented by these record holders. Our depositary, Citibank, N.A., constitutes a single record holder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Graph—2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the opinion of the Board of Directors, the indices below are the most appropriate indices against which the total shareholder return of Amarin should be measured. The NASDAQ Bio Index has been selected because it is an index of U.S. quoted biotechnology and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187960</wp:posOffset>
            </wp:positionV>
            <wp:extent cx="5213985" cy="2178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12/31/2009</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8"/>
              </w:rPr>
              <w:t>12/31/2010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Amarin Corporation PLC</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573.43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523.78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118.15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117.22</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115.22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129.13</w:t>
            </w:r>
          </w:p>
        </w:tc>
      </w:tr>
    </w:tbl>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Source: NASDAQ—Whole Market index and Bio index. The NASDAQ Market index has been used to compare the shareholder return for all companies listed on the NASDAQ Stock Market. The NASDAQ Bio index has been used to give a comparison of the shareholder returns from biotechnology and pharmaceutical companies listed on the NASDAQ Stock Market.</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depicted above, over the last two years Amarin has out-performed relative to the NASDAQ and NASDAQ Bio indices to give a cumulative shareholder return of 524%, while the NASDAQ index gave a return of 17% and the NASDAQ Bio index a return of 29%.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following graph compares the cumulative 5-year return provided to stockholders of Amarin’s ADSs relative to the cumulative total returns of the NASDAQ Composite Index and the NASDAQ Biotechnology Index. An investment of $100 (with reinvestment of all dividends) is assumed to have been made in our ADSs and in each of the indexes on December 31, 2006 and its relative performance is tracked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201930</wp:posOffset>
            </wp:positionV>
            <wp:extent cx="5213985" cy="2178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12/31/2009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12/31/2010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Amarin Corporation PLC</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35.96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32.85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110.66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66.41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96.54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113.16</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104.64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91.77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106.42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122.62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137.42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you are not resident or ordinarily resident in the United Kingdom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individual holder of common shares or ADSs who ceases to be resident or ordinarily resident in the UK for UK tax purposes for a period of less than 5 years and who disposes of common shares or ADSs during that period may also be liable on returning to the UK for UK capital gains tax despite the fact that the individual may not be resident or ordinarily resident in the UK at the time of the disposal.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Inheritance Tax</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reserve tax will be payable in respect of an agreement to transfer an ADS, whether made in or outside the 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Common Shares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in relation to persons whose business is or includes the issue of depositary receipts or the provision of clearance services or their nominees (whose particular circumstances are not considered further in this report), the issue of common shares by Amarin will not give rise to a charge to UK stamp duty or stamp duty reserve tax.</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UK law, there is no withholding tax on dividends.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selected financial data set forth below as of and for the years ending December 31, 2011, 2010, 2009 and 2008 have been derived from the audited consolidated financial statements of Amarin, included elsewhere in this Annual Report on Form 10-K. The selected financial data set forth below as of and for the year ending December 31, 2007 is unaudited.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1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On January 18, 2008, our common shares were consolidated on a 1-for-10 basis whereby ten common shares of £0.05 each became one common share of £0.5. Unless otherwise specified, all shares and share related information have been adjusted to give effect to this 1-for-10 common share consolidation.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9"/>
          </w:tcPr>
          <w:p>
            <w:pPr>
              <w:ind w:left="14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21,602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28,014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Purchased in-process research &amp; development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44,161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(44,161)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(45,101)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(34,044)</w:t>
            </w: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(27,521)</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(48,358)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gain on change in fair value of derivative liability (2)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(22,669)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(205,153)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(66,610)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(250,090)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(31,507)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(19,537)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(69,126)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(249,589)</w:t>
            </w:r>
          </w:p>
        </w:tc>
        <w:tc>
          <w:tcPr>
            <w:tcW w:w="14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(30,606)</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(18,489)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(45,847)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Loss per basic and diluted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130,247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100,239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22,086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84"/>
              </w:rPr>
              <w:t>As of December 31,</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20" w:type="dxa"/>
            <w:vAlign w:val="bottom"/>
            <w:tcBorders>
              <w:bottom w:val="single" w:sz="8" w:color="auto"/>
            </w:tcBorders>
            <w:gridSpan w:val="3"/>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cash equivalents</w:t>
            </w:r>
          </w:p>
        </w:tc>
        <w:tc>
          <w:tcPr>
            <w:tcW w:w="820" w:type="dxa"/>
            <w:vAlign w:val="bottom"/>
            <w:gridSpan w:val="3"/>
          </w:tcPr>
          <w:p>
            <w:pPr>
              <w:jc w:val="right"/>
              <w:ind w:right="54"/>
              <w:spacing w:after="0"/>
              <w:rPr>
                <w:sz w:val="20"/>
                <w:szCs w:val="20"/>
                <w:color w:val="auto"/>
              </w:rPr>
            </w:pPr>
            <w:r>
              <w:rPr>
                <w:rFonts w:ascii="Arial" w:cs="Arial" w:eastAsia="Arial" w:hAnsi="Arial"/>
                <w:sz w:val="18"/>
                <w:szCs w:val="18"/>
                <w:color w:val="auto"/>
                <w:w w:val="82"/>
              </w:rPr>
              <w:t>$ 116,602</w:t>
            </w:r>
          </w:p>
        </w:tc>
        <w:tc>
          <w:tcPr>
            <w:tcW w:w="2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31,442</w:t>
            </w:r>
          </w:p>
        </w:tc>
        <w:tc>
          <w:tcPr>
            <w:tcW w:w="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$52,258</w:t>
            </w:r>
          </w:p>
        </w:tc>
        <w:tc>
          <w:tcPr>
            <w:tcW w:w="4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$14,239</w:t>
            </w:r>
          </w:p>
        </w:tc>
        <w:tc>
          <w:tcPr>
            <w:tcW w:w="4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$18,303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126,379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35,367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55,444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Long-term obligations</w:t>
            </w:r>
          </w:p>
        </w:tc>
        <w:tc>
          <w:tcPr>
            <w:tcW w:w="820" w:type="dxa"/>
            <w:vAlign w:val="bottom"/>
            <w:gridSpan w:val="3"/>
          </w:tcPr>
          <w:p>
            <w:pPr>
              <w:jc w:val="right"/>
              <w:ind w:right="54"/>
              <w:spacing w:after="0"/>
              <w:rPr>
                <w:sz w:val="20"/>
                <w:szCs w:val="20"/>
                <w:color w:val="auto"/>
              </w:rPr>
            </w:pPr>
            <w:r>
              <w:rPr>
                <w:rFonts w:ascii="Arial" w:cs="Arial" w:eastAsia="Arial" w:hAnsi="Arial"/>
                <w:sz w:val="18"/>
                <w:szCs w:val="18"/>
                <w:color w:val="auto"/>
              </w:rPr>
              <w:t>123,889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2"/>
              </w:rPr>
              <w:t>230,157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42,090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(202,367)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60" w:hanging="452"/>
        <w:spacing w:after="0" w:line="28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warrant-related compensation expense reflecting the change in the fair value of the warrant derivative liability associated with warrants issued in October 2009 to former officers of Amarin. See further discussion in Notes 2 and 7 of the Notes to the Consolidated Financial Statements.</w:t>
      </w:r>
    </w:p>
    <w:p>
      <w:pPr>
        <w:ind w:left="460" w:right="18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warrant derivative liabilities. See further discussion in Notes 2 and 7 of the Notes to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potential for, and timing of, approval of the AMR101 New Drug Application by the United States Food and Drug Administration and the next steps we may take thereto; the safety and efficacy of our product candidates; the goals of our development activities; the scope of our intellectual property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a late-stage biopharmaceutical company with expertise in lipid science focused on the treatment of cardiovascular disease. Our lead product candidate is AMR101, an ultra-pure omega-3 fatty acid, comprising not less than 96% ultra pure icosapent ethyl, or ethyl-EPA. We are developing AMR101 for the treatment of patients with very high triglyceride levels and high triglyceride levels, or hypertriglyceridemia. Triglycerides are fats in the blood.</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September 2011, we filed a New Drug Application, or NDA, with the U.S. Food and Drug Administration, or FDA, seeking marketing approval for the use of AMR101 in the treatment of patients with very high triglyceride levels (</w:t>
      </w:r>
      <w:r>
        <w:rPr>
          <w:rFonts w:ascii="Arial" w:cs="Arial" w:eastAsia="Arial" w:hAnsi="Arial"/>
          <w:sz w:val="18"/>
          <w:szCs w:val="18"/>
          <w:u w:val="single" w:color="auto"/>
          <w:color w:val="auto"/>
        </w:rPr>
        <w:t>³</w:t>
      </w:r>
      <w:r>
        <w:rPr>
          <w:rFonts w:ascii="Arial" w:cs="Arial" w:eastAsia="Arial" w:hAnsi="Arial"/>
          <w:sz w:val="18"/>
          <w:szCs w:val="18"/>
          <w:color w:val="auto"/>
        </w:rPr>
        <w:t>500 mg/dL), or what we refer to as the MARINE indication. The FDA has assigned a Prescription Drug User Fee Act, or PDUFA, date of July 26, 2012 for the completion of its review of this NDA. The NDA for the MARINE indication is supported by a Special Protocol Assessment, or SPA, agreement with the FDA.</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plan to separately seek approval for AMR101 for the treatment of patients with high triglyceride levels (</w:t>
      </w:r>
      <w:r>
        <w:rPr>
          <w:rFonts w:ascii="Arial" w:cs="Arial" w:eastAsia="Arial" w:hAnsi="Arial"/>
          <w:sz w:val="18"/>
          <w:szCs w:val="18"/>
          <w:u w:val="single" w:color="auto"/>
          <w:color w:val="auto"/>
        </w:rPr>
        <w:t>³</w:t>
      </w:r>
      <w:r>
        <w:rPr>
          <w:rFonts w:ascii="Arial" w:cs="Arial" w:eastAsia="Arial" w:hAnsi="Arial"/>
          <w:sz w:val="18"/>
          <w:szCs w:val="18"/>
          <w:color w:val="auto"/>
        </w:rPr>
        <w:t>200 and &lt;500mg/dL) who are also on statin therapy for elevated low-density lipoprotein cholesterol, or LDL-C, levels (which we refer to as mixed dyslipidemia), or what we refer to as the ANCHOR indication. The ANCHOR indication is also supported by a SPA agreement with the FDA.</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potential efficacy and safety of AMR101 was studied in two Phase 3 clinical trials, the MARINE trial and the ANCHOR trial. These trials showed favorable clinical results in their respective patient populations in reducing triglyceride levels without a statistically significant increase in LDL-C levels, and in the 4 gram AMR101 ANCHOR results, with a statistically significant decrease in LDL-C levels. These trials also showed favorable results, particularly with the 4 gram dose of AMR101, in other important lipid and inflammation biomarkers, including Apo B (apolipoprotein B), non-high-density lipoprotein cholesterol, or HDL-C, Total-Cholesterol, very low-density lipoprotein cholesterol, or VLDL-C, Lp-PLA2 (lipoprotein-associated phospholipase), and hs-CRP (high sensitivity C-reactive protein). In each of these trials, AMR101 exhibited a safety profile comparable to placebo.</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November 2010, we announced the favorable results of the Phase 3 MARINE trial, and in April 2011 we announced the favorable results of the Phase 3 ANCHOR trial. The results of both of these studies were submitted to the FDA as part of the NDA for the MARINE indication. To obtain FDA approval of AMR101 for the ANCHOR indication, based on communications with the FDA, we believe that we must first obtain approval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AMR101 in the MARINE indication and be substantially underway with a cardiovascular outcomes study at the time of the submission of an NDA to the FDA for the ANCHOR indication. Based upon feedback from the FDA and consistent with the respective SPAs for the MARINE trial and ANCHOR trial, we do not believe the final results of an outcomes study are required for FDA approval of AMR 101 for either indication.</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AMR101, titled REDUCE-IT (Reduction of Cardiovascular Events with EPA – Intervention Trial), that is designed to evaluate the efficacy of AMR101 in reducing major cardiovascular events in an at-risk patient population on statin therapy. The REDUCE-IT study is also the subject of an SPA agreement with the FDA. If successful, we believe the results of this study could lead to a broadening of the market potential for AMR101 beyond the MARINE and ANCHOR indications.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Hypertriglyceridemia refers to a condition in which patients have high levels of triglycerides in the bloodstream and has been recognized as an independent risk factor for cardiac disease. We estimate that over 40 million adults in the U.S. have elevated triglyceride levels (³200mg/dL) and approximately 4.0 million people in the United States have very high triglyceride levels ( ³500 mg/dL). Triglycerides provide important information as a marker associated with the risk for heart disease and stroke, especially when an individual also has low high-density lipoprotein, or HDL-C (often referred to as “good” cholesterol), and elevated levels of LDL-C (often referred to as “bad” cholesterol).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Supply</w:t>
      </w:r>
    </w:p>
    <w:p>
      <w:pPr>
        <w:spacing w:after="0" w:line="90" w:lineRule="exact"/>
        <w:rPr>
          <w:sz w:val="20"/>
          <w:szCs w:val="20"/>
          <w:color w:val="auto"/>
        </w:rPr>
      </w:pPr>
    </w:p>
    <w:p>
      <w:pPr>
        <w:jc w:val="both"/>
        <w:ind w:right="120" w:firstLine="456"/>
        <w:spacing w:after="0" w:line="290" w:lineRule="auto"/>
        <w:rPr>
          <w:sz w:val="20"/>
          <w:szCs w:val="20"/>
          <w:color w:val="auto"/>
        </w:rPr>
      </w:pPr>
      <w:r>
        <w:rPr>
          <w:rFonts w:ascii="Arial" w:cs="Arial" w:eastAsia="Arial" w:hAnsi="Arial"/>
          <w:sz w:val="16"/>
          <w:szCs w:val="16"/>
          <w:color w:val="auto"/>
        </w:rPr>
        <w:t>We entered 2011 with one active pharmaceutical ingredient, or API, supplier, Nisshin Pharma. We believe this supplier is capable of producing API to support the initial commercial launch of AMR101. However, based on the positive results of our MARINE and ANCHOR clinical trials and the potential for greater than originally expected product demand, we determined in 2011 to add additional suppliers. Our goals in expanding our supply chain were to provide greater capacity to meet anticipated demand, enable supply diversification and flexibility and introduce cost competition. After conducting an extensive global search for manufactures capable of producing AMR101 API to our technical specifications, we entered into limited exclusivity, long-term agreements with two additional API suppliers in 2011. We are currently working to finalize terms and conditions with a fourth supplier. Certain of our API supply agreements contain provisions under which the cost of supply to us decreases as we purchase increased product volume.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agreements with each of our API suppliers contemplate phased capacity expansion aimed at creating sufficient capacity to meet anticipated demand for API material for AMR101 following FDA approval. Accordingly, Nisshin and our other potential suppliers are currently working to expand and qualify their production capabilities to meet regulatory requirements to manufacture the API for AMR101. These API suppliers are self-funding these expansion and qualification plans with contributions from Amarin. There can be no assurance that additional suppliers will fully-fund the capital costs of our engagement or that they will successfully qualify with the FDA.</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NDA for AMR101 references supply from Nisshin with which we have had the longest relationship and is best qualified to support our launch of AMR101. We have defined with the FDA our plan and specifications for qualifying the additional API suppliers. We intend to submit sNDAs for the use of these additional API suppliers after the suppliers successfully complete the qualification process and the NDA is approved. For API encapsulation, we submitted two commercial encapsulators as part of our NDA. We believe that both of these companies have the capacity to support our product launch requirements.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2012, we intend to increase our purchases of API and finished capsules of AMR101 in preparation of commercial launch. We plan to make certain of these purchases prior to NDA approval with the aim to further expand purchase levels of supply after NDA approval. We may elect to make API purchases from certain of our suppliers after we are satisfied that the material they produce and their facilities are qualified. However, in the event that we make such purchases, we will not be able to use such material for commercial sale until the sNDA for the applicable supplier is approved by the FDA. Similarly, if we are not compliant with other regulations with regard to this intended purchase of supply, our launch may be delayed.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are currently considering three potential paths for the marketing and sale of AMR101: strategic collaboration, acquisition and self-commercialization, that latter of which could include a third-party collaboration. From time to time we have held discussions with larger pharmaceutical companies on potential collaborations and other strategic opportunities with larger pharmaceutical companies and we may have discussions regarding such opportunities in the future. These strategic opportunities may include licensing or similar transactions, joint ventures, partnerships, strategic alliances, business associations, or a sale of the company. However, we cannot estimate the timing of such potential collaborations. No assurance can be given that we will enter into any such strategic transaction. Until such time when we enter into such a strategic transaction, if ever, we plan to continue to execute on our plans to launch, market and sell AMR101 on our own.</w:t>
      </w:r>
    </w:p>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U.S. market is currently our primary focus for the initial commercial launch of AMR101. Opportunities to market and sell AMR101 outside of the United States are also under evaluation.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January 2012 Financing and Financial Position</w:t>
      </w:r>
    </w:p>
    <w:p>
      <w:pPr>
        <w:spacing w:after="0" w:line="9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On January 9, 2012, Amarin, through its wholly-owned subsidiary Corsicanto Limited, a private limited company incorporated under the laws of Ireland, completed a private placement of $150.0 million in aggregate principal amount of its 3.50% exchangeable senior notes due 2032. The notes are the senior unsecured obligations of Corsicanto and are guaranteed by Amarin Corporation plc. The notes bear interest at a rate of 3.50%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11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proceeds received by Amarin from the January 2012 debt offering were approximately $144.3 million, net of estimated fees and transaction costs. Together with our cash balance of $116.6 million at December 31, 2011, we believe that we have sufficient financial resources to fund our projected operations at least for the next twelve months, including advancement of the REDUCE-IT cardiovascular outcomes study and preparations for and commercial launch of AMR101 on each of the three potential paths we are considering for commercialization, subject to regulatory approval. Unless we enter into a strategic collaboration in support of a commercial launch, we may need to raise additional capital to support these efforts on our 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on initial recognition are recorded at fair value. They are subsequently held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 gains and losses arising for changes in fair value recognized in the statement of operations. The fair value of derivative financial liabilities is determined using valuation techniques, typically we use the Black-Scholes option pricing model, or a Monte Carlo simulation depending on the nature of the instrument. We use our judgment to select a variety of methods and make assumptions that are mainly based on market conditions existing at each balance sheet date. Fluctuations in the assumptions used in the valuation model would result in adjustments to the fair value of the warrants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color w:val="auto"/>
        </w:rPr>
        <w:t>Inventory Capitalization</w:t>
      </w:r>
      <w:r>
        <w:rPr>
          <w:rFonts w:ascii="Arial" w:cs="Arial" w:eastAsia="Arial" w:hAnsi="Arial"/>
          <w:sz w:val="18"/>
          <w:szCs w:val="18"/>
          <w:color w:val="auto"/>
        </w:rPr>
        <w:t>—Until AMR101 is approved for commercial marketing and sale, it is considered a product candidate under development.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until an NDA for AMR101 is approved, all supply of AMR101 purchased will not be capitalized and will be included as a component of research and development expense. Upon NDA approval, we plan to capitalize subsequent AMR101 purchases as inventory. Purchases of AMR101 received and expensed before NDA approval will not be subsequently capitalized.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2011 versus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2011 was $21.6 million, versus $28.0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 decrease of $6.4 million, or 22.9%. Research and development expenses for the years ended December 31, 2011 and 2010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(1)</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$20,138</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1,464</w:t>
            </w:r>
          </w:p>
        </w:tc>
        <w:tc>
          <w:tcPr>
            <w:tcW w:w="58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21,602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28,014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37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Research and development expense, excluding non cash charges, for the year ended December 31, 2011 was $20.1 million, versus $26.5 million in the prior year period, a decrease of $6.4 million, or 24.2%. The decrease in research and development expense was primarily due to decreased costs in 2011 for our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2" w:lineRule="auto"/>
        <w:rPr>
          <w:sz w:val="20"/>
          <w:szCs w:val="20"/>
          <w:color w:val="auto"/>
        </w:rPr>
      </w:pPr>
      <w:r>
        <w:rPr>
          <w:rFonts w:ascii="Arial" w:cs="Arial" w:eastAsia="Arial" w:hAnsi="Arial"/>
          <w:sz w:val="18"/>
          <w:szCs w:val="18"/>
          <w:color w:val="auto"/>
        </w:rPr>
        <w:t>AMR101 cardiovascular program, primarily costs associated with the MARINE and ANCHOR trials, our two Phase 3 clinical trials, the top-line results of which were reported in December 2010 and April 2011, respectively. The decrease in costs for these trials in 2011 versus 2010 were partially offset by increased clinical costs for the REDUCE-IT cardiovascular outcomes study, which was initiated in the second half of 2011, and costs associated with submitting our NDA in September 2011 for AMR101.</w:t>
      </w:r>
    </w:p>
    <w:p>
      <w:pPr>
        <w:spacing w:after="0" w:line="1" w:lineRule="exact"/>
        <w:rPr>
          <w:sz w:val="20"/>
          <w:szCs w:val="20"/>
          <w:color w:val="auto"/>
        </w:rPr>
      </w:pPr>
    </w:p>
    <w:p>
      <w:pPr>
        <w:ind w:left="460" w:right="7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$1.5 million for the years ended December 31, 2011 and 2010, respectively.</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clinical costs for the MARINE and ANCHOR trials have decreased as a result of their completion in 2011, we expect these cost reductions to be offset in 2012 by costs for the REDUCE-IT cardiovascular outcomes study as part of which dosing of initial patients commenced in December 2011. We currently estimate that cumulative costs incurred through a CRO for REDUCE-IT will approximate $25 million in 2012 and $125 million through the estimated six year term of the study. We also anticipate increases in research and development costs during 2012 related to the purchase of supply of AMR101, which supply we intend to include as a component of research and development expense for accounting purposes prior to NDA approval. The amount of expense we incur for AMR101 supply during 2012 depends upon the timing of receipt of API from our suppliers and the timing of an NDA approval.</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for the year ended December 31, 2011 was $22.6 million, versus $17.1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an increase of $5.5 million, or 32.2%. General and administrative expenses for the years ended December 31, 2011 and 2010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 (1)</w:t>
            </w:r>
          </w:p>
        </w:tc>
        <w:tc>
          <w:tcPr>
            <w:tcW w:w="1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$14,825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(income) expense (2)</w:t>
            </w:r>
          </w:p>
        </w:tc>
        <w:tc>
          <w:tcPr>
            <w:tcW w:w="2860" w:type="dxa"/>
            <w:vAlign w:val="bottom"/>
            <w:gridSpan w:val="3"/>
          </w:tcPr>
          <w:p>
            <w:pPr>
              <w:jc w:val="right"/>
              <w:ind w:right="5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Restructuring, severance and lease exit costs (4)</w:t>
            </w:r>
          </w:p>
        </w:tc>
        <w:tc>
          <w:tcPr>
            <w:tcW w:w="1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22,559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17,087</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2"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 excluding restructuring, severance and non-cash compensation charges for stock compensation and warrants, for the year ended December 31, 2011 was $14.8 million, versus $7.2 million in the prior year, an increase of $7.6 million, or 105.6%. The increase was primarily due to higher staffing levels in 2011, increased overhead costs for increased office space and higher costs in 2011 for marketing studies and other pre-commercial activities.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Warrant related compensation (income) expense for the year ended December 31, 2011 was $0.1 million of income, versus $5.7 million of expense in the prior year, a change of $5.8 million. Warrant related compensation income for the period ended December 31, 2011 reflects non-cash income for the change in fair value of the warrant derivative liability associated with warrants issued in October 2009 to three former officers of Amarin, net of warrants exercised. The income in 2011 was due primarily to the decrease in the fair value of these warrants, the decrease in the fair value of the warrants is due primarily to a decrease in our stock price between December 31, 2010 and December 31, 2011.</w:t>
      </w:r>
    </w:p>
    <w:p>
      <w:pPr>
        <w:spacing w:after="0" w:line="3"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based compensation expense for the year ended December 31, 2011 was $7.8 million, versus $3.7 million in the prior year period, an increase of $4.1 million due primarily to an increase in option awards granted in late 2010 and during the year ended December 31, 2011 to attract and retain qualified employees.</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severance and lease exit costs for the year ended December 31, 2010 represented costs for severance, office consolidation and the relocation of certain operations to our U.S. offices.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general and administrative costs in 2012 to increase as we prepare for the commercialization of AMR101, including costs for market research, sales force preparation and development of management information systems. The extent of such increases will depend in large part on the timing of NDA approval for AMR101 and whether we launch AMR101 on our own or with a strategic collaborator. If we launch AMR101 on our own, we anticipate that this launch will occur, subject to NDA approval, in early 2013 and that we would not hire the majority of the anticipated number of sales representatives until the fourth quarter of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(Loss) Gain on Change in Fair Value of Derivative Liability. </w:t>
      </w:r>
      <w:r>
        <w:rPr>
          <w:rFonts w:ascii="Arial" w:cs="Arial" w:eastAsia="Arial" w:hAnsi="Arial"/>
          <w:sz w:val="16"/>
          <w:szCs w:val="16"/>
          <w:color w:val="auto"/>
        </w:rPr>
        <w:t>(Loss) gain on change in fair value of derivative liability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2011 was expense of $22.7 million versus $205.2 million in the prior year period. (Loss) gain on change in fair value of derivative liability is primarily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2010 was $230.1 million and we recognized a $205.2 million loss on change in fair value of derivative liability for the period ended December 31, 2010 for these warrants. The fair value of the warrant derivative liability at December 31, 2011 was $123.1 million and we recognized a $22.7 million loss on change in fair value of derivative liability for the period ended December 31, 2011. The decrease in the warrant derivative liability value was due primarily to the decrease in the price of our common shares. See further discussion of the warrant derivative liability in Note 2 and Note 7 of the Notes to the Consolidated Financial Statements.</w:t>
      </w:r>
    </w:p>
    <w:p>
      <w:pPr>
        <w:spacing w:after="0" w:line="12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 Interest expense for the year ended December 31, 2011 was</w:t>
      </w:r>
      <w:r>
        <w:rPr>
          <w:rFonts w:ascii="Arial" w:cs="Arial" w:eastAsia="Arial" w:hAnsi="Arial"/>
          <w:sz w:val="18"/>
          <w:szCs w:val="18"/>
          <w:i w:val="1"/>
          <w:iCs w:val="1"/>
          <w:color w:val="auto"/>
        </w:rPr>
        <w:t xml:space="preserve"> </w:t>
      </w:r>
      <w:r>
        <w:rPr>
          <w:rFonts w:ascii="Arial" w:cs="Arial" w:eastAsia="Arial" w:hAnsi="Arial"/>
          <w:sz w:val="18"/>
          <w:szCs w:val="18"/>
          <w:color w:val="auto"/>
        </w:rPr>
        <w:t>$1,000 versus $19,000 in the prior year.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primarily includes gains and losses on foreign exchange transactions. Other (expense) income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was a net expense of $10,000 versus income of $130,000 in the prior year.</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Provision for the year ending December 31, 2011 was a $2.5 million provision versus a $0.5 million benefit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in the 2011 provision for income taxes primarily relates to the exercise of stock options of which the excess benefits related to the option exercises are recorded to additional-paid-in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2010 versus December 31,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2010 or 2009.</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2010 was $28.0 million, versus $20.9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an increase of $7.1 million, or 34.0%. Research and development expenses for the years ended December 31, 2010 and 2009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$26,480</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1,534</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change in fair value of Ester share based liability (3)</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28,014</w:t>
            </w:r>
          </w:p>
        </w:tc>
        <w:tc>
          <w:tcPr>
            <w:tcW w:w="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20,892</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Research and development expense, excluding non cash charges, for the year ended December 31, 2010 was $26.5 million, versus $18.5 million in the prior year period, an increase of $8.0 million, or 43.2%. The increase in research and development expense was primarily due to increased costs in 2010 for our AMR101 cardiovascular program, primarily costs associated with our two Phase III clinical trials incurred through Medpace, the CRO we engaged in late 2009 to help us set up and manage the two trials. We began enrolling patients in these trials in early 2010 and announced the completion of enrollment in both trials during the second half of 2010. These clinical trial cost increases were partially offset by lower costs for non-cardiovascular development programs which were discontinued during the fourth quarter of 2009.</w:t>
      </w:r>
    </w:p>
    <w:p>
      <w:pPr>
        <w:spacing w:after="0" w:line="1" w:lineRule="exact"/>
        <w:rPr>
          <w:rFonts w:ascii="Arial" w:cs="Arial" w:eastAsia="Arial" w:hAnsi="Arial"/>
          <w:sz w:val="16"/>
          <w:szCs w:val="16"/>
          <w:color w:val="auto"/>
        </w:rPr>
      </w:pPr>
    </w:p>
    <w:p>
      <w:pPr>
        <w:ind w:left="460" w:right="7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$1.5 million for the years ended December 31, 2010 and 2009, respectively.</w:t>
      </w:r>
    </w:p>
    <w:p>
      <w:pPr>
        <w:ind w:left="46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change in fair value of Ester share based liability for the year ended December 31, 2009 reflects the change in the fair value from December 31, 2008 to the May 2009 settlement date of the liability associated with Milestone Ia of the Ester share purchase agreement (see further discussion in Note 8 of the Notes to the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for the year ended December 31, 2010 was $17.1 million, versus $13.2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an increase of $3.9 million, or 29.5%. General and administrative expenses for the years ended December 31, 2010 and 2009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 (1)</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expense (2)</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Restructuring, severance and lease exit costs (4)</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17,087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13,152</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8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and administrative expense, excluding restructuring, severance and non-cash compensation charges for stock compensation and warrants, for the year ended December 31, 2010 was $7.2 million, versus $8.6 million in the prior year, a decrease of $1.4 million, or 16.3%. The decrease was primarily due to lower staffing and overhead expenses in 2010, due to a reduction in office locations in 2009 as a result of a restructuring in late 2009 in conjunction with the October 2009 private placement, which also included the termination of non-cardiovascular development programs.</w:t>
      </w:r>
    </w:p>
    <w:p>
      <w:pPr>
        <w:spacing w:after="0" w:line="2" w:lineRule="exact"/>
        <w:rPr>
          <w:rFonts w:ascii="Arial" w:cs="Arial" w:eastAsia="Arial" w:hAnsi="Arial"/>
          <w:sz w:val="16"/>
          <w:szCs w:val="16"/>
          <w:color w:val="auto"/>
        </w:rPr>
      </w:pPr>
    </w:p>
    <w:p>
      <w:pPr>
        <w:ind w:left="460" w:right="22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Warrant related compensation expense for the year ended December 31, 2010 was $5.7 million, versus $1.0 million in the prior year, an increase of $4.7 million. Warrant related compensation expense for the period ended December 31, 2010 reflects a non-cash expense for the change in fair value of the warrant derivative liability associated with warrants issued in October 2009 to three former officers of Amarin, net of warrants exercised. The increase in the fair value of the warrants is due primarily to an increase in our stock price between December 31, 2009 and December 31, 2010.</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 based compensation expense for the year ended December 31, 2010 was $3.7 million, versus $1.4 million in the prior year period, an increase of $2.3 million due primarily to an increase in option awards for the year ended December 31, 2010 to attract and retain qualified employees.</w:t>
      </w:r>
    </w:p>
    <w:p>
      <w:pPr>
        <w:spacing w:after="0" w:line="1" w:lineRule="exact"/>
        <w:rPr>
          <w:rFonts w:ascii="Arial" w:cs="Arial" w:eastAsia="Arial" w:hAnsi="Arial"/>
          <w:sz w:val="16"/>
          <w:szCs w:val="16"/>
          <w:color w:val="auto"/>
        </w:rPr>
      </w:pPr>
    </w:p>
    <w:p>
      <w:pPr>
        <w:ind w:left="460" w:right="16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severance and lease exit costs were $0.5 million for the year ended December 31, 2010 versus $2.1 million in the prior year. Restructuring, severance and lease exit costs includes primarily costs for severance, office consolidation and the relocation of certain operations to the Company’s U.S. offices.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(Loss) Gain on Change in Fair Value of Derivative Liability. </w:t>
      </w:r>
      <w:r>
        <w:rPr>
          <w:rFonts w:ascii="Arial" w:cs="Arial" w:eastAsia="Arial" w:hAnsi="Arial"/>
          <w:sz w:val="16"/>
          <w:szCs w:val="16"/>
          <w:color w:val="auto"/>
        </w:rPr>
        <w:t>(Loss) gain on change in fair value of derivative liability for the year ended December 31, 2010 was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$205.2 million versus income of $5.1 million in the prior year period. (Loss) gain on change in fair value of derivative liability is primarily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2009 was $41.5 million and we recognized a $6.6 million gain on change in fair value of derivative liability for the period ended December 31, 2009 for these warrants. The fair value of the warrant derivative liability at December 31, 2010 was $230.1 million and we recognized a $205.2 million loss on change in fair value of derivative liability for the period ended December 31, 2010. The increase in the warrant derivative liability value was due primarily to the increase in the price of our common shares. See further discussion of the warrant derivative liability in Note 2 and Note 7 of the Notes to the Consolidated Financial Statements.</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 Interest expense for the year ended December 31, 2010 was $19,000</w:t>
      </w:r>
      <w:r>
        <w:rPr>
          <w:rFonts w:ascii="Arial" w:cs="Arial" w:eastAsia="Arial" w:hAnsi="Arial"/>
          <w:sz w:val="18"/>
          <w:szCs w:val="18"/>
          <w:i w:val="1"/>
          <w:iCs w:val="1"/>
          <w:color w:val="auto"/>
        </w:rPr>
        <w:t xml:space="preserve"> </w:t>
      </w:r>
      <w:r>
        <w:rPr>
          <w:rFonts w:ascii="Arial" w:cs="Arial" w:eastAsia="Arial" w:hAnsi="Arial"/>
          <w:sz w:val="18"/>
          <w:szCs w:val="18"/>
          <w:color w:val="auto"/>
        </w:rPr>
        <w:t>versus $2.8 million in the prior year. The decrease was due primarily to the amortization of the difference between the fair value of the June and July 2009 bridge loans at their date of issue and their face value at the time of repayment in October 2009. The bridge notes were repaid in conjunction with our October 2009 private placement.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primarily includes gains and losses on foreign exchange transactions. Other income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2009 also included $0.7 million from the sale of intellectual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sources of liquidity as of December 31, 2011 include cash and cash equivalents of $116.6 million. In addition, in January 2012 we completed a convertible debt offering from which we received approximately $144.3 million in net proceeds. Our projected uses of cash include the continued funding of the REDUCE-IT study, commercial preparation and launch of AMR101, working capital and other general corporate activities. Our cash flows from operating, investing and financing activities, as reflected in the consolidated statements of cash flows, are summarized in the following table (in millions):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2"/>
                <w:szCs w:val="12"/>
                <w:color w:val="auto"/>
              </w:rPr>
            </w:pPr>
          </w:p>
        </w:tc>
        <w:tc>
          <w:tcPr>
            <w:tcW w:w="104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4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(39.4)</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 (33.9)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 (28.4)</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126.6</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$ 38.0</w:t>
            </w:r>
          </w:p>
        </w:tc>
        <w:tc>
          <w:tcPr>
            <w:tcW w:w="100" w:type="dxa"/>
            <w:vAlign w:val="bottom"/>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obligations at December 31, 2011.</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On January 9, 2012, Amarin, through its wholly-owned subsidiary Corsicanto Limited, a private limited company incorporated under the laws of Ireland, completed a private placement of $150.0 in aggregate principal amount of its 3.50% exchangeable senior notes due 2032. The proceeds received by Amarin from the January 2012 debt offering were approximately $144.3 million, net of fees and transaction costs. These notes were issued pursuant to an indenture dated as of January 9, 2012, by and among Corsicanto, Amarin Corporation plc as guarantor, and Wells Fargo Bank, National Association, as trustee. The notes are the senior unsecured obligations of Corsicanto and are guaranteed by Amarin Corporation plc. The notes bear interest at a rate of 3.50%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11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our cash, including the net proceeds from the January 2012 financing, will be sufficient to fund our projected operations for at least the next twelve months, including advancement of the REDUCE-IT cardiovascular outcomes study, commercial preparations and projected launch of AMR101, working capital and other general corporate activities. This is based on our current operational plans and activities at normal levels and does not assume any cash inflows from partnerships, warrant exercises or other dilutive or non-dilutive financings in the longer-term.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December 31, 2011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to 2014</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2016</w:t>
            </w:r>
          </w:p>
        </w:tc>
        <w:tc>
          <w:tcPr>
            <w:tcW w:w="5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2016</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4"/>
          </w:tcPr>
          <w:p>
            <w:pPr>
              <w:ind w:left="440"/>
              <w:spacing w:after="0"/>
              <w:rPr>
                <w:sz w:val="20"/>
                <w:szCs w:val="20"/>
                <w:color w:val="auto"/>
              </w:rPr>
            </w:pPr>
            <w:r>
              <w:rPr>
                <w:rFonts w:ascii="Arial" w:cs="Arial" w:eastAsia="Arial" w:hAnsi="Arial"/>
                <w:sz w:val="18"/>
                <w:szCs w:val="18"/>
                <w:color w:val="auto"/>
              </w:rPr>
              <w:t>Purchase obligations (1)</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$13.3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gridSpan w:val="4"/>
            <w:vMerge w:val="restart"/>
          </w:tcPr>
          <w:p>
            <w:pPr>
              <w:ind w:left="440"/>
              <w:spacing w:after="0" w:line="202" w:lineRule="exact"/>
              <w:rPr>
                <w:sz w:val="20"/>
                <w:szCs w:val="20"/>
                <w:color w:val="auto"/>
              </w:rPr>
            </w:pPr>
            <w:r>
              <w:rPr>
                <w:rFonts w:ascii="Arial" w:cs="Arial" w:eastAsia="Arial" w:hAnsi="Arial"/>
                <w:sz w:val="18"/>
                <w:szCs w:val="18"/>
                <w:color w:val="auto"/>
              </w:rPr>
              <w:t>Total contractual cash obligations</w:t>
            </w: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gridSpan w:val="4"/>
            <w:vMerge w:val="continue"/>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14.6</w:t>
            </w:r>
          </w:p>
        </w:tc>
        <w:tc>
          <w:tcPr>
            <w:tcW w:w="500" w:type="dxa"/>
            <w:vAlign w:val="bottom"/>
          </w:tcPr>
          <w:p>
            <w:pPr>
              <w:spacing w:after="0"/>
              <w:rPr>
                <w:sz w:val="15"/>
                <w:szCs w:val="15"/>
                <w:color w:val="auto"/>
              </w:rPr>
            </w:pPr>
          </w:p>
        </w:tc>
        <w:tc>
          <w:tcPr>
            <w:tcW w:w="660" w:type="dxa"/>
            <w:vAlign w:val="bottom"/>
            <w:gridSpan w:val="2"/>
          </w:tcPr>
          <w:p>
            <w:pPr>
              <w:jc w:val="right"/>
              <w:ind w:right="260"/>
              <w:spacing w:after="0" w:line="182"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13.9</w:t>
            </w:r>
          </w:p>
        </w:tc>
        <w:tc>
          <w:tcPr>
            <w:tcW w:w="360" w:type="dxa"/>
            <w:vAlign w:val="bottom"/>
            <w:gridSpan w:val="2"/>
          </w:tcPr>
          <w:p>
            <w:pPr>
              <w:ind w:left="240"/>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0.7</w:t>
            </w:r>
          </w:p>
        </w:tc>
        <w:tc>
          <w:tcPr>
            <w:tcW w:w="660" w:type="dxa"/>
            <w:vAlign w:val="bottom"/>
            <w:gridSpan w:val="2"/>
          </w:tcPr>
          <w:p>
            <w:pPr>
              <w:jc w:val="right"/>
              <w:ind w:right="2"/>
              <w:spacing w:after="0" w:line="182" w:lineRule="exact"/>
              <w:rPr>
                <w:sz w:val="20"/>
                <w:szCs w:val="20"/>
                <w:color w:val="auto"/>
              </w:rPr>
            </w:pPr>
            <w:r>
              <w:rPr>
                <w:rFonts w:ascii="Arial" w:cs="Arial" w:eastAsia="Arial" w:hAnsi="Arial"/>
                <w:sz w:val="18"/>
                <w:szCs w:val="18"/>
                <w:color w:val="auto"/>
              </w:rPr>
              <w:t>$ —</w:t>
            </w:r>
          </w:p>
        </w:tc>
        <w:tc>
          <w:tcPr>
            <w:tcW w:w="720" w:type="dxa"/>
            <w:vAlign w:val="bottom"/>
            <w:gridSpan w:val="2"/>
          </w:tcPr>
          <w:p>
            <w:pPr>
              <w:ind w:left="500"/>
              <w:spacing w:after="0" w:line="182"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4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minimum purchase obligations with Nisshin, our supplier of AMR 101 active pharmaceutical ingredient, ethyl-EPA. We purchased $2.1 million of materials during the year ended December 31, 2011 and have additional purchase obligations of $13.3 million in 2012. Not included in this obligation is a non-refundable milestone payment of $0.5 million payable upon the first marketing approval of AMR101 in the United States. Additional future minimum purchases will be required, subject to an NDA approval, and in preparation for commercialization of AMR101 we may purchase more than the minimum amount.</w:t>
      </w:r>
    </w:p>
    <w:p>
      <w:pPr>
        <w:spacing w:after="0" w:line="61"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In addition, provided the supplier has expanded its manufacturing capacity in accordance with the agreement, the supplier may terminate the agreement in the event that (i) Amarin does not receive marketing approval for AMR101 in the United States on or before December 31, 2014 or (ii) in the event that Amarin abandons development of AMR101 for hypertriglyceridemia in the United States. In either case, Amarin will be required to reimburse the supplier for certain costs incurred by the supplier in connection with its manufacturing expansion, less the amount of profit received as a result of purchases of ethyl-EPA by Amarin, not to exceed $5.0 million.</w:t>
      </w:r>
    </w:p>
    <w:p>
      <w:pPr>
        <w:spacing w:after="0" w:line="61"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We anticipate incurring certain costs associated with the qualification of product produced by Nisshin.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above table also does not reflect potential material purchases under active pharmaceutical ingredient, or API, supply agreements signed during 2011 with two additional API suppliers. We are currently working to finalize terms and conditions with a fourth supplier. These agreements provide access to additional API supply that is incremental to supply from Nisshin, our existing API supplier. Each of these three API agreements contemplates a phased capacity expansion plan aimed at creating sufficient capacity to meet anticipated demand for API material for AMR101 following FDA approval.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Following FDA approval of AMR101, these agreements include annual purchase levels enabling Amarin to maintain supply exclusivity with each respective supplier, and to prevent potential termination of the agreements. Because we have not yet obtained FDA approval for AMR101, these amounts are excluded from the above table. The 2011 supply agreements also include (i) development fees up to a maximum of $0.5 million, (ii) material commitments of up to $5.0 million for initial raw materials, which will be credited against future API purchases, and is refundable to Amarin if a supplier does not successfully develop and qualify the API by a certain date and (iii) a raw material purchase commitment of $1.1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Concurrent with one of these supply agreements, our agreement with Chemport located in South Korea, we agreed to make a minority share equity investment in Chemport of up to $3.3 million. In July 2011, we paid to Chemport $1.7 million under this agreement, which has been included in other long term assets at December 31, 2011. Subject to Chemport meeting certain milestones, we anticipate making the remaining $1.6 million investment during 2012.</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our 2004 share repurchase agreement with Laxdale Limited, in connection with commercialization of AMR101 for cardiovascular indications, prior to the end of 2012 we are required to pay potential royalties to a former employee of Laxdale of 1% on net sales up to £100 million (approximately $155 million at December 31, 2011); 0.5% for net sales between £100 million (approximately $155 million at December 31, 2011) and £500 million (approximately $773 million at December 31, 2011); and 0.25% for sales in excess of £500 million (approximately $773 million at December 31, 2011). After 2012, we have no royalty obligations.</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this same agreement with Laxdale Limited, upon receipt of marketing approval in the U.S. and/or Europe for the first indication for AMR101 (or first indication of any product containing Amarin Neuroscience intellectual property acquired from Laxdale Limited in 2004), we must make an aggregate stock or cash payment (at the sole option of each of the sellers) of £7.5 million (approximately $11.6 million at December 31, 2011) for each of the two potential marketing approvals (i.e., £15 million maximum, or approximately $23.2 million at December 31, 2011). In addition, upon receipt of a marketing approval in the U.S. or Europe for a further indication of AMR101 (or further indication of any other product using Amarin Neuroscience intellectual property), we must make an aggregate stock or cash payment (at the sole option of each of the sellers) of £5 million (approximately $7.7 million at December 31, 2011) for each of the two potential market approvals (i.e. £10 million maximum, or approximately $15.5 million at December 31, 2011).</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$0.7 million of liability for uncertain tax positions that have been recorded in long-term liabilities at December 31, 2011.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 At December 31, 2011, we record as a liability the fair value of warrants to purchase 18.7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market price of our common shares ($8.24 based on the $7.49 market price of our stock at December 31, 2011) on which the December 31, 2011 valuation was based, the value of the derivative liability would have increased by $13.6 million. Such increase would have been reflected as additional loss on change in fair value of the warrant derivative liability in our statement of operations.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subject to fluctuations due to changes in the Euro and Sterling.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vendor relationships are denominated in U.S. dollar. We therefore believe that the risk of a significant impact on our operating income from foreign currency fluctuations is not substantial.</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We believe that we are not exposed to significant interest rate risk through market value fluctuations of balance sheet items (i.e., price</w:t>
      </w:r>
      <w:r>
        <w:rPr>
          <w:rFonts w:ascii="Arial" w:cs="Arial" w:eastAsia="Arial" w:hAnsi="Arial"/>
          <w:sz w:val="15"/>
          <w:szCs w:val="15"/>
          <w:i w:val="1"/>
          <w:iCs w:val="1"/>
          <w:color w:val="auto"/>
        </w:rPr>
        <w:t xml:space="preserve"> </w:t>
      </w:r>
      <w:r>
        <w:rPr>
          <w:rFonts w:ascii="Arial" w:cs="Arial" w:eastAsia="Arial" w:hAnsi="Arial"/>
          <w:sz w:val="15"/>
          <w:szCs w:val="15"/>
          <w:color w:val="auto"/>
        </w:rPr>
        <w:t>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2011, the fair value of our cash and cash equivalents maturing in one year or less was $116.6 million and represented 100% of our cash, cash equivalents and investment portfolio. A hypothetical 50 basis point increase in interest rates would not result in a material decrease or increase in the fair value of our securities due to the general short-term nature of our investment portfolio. At December 31, 2011, 2010 and 2009 there was no outstanding debt.</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As of December 31, 2011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management, including our Principal Executive Officer and Principal Financial Officer, has conducted an evaluation of the effectiveness of our internal control over financial reporting as of December 31, 2011. In conducting this evaluation,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Based upon this evaluation and those criteria, management believes that, as of December 31, 2011, our internal controls over financial reporting were effective.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Deloitte and Touche LLP, our independent registered public accounting firm, has audited our consolidated financial statements and the effectiveness of our internal control over financial reporting as of December 31, 2011. This report appears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2011 that have materially affected, or are reasonably likely to materially affect, our internal control over financial reporting, other than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previously described in Item 9A “Controls and Procedures” in our Annual Report on Form 10-K filed for the year ended December 31, 2010, our management identified a material weakness in internal control over financial reporting as of December 31, 2009, which persisted as of December 31, 2010.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fourth quarter ended December 31, 2011, we completed remediation efforts to address the material weakness identified above. Specifically, our management, with the input, oversight, and support of the Audit Committee, identified and took the following steps beginning during the second half of 2010, all of which efforts continued into the fourth quarter of 2011: non-ordinary course transactions are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 Management tested the design and operating effectiveness of these redesigned controls during our year-end closing process for 2011, and we believe that we have remediated the material weakness as described above, as of December 31, 2011.</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Amarin Corporation plc and subsidiaries (the “Company”)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29, 2012 expressed an unqualified opinion on those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2012 Annual General Meeting of Shareholders.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t>
      </w:r>
      <w:r>
        <w:rPr>
          <w:rFonts w:ascii="Arial" w:cs="Arial" w:eastAsia="Arial" w:hAnsi="Arial"/>
          <w:sz w:val="18"/>
          <w:szCs w:val="18"/>
          <w:u w:val="single" w:color="auto"/>
          <w:color w:val="auto"/>
        </w:rPr>
        <w:t>www.amarincorp.com</w:t>
      </w:r>
      <w:r>
        <w:rPr>
          <w:rFonts w:ascii="Arial" w:cs="Arial" w:eastAsia="Arial" w:hAnsi="Arial"/>
          <w:sz w:val="18"/>
          <w:szCs w:val="18"/>
          <w:color w:val="auto"/>
        </w:rPr>
        <w:t>. Any waivers from or amendments to the code will be filed with the SEC on Form 8-K. You may also request a printed copy of the code, without charge, by writing to us at Amarin Pharma Inc., 1430 Route 206, Bedminster, NJ 07921, Attn: Investor Relations.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2012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2012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2012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Proxy Statement, which will be filed with the SEC in connection with our 2012 Annual General Meeting of Shareholders. Such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Statements and Schedules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the financial statements on page F-1.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1"/>
                <w:szCs w:val="11"/>
                <w:color w:val="auto"/>
              </w:rPr>
            </w:pPr>
          </w:p>
        </w:tc>
        <w:tc>
          <w:tcPr>
            <w:tcW w:w="1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Description</w:t>
            </w:r>
          </w:p>
        </w:tc>
        <w:tc>
          <w:tcPr>
            <w:tcW w:w="2480" w:type="dxa"/>
            <w:vAlign w:val="bottom"/>
          </w:tcPr>
          <w:p>
            <w:pPr>
              <w:spacing w:after="0"/>
              <w:rPr>
                <w:sz w:val="11"/>
                <w:szCs w:val="11"/>
                <w:color w:val="auto"/>
              </w:rPr>
            </w:pPr>
          </w:p>
        </w:tc>
        <w:tc>
          <w:tcPr>
            <w:tcW w:w="2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79"/>
              </w:rPr>
              <w:t>Form</w:t>
            </w:r>
          </w:p>
        </w:tc>
        <w:tc>
          <w:tcPr>
            <w:tcW w:w="8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Date</w:t>
            </w:r>
          </w:p>
        </w:tc>
        <w:tc>
          <w:tcPr>
            <w:tcW w:w="280" w:type="dxa"/>
            <w:vAlign w:val="bottom"/>
          </w:tcPr>
          <w:p>
            <w:pPr>
              <w:spacing w:after="0"/>
              <w:rPr>
                <w:sz w:val="11"/>
                <w:szCs w:val="11"/>
                <w:color w:val="auto"/>
              </w:rPr>
            </w:pPr>
          </w:p>
        </w:tc>
      </w:tr>
      <w:tr>
        <w:trPr>
          <w:trHeight w:val="316"/>
        </w:trPr>
        <w:tc>
          <w:tcPr>
            <w:tcW w:w="500" w:type="dxa"/>
            <w:vAlign w:val="bottom"/>
          </w:tcPr>
          <w:p>
            <w:pPr>
              <w:jc w:val="right"/>
              <w:ind w:right="106"/>
              <w:spacing w:after="0"/>
              <w:rPr>
                <w:sz w:val="20"/>
                <w:szCs w:val="20"/>
                <w:color w:val="auto"/>
              </w:rPr>
            </w:pPr>
            <w:r>
              <w:rPr>
                <w:rFonts w:ascii="Arial" w:cs="Arial" w:eastAsia="Arial" w:hAnsi="Arial"/>
                <w:sz w:val="18"/>
                <w:szCs w:val="18"/>
                <w:color w:val="auto"/>
              </w:rPr>
              <w:t>3.1</w:t>
            </w:r>
          </w:p>
        </w:tc>
        <w:tc>
          <w:tcPr>
            <w:tcW w:w="4080" w:type="dxa"/>
            <w:vAlign w:val="bottom"/>
            <w:gridSpan w:val="3"/>
          </w:tcPr>
          <w:p>
            <w:pPr>
              <w:ind w:left="560"/>
              <w:spacing w:after="0"/>
              <w:rPr>
                <w:sz w:val="20"/>
                <w:szCs w:val="20"/>
                <w:color w:val="auto"/>
              </w:rPr>
            </w:pPr>
            <w:r>
              <w:rPr>
                <w:rFonts w:ascii="Arial" w:cs="Arial" w:eastAsia="Arial" w:hAnsi="Arial"/>
                <w:sz w:val="18"/>
                <w:szCs w:val="18"/>
                <w:color w:val="auto"/>
              </w:rPr>
              <w:t>Articles of Association of the Company</w:t>
            </w:r>
          </w:p>
        </w:tc>
        <w:tc>
          <w:tcPr>
            <w:tcW w:w="4840" w:type="dxa"/>
            <w:vAlign w:val="bottom"/>
            <w:gridSpan w:val="4"/>
          </w:tcPr>
          <w:p>
            <w:pPr>
              <w:ind w:left="720"/>
              <w:spacing w:after="0"/>
              <w:rPr>
                <w:sz w:val="20"/>
                <w:szCs w:val="20"/>
                <w:color w:val="auto"/>
              </w:rPr>
            </w:pPr>
            <w:r>
              <w:rPr>
                <w:rFonts w:ascii="Arial" w:cs="Arial" w:eastAsia="Arial" w:hAnsi="Arial"/>
                <w:sz w:val="18"/>
                <w:szCs w:val="18"/>
                <w:color w:val="auto"/>
              </w:rPr>
              <w:t>Registration Statement on Form F-3,</w:t>
            </w:r>
          </w:p>
        </w:tc>
        <w:tc>
          <w:tcPr>
            <w:tcW w:w="1460" w:type="dxa"/>
            <w:vAlign w:val="bottom"/>
            <w:gridSpan w:val="3"/>
          </w:tcPr>
          <w:p>
            <w:pPr>
              <w:ind w:left="60"/>
              <w:spacing w:after="0"/>
              <w:rPr>
                <w:sz w:val="20"/>
                <w:szCs w:val="20"/>
                <w:color w:val="auto"/>
              </w:rPr>
            </w:pPr>
            <w:r>
              <w:rPr>
                <w:rFonts w:ascii="Arial" w:cs="Arial" w:eastAsia="Arial" w:hAnsi="Arial"/>
                <w:sz w:val="18"/>
                <w:szCs w:val="18"/>
                <w:color w:val="auto"/>
                <w:w w:val="87"/>
              </w:rPr>
              <w:t>November 10, 2010</w:t>
            </w:r>
          </w:p>
        </w:tc>
      </w:tr>
      <w:tr>
        <w:trPr>
          <w:trHeight w:val="222"/>
        </w:trPr>
        <w:tc>
          <w:tcPr>
            <w:tcW w:w="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40" w:type="dxa"/>
            <w:vAlign w:val="bottom"/>
            <w:gridSpan w:val="4"/>
          </w:tcPr>
          <w:p>
            <w:pPr>
              <w:ind w:left="720"/>
              <w:spacing w:after="0"/>
              <w:rPr>
                <w:sz w:val="20"/>
                <w:szCs w:val="20"/>
                <w:color w:val="auto"/>
              </w:rPr>
            </w:pPr>
            <w:r>
              <w:rPr>
                <w:rFonts w:ascii="Arial" w:cs="Arial" w:eastAsia="Arial" w:hAnsi="Arial"/>
                <w:sz w:val="18"/>
                <w:szCs w:val="18"/>
                <w:color w:val="auto"/>
              </w:rPr>
              <w:t>File No. 170505, as Exhibit 3.1</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115" w:lineRule="exact"/>
        <w:rPr>
          <w:sz w:val="20"/>
          <w:szCs w:val="20"/>
          <w:color w:val="auto"/>
        </w:rPr>
      </w:pPr>
    </w:p>
    <w:p>
      <w:pPr>
        <w:sectPr>
          <w:pgSz w:w="11900" w:h="16838" w:orient="portrait"/>
          <w:cols w:equalWidth="0" w:num="1">
            <w:col w:w="10880"/>
          </w:cols>
          <w:pgMar w:left="240" w:top="459" w:right="779" w:bottom="1440" w:gutter="0" w:footer="0" w:header="0"/>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4.1</w:t>
            </w:r>
          </w:p>
        </w:tc>
        <w:tc>
          <w:tcPr>
            <w:tcW w:w="4160" w:type="dxa"/>
            <w:vAlign w:val="bottom"/>
          </w:tcPr>
          <w:p>
            <w:pPr>
              <w:ind w:left="380"/>
              <w:spacing w:after="0"/>
              <w:rPr>
                <w:sz w:val="20"/>
                <w:szCs w:val="20"/>
                <w:color w:val="auto"/>
              </w:rPr>
            </w:pPr>
            <w:r>
              <w:rPr>
                <w:rFonts w:ascii="Arial" w:cs="Arial" w:eastAsia="Arial" w:hAnsi="Arial"/>
                <w:sz w:val="18"/>
                <w:szCs w:val="18"/>
                <w:color w:val="auto"/>
                <w:w w:val="89"/>
              </w:rPr>
              <w:t>Form of Amended and Restated Deposit Agreement,</w:t>
            </w:r>
          </w:p>
        </w:tc>
      </w:tr>
      <w:tr>
        <w:trPr>
          <w:trHeight w:val="216"/>
        </w:trPr>
        <w:tc>
          <w:tcPr>
            <w:tcW w:w="68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w w:val="88"/>
              </w:rPr>
              <w:t>dated as of November 4, 2011, among the Company,</w:t>
            </w:r>
          </w:p>
        </w:tc>
      </w:tr>
      <w:tr>
        <w:trPr>
          <w:trHeight w:val="216"/>
        </w:trPr>
        <w:tc>
          <w:tcPr>
            <w:tcW w:w="68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w w:val="94"/>
              </w:rPr>
              <w:t>Citibank, N.A., as Depositary, and all holders from</w:t>
            </w:r>
          </w:p>
        </w:tc>
      </w:tr>
      <w:tr>
        <w:trPr>
          <w:trHeight w:val="216"/>
        </w:trPr>
        <w:tc>
          <w:tcPr>
            <w:tcW w:w="68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w w:val="90"/>
              </w:rPr>
              <w:t>time to time of American Depositary Receipts issued</w:t>
            </w:r>
          </w:p>
        </w:tc>
      </w:tr>
      <w:tr>
        <w:trPr>
          <w:trHeight w:val="222"/>
        </w:trPr>
        <w:tc>
          <w:tcPr>
            <w:tcW w:w="680" w:type="dxa"/>
            <w:vAlign w:val="bottom"/>
          </w:tcPr>
          <w:p>
            <w:pPr>
              <w:spacing w:after="0"/>
              <w:rPr>
                <w:sz w:val="19"/>
                <w:szCs w:val="19"/>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rPr>
              <w:t>thereunder</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4.2</w:t>
            </w:r>
          </w:p>
        </w:tc>
        <w:tc>
          <w:tcPr>
            <w:tcW w:w="4160" w:type="dxa"/>
            <w:vAlign w:val="bottom"/>
          </w:tcPr>
          <w:p>
            <w:pPr>
              <w:ind w:left="380"/>
              <w:spacing w:after="0"/>
              <w:rPr>
                <w:sz w:val="20"/>
                <w:szCs w:val="20"/>
                <w:color w:val="auto"/>
              </w:rPr>
            </w:pPr>
            <w:r>
              <w:rPr>
                <w:rFonts w:ascii="Arial" w:cs="Arial" w:eastAsia="Arial" w:hAnsi="Arial"/>
                <w:sz w:val="18"/>
                <w:szCs w:val="18"/>
                <w:color w:val="auto"/>
                <w:w w:val="86"/>
              </w:rPr>
              <w:t>Indenture, dated as of January 9, 2012, by and among</w:t>
            </w:r>
          </w:p>
        </w:tc>
      </w:tr>
      <w:tr>
        <w:trPr>
          <w:trHeight w:val="216"/>
        </w:trPr>
        <w:tc>
          <w:tcPr>
            <w:tcW w:w="68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w w:val="93"/>
              </w:rPr>
              <w:t>Corsicanto Limited, the Company and Wells Fargo</w:t>
            </w:r>
          </w:p>
        </w:tc>
      </w:tr>
      <w:tr>
        <w:trPr>
          <w:trHeight w:val="222"/>
        </w:trPr>
        <w:tc>
          <w:tcPr>
            <w:tcW w:w="680" w:type="dxa"/>
            <w:vAlign w:val="bottom"/>
          </w:tcPr>
          <w:p>
            <w:pPr>
              <w:spacing w:after="0"/>
              <w:rPr>
                <w:sz w:val="19"/>
                <w:szCs w:val="19"/>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rPr>
              <w:t>Bank, National Association, as trustee</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4160" w:type="dxa"/>
            <w:vAlign w:val="bottom"/>
          </w:tcPr>
          <w:p>
            <w:pPr>
              <w:ind w:left="380"/>
              <w:spacing w:after="0"/>
              <w:rPr>
                <w:sz w:val="20"/>
                <w:szCs w:val="20"/>
                <w:color w:val="auto"/>
              </w:rPr>
            </w:pPr>
            <w:r>
              <w:rPr>
                <w:rFonts w:ascii="Arial" w:cs="Arial" w:eastAsia="Arial" w:hAnsi="Arial"/>
                <w:sz w:val="18"/>
                <w:szCs w:val="18"/>
                <w:color w:val="auto"/>
              </w:rPr>
              <w:t>Form of Ordinary Share certificate</w:t>
            </w:r>
          </w:p>
        </w:tc>
      </w:tr>
      <w:tr>
        <w:trPr>
          <w:trHeight w:val="763"/>
        </w:trPr>
        <w:tc>
          <w:tcPr>
            <w:tcW w:w="680" w:type="dxa"/>
            <w:vAlign w:val="bottom"/>
          </w:tcPr>
          <w:p>
            <w:pPr>
              <w:jc w:val="right"/>
              <w:ind w:right="272"/>
              <w:spacing w:after="0"/>
              <w:rPr>
                <w:sz w:val="20"/>
                <w:szCs w:val="20"/>
                <w:color w:val="auto"/>
              </w:rPr>
            </w:pPr>
            <w:r>
              <w:rPr>
                <w:rFonts w:ascii="Arial" w:cs="Arial" w:eastAsia="Arial" w:hAnsi="Arial"/>
                <w:sz w:val="18"/>
                <w:szCs w:val="18"/>
                <w:color w:val="auto"/>
              </w:rPr>
              <w:t>4.4</w:t>
            </w:r>
          </w:p>
        </w:tc>
        <w:tc>
          <w:tcPr>
            <w:tcW w:w="4160" w:type="dxa"/>
            <w:vAlign w:val="bottom"/>
          </w:tcPr>
          <w:p>
            <w:pPr>
              <w:ind w:left="380"/>
              <w:spacing w:after="0"/>
              <w:rPr>
                <w:sz w:val="20"/>
                <w:szCs w:val="20"/>
                <w:color w:val="auto"/>
              </w:rPr>
            </w:pPr>
            <w:r>
              <w:rPr>
                <w:rFonts w:ascii="Arial" w:cs="Arial" w:eastAsia="Arial" w:hAnsi="Arial"/>
                <w:sz w:val="18"/>
                <w:szCs w:val="18"/>
                <w:color w:val="auto"/>
                <w:w w:val="96"/>
              </w:rPr>
              <w:t>Form of American Depositary Receipt evidencing</w:t>
            </w:r>
          </w:p>
        </w:tc>
      </w:tr>
      <w:tr>
        <w:trPr>
          <w:trHeight w:val="222"/>
        </w:trPr>
        <w:tc>
          <w:tcPr>
            <w:tcW w:w="680" w:type="dxa"/>
            <w:vAlign w:val="bottom"/>
          </w:tcPr>
          <w:p>
            <w:pPr>
              <w:spacing w:after="0"/>
              <w:rPr>
                <w:sz w:val="19"/>
                <w:szCs w:val="19"/>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rPr>
              <w:t>ADSs</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10.1</w:t>
            </w:r>
          </w:p>
        </w:tc>
        <w:tc>
          <w:tcPr>
            <w:tcW w:w="4160" w:type="dxa"/>
            <w:vAlign w:val="bottom"/>
          </w:tcPr>
          <w:p>
            <w:pPr>
              <w:ind w:left="380"/>
              <w:spacing w:after="0"/>
              <w:rPr>
                <w:sz w:val="20"/>
                <w:szCs w:val="20"/>
                <w:color w:val="auto"/>
              </w:rPr>
            </w:pPr>
            <w:r>
              <w:rPr>
                <w:rFonts w:ascii="Arial" w:cs="Arial" w:eastAsia="Arial" w:hAnsi="Arial"/>
                <w:sz w:val="18"/>
                <w:szCs w:val="18"/>
                <w:color w:val="auto"/>
              </w:rPr>
              <w:t>The Company 2002 Stock Option Plan</w:t>
            </w:r>
          </w:p>
        </w:tc>
      </w:tr>
      <w:tr>
        <w:trPr>
          <w:trHeight w:val="770"/>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10.2</w:t>
            </w:r>
          </w:p>
        </w:tc>
        <w:tc>
          <w:tcPr>
            <w:tcW w:w="4160" w:type="dxa"/>
            <w:vAlign w:val="bottom"/>
          </w:tcPr>
          <w:p>
            <w:pPr>
              <w:ind w:left="380"/>
              <w:spacing w:after="0"/>
              <w:rPr>
                <w:sz w:val="20"/>
                <w:szCs w:val="20"/>
                <w:color w:val="auto"/>
              </w:rPr>
            </w:pPr>
            <w:r>
              <w:rPr>
                <w:rFonts w:ascii="Arial" w:cs="Arial" w:eastAsia="Arial" w:hAnsi="Arial"/>
                <w:sz w:val="18"/>
                <w:szCs w:val="18"/>
                <w:color w:val="auto"/>
              </w:rPr>
              <w:t>The Company 2011 Stock Option Plan</w:t>
            </w:r>
          </w:p>
        </w:tc>
      </w:tr>
      <w:tr>
        <w:trPr>
          <w:trHeight w:val="770"/>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10.3</w:t>
            </w:r>
          </w:p>
        </w:tc>
        <w:tc>
          <w:tcPr>
            <w:tcW w:w="4160" w:type="dxa"/>
            <w:vAlign w:val="bottom"/>
          </w:tcPr>
          <w:p>
            <w:pPr>
              <w:ind w:left="380"/>
              <w:spacing w:after="0"/>
              <w:rPr>
                <w:sz w:val="20"/>
                <w:szCs w:val="20"/>
                <w:color w:val="auto"/>
              </w:rPr>
            </w:pPr>
            <w:r>
              <w:rPr>
                <w:rFonts w:ascii="Arial" w:cs="Arial" w:eastAsia="Arial" w:hAnsi="Arial"/>
                <w:sz w:val="18"/>
                <w:szCs w:val="18"/>
                <w:color w:val="auto"/>
                <w:w w:val="94"/>
              </w:rPr>
              <w:t>Form of Incentive Stock Option Award Agreement</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10.4</w:t>
            </w:r>
          </w:p>
        </w:tc>
        <w:tc>
          <w:tcPr>
            <w:tcW w:w="4160" w:type="dxa"/>
            <w:vAlign w:val="bottom"/>
          </w:tcPr>
          <w:p>
            <w:pPr>
              <w:ind w:left="380"/>
              <w:spacing w:after="0"/>
              <w:rPr>
                <w:sz w:val="20"/>
                <w:szCs w:val="20"/>
                <w:color w:val="auto"/>
              </w:rPr>
            </w:pPr>
            <w:r>
              <w:rPr>
                <w:rFonts w:ascii="Arial" w:cs="Arial" w:eastAsia="Arial" w:hAnsi="Arial"/>
                <w:sz w:val="18"/>
                <w:szCs w:val="18"/>
                <w:color w:val="auto"/>
              </w:rPr>
              <w:t>Form of Non-Qualified Stock Option Award</w:t>
            </w:r>
          </w:p>
        </w:tc>
      </w:tr>
      <w:tr>
        <w:trPr>
          <w:trHeight w:val="222"/>
        </w:trPr>
        <w:tc>
          <w:tcPr>
            <w:tcW w:w="680" w:type="dxa"/>
            <w:vAlign w:val="bottom"/>
          </w:tcPr>
          <w:p>
            <w:pPr>
              <w:spacing w:after="0"/>
              <w:rPr>
                <w:sz w:val="19"/>
                <w:szCs w:val="19"/>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rPr>
              <w:t>Agreement</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10.5</w:t>
            </w:r>
          </w:p>
        </w:tc>
        <w:tc>
          <w:tcPr>
            <w:tcW w:w="4160" w:type="dxa"/>
            <w:vAlign w:val="bottom"/>
          </w:tcPr>
          <w:p>
            <w:pPr>
              <w:ind w:left="380"/>
              <w:spacing w:after="0"/>
              <w:rPr>
                <w:sz w:val="20"/>
                <w:szCs w:val="20"/>
                <w:color w:val="auto"/>
              </w:rPr>
            </w:pPr>
            <w:r>
              <w:rPr>
                <w:rFonts w:ascii="Arial" w:cs="Arial" w:eastAsia="Arial" w:hAnsi="Arial"/>
                <w:sz w:val="18"/>
                <w:szCs w:val="18"/>
                <w:color w:val="auto"/>
                <w:w w:val="97"/>
              </w:rPr>
              <w:t>Form of Restricted Stock Unit Award Agreement</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10.6</w:t>
            </w:r>
          </w:p>
        </w:tc>
        <w:tc>
          <w:tcPr>
            <w:tcW w:w="4160" w:type="dxa"/>
            <w:vAlign w:val="bottom"/>
          </w:tcPr>
          <w:p>
            <w:pPr>
              <w:ind w:left="380"/>
              <w:spacing w:after="0"/>
              <w:rPr>
                <w:sz w:val="20"/>
                <w:szCs w:val="20"/>
                <w:color w:val="auto"/>
              </w:rPr>
            </w:pPr>
            <w:r>
              <w:rPr>
                <w:rFonts w:ascii="Arial" w:cs="Arial" w:eastAsia="Arial" w:hAnsi="Arial"/>
                <w:sz w:val="18"/>
                <w:szCs w:val="18"/>
                <w:color w:val="auto"/>
                <w:w w:val="86"/>
              </w:rPr>
              <w:t>Sale and Purchase Agreement, dated March 14, 2003,</w:t>
            </w:r>
          </w:p>
        </w:tc>
      </w:tr>
      <w:tr>
        <w:trPr>
          <w:trHeight w:val="216"/>
        </w:trPr>
        <w:tc>
          <w:tcPr>
            <w:tcW w:w="68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w w:val="91"/>
              </w:rPr>
              <w:t>between F. Hoffmann-La Roche Limited, Hoffmann-</w:t>
            </w:r>
          </w:p>
        </w:tc>
      </w:tr>
      <w:tr>
        <w:trPr>
          <w:trHeight w:val="222"/>
        </w:trPr>
        <w:tc>
          <w:tcPr>
            <w:tcW w:w="680" w:type="dxa"/>
            <w:vAlign w:val="bottom"/>
          </w:tcPr>
          <w:p>
            <w:pPr>
              <w:spacing w:after="0"/>
              <w:rPr>
                <w:sz w:val="19"/>
                <w:szCs w:val="19"/>
                <w:color w:val="auto"/>
              </w:rPr>
            </w:pPr>
          </w:p>
        </w:tc>
        <w:tc>
          <w:tcPr>
            <w:tcW w:w="4160" w:type="dxa"/>
            <w:vAlign w:val="bottom"/>
          </w:tcPr>
          <w:p>
            <w:pPr>
              <w:ind w:left="380"/>
              <w:spacing w:after="0"/>
              <w:rPr>
                <w:sz w:val="20"/>
                <w:szCs w:val="20"/>
                <w:color w:val="auto"/>
              </w:rPr>
            </w:pPr>
            <w:r>
              <w:rPr>
                <w:rFonts w:ascii="Arial" w:cs="Arial" w:eastAsia="Arial" w:hAnsi="Arial"/>
                <w:sz w:val="18"/>
                <w:szCs w:val="18"/>
                <w:color w:val="auto"/>
              </w:rPr>
              <w:t>La Roche Inc., and the Company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Current Report on Form 8-K dated</w:t>
      </w:r>
      <w:r>
        <w:rPr>
          <w:sz w:val="20"/>
          <w:szCs w:val="20"/>
          <w:color w:val="auto"/>
        </w:rPr>
        <w:tab/>
      </w:r>
      <w:r>
        <w:rPr>
          <w:rFonts w:ascii="Arial" w:cs="Arial" w:eastAsia="Arial" w:hAnsi="Arial"/>
          <w:sz w:val="15"/>
          <w:szCs w:val="15"/>
          <w:color w:val="auto"/>
        </w:rPr>
        <w:t>January 10,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9, 2012 as Exhibit 4.1</w:t>
      </w:r>
    </w:p>
    <w:p>
      <w:pPr>
        <w:spacing w:after="0" w:line="327"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Annual Report on Form 20-F for the</w:t>
      </w:r>
      <w:r>
        <w:rPr>
          <w:sz w:val="20"/>
          <w:szCs w:val="20"/>
          <w:color w:val="auto"/>
        </w:rPr>
        <w:tab/>
      </w:r>
      <w:r>
        <w:rPr>
          <w:rFonts w:ascii="Arial" w:cs="Arial" w:eastAsia="Arial" w:hAnsi="Arial"/>
          <w:sz w:val="16"/>
          <w:szCs w:val="16"/>
          <w:color w:val="auto"/>
        </w:rPr>
        <w:t>April 24,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21, 2002,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2.4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Annual Report on Form 20-F for the</w:t>
      </w:r>
      <w:r>
        <w:rPr>
          <w:sz w:val="20"/>
          <w:szCs w:val="20"/>
          <w:color w:val="auto"/>
        </w:rPr>
        <w:tab/>
      </w:r>
      <w:r>
        <w:rPr>
          <w:rFonts w:ascii="Arial" w:cs="Arial" w:eastAsia="Arial" w:hAnsi="Arial"/>
          <w:sz w:val="16"/>
          <w:szCs w:val="16"/>
          <w:color w:val="auto"/>
        </w:rPr>
        <w:t>March 5,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2006,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4.17</w:t>
      </w:r>
    </w:p>
    <w:p>
      <w:pPr>
        <w:spacing w:after="0" w:line="124"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Quarterly Report on Form 10-Q for</w:t>
      </w:r>
      <w:r>
        <w:rPr>
          <w:sz w:val="20"/>
          <w:szCs w:val="20"/>
          <w:color w:val="auto"/>
        </w:rPr>
        <w:tab/>
      </w:r>
      <w:r>
        <w:rPr>
          <w:rFonts w:ascii="Arial" w:cs="Arial" w:eastAsia="Arial" w:hAnsi="Arial"/>
          <w:sz w:val="16"/>
          <w:szCs w:val="16"/>
          <w:color w:val="auto"/>
        </w:rPr>
        <w:t>August 8,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period ended June 30, 2011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Annual Report on Form 20-F for the</w:t>
      </w:r>
      <w:r>
        <w:rPr>
          <w:sz w:val="20"/>
          <w:szCs w:val="20"/>
          <w:color w:val="auto"/>
        </w:rPr>
        <w:tab/>
      </w:r>
      <w:r>
        <w:rPr>
          <w:rFonts w:ascii="Arial" w:cs="Arial" w:eastAsia="Arial" w:hAnsi="Arial"/>
          <w:sz w:val="16"/>
          <w:szCs w:val="16"/>
          <w:color w:val="auto"/>
        </w:rPr>
        <w:t>April 24,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21, 2002,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4.22</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4840" w:space="460"/>
            <w:col w:w="5580"/>
          </w:cols>
          <w:pgMar w:left="240" w:top="459" w:right="7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Share Purchase Agreement, dated October 8, 2004</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between the Company, Vida Capital Partners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 Vendors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Agreement, dated January 18, 2007, between Neurostat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Pharmaceuticals Inc., Amarin Pharmaceuticals Ireland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Limited, the Company and Mr. Tim Lynch</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9"/>
              </w:rPr>
              <w:t>Lease Agreement, dated January 22, 2007, between the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Company, Amarin Pharmaceuticals Ireland Limited and</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Mr. David Colgan, Mr. Philip Monaghan, Mr. Finian</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McDonnell and Mr. Patrick Ryan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Development and License Agreement dated March 6,</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2007 between Amarin Pharmaceuticals Ireland Limited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and Elan Pharma International Limited †</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Form of Purchase Agreement, dated June 1, 2007,</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between the Company and the Purchasers named therein</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Form of Equity Securities Purchase Agreement for U.S.</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Form of Equity Securities Purchase Agreement for Non-</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U.S. 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6"/>
              </w:rPr>
              <w:t>Form of Debt Securities Purchase Agreement, dated</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December 4, 2007, between the Company and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Stock Purchase Agreement, dated December 5, 2007,</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between the Company, the selling shareholders of Ester</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Neurosciences Limited, Ester Neurosciences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Medica II Management L.P.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dated December 6, 2007, between the</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Company and the Sellers’ Representative of the selling</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shareholders of Ester Neurosciences Limited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20, 2004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333-121431, as Exhibit 4.24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2007,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4.62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2006,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2007,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2007,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Report of Foreign Private Issuer filed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on Form 6-K, as 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Report of Foreign Private Issuer filed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on Form 6-K, as 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Report of Foreign Private Issuer filed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on Form 6-K, as Exhibit 99.7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Report of Foreign Private Issuer filed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January 28,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on Form 6-K,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Report of Foreign Private Issuer filed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9"/>
              </w:rPr>
              <w:t>February 1,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on Form 6-K,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-6078220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20" w:space="260"/>
            <w:col w:w="5580"/>
          </w:cols>
          <w:pgMar w:left="240" w:top="459" w:right="7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2660" w:val="left"/>
        </w:tabs>
        <w:rPr>
          <w:sz w:val="20"/>
          <w:szCs w:val="20"/>
          <w:color w:val="auto"/>
        </w:rPr>
      </w:pPr>
      <w:r>
        <w:rPr>
          <w:rFonts w:ascii="Arial" w:cs="Arial" w:eastAsia="Arial" w:hAnsi="Arial"/>
          <w:sz w:val="12"/>
          <w:szCs w:val="12"/>
          <w:b w:val="1"/>
          <w:bCs w:val="1"/>
          <w:u w:val="single" w:color="auto"/>
          <w:color w:val="auto"/>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-633730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0</wp:posOffset>
            </wp:positionV>
            <wp:extent cx="13379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tabs>
          <w:tab w:leader="none" w:pos="3180" w:val="left"/>
        </w:tabs>
        <w:rPr>
          <w:sz w:val="20"/>
          <w:szCs w:val="20"/>
          <w:color w:val="auto"/>
        </w:rPr>
      </w:pPr>
      <w:r>
        <w:rPr>
          <w:rFonts w:ascii="Arial" w:cs="Arial" w:eastAsia="Arial" w:hAnsi="Arial"/>
          <w:sz w:val="11"/>
          <w:szCs w:val="11"/>
          <w:b w:val="1"/>
          <w:bCs w:val="1"/>
          <w:u w:val="single" w:color="auto"/>
          <w:color w:val="auto"/>
        </w:rPr>
        <w:t>Form</w:t>
      </w:r>
      <w:r>
        <w:rPr>
          <w:sz w:val="20"/>
          <w:szCs w:val="20"/>
          <w:color w:val="auto"/>
        </w:rPr>
        <w:tab/>
      </w:r>
      <w:r>
        <w:rPr>
          <w:rFonts w:ascii="Arial" w:cs="Arial" w:eastAsia="Arial" w:hAnsi="Arial"/>
          <w:sz w:val="11"/>
          <w:szCs w:val="11"/>
          <w:b w:val="1"/>
          <w:bCs w:val="1"/>
          <w:u w:val="single" w:color="auto"/>
          <w:color w:val="auto"/>
        </w:rPr>
        <w:t>Date</w:t>
      </w:r>
    </w:p>
    <w:p>
      <w:pPr>
        <w:spacing w:after="0" w:line="136" w:lineRule="exact"/>
        <w:rPr>
          <w:sz w:val="20"/>
          <w:szCs w:val="20"/>
          <w:color w:val="auto"/>
        </w:rPr>
      </w:pPr>
    </w:p>
    <w:p>
      <w:pPr>
        <w:sectPr>
          <w:pgSz w:w="11900" w:h="16838" w:orient="portrait"/>
          <w:cols w:equalWidth="0" w:num="2">
            <w:col w:w="6400" w:space="720"/>
            <w:col w:w="3740"/>
          </w:cols>
          <w:pgMar w:left="240" w:top="459" w:right="799" w:bottom="1440" w:gutter="0" w:footer="0" w:header="0"/>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10.17</w:t>
            </w: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Amendment No. 1 to Stock Purchase Agreement, dated</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April 7, 2008, between the Company and Medica II</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Management L.P.</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10.18</w:t>
            </w:r>
          </w:p>
        </w:tc>
        <w:tc>
          <w:tcPr>
            <w:tcW w:w="4400" w:type="dxa"/>
            <w:vAlign w:val="bottom"/>
          </w:tcPr>
          <w:p>
            <w:pPr>
              <w:ind w:left="280"/>
              <w:spacing w:after="0"/>
              <w:rPr>
                <w:sz w:val="20"/>
                <w:szCs w:val="20"/>
                <w:color w:val="auto"/>
              </w:rPr>
            </w:pPr>
            <w:r>
              <w:rPr>
                <w:rFonts w:ascii="Arial" w:cs="Arial" w:eastAsia="Arial" w:hAnsi="Arial"/>
                <w:sz w:val="18"/>
                <w:szCs w:val="18"/>
                <w:color w:val="auto"/>
                <w:w w:val="95"/>
              </w:rPr>
              <w:t>Securities Purchase Agreement, dated May 12, 2008,</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among the Company and the Purchasers named therein</w:t>
            </w: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10.19</w:t>
            </w: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Form of Securities Purchase Agreement, dated May 13,</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0"/>
              </w:rPr>
              <w:t>2008, between the Company and the Purchasers named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therein †</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10.20</w:t>
            </w:r>
          </w:p>
        </w:tc>
        <w:tc>
          <w:tcPr>
            <w:tcW w:w="4400" w:type="dxa"/>
            <w:vAlign w:val="bottom"/>
          </w:tcPr>
          <w:p>
            <w:pPr>
              <w:ind w:left="280"/>
              <w:spacing w:after="0"/>
              <w:rPr>
                <w:sz w:val="20"/>
                <w:szCs w:val="20"/>
                <w:color w:val="auto"/>
              </w:rPr>
            </w:pPr>
            <w:r>
              <w:rPr>
                <w:rFonts w:ascii="Arial" w:cs="Arial" w:eastAsia="Arial" w:hAnsi="Arial"/>
                <w:sz w:val="18"/>
                <w:szCs w:val="18"/>
                <w:color w:val="auto"/>
                <w:w w:val="89"/>
              </w:rPr>
              <w:t>Amendment and Waiver Agreement, dated May 25, 2009,</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between Ester Neurosciences Limited, Medica II</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Management L.P. and the Company†</w:t>
            </w: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10.21</w:t>
            </w: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Termination and Assignment Agreement, dated July 21,</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6"/>
              </w:rPr>
              <w:t>2009 between Elan Pharma International Limited and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Amarin Pharmaceuticals Ireland Limited †</w:t>
            </w: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10.22</w:t>
            </w:r>
          </w:p>
        </w:tc>
        <w:tc>
          <w:tcPr>
            <w:tcW w:w="4400" w:type="dxa"/>
            <w:vAlign w:val="bottom"/>
          </w:tcPr>
          <w:p>
            <w:pPr>
              <w:ind w:left="280"/>
              <w:spacing w:after="0"/>
              <w:rPr>
                <w:sz w:val="20"/>
                <w:szCs w:val="20"/>
                <w:color w:val="auto"/>
              </w:rPr>
            </w:pPr>
            <w:r>
              <w:rPr>
                <w:rFonts w:ascii="Arial" w:cs="Arial" w:eastAsia="Arial" w:hAnsi="Arial"/>
                <w:sz w:val="18"/>
                <w:szCs w:val="18"/>
                <w:color w:val="auto"/>
                <w:w w:val="89"/>
              </w:rPr>
              <w:t>Bridge Loan Agreement, dated July 31, 2009 between the</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Company and the Lenders identified therein</w:t>
            </w:r>
          </w:p>
        </w:tc>
      </w:tr>
      <w:tr>
        <w:trPr>
          <w:trHeight w:val="547"/>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10.23</w:t>
            </w: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Master Services Agreement, dated September 29, 2009,</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7"/>
              </w:rPr>
              <w:t>between Medpace Inc. and Amarin Pharma, Inc. and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Amarin Pharmaceuticals Ireland Limited</w:t>
            </w:r>
          </w:p>
        </w:tc>
      </w:tr>
      <w:tr>
        <w:trPr>
          <w:trHeight w:val="338"/>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10.24</w:t>
            </w:r>
          </w:p>
        </w:tc>
        <w:tc>
          <w:tcPr>
            <w:tcW w:w="4400" w:type="dxa"/>
            <w:vAlign w:val="bottom"/>
          </w:tcPr>
          <w:p>
            <w:pPr>
              <w:ind w:left="280"/>
              <w:spacing w:after="0"/>
              <w:rPr>
                <w:sz w:val="20"/>
                <w:szCs w:val="20"/>
                <w:color w:val="auto"/>
              </w:rPr>
            </w:pPr>
            <w:r>
              <w:rPr>
                <w:rFonts w:ascii="Arial" w:cs="Arial" w:eastAsia="Arial" w:hAnsi="Arial"/>
                <w:sz w:val="18"/>
                <w:szCs w:val="18"/>
                <w:color w:val="auto"/>
                <w:w w:val="89"/>
              </w:rPr>
              <w:t>Letter Agreement dated August 1, 2008 with Paresh Somi</w:t>
            </w:r>
          </w:p>
        </w:tc>
      </w:tr>
      <w:tr>
        <w:trPr>
          <w:trHeight w:val="763"/>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10.25</w:t>
            </w:r>
          </w:p>
        </w:tc>
        <w:tc>
          <w:tcPr>
            <w:tcW w:w="4400" w:type="dxa"/>
            <w:vAlign w:val="bottom"/>
          </w:tcPr>
          <w:p>
            <w:pPr>
              <w:ind w:left="280"/>
              <w:spacing w:after="0"/>
              <w:rPr>
                <w:sz w:val="20"/>
                <w:szCs w:val="20"/>
                <w:color w:val="auto"/>
              </w:rPr>
            </w:pPr>
            <w:r>
              <w:rPr>
                <w:rFonts w:ascii="Arial" w:cs="Arial" w:eastAsia="Arial" w:hAnsi="Arial"/>
                <w:sz w:val="18"/>
                <w:szCs w:val="18"/>
                <w:color w:val="auto"/>
                <w:w w:val="98"/>
              </w:rPr>
              <w:t>Amendment No. 1 to Bridge Loan Agreement, dated</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8"/>
              </w:rPr>
              <w:t>September 30, 2009, between the Company and the</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Lenders identified therein</w:t>
            </w: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10.26</w:t>
            </w:r>
          </w:p>
        </w:tc>
        <w:tc>
          <w:tcPr>
            <w:tcW w:w="4400" w:type="dxa"/>
            <w:vAlign w:val="bottom"/>
          </w:tcPr>
          <w:p>
            <w:pPr>
              <w:ind w:left="280"/>
              <w:spacing w:after="0"/>
              <w:rPr>
                <w:sz w:val="20"/>
                <w:szCs w:val="20"/>
                <w:color w:val="auto"/>
              </w:rPr>
            </w:pPr>
            <w:r>
              <w:rPr>
                <w:rFonts w:ascii="Arial" w:cs="Arial" w:eastAsia="Arial" w:hAnsi="Arial"/>
                <w:sz w:val="18"/>
                <w:szCs w:val="18"/>
                <w:color w:val="auto"/>
                <w:w w:val="87"/>
              </w:rPr>
              <w:t>Form of Securities Purchase Agreement dated October 12,</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2009 between the Company and the Purchasers named</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therein</w:t>
            </w:r>
          </w:p>
        </w:tc>
      </w:tr>
      <w:tr>
        <w:trPr>
          <w:trHeight w:val="331"/>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10.27</w:t>
            </w:r>
          </w:p>
        </w:tc>
        <w:tc>
          <w:tcPr>
            <w:tcW w:w="4400" w:type="dxa"/>
            <w:vAlign w:val="bottom"/>
          </w:tcPr>
          <w:p>
            <w:pPr>
              <w:ind w:left="280"/>
              <w:spacing w:after="0"/>
              <w:rPr>
                <w:sz w:val="20"/>
                <w:szCs w:val="20"/>
                <w:color w:val="auto"/>
              </w:rPr>
            </w:pPr>
            <w:r>
              <w:rPr>
                <w:rFonts w:ascii="Arial" w:cs="Arial" w:eastAsia="Arial" w:hAnsi="Arial"/>
                <w:sz w:val="18"/>
                <w:szCs w:val="18"/>
                <w:color w:val="auto"/>
                <w:w w:val="89"/>
              </w:rPr>
              <w:t>Letter Agreement dated October 12, 2009 with Dr. Declan</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Doogan</w:t>
            </w:r>
          </w:p>
        </w:tc>
      </w:tr>
      <w:tr>
        <w:trPr>
          <w:trHeight w:val="547"/>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10.28</w:t>
            </w:r>
          </w:p>
        </w:tc>
        <w:tc>
          <w:tcPr>
            <w:tcW w:w="4400" w:type="dxa"/>
            <w:vAlign w:val="bottom"/>
          </w:tcPr>
          <w:p>
            <w:pPr>
              <w:ind w:left="280"/>
              <w:spacing w:after="0"/>
              <w:rPr>
                <w:sz w:val="20"/>
                <w:szCs w:val="20"/>
                <w:color w:val="auto"/>
              </w:rPr>
            </w:pPr>
            <w:r>
              <w:rPr>
                <w:rFonts w:ascii="Arial" w:cs="Arial" w:eastAsia="Arial" w:hAnsi="Arial"/>
                <w:sz w:val="18"/>
                <w:szCs w:val="18"/>
                <w:color w:val="auto"/>
                <w:w w:val="90"/>
              </w:rPr>
              <w:t>Letter Agreement dated October 12, 2009 with Joseph S.</w:t>
            </w:r>
          </w:p>
        </w:tc>
      </w:tr>
      <w:tr>
        <w:trPr>
          <w:trHeight w:val="222"/>
        </w:trPr>
        <w:tc>
          <w:tcPr>
            <w:tcW w:w="680" w:type="dxa"/>
            <w:vAlign w:val="bottom"/>
          </w:tcPr>
          <w:p>
            <w:pPr>
              <w:spacing w:after="0"/>
              <w:rPr>
                <w:sz w:val="19"/>
                <w:szCs w:val="19"/>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Zakrzewski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Annual Report on Form 20-F for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year ended December 31, 2007, as Exhibit 4.79</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20-F for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year ended December 31, 2008, as Exhibit 4.80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20-F for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year ended December 31, 2007, as Exhibit 4.81</w:t>
      </w:r>
    </w:p>
    <w:p>
      <w:pPr>
        <w:spacing w:after="0" w:line="361"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Annual Report on Form 20-F/A for the year ended December 31, 2008, as Exhibit 4.88</w:t>
      </w:r>
    </w:p>
    <w:p>
      <w:pPr>
        <w:spacing w:after="0" w:line="100"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Annual Report on Form 20-F for the year ended December 31, 2008, as Exhibit 4.90</w:t>
      </w:r>
    </w:p>
    <w:p>
      <w:pPr>
        <w:spacing w:after="0" w:line="100"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Annual Report on Form 20-F for the year ended December 31, 2008, as Exhibit 4.93</w:t>
      </w:r>
    </w:p>
    <w:p>
      <w:pPr>
        <w:spacing w:after="0" w:line="100"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Annual Report on Form 20-F for the year ended December 31, 2008, as Exhibit 4.92</w:t>
      </w:r>
    </w:p>
    <w:p>
      <w:pPr>
        <w:spacing w:after="0" w:line="100" w:lineRule="exact"/>
        <w:rPr>
          <w:sz w:val="20"/>
          <w:szCs w:val="20"/>
          <w:color w:val="auto"/>
        </w:rPr>
      </w:pPr>
    </w:p>
    <w:p>
      <w:pPr>
        <w:ind w:right="880"/>
        <w:spacing w:after="0" w:line="259" w:lineRule="auto"/>
        <w:rPr>
          <w:sz w:val="20"/>
          <w:szCs w:val="20"/>
          <w:color w:val="auto"/>
        </w:rPr>
      </w:pPr>
      <w:r>
        <w:rPr>
          <w:rFonts w:ascii="Arial" w:cs="Arial" w:eastAsia="Arial" w:hAnsi="Arial"/>
          <w:sz w:val="18"/>
          <w:szCs w:val="18"/>
          <w:color w:val="auto"/>
        </w:rPr>
        <w:t>Annual Report on Form 10-K for the year ended December 31, 2010, as Exhibit 10.20</w:t>
      </w:r>
    </w:p>
    <w:p>
      <w:pPr>
        <w:spacing w:after="0" w:line="100" w:lineRule="exact"/>
        <w:rPr>
          <w:sz w:val="20"/>
          <w:szCs w:val="20"/>
          <w:color w:val="auto"/>
        </w:rPr>
      </w:pPr>
    </w:p>
    <w:p>
      <w:pPr>
        <w:ind w:right="880"/>
        <w:spacing w:after="0" w:line="259" w:lineRule="auto"/>
        <w:rPr>
          <w:sz w:val="20"/>
          <w:szCs w:val="20"/>
          <w:color w:val="auto"/>
        </w:rPr>
      </w:pPr>
      <w:r>
        <w:rPr>
          <w:rFonts w:ascii="Arial" w:cs="Arial" w:eastAsia="Arial" w:hAnsi="Arial"/>
          <w:sz w:val="18"/>
          <w:szCs w:val="18"/>
          <w:color w:val="auto"/>
        </w:rPr>
        <w:t>Annual Report on Form 10-K for the year ended December 31, 2010, as Exhibit 10.21</w:t>
      </w:r>
    </w:p>
    <w:p>
      <w:pPr>
        <w:spacing w:after="0" w:line="100"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Annual Report on Form 20-F for the year ended December 31, 2008, as Exhibit 4.94</w:t>
      </w:r>
    </w:p>
    <w:p>
      <w:pPr>
        <w:spacing w:after="0" w:line="100"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Registration Statement on Form F-1, File No. 333-163704, as Exhibit 4.101</w:t>
      </w:r>
    </w:p>
    <w:p>
      <w:pPr>
        <w:spacing w:after="0" w:line="100"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Registration Statement on Form F-1, File No. 333-163704, as Exhibit 4.102</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19,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May 19,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December 4, 2009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October 22, 2009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December 14, 2009</w:t>
      </w:r>
    </w:p>
    <w:p>
      <w:pPr>
        <w:sectPr>
          <w:pgSz w:w="11900" w:h="16838" w:orient="portrait"/>
          <w:cols w:equalWidth="0" w:num="3">
            <w:col w:w="5080" w:space="200"/>
            <w:col w:w="3480" w:space="720"/>
            <w:col w:w="1380"/>
          </w:cols>
          <w:pgMar w:left="240" w:top="459" w:right="7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6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Amendment Agreement dated October 12, 2009, to the</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5"/>
              </w:rPr>
              <w:t>Form of Equity Securities Purchase Agreement dated</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May 13, 2008 between the Company and the Purchasers</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Compromise Agreement, dated October 16, 2009,</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Alan Cooke</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7"/>
              </w:rPr>
              <w:t>Warrant Agreement, dated October 16, 2009, between the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Company and Thomas G. Lynch</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dated October 16, 2009 with Thomas</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G. Lynch</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Management Rights Deed of Agreement dated October</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16, 2009 by and among the Company and Purchasers</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Employment Agreement dated November 5, 2009 with</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John F. Thero</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7"/>
              </w:rPr>
              <w:t>Amendment No. 1, dated December 2, 2009, to Securities</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7"/>
              </w:rPr>
              <w:t>Purchase Agreement dated October 12, 2009 between the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Letter Agreement, dated December 2, 2009, among the</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Company, Sunninghill Limited, Michael Walsh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Simon Kukes</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December 9, 2009 with Thomas</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G. Lynch, Alan Cooke and Tom Maher</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Compromise Agreement dated December 10, 2009 with</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Tom Maher</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Transitional Employment Agreement, dated August 10,</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2010, between the Company and Declan Doogan</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dated August 16, 2010, between the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Company and Colin Stewart</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Supply Agreement, dated November 1, 2010, between</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Nisshin Pharma Inc. and Amarin Pharmaceuticals Ireland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Limited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2008,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2008,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2008,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File No. 333-163704,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June 25, 2010</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2009,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4.100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File No. 333-163704,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File No. 333-163704,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10.35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File No. 333-163704,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4.106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Report of Foreign Private Issuer filed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on Form 6-K, as Exhibit 99.3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10.38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10.39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840" w:type="dxa"/>
            <w:vAlign w:val="bottom"/>
          </w:tcPr>
          <w:p>
            <w:pPr>
              <w:ind w:left="34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-7321550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40" w:space="240"/>
            <w:col w:w="5580"/>
          </w:cols>
          <w:pgMar w:left="240" w:top="459" w:right="7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Resignation and Release Agreement, dated November 9,</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2010, between the Company and Colin Stewart</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Letter Agreement, dated November 15, 2010, between the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and John F. Thero</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Employment Agreement, effective December 31, 2010,</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Joseph S. Zakrzewski</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Amarin Corporation plc Management Incentive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Compensation Plan</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Consulting Agreement, dated November 10, 2010,</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Joseph S. Zakrzewski</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March 1, 2010 with Frederick W.</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Ahlholm</w:t>
            </w:r>
          </w:p>
        </w:tc>
      </w:tr>
      <w:tr>
        <w:trPr>
          <w:trHeight w:val="554"/>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January 28, 2011 with Paul Huff</w:t>
            </w:r>
          </w:p>
        </w:tc>
      </w:tr>
      <w:tr>
        <w:trPr>
          <w:trHeight w:val="763"/>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9"/>
              </w:rPr>
              <w:t>Amendment to API Commercial Supply Agreement,</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dated October 19, 2011,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Ireland Ltd. and Equateq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8"/>
              </w:rPr>
              <w:t>Irrevocable License Agreement dated as of April 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2011, as amended by the First Amendment to Irrevocable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License Agreement dated as of May 9, 2011, each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Amarin Pharmaceuticals Ireland Ltd. and Bedminster 2</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Amended and Restated Employment Agreement with Joe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Zakrzewski, dated October 20, 2011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5"/>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5"/>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5"/>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5"/>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5"/>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5"/>
              </w:rPr>
              <w:t>March 16,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year ended December 31, 2010,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10.46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May 10,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the period ended March 31, 2011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9"/>
              </w:rPr>
              <w:t>August 8,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the period ended June 30, 2011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9"/>
              </w:rPr>
              <w:t>August 8,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the period ended June 30, 2011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99"/>
              </w:rPr>
              <w:t>August 8,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the period ended June 30, 2011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w w:val="86"/>
              </w:rPr>
              <w:t>October 20,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October 20, 2011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840" w:type="dxa"/>
            <w:vAlign w:val="bottom"/>
          </w:tcPr>
          <w:p>
            <w:pPr>
              <w:ind w:left="34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-6961505</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420"/>
          </w:cols>
          <w:pgMar w:left="240" w:top="459" w:right="9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20" w:type="dxa"/>
            <w:vAlign w:val="bottom"/>
          </w:tcPr>
          <w:p>
            <w:pPr>
              <w:spacing w:after="0"/>
              <w:rPr>
                <w:sz w:val="14"/>
                <w:szCs w:val="14"/>
                <w:color w:val="auto"/>
              </w:rPr>
            </w:pPr>
          </w:p>
        </w:tc>
      </w:tr>
      <w:tr>
        <w:trPr>
          <w:trHeight w:val="329"/>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Stuart Sedlack offer letter, dated August 1, 2007.</w:t>
            </w:r>
          </w:p>
        </w:tc>
      </w:tr>
      <w:tr>
        <w:trPr>
          <w:trHeight w:val="763"/>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Online Office Agreement dated as of September 30, 2011</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by Amarin Corporation plc and Regus CME Ireland Ltd.</w:t>
            </w:r>
          </w:p>
        </w:tc>
      </w:tr>
      <w:tr>
        <w:trPr>
          <w:trHeight w:val="547"/>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7"/>
              </w:rPr>
              <w:t>Letter Agreement with Joseph Kennedy, dated December</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13, 2011</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Letter Agreement with Stuart Sedlack, dated December</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23, 2011</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with John Thero,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3"/>
              </w:rPr>
              <w:t>Letter Agreement with Paul Huff,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with Paresh Soni,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10.61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7"/>
              </w:rPr>
              <w:t>Lease Agreement dated November 28, 2011, by the</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5"/>
              </w:rPr>
              <w:t>Company, 534 East Middle Turnpike, LLC, Peter Jay</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Alter, as Trustee of the Leon C. Lech Irrevocable Trust</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under Declaration of Trust dated October 14, 1980 and</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Ferndale Realty,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10.62</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with Steve Ketchum, dated February 8,</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2012</w:t>
            </w: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14.1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Code of Ethics</w:t>
            </w:r>
          </w:p>
        </w:tc>
      </w:tr>
      <w:tr>
        <w:trPr>
          <w:trHeight w:val="55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List of Subsidiaries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Consent of Independent Registered Public Accounting</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Firm</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Certification of Chief Executive Officer (Principal</w:t>
            </w:r>
          </w:p>
        </w:tc>
      </w:tr>
      <w:tr>
        <w:trPr>
          <w:trHeight w:val="216"/>
        </w:trPr>
        <w:tc>
          <w:tcPr>
            <w:tcW w:w="50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0"/>
              </w:rPr>
              <w:t>Executive Officer) pursuant to Section 302 of Sarbanes-</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6"/>
              </w:rPr>
              <w:t>Certification of President (Principal Financial Officer)</w:t>
            </w:r>
          </w:p>
        </w:tc>
      </w:tr>
      <w:tr>
        <w:trPr>
          <w:trHeight w:val="222"/>
        </w:trPr>
        <w:tc>
          <w:tcPr>
            <w:tcW w:w="50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1"/>
              </w:rPr>
              <w:t>pursuant to Section 302 of Sarbanes-Oxley Act 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November 8,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the period ended September 30, 2011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November 8,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the period ended September 30, 2011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23, 2011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23, 2011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23, 2011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23, 2011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December 23, 2011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-3685540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Current Report on Form 8-K dated</w:t>
      </w:r>
      <w:r>
        <w:rPr>
          <w:sz w:val="20"/>
          <w:szCs w:val="20"/>
          <w:color w:val="auto"/>
        </w:rPr>
        <w:tab/>
      </w:r>
      <w:r>
        <w:rPr>
          <w:rFonts w:ascii="Arial" w:cs="Arial" w:eastAsia="Arial" w:hAnsi="Arial"/>
          <w:sz w:val="15"/>
          <w:szCs w:val="15"/>
          <w:color w:val="auto"/>
        </w:rPr>
        <w:t>February 16,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 as Exhibit 10.1</w:t>
      </w:r>
    </w:p>
    <w:p>
      <w:pPr>
        <w:spacing w:after="0" w:line="124"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Registration Statement on Form F-3,</w:t>
      </w:r>
      <w:r>
        <w:rPr>
          <w:sz w:val="20"/>
          <w:szCs w:val="20"/>
          <w:color w:val="auto"/>
        </w:rPr>
        <w:tab/>
      </w:r>
      <w:r>
        <w:rPr>
          <w:rFonts w:ascii="Arial" w:cs="Arial" w:eastAsia="Arial" w:hAnsi="Arial"/>
          <w:sz w:val="15"/>
          <w:szCs w:val="15"/>
          <w:color w:val="auto"/>
        </w:rPr>
        <w:t>November 10,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Exhibit 99.1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71</w:t>
      </w:r>
    </w:p>
    <w:p>
      <w:pPr>
        <w:sectPr>
          <w:pgSz w:w="11900" w:h="16838" w:orient="portrait"/>
          <w:cols w:equalWidth="0" w:num="2">
            <w:col w:w="5000" w:space="280"/>
            <w:col w:w="5600"/>
          </w:cols>
          <w:pgMar w:left="240" w:top="459" w:right="77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58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Executive Officer (Principal</w:t>
            </w:r>
          </w:p>
        </w:tc>
        <w:tc>
          <w:tcPr>
            <w:tcW w:w="1260" w:type="dxa"/>
            <w:vAlign w:val="bottom"/>
          </w:tcPr>
          <w:p>
            <w:pPr>
              <w:ind w:left="240"/>
              <w:spacing w:after="0"/>
              <w:rPr>
                <w:sz w:val="20"/>
                <w:szCs w:val="20"/>
                <w:color w:val="auto"/>
              </w:rPr>
            </w:pPr>
            <w:r>
              <w:rPr>
                <w:rFonts w:ascii="Arial" w:cs="Arial" w:eastAsia="Arial" w:hAnsi="Arial"/>
                <w:sz w:val="18"/>
                <w:szCs w:val="18"/>
                <w:color w:val="auto"/>
                <w:w w:val="89"/>
              </w:rPr>
              <w:t>Filed herewith</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580"/>
              <w:spacing w:after="0"/>
              <w:rPr>
                <w:sz w:val="20"/>
                <w:szCs w:val="20"/>
                <w:color w:val="auto"/>
              </w:rPr>
            </w:pPr>
            <w:r>
              <w:rPr>
                <w:rFonts w:ascii="Arial" w:cs="Arial" w:eastAsia="Arial" w:hAnsi="Arial"/>
                <w:sz w:val="18"/>
                <w:szCs w:val="18"/>
                <w:color w:val="auto"/>
                <w:w w:val="95"/>
              </w:rPr>
              <w:t>Executive Officer) and President (Principal Financial</w:t>
            </w:r>
          </w:p>
        </w:tc>
        <w:tc>
          <w:tcPr>
            <w:tcW w:w="12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580" w:type="dxa"/>
            <w:vAlign w:val="bottom"/>
            <w:gridSpan w:val="3"/>
          </w:tcPr>
          <w:p>
            <w:pPr>
              <w:ind w:left="580"/>
              <w:spacing w:after="0"/>
              <w:rPr>
                <w:sz w:val="20"/>
                <w:szCs w:val="20"/>
                <w:color w:val="auto"/>
              </w:rPr>
            </w:pPr>
            <w:r>
              <w:rPr>
                <w:rFonts w:ascii="Arial" w:cs="Arial" w:eastAsia="Arial" w:hAnsi="Arial"/>
                <w:sz w:val="18"/>
                <w:szCs w:val="18"/>
                <w:color w:val="auto"/>
                <w:w w:val="97"/>
              </w:rPr>
              <w:t>Officer) pursuant to Section 906 of Sarbanes-Oxley</w:t>
            </w:r>
          </w:p>
        </w:tc>
        <w:tc>
          <w:tcPr>
            <w:tcW w:w="12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580" w:type="dxa"/>
            <w:vAlign w:val="bottom"/>
            <w:gridSpan w:val="3"/>
          </w:tcPr>
          <w:p>
            <w:pPr>
              <w:ind w:left="580"/>
              <w:spacing w:after="0"/>
              <w:rPr>
                <w:sz w:val="20"/>
                <w:szCs w:val="20"/>
                <w:color w:val="auto"/>
              </w:rPr>
            </w:pPr>
            <w:r>
              <w:rPr>
                <w:rFonts w:ascii="Arial" w:cs="Arial" w:eastAsia="Arial" w:hAnsi="Arial"/>
                <w:sz w:val="18"/>
                <w:szCs w:val="18"/>
                <w:color w:val="auto"/>
              </w:rPr>
              <w:t>Act of 2002</w:t>
            </w:r>
          </w:p>
        </w:tc>
        <w:tc>
          <w:tcPr>
            <w:tcW w:w="126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580" w:type="dxa"/>
            <w:vAlign w:val="bottom"/>
            <w:gridSpan w:val="3"/>
          </w:tcPr>
          <w:p>
            <w:pPr>
              <w:ind w:left="580"/>
              <w:spacing w:after="0"/>
              <w:rPr>
                <w:sz w:val="20"/>
                <w:szCs w:val="20"/>
                <w:color w:val="auto"/>
              </w:rPr>
            </w:pPr>
            <w:r>
              <w:rPr>
                <w:rFonts w:ascii="Arial" w:cs="Arial" w:eastAsia="Arial" w:hAnsi="Arial"/>
                <w:sz w:val="18"/>
                <w:szCs w:val="18"/>
                <w:color w:val="auto"/>
              </w:rPr>
              <w:t>INS XBRL Instance Document</w:t>
            </w:r>
          </w:p>
        </w:tc>
        <w:tc>
          <w:tcPr>
            <w:tcW w:w="126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580" w:type="dxa"/>
            <w:vAlign w:val="bottom"/>
            <w:gridSpan w:val="3"/>
          </w:tcPr>
          <w:p>
            <w:pPr>
              <w:ind w:left="580"/>
              <w:spacing w:after="0"/>
              <w:rPr>
                <w:sz w:val="20"/>
                <w:szCs w:val="20"/>
                <w:color w:val="auto"/>
              </w:rPr>
            </w:pPr>
            <w:r>
              <w:rPr>
                <w:rFonts w:ascii="Arial" w:cs="Arial" w:eastAsia="Arial" w:hAnsi="Arial"/>
                <w:sz w:val="18"/>
                <w:szCs w:val="18"/>
                <w:color w:val="auto"/>
                <w:w w:val="94"/>
              </w:rPr>
              <w:t>SCH XBRL Taxonomy Extension Schema Document</w:t>
            </w:r>
          </w:p>
        </w:tc>
        <w:tc>
          <w:tcPr>
            <w:tcW w:w="1260" w:type="dxa"/>
            <w:vAlign w:val="bottom"/>
          </w:tcPr>
          <w:p>
            <w:pPr>
              <w:spacing w:after="0"/>
              <w:rPr>
                <w:sz w:val="24"/>
                <w:szCs w:val="24"/>
                <w:color w:val="auto"/>
              </w:rPr>
            </w:pPr>
          </w:p>
        </w:tc>
      </w:tr>
    </w:tbl>
    <w:p>
      <w:pPr>
        <w:spacing w:after="0" w:line="102" w:lineRule="exact"/>
        <w:rPr>
          <w:sz w:val="20"/>
          <w:szCs w:val="20"/>
          <w:color w:val="auto"/>
        </w:rPr>
      </w:pPr>
    </w:p>
    <w:p>
      <w:pPr>
        <w:ind w:left="1080" w:right="2080" w:hanging="107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 XBRL Taxonomy Calculation Linkbase Document</w:t>
      </w:r>
    </w:p>
    <w:p>
      <w:pPr>
        <w:spacing w:after="0" w:line="78" w:lineRule="exact"/>
        <w:rPr>
          <w:sz w:val="20"/>
          <w:szCs w:val="20"/>
          <w:color w:val="auto"/>
        </w:rPr>
      </w:pPr>
    </w:p>
    <w:p>
      <w:pPr>
        <w:ind w:left="1080" w:right="1440" w:hanging="107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LAB XBRL Taxonomy Label Linkbase Document</w:t>
      </w:r>
    </w:p>
    <w:p>
      <w:pPr>
        <w:spacing w:after="0" w:line="117" w:lineRule="exact"/>
        <w:rPr>
          <w:sz w:val="20"/>
          <w:szCs w:val="20"/>
          <w:color w:val="auto"/>
        </w:rPr>
      </w:pPr>
    </w:p>
    <w:p>
      <w:pPr>
        <w:ind w:left="1080" w:right="2060" w:hanging="107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 XBRL Taxonomy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0</wp:posOffset>
            </wp:positionV>
            <wp:extent cx="13379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tabs>
          <w:tab w:leader="none" w:pos="3220" w:val="left"/>
        </w:tabs>
        <w:rPr>
          <w:sz w:val="20"/>
          <w:szCs w:val="20"/>
          <w:color w:val="auto"/>
        </w:rPr>
      </w:pPr>
      <w:r>
        <w:rPr>
          <w:rFonts w:ascii="Arial" w:cs="Arial" w:eastAsia="Arial" w:hAnsi="Arial"/>
          <w:sz w:val="12"/>
          <w:szCs w:val="12"/>
          <w:b w:val="1"/>
          <w:bCs w:val="1"/>
          <w:u w:val="single" w:color="auto"/>
          <w:color w:val="auto"/>
        </w:rPr>
        <w:t>Form</w:t>
      </w:r>
      <w:r>
        <w:rPr>
          <w:sz w:val="20"/>
          <w:szCs w:val="20"/>
          <w:color w:val="auto"/>
        </w:rPr>
        <w:tab/>
      </w:r>
      <w:r>
        <w:rPr>
          <w:rFonts w:ascii="Arial" w:cs="Arial" w:eastAsia="Arial" w:hAnsi="Arial"/>
          <w:sz w:val="12"/>
          <w:szCs w:val="12"/>
          <w:b w:val="1"/>
          <w:bCs w:val="1"/>
          <w:u w:val="single" w:color="auto"/>
          <w:color w:val="auto"/>
        </w:rPr>
        <w:t>Date</w:t>
      </w:r>
    </w:p>
    <w:p>
      <w:pPr>
        <w:spacing w:after="0" w:line="3729" w:lineRule="exact"/>
        <w:rPr>
          <w:sz w:val="20"/>
          <w:szCs w:val="20"/>
          <w:color w:val="auto"/>
        </w:rPr>
      </w:pPr>
    </w:p>
    <w:p>
      <w:pPr>
        <w:sectPr>
          <w:pgSz w:w="11900" w:h="16838" w:orient="portrait"/>
          <w:cols w:equalWidth="0" w:num="2">
            <w:col w:w="6360" w:space="720"/>
            <w:col w:w="4280"/>
          </w:cols>
          <w:pgMar w:left="240" w:top="459" w:right="299" w:bottom="1440" w:gutter="0" w:footer="0" w:header="0"/>
          <w:type w:val="continuous"/>
        </w:sectPr>
      </w:pPr>
    </w:p>
    <w:p>
      <w:pPr>
        <w:ind w:firstLine="8"/>
        <w:spacing w:after="0" w:line="259" w:lineRule="auto"/>
        <w:tabs>
          <w:tab w:leader="none" w:pos="1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8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0"/>
              </w:rPr>
              <w:t>Title</w:t>
            </w:r>
          </w:p>
        </w:tc>
        <w:tc>
          <w:tcPr>
            <w:tcW w:w="98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500" w:type="dxa"/>
            <w:vAlign w:val="bottom"/>
          </w:tcPr>
          <w:p>
            <w:pPr>
              <w:spacing w:after="0"/>
              <w:rPr>
                <w:sz w:val="24"/>
                <w:szCs w:val="24"/>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/s/</w:t>
            </w:r>
          </w:p>
        </w:tc>
        <w:tc>
          <w:tcPr>
            <w:tcW w:w="3120" w:type="dxa"/>
            <w:vAlign w:val="bottom"/>
            <w:gridSpan w:val="3"/>
            <w:vMerge w:val="restart"/>
          </w:tcPr>
          <w:p>
            <w:pPr>
              <w:jc w:val="center"/>
              <w:ind w:right="1920"/>
              <w:spacing w:after="0"/>
              <w:rPr>
                <w:sz w:val="20"/>
                <w:szCs w:val="20"/>
                <w:color w:val="auto"/>
              </w:rPr>
            </w:pPr>
            <w:r>
              <w:rPr>
                <w:rFonts w:ascii="Arial" w:cs="Arial" w:eastAsia="Arial" w:hAnsi="Arial"/>
                <w:sz w:val="18"/>
                <w:szCs w:val="18"/>
                <w:color w:val="auto"/>
                <w:w w:val="85"/>
              </w:rPr>
              <w:t>John F. Thero</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86"/>
              </w:rPr>
              <w:t>President</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vMerge w:val="continue"/>
          </w:tcPr>
          <w:p>
            <w:pPr>
              <w:spacing w:after="0"/>
              <w:rPr>
                <w:sz w:val="18"/>
                <w:szCs w:val="18"/>
                <w:color w:val="auto"/>
              </w:rPr>
            </w:pPr>
          </w:p>
        </w:tc>
        <w:tc>
          <w:tcPr>
            <w:tcW w:w="3120" w:type="dxa"/>
            <w:vAlign w:val="bottom"/>
            <w:tcBorders>
              <w:bottom w:val="single" w:sz="8" w:color="auto"/>
            </w:tcBorders>
            <w:gridSpan w:val="3"/>
            <w:vMerge w:val="continue"/>
          </w:tcPr>
          <w:p>
            <w:pPr>
              <w:spacing w:after="0"/>
              <w:rPr>
                <w:sz w:val="18"/>
                <w:szCs w:val="18"/>
                <w:color w:val="auto"/>
              </w:rPr>
            </w:pPr>
          </w:p>
        </w:tc>
        <w:tc>
          <w:tcPr>
            <w:tcW w:w="422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(Principal Financial and Accounting Officer)</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5"/>
              </w:rPr>
              <w:t>John F. Thero</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500" w:type="dxa"/>
            <w:vAlign w:val="bottom"/>
          </w:tcPr>
          <w:p>
            <w:pPr>
              <w:spacing w:after="0"/>
              <w:rPr>
                <w:sz w:val="24"/>
                <w:szCs w:val="24"/>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/s/</w:t>
            </w:r>
          </w:p>
        </w:tc>
        <w:tc>
          <w:tcPr>
            <w:tcW w:w="3300" w:type="dxa"/>
            <w:vAlign w:val="bottom"/>
            <w:gridSpan w:val="4"/>
            <w:vMerge w:val="restart"/>
          </w:tcPr>
          <w:p>
            <w:pPr>
              <w:jc w:val="center"/>
              <w:ind w:right="1760"/>
              <w:spacing w:after="0"/>
              <w:rPr>
                <w:sz w:val="20"/>
                <w:szCs w:val="20"/>
                <w:color w:val="auto"/>
              </w:rPr>
            </w:pPr>
            <w:r>
              <w:rPr>
                <w:rFonts w:ascii="Arial" w:cs="Arial" w:eastAsia="Arial" w:hAnsi="Arial"/>
                <w:sz w:val="18"/>
                <w:szCs w:val="18"/>
                <w:color w:val="auto"/>
                <w:w w:val="87"/>
              </w:rPr>
              <w:t>Joseph Zakrzewski</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Chief Executive Officer and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3300" w:type="dxa"/>
            <w:vAlign w:val="bottom"/>
            <w:tcBorders>
              <w:bottom w:val="single" w:sz="8" w:color="auto"/>
            </w:tcBorders>
            <w:gridSpan w:val="4"/>
            <w:vMerge w:val="continue"/>
          </w:tcPr>
          <w:p>
            <w:pPr>
              <w:spacing w:after="0"/>
              <w:rPr>
                <w:sz w:val="18"/>
                <w:szCs w:val="18"/>
                <w:color w:val="auto"/>
              </w:rPr>
            </w:pP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 (Principal Executive Officer)</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4"/>
          </w:tcPr>
          <w:p>
            <w:pPr>
              <w:jc w:val="center"/>
              <w:ind w:right="1740"/>
              <w:spacing w:after="0"/>
              <w:rPr>
                <w:sz w:val="20"/>
                <w:szCs w:val="20"/>
                <w:color w:val="auto"/>
              </w:rPr>
            </w:pPr>
            <w:r>
              <w:rPr>
                <w:rFonts w:ascii="Arial" w:cs="Arial" w:eastAsia="Arial" w:hAnsi="Arial"/>
                <w:sz w:val="18"/>
                <w:szCs w:val="18"/>
                <w:color w:val="auto"/>
                <w:w w:val="88"/>
              </w:rPr>
              <w:t>Joseph Zakrzewski</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vMerge w:val="restart"/>
          </w:tcPr>
          <w:p>
            <w:pPr>
              <w:ind w:left="1320"/>
              <w:spacing w:after="0"/>
              <w:rPr>
                <w:sz w:val="20"/>
                <w:szCs w:val="20"/>
                <w:color w:val="auto"/>
              </w:rPr>
            </w:pPr>
            <w:r>
              <w:rPr>
                <w:rFonts w:ascii="Arial" w:cs="Arial" w:eastAsia="Arial" w:hAnsi="Arial"/>
                <w:sz w:val="18"/>
                <w:szCs w:val="18"/>
                <w:color w:val="auto"/>
                <w:w w:val="83"/>
              </w:rPr>
              <w:t>/s/</w:t>
            </w:r>
          </w:p>
        </w:tc>
        <w:tc>
          <w:tcPr>
            <w:tcW w:w="3540" w:type="dxa"/>
            <w:vAlign w:val="bottom"/>
            <w:gridSpan w:val="5"/>
            <w:vMerge w:val="restart"/>
          </w:tcPr>
          <w:p>
            <w:pPr>
              <w:jc w:val="center"/>
              <w:ind w:right="1520"/>
              <w:spacing w:after="0"/>
              <w:rPr>
                <w:sz w:val="20"/>
                <w:szCs w:val="20"/>
                <w:color w:val="auto"/>
              </w:rPr>
            </w:pPr>
            <w:r>
              <w:rPr>
                <w:rFonts w:ascii="Arial" w:cs="Arial" w:eastAsia="Arial" w:hAnsi="Arial"/>
                <w:sz w:val="18"/>
                <w:szCs w:val="18"/>
                <w:color w:val="auto"/>
                <w:w w:val="87"/>
              </w:rPr>
              <w:t>Joseph Anderson, Ph.D.</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86"/>
              </w:rPr>
              <w:t>Joseph Anderson, Ph.D.</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3120" w:type="dxa"/>
            <w:vAlign w:val="bottom"/>
            <w:gridSpan w:val="3"/>
            <w:vMerge w:val="restart"/>
          </w:tcPr>
          <w:p>
            <w:pPr>
              <w:jc w:val="center"/>
              <w:ind w:right="1940"/>
              <w:spacing w:after="0"/>
              <w:rPr>
                <w:sz w:val="20"/>
                <w:szCs w:val="20"/>
                <w:color w:val="auto"/>
              </w:rPr>
            </w:pPr>
            <w:r>
              <w:rPr>
                <w:rFonts w:ascii="Arial" w:cs="Arial" w:eastAsia="Arial" w:hAnsi="Arial"/>
                <w:sz w:val="18"/>
                <w:szCs w:val="18"/>
                <w:color w:val="auto"/>
                <w:w w:val="89"/>
              </w:rPr>
              <w:t>Lars Ekman</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3120" w:type="dxa"/>
            <w:vAlign w:val="bottom"/>
            <w:tcBorders>
              <w:bottom w:val="single" w:sz="8" w:color="auto"/>
            </w:tcBorders>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Lars Ekman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vMerge w:val="restart"/>
          </w:tcPr>
          <w:p>
            <w:pPr>
              <w:ind w:left="1300"/>
              <w:spacing w:after="0"/>
              <w:rPr>
                <w:sz w:val="20"/>
                <w:szCs w:val="20"/>
                <w:color w:val="auto"/>
              </w:rPr>
            </w:pPr>
            <w:r>
              <w:rPr>
                <w:rFonts w:ascii="Arial" w:cs="Arial" w:eastAsia="Arial" w:hAnsi="Arial"/>
                <w:sz w:val="18"/>
                <w:szCs w:val="18"/>
                <w:color w:val="auto"/>
                <w:w w:val="94"/>
              </w:rPr>
              <w:t>/s/</w:t>
            </w:r>
          </w:p>
        </w:tc>
        <w:tc>
          <w:tcPr>
            <w:tcW w:w="3540" w:type="dxa"/>
            <w:vAlign w:val="bottom"/>
            <w:gridSpan w:val="5"/>
            <w:vMerge w:val="restart"/>
          </w:tcPr>
          <w:p>
            <w:pPr>
              <w:jc w:val="center"/>
              <w:ind w:right="1500"/>
              <w:spacing w:after="0"/>
              <w:rPr>
                <w:sz w:val="20"/>
                <w:szCs w:val="20"/>
                <w:color w:val="auto"/>
              </w:rPr>
            </w:pPr>
            <w:r>
              <w:rPr>
                <w:rFonts w:ascii="Arial" w:cs="Arial" w:eastAsia="Arial" w:hAnsi="Arial"/>
                <w:sz w:val="18"/>
                <w:szCs w:val="18"/>
                <w:color w:val="auto"/>
                <w:w w:val="90"/>
              </w:rPr>
              <w:t>Carl Gordon, Ph.D, CFA</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90"/>
              </w:rPr>
              <w:t>Carl Gordon, Ph.D, CFA</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vMerge w:val="restart"/>
          </w:tcPr>
          <w:p>
            <w:pPr>
              <w:ind w:left="1260"/>
              <w:spacing w:after="0"/>
              <w:rPr>
                <w:sz w:val="20"/>
                <w:szCs w:val="20"/>
                <w:color w:val="auto"/>
              </w:rPr>
            </w:pPr>
            <w:r>
              <w:rPr>
                <w:rFonts w:ascii="Arial" w:cs="Arial" w:eastAsia="Arial" w:hAnsi="Arial"/>
                <w:sz w:val="18"/>
                <w:szCs w:val="18"/>
                <w:color w:val="auto"/>
              </w:rPr>
              <w:t>/s/</w:t>
            </w:r>
          </w:p>
        </w:tc>
        <w:tc>
          <w:tcPr>
            <w:tcW w:w="3540" w:type="dxa"/>
            <w:vAlign w:val="bottom"/>
            <w:gridSpan w:val="5"/>
            <w:vMerge w:val="restart"/>
          </w:tcPr>
          <w:p>
            <w:pPr>
              <w:jc w:val="center"/>
              <w:ind w:right="1520"/>
              <w:spacing w:after="0"/>
              <w:rPr>
                <w:sz w:val="20"/>
                <w:szCs w:val="20"/>
                <w:color w:val="auto"/>
              </w:rPr>
            </w:pPr>
            <w:r>
              <w:rPr>
                <w:rFonts w:ascii="Arial" w:cs="Arial" w:eastAsia="Arial" w:hAnsi="Arial"/>
                <w:sz w:val="18"/>
                <w:szCs w:val="18"/>
                <w:color w:val="auto"/>
                <w:w w:val="87"/>
              </w:rPr>
              <w:t>James Healy, M.D., Ph.D.</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gridSpan w:val="5"/>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3540" w:type="dxa"/>
            <w:vAlign w:val="bottom"/>
            <w:gridSpan w:val="5"/>
          </w:tcPr>
          <w:p>
            <w:pPr>
              <w:jc w:val="center"/>
              <w:ind w:right="1500"/>
              <w:spacing w:after="0"/>
              <w:rPr>
                <w:sz w:val="20"/>
                <w:szCs w:val="20"/>
                <w:color w:val="auto"/>
              </w:rPr>
            </w:pPr>
            <w:r>
              <w:rPr>
                <w:rFonts w:ascii="Arial" w:cs="Arial" w:eastAsia="Arial" w:hAnsi="Arial"/>
                <w:sz w:val="18"/>
                <w:szCs w:val="18"/>
                <w:color w:val="auto"/>
                <w:w w:val="88"/>
              </w:rPr>
              <w:t>James Healy, M.D., Ph.D.</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3"/>
              </w:rPr>
              <w:t>/s/</w:t>
            </w:r>
          </w:p>
        </w:tc>
        <w:tc>
          <w:tcPr>
            <w:tcW w:w="3300" w:type="dxa"/>
            <w:vAlign w:val="bottom"/>
            <w:gridSpan w:val="4"/>
            <w:vMerge w:val="restart"/>
          </w:tcPr>
          <w:p>
            <w:pPr>
              <w:jc w:val="center"/>
              <w:ind w:right="1760"/>
              <w:spacing w:after="0"/>
              <w:rPr>
                <w:sz w:val="20"/>
                <w:szCs w:val="20"/>
                <w:color w:val="auto"/>
              </w:rPr>
            </w:pPr>
            <w:r>
              <w:rPr>
                <w:rFonts w:ascii="Arial" w:cs="Arial" w:eastAsia="Arial" w:hAnsi="Arial"/>
                <w:sz w:val="18"/>
                <w:szCs w:val="18"/>
                <w:color w:val="auto"/>
                <w:w w:val="88"/>
              </w:rPr>
              <w:t>Kristine Peterson</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300" w:type="dxa"/>
            <w:vAlign w:val="bottom"/>
            <w:tcBorders>
              <w:bottom w:val="single" w:sz="8" w:color="auto"/>
            </w:tcBorders>
            <w:gridSpan w:val="4"/>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Kristine Peterson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/s/</w:t>
            </w:r>
          </w:p>
        </w:tc>
        <w:tc>
          <w:tcPr>
            <w:tcW w:w="3300" w:type="dxa"/>
            <w:vAlign w:val="bottom"/>
            <w:gridSpan w:val="4"/>
            <w:vMerge w:val="restart"/>
          </w:tcPr>
          <w:p>
            <w:pPr>
              <w:jc w:val="center"/>
              <w:ind w:right="1740"/>
              <w:spacing w:after="0"/>
              <w:rPr>
                <w:sz w:val="20"/>
                <w:szCs w:val="20"/>
                <w:color w:val="auto"/>
              </w:rPr>
            </w:pPr>
            <w:r>
              <w:rPr>
                <w:rFonts w:ascii="Arial" w:cs="Arial" w:eastAsia="Arial" w:hAnsi="Arial"/>
                <w:sz w:val="18"/>
                <w:szCs w:val="18"/>
                <w:color w:val="auto"/>
                <w:w w:val="93"/>
              </w:rPr>
              <w:t>Patrick O’Sullivan</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300" w:type="dxa"/>
            <w:vAlign w:val="bottom"/>
            <w:tcBorders>
              <w:bottom w:val="single" w:sz="8" w:color="auto"/>
            </w:tcBorders>
            <w:gridSpan w:val="4"/>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4"/>
          </w:tcPr>
          <w:p>
            <w:pPr>
              <w:jc w:val="center"/>
              <w:ind w:right="1740"/>
              <w:spacing w:after="0"/>
              <w:rPr>
                <w:sz w:val="20"/>
                <w:szCs w:val="20"/>
                <w:color w:val="auto"/>
              </w:rPr>
            </w:pPr>
            <w:r>
              <w:rPr>
                <w:rFonts w:ascii="Arial" w:cs="Arial" w:eastAsia="Arial" w:hAnsi="Arial"/>
                <w:sz w:val="18"/>
                <w:szCs w:val="18"/>
                <w:color w:val="auto"/>
                <w:w w:val="93"/>
              </w:rPr>
              <w:t>Patrick O’Sullivan</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00" w:type="dxa"/>
            <w:vAlign w:val="bottom"/>
          </w:tcPr>
          <w:p>
            <w:pPr>
              <w:spacing w:after="0"/>
              <w:rPr>
                <w:sz w:val="24"/>
                <w:szCs w:val="24"/>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/s/</w:t>
            </w:r>
          </w:p>
        </w:tc>
        <w:tc>
          <w:tcPr>
            <w:tcW w:w="3120" w:type="dxa"/>
            <w:vAlign w:val="bottom"/>
            <w:gridSpan w:val="3"/>
            <w:vMerge w:val="restart"/>
          </w:tcPr>
          <w:p>
            <w:pPr>
              <w:jc w:val="center"/>
              <w:ind w:right="1940"/>
              <w:spacing w:after="0"/>
              <w:rPr>
                <w:sz w:val="20"/>
                <w:szCs w:val="20"/>
                <w:color w:val="auto"/>
              </w:rPr>
            </w:pPr>
            <w:r>
              <w:rPr>
                <w:rFonts w:ascii="Arial" w:cs="Arial" w:eastAsia="Arial" w:hAnsi="Arial"/>
                <w:sz w:val="18"/>
                <w:szCs w:val="18"/>
                <w:color w:val="auto"/>
                <w:w w:val="85"/>
              </w:rPr>
              <w:t>Jan van Heek</w:t>
            </w:r>
          </w:p>
        </w:tc>
        <w:tc>
          <w:tcPr>
            <w:tcW w:w="422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04"/>
        </w:trPr>
        <w:tc>
          <w:tcPr>
            <w:tcW w:w="1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vMerge w:val="continue"/>
          </w:tcPr>
          <w:p>
            <w:pPr>
              <w:spacing w:after="0"/>
              <w:rPr>
                <w:sz w:val="17"/>
                <w:szCs w:val="17"/>
                <w:color w:val="auto"/>
              </w:rPr>
            </w:pPr>
          </w:p>
        </w:tc>
        <w:tc>
          <w:tcPr>
            <w:tcW w:w="3120" w:type="dxa"/>
            <w:vAlign w:val="bottom"/>
            <w:tcBorders>
              <w:bottom w:val="single" w:sz="8" w:color="auto"/>
            </w:tcBorders>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Jan van Heek</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1192"/>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6"/>
            <w:vMerge w:val="restart"/>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Report of Independent Registered Public Accounting Firm</w:t>
              </w:r>
            </w:hyperlink>
          </w:p>
        </w:tc>
        <w:tc>
          <w:tcPr>
            <w:tcW w:w="6880" w:type="dxa"/>
            <w:vAlign w:val="bottom"/>
            <w:gridSpan w:val="2"/>
            <w:vMerge w:val="restart"/>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140" w:type="dxa"/>
            <w:vAlign w:val="bottom"/>
            <w:tcBorders>
              <w:bottom w:val="single" w:sz="8" w:color="0000EE"/>
            </w:tcBorders>
            <w:gridSpan w:val="6"/>
            <w:vMerge w:val="continue"/>
          </w:tcPr>
          <w:p>
            <w:pPr>
              <w:spacing w:after="0"/>
              <w:rPr>
                <w:sz w:val="13"/>
                <w:szCs w:val="13"/>
                <w:color w:val="auto"/>
              </w:rPr>
            </w:pPr>
          </w:p>
        </w:tc>
        <w:tc>
          <w:tcPr>
            <w:tcW w:w="6880" w:type="dxa"/>
            <w:vAlign w:val="bottom"/>
            <w:gridSpan w:val="2"/>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020" w:type="dxa"/>
            <w:vAlign w:val="bottom"/>
            <w:gridSpan w:val="8"/>
          </w:tcPr>
          <w:p>
            <w:pPr>
              <w:spacing w:after="0"/>
              <w:rPr>
                <w:sz w:val="20"/>
                <w:szCs w:val="20"/>
                <w:color w:val="auto"/>
              </w:rPr>
            </w:pPr>
            <w:r>
              <w:rPr>
                <w:rFonts w:ascii="Arial" w:cs="Arial" w:eastAsia="Arial" w:hAnsi="Arial"/>
                <w:sz w:val="18"/>
                <w:szCs w:val="18"/>
                <w:color w:val="0000EE"/>
              </w:rPr>
              <w:t>Financial Statements: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Operations and Comprehensive Loss</w:t>
              </w:r>
            </w:hyperlink>
          </w:p>
        </w:tc>
        <w:tc>
          <w:tcPr>
            <w:tcW w:w="64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Stockholders’ (Deficit) Equity</w:t>
              </w:r>
            </w:hyperlink>
          </w:p>
        </w:tc>
        <w:tc>
          <w:tcPr>
            <w:tcW w:w="6900" w:type="dxa"/>
            <w:vAlign w:val="bottom"/>
            <w:gridSpan w:val="3"/>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Financial Statement Schedules: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audited the accompanying consolidated balance sheets of Amarin Corporation plc and subsidiaries (the “Company”) as of December 31, 2011 and 2010, and the related consolidated statements of operations and comprehensive loss, stockholders’ (deficit) equity, and cash flows for each of the three years in the period ended December 31, 2011. These financial statements are the responsibility of the Company’s management. Our responsibility is to express an opinion on the financial statements based on our audits.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Amarin Corporation plc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29, 2012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5"/>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4"/>
          </w:tcPr>
          <w:p>
            <w:pPr>
              <w:jc w:val="center"/>
              <w:ind w:right="13"/>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 and per share</w:t>
            </w:r>
          </w:p>
        </w:tc>
        <w:tc>
          <w:tcPr>
            <w:tcW w:w="0" w:type="dxa"/>
            <w:vAlign w:val="bottom"/>
          </w:tcPr>
          <w:p>
            <w:pPr>
              <w:spacing w:after="0"/>
              <w:rPr>
                <w:sz w:val="1"/>
                <w:szCs w:val="1"/>
                <w:color w:val="auto"/>
              </w:rPr>
            </w:pPr>
          </w:p>
        </w:tc>
      </w:tr>
      <w:tr>
        <w:trPr>
          <w:trHeight w:val="175"/>
        </w:trPr>
        <w:tc>
          <w:tcPr>
            <w:tcW w:w="8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amounts)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92"/>
              </w:rPr>
              <w:t>116,602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Deferred tax asset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92"/>
              <w:spacing w:after="0"/>
              <w:rPr>
                <w:sz w:val="20"/>
                <w:szCs w:val="20"/>
                <w:color w:val="auto"/>
              </w:rPr>
            </w:pPr>
            <w:r>
              <w:rPr>
                <w:rFonts w:ascii="Arial" w:cs="Arial" w:eastAsia="Arial" w:hAnsi="Arial"/>
                <w:sz w:val="18"/>
                <w:szCs w:val="18"/>
                <w:color w:val="auto"/>
                <w:w w:val="92"/>
              </w:rPr>
              <w:t>118,972</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Deferred tax asset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 term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126,379</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LIABILITIES AND STOCKHOLDERS’ (DEFICIT)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Long-Term Liabilities: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 derivative liability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123,125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440"/>
              <w:spacing w:after="0"/>
              <w:rPr>
                <w:sz w:val="20"/>
                <w:szCs w:val="20"/>
                <w:color w:val="auto"/>
              </w:rPr>
            </w:pPr>
            <w:r>
              <w:rPr>
                <w:rFonts w:ascii="Arial" w:cs="Arial" w:eastAsia="Arial" w:hAnsi="Arial"/>
                <w:sz w:val="18"/>
                <w:szCs w:val="18"/>
                <w:color w:val="auto"/>
              </w:rPr>
              <w:t>Lease obligations and other long-term liabilities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132,341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237,734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60" w:type="dxa"/>
            <w:vAlign w:val="bottom"/>
          </w:tcPr>
          <w:p>
            <w:pPr>
              <w:ind w:left="440"/>
              <w:spacing w:after="0"/>
              <w:rPr>
                <w:sz w:val="20"/>
                <w:szCs w:val="20"/>
                <w:color w:val="auto"/>
              </w:rPr>
            </w:pPr>
            <w:r>
              <w:rPr>
                <w:rFonts w:ascii="Arial" w:cs="Arial" w:eastAsia="Arial" w:hAnsi="Arial"/>
                <w:sz w:val="18"/>
                <w:szCs w:val="18"/>
                <w:color w:val="auto"/>
                <w:w w:val="97"/>
              </w:rPr>
              <w:t>Common stock, £0.50 par value, unlimited authorized; 135,832,542 issued, 135,812,463 outstanding at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color w:val="auto"/>
              </w:rPr>
              <w:t>December 31, 2011; 106,856,731 issued, 106,836,652 outstanding at December 31, 2010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92"/>
              <w:spacing w:after="0"/>
              <w:rPr>
                <w:sz w:val="20"/>
                <w:szCs w:val="20"/>
                <w:color w:val="auto"/>
              </w:rPr>
            </w:pPr>
            <w:r>
              <w:rPr>
                <w:rFonts w:ascii="Arial" w:cs="Arial" w:eastAsia="Arial" w:hAnsi="Arial"/>
                <w:sz w:val="18"/>
                <w:szCs w:val="18"/>
                <w:color w:val="auto"/>
                <w:w w:val="92"/>
              </w:rPr>
              <w:t>113,321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449,393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Treasury stock; 20,079 shares at December 31, 2011 and 2010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5"/>
              </w:rPr>
              <w:t>(568,459)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(499,333)</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1300"/>
              <w:spacing w:after="0"/>
              <w:rPr>
                <w:sz w:val="20"/>
                <w:szCs w:val="20"/>
                <w:color w:val="auto"/>
              </w:rPr>
            </w:pPr>
            <w:r>
              <w:rPr>
                <w:rFonts w:ascii="Arial" w:cs="Arial" w:eastAsia="Arial" w:hAnsi="Arial"/>
                <w:sz w:val="18"/>
                <w:szCs w:val="18"/>
                <w:color w:val="auto"/>
              </w:rPr>
              <w:t>Total stockholders’ deficit</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(202,367)</w:t>
            </w:r>
          </w:p>
        </w:tc>
        <w:tc>
          <w:tcPr>
            <w:tcW w:w="0" w:type="dxa"/>
            <w:vAlign w:val="bottom"/>
          </w:tcPr>
          <w:p>
            <w:pPr>
              <w:spacing w:after="0"/>
              <w:rPr>
                <w:sz w:val="1"/>
                <w:szCs w:val="1"/>
                <w:color w:val="auto"/>
              </w:rPr>
            </w:pPr>
          </w:p>
        </w:tc>
      </w:tr>
      <w:tr>
        <w:trPr>
          <w:trHeight w:val="28"/>
        </w:trPr>
        <w:tc>
          <w:tcPr>
            <w:tcW w:w="8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 AND STOCKHOLDERS’ DEFICIT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126,379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8"/>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(In thousands, 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share amounts)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(44,161)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(45,101)</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(34,044)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9"/>
              </w:rPr>
              <w:t>(22,669)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(205,153)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9"/>
              </w:rPr>
              <w:t>(66,610)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(250,090)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9"/>
              </w:rPr>
              <w:t>(69,126)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(249,589)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(30,606)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Loss per basic and diluted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(0.53)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130,247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100,239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left="260" w:right="2640"/>
        <w:spacing w:after="0" w:line="262" w:lineRule="auto"/>
        <w:rPr>
          <w:sz w:val="20"/>
          <w:szCs w:val="20"/>
          <w:color w:val="auto"/>
        </w:rPr>
      </w:pPr>
      <w:r>
        <w:rPr>
          <w:rFonts w:ascii="Arial" w:cs="Arial" w:eastAsia="Arial" w:hAnsi="Arial"/>
          <w:sz w:val="18"/>
          <w:szCs w:val="18"/>
          <w:b w:val="1"/>
          <w:bCs w:val="1"/>
          <w:color w:val="auto"/>
        </w:rPr>
        <w:t>CONSOLIDATED STATEMENTS OF STOCKHOLDERS’ (DEFICIT) EQUITY FOR THE YEARS ENDED DECEMBER 31, 2011, 2010 and 2009 (in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Common</w:t>
            </w:r>
          </w:p>
        </w:tc>
        <w:tc>
          <w:tcPr>
            <w:tcW w:w="4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Common</w:t>
            </w:r>
          </w:p>
        </w:tc>
        <w:tc>
          <w:tcPr>
            <w:tcW w:w="42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Paid-in</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w w:val="99"/>
              </w:rPr>
              <w:t>Stock</w:t>
            </w:r>
          </w:p>
        </w:tc>
        <w:tc>
          <w:tcPr>
            <w:tcW w:w="42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27,046,724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25,664</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$ 202,107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(217)</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(219,138)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Shares issued under Ester amendment</w:t>
            </w:r>
          </w:p>
        </w:tc>
        <w:tc>
          <w:tcPr>
            <w:tcW w:w="940" w:type="dxa"/>
            <w:vAlign w:val="bottom"/>
          </w:tcPr>
          <w:p>
            <w:pPr>
              <w:jc w:val="right"/>
              <w:spacing w:after="0"/>
              <w:rPr>
                <w:sz w:val="20"/>
                <w:szCs w:val="20"/>
                <w:color w:val="auto"/>
              </w:rPr>
            </w:pPr>
            <w:r>
              <w:rPr>
                <w:rFonts w:ascii="Arial" w:cs="Arial" w:eastAsia="Arial" w:hAnsi="Arial"/>
                <w:sz w:val="18"/>
                <w:szCs w:val="18"/>
                <w:color w:val="auto"/>
              </w:rPr>
              <w:t>1,315,789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1,046</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Proseed agreement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Shares issued in October private placement</w:t>
            </w:r>
          </w:p>
        </w:tc>
        <w:tc>
          <w:tcPr>
            <w:tcW w:w="940" w:type="dxa"/>
            <w:vAlign w:val="bottom"/>
          </w:tcPr>
          <w:p>
            <w:pPr>
              <w:jc w:val="right"/>
              <w:spacing w:after="0"/>
              <w:rPr>
                <w:sz w:val="20"/>
                <w:szCs w:val="20"/>
                <w:color w:val="auto"/>
              </w:rPr>
            </w:pPr>
            <w:r>
              <w:rPr>
                <w:rFonts w:ascii="Arial" w:cs="Arial" w:eastAsia="Arial" w:hAnsi="Arial"/>
                <w:sz w:val="18"/>
                <w:szCs w:val="18"/>
                <w:color w:val="auto"/>
              </w:rPr>
              <w:t>66,400,000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54,212</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October 2009 warrant derivative liability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(47,105)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Shares issued in repayment of bridge loans</w:t>
            </w:r>
          </w:p>
        </w:tc>
        <w:tc>
          <w:tcPr>
            <w:tcW w:w="940" w:type="dxa"/>
            <w:vAlign w:val="bottom"/>
          </w:tcPr>
          <w:p>
            <w:pPr>
              <w:jc w:val="right"/>
              <w:spacing w:after="0"/>
              <w:rPr>
                <w:sz w:val="20"/>
                <w:szCs w:val="20"/>
                <w:color w:val="auto"/>
              </w:rPr>
            </w:pPr>
            <w:r>
              <w:rPr>
                <w:rFonts w:ascii="Arial" w:cs="Arial" w:eastAsia="Arial" w:hAnsi="Arial"/>
                <w:sz w:val="18"/>
                <w:szCs w:val="18"/>
                <w:color w:val="auto"/>
              </w:rPr>
              <w:t>3,999,996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3,266</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bridge loan and December 2007</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 from liabilities to equity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and comprehensive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(30,606)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(30,606)</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2009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98,801,982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84,219</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172,339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76"/>
              </w:rPr>
              <w:t>(217)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(249,744)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6,344,136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1,706,016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Fair value of October 2009 warrants reclassed from</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derivative liability to equity</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22,317</w:t>
            </w:r>
          </w:p>
        </w:tc>
        <w:tc>
          <w:tcPr>
            <w:tcW w:w="100" w:type="dxa"/>
            <w:vAlign w:val="bottom"/>
          </w:tcPr>
          <w:p>
            <w:pPr>
              <w:spacing w:after="0"/>
              <w:rPr>
                <w:sz w:val="19"/>
                <w:szCs w:val="19"/>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and comprehensive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(249,589)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(249,589)</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106,856,731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90,465</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206,718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76"/>
              </w:rPr>
              <w:t>(217)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(499,333)</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(202,367)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12,888,369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8,413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2,273,221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1,833</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January financing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87,931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October 2009 warrants reclassed from</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 liability to equity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129,517</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 issuances for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14,221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and comprehensive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(69,126)</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135,832,542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113,321</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$ 449,393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(217)</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(568,459)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(69,126)</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(249,589)</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(30,606)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loss to net cash used in operating activities: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intellectual property</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9,294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compensation—Ester</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compensation—warrants</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Excess tax benefit from stock-based awards</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Non-cash interest</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changes in fair value of derivative liability</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205,153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lease liability</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Shares issued for services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other current liabilities</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(39,439)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(28,406)</w:t>
            </w:r>
          </w:p>
        </w:tc>
        <w:tc>
          <w:tcPr>
            <w:tcW w:w="0" w:type="dxa"/>
            <w:vAlign w:val="bottom"/>
          </w:tcPr>
          <w:p>
            <w:pPr>
              <w:spacing w:after="0"/>
              <w:rPr>
                <w:sz w:val="1"/>
                <w:szCs w:val="1"/>
                <w:color w:val="auto"/>
              </w:rPr>
            </w:pPr>
          </w:p>
        </w:tc>
      </w:tr>
      <w:tr>
        <w:trPr>
          <w:trHeight w:val="156"/>
        </w:trPr>
        <w:tc>
          <w:tcPr>
            <w:tcW w:w="9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equipment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Purchase of long term investment</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lorazepam</w:t>
            </w: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8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net of transaction costs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98,654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 net of transaction costs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Proceeds from exercise of warrants, net of transaction costs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18,702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on issuance of convertible debt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Repayment of convertible debt</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stock-based awards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Repayment of finance leases</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126,647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13,077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65,841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85,160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(20,816)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31,442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52,258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116,602</w:t>
            </w:r>
          </w:p>
        </w:tc>
        <w:tc>
          <w:tcPr>
            <w:tcW w:w="120" w:type="dxa"/>
            <w:vAlign w:val="bottom"/>
          </w:tcPr>
          <w:p>
            <w:pPr>
              <w:spacing w:after="0"/>
              <w:rPr>
                <w:sz w:val="13"/>
                <w:szCs w:val="13"/>
                <w:color w:val="auto"/>
              </w:rPr>
            </w:pP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31,442</w:t>
            </w:r>
          </w:p>
        </w:tc>
        <w:tc>
          <w:tcPr>
            <w:tcW w:w="200" w:type="dxa"/>
            <w:vAlign w:val="bottom"/>
          </w:tcPr>
          <w:p>
            <w:pPr>
              <w:spacing w:after="0"/>
              <w:rPr>
                <w:sz w:val="13"/>
                <w:szCs w:val="13"/>
                <w:color w:val="auto"/>
              </w:rPr>
            </w:pPr>
          </w:p>
        </w:tc>
        <w:tc>
          <w:tcPr>
            <w:tcW w:w="2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52,258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cash flow information:</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860"/>
              <w:spacing w:after="0"/>
              <w:rPr>
                <w:sz w:val="20"/>
                <w:szCs w:val="20"/>
                <w:color w:val="auto"/>
              </w:rPr>
            </w:pPr>
            <w:r>
              <w:rPr>
                <w:rFonts w:ascii="Arial" w:cs="Arial" w:eastAsia="Arial" w:hAnsi="Arial"/>
                <w:sz w:val="14"/>
                <w:szCs w:val="14"/>
                <w:color w:val="auto"/>
              </w:rPr>
              <w:t>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vMerge w:val="continue"/>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761</w:t>
            </w:r>
          </w:p>
        </w:tc>
        <w:tc>
          <w:tcPr>
            <w:tcW w:w="120" w:type="dxa"/>
            <w:vAlign w:val="bottom"/>
          </w:tcPr>
          <w:p>
            <w:pPr>
              <w:spacing w:after="0"/>
              <w:rPr>
                <w:sz w:val="12"/>
                <w:szCs w:val="12"/>
                <w:color w:val="auto"/>
              </w:rPr>
            </w:pPr>
          </w:p>
        </w:tc>
        <w:tc>
          <w:tcPr>
            <w:tcW w:w="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230</w:t>
            </w:r>
          </w:p>
        </w:tc>
        <w:tc>
          <w:tcPr>
            <w:tcW w:w="200" w:type="dxa"/>
            <w:vAlign w:val="bottom"/>
          </w:tcPr>
          <w:p>
            <w:pPr>
              <w:spacing w:after="0"/>
              <w:rPr>
                <w:sz w:val="12"/>
                <w:szCs w:val="12"/>
                <w:color w:val="auto"/>
              </w:rPr>
            </w:pPr>
          </w:p>
        </w:tc>
        <w:tc>
          <w:tcPr>
            <w:tcW w:w="2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non-cash items: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420"/>
              <w:spacing w:after="0" w:line="149" w:lineRule="exact"/>
              <w:rPr>
                <w:sz w:val="20"/>
                <w:szCs w:val="20"/>
                <w:color w:val="auto"/>
              </w:rPr>
            </w:pPr>
            <w:r>
              <w:rPr>
                <w:rFonts w:ascii="Arial" w:cs="Arial" w:eastAsia="Arial" w:hAnsi="Arial"/>
                <w:sz w:val="14"/>
                <w:szCs w:val="14"/>
                <w:color w:val="auto"/>
              </w:rPr>
              <w:t>Reclass of warrant liability to additional paid-in capital</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129,517</w:t>
            </w:r>
          </w:p>
        </w:tc>
        <w:tc>
          <w:tcPr>
            <w:tcW w:w="12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22,317</w:t>
            </w:r>
          </w:p>
        </w:tc>
        <w:tc>
          <w:tcPr>
            <w:tcW w:w="20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Reclass of additional paid-in capital to warrant liability</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47,105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420"/>
              <w:spacing w:after="0"/>
              <w:rPr>
                <w:sz w:val="20"/>
                <w:szCs w:val="20"/>
                <w:color w:val="auto"/>
              </w:rPr>
            </w:pPr>
            <w:r>
              <w:rPr>
                <w:rFonts w:ascii="Arial" w:cs="Arial" w:eastAsia="Arial" w:hAnsi="Arial"/>
                <w:sz w:val="14"/>
                <w:szCs w:val="14"/>
                <w:color w:val="auto"/>
              </w:rPr>
              <w:t>Conversion of bridge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vMerge w:val="continue"/>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Issuance of Ester Shares</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420"/>
              <w:spacing w:after="0"/>
              <w:rPr>
                <w:sz w:val="20"/>
                <w:szCs w:val="20"/>
                <w:color w:val="auto"/>
              </w:rPr>
            </w:pPr>
            <w:r>
              <w:rPr>
                <w:rFonts w:ascii="Arial" w:cs="Arial" w:eastAsia="Arial" w:hAnsi="Arial"/>
                <w:sz w:val="14"/>
                <w:szCs w:val="14"/>
                <w:color w:val="auto"/>
              </w:rPr>
              <w:t>Issuance of Proseed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vMerge w:val="continue"/>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240" w:right="7640" w:hanging="232"/>
        <w:spacing w:after="0" w:line="347" w:lineRule="auto"/>
        <w:tabs>
          <w:tab w:leader="none" w:pos="3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Amarin is a clinical-stage biopharmaceutical company focused on developing improved treatments for cardiovascular disease by capitalizing on its expertise in the field of lipid science and the known therapeutic benefits of essential fatty acids in cardiovascular disease. The Company is currently focusing its efforts on AMR101 (icosapent ethyl), a prescription-only omega-3 fatty acid, comprising not less than 96% ultra pure icosapent ethyl (ethyl-EPA).</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evaluated subsequent events from December 31, 2011 through the date of the issuance of these consolidated financial statements and has determined that no material subsequent events have occurred, except as disclosed below (see footnote 16—Subsequent Event) that would affect the information presented in these consolidated financial statements or to require additional disclosure.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development and commercialization of AMR101, which is still under development and not available for sale. However, the Company is not considered a development stage business, as the release and sale of the previous product represented the exit of the Company from the development stage.</w:t>
      </w:r>
    </w:p>
    <w:p>
      <w:pPr>
        <w:spacing w:after="0" w:line="100"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At December 31, 2011, the Company had cash and cash equivalents of $116.6 million. The Company’s consolidated balance sheet also includes a significant derivative liability (see footnote 7—Warrants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9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3.50% exchangeable senior notes due 2032 resulting in net proceeds to the Company of $144.3 million. The notes are the senior unsecured obligations of Corsicanto and are guaranteed by Amarin.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believes its cash, including the net proceeds from the January 2012 financing, will be sufficient to fund its projected operations for at least the next twelve months which contemplates commercial preparation of AMR101, working capital and other general corporate activities. This is based on management’s current operational plans and activities at normal levels and does not assume any cash inflows from partnerships, warrant exercises or other dilutive or non-dilutive financings in the long-term.</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640" w:hanging="232"/>
        <w:spacing w:after="0" w:line="417" w:lineRule="auto"/>
        <w:tabs>
          <w:tab w:leader="none" w:pos="392"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the Company’s consolidated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&amp; Equipment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their estimated useful lives. The estimated useful lives, by asset classification,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820" w:type="dxa"/>
            <w:vAlign w:val="bottom"/>
          </w:tcPr>
          <w:p>
            <w:pPr>
              <w:spacing w:after="0"/>
              <w:rPr>
                <w:sz w:val="14"/>
                <w:szCs w:val="14"/>
                <w:color w:val="auto"/>
              </w:rPr>
            </w:pPr>
          </w:p>
        </w:tc>
      </w:tr>
      <w:tr>
        <w:trPr>
          <w:trHeight w:val="201"/>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Computer equipment and software</w:t>
            </w:r>
          </w:p>
        </w:tc>
        <w:tc>
          <w:tcPr>
            <w:tcW w:w="260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84"/>
              </w:rPr>
              <w:t>3 - 5 years</w:t>
            </w:r>
          </w:p>
        </w:tc>
        <w:tc>
          <w:tcPr>
            <w:tcW w:w="820" w:type="dxa"/>
            <w:vAlign w:val="bottom"/>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600" w:type="dxa"/>
            <w:vAlign w:val="bottom"/>
          </w:tcPr>
          <w:p>
            <w:pPr>
              <w:spacing w:after="0"/>
              <w:rPr>
                <w:sz w:val="18"/>
                <w:szCs w:val="18"/>
                <w:color w:val="auto"/>
              </w:rPr>
            </w:pPr>
          </w:p>
        </w:tc>
        <w:tc>
          <w:tcPr>
            <w:tcW w:w="1560" w:type="dxa"/>
            <w:vAlign w:val="bottom"/>
            <w:gridSpan w:val="2"/>
          </w:tcPr>
          <w:p>
            <w:pPr>
              <w:jc w:val="center"/>
              <w:ind w:right="820"/>
              <w:spacing w:after="0"/>
              <w:rPr>
                <w:sz w:val="20"/>
                <w:szCs w:val="20"/>
                <w:color w:val="auto"/>
              </w:rPr>
            </w:pPr>
            <w:r>
              <w:rPr>
                <w:rFonts w:ascii="Arial" w:cs="Arial" w:eastAsia="Arial" w:hAnsi="Arial"/>
                <w:sz w:val="18"/>
                <w:szCs w:val="18"/>
                <w:color w:val="auto"/>
                <w:w w:val="84"/>
              </w:rPr>
              <w:t>5 years</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160" w:type="dxa"/>
            <w:vAlign w:val="bottom"/>
            <w:gridSpan w:val="3"/>
          </w:tcPr>
          <w:p>
            <w:pPr>
              <w:jc w:val="center"/>
              <w:ind w:left="1712"/>
              <w:spacing w:after="0"/>
              <w:rPr>
                <w:sz w:val="20"/>
                <w:szCs w:val="20"/>
                <w:color w:val="auto"/>
              </w:rPr>
            </w:pPr>
            <w:r>
              <w:rPr>
                <w:rFonts w:ascii="Arial" w:cs="Arial" w:eastAsia="Arial" w:hAnsi="Arial"/>
                <w:sz w:val="18"/>
                <w:szCs w:val="18"/>
                <w:color w:val="auto"/>
                <w:w w:val="89"/>
              </w:rPr>
              <w:t>Lesser of useful life or lease term</w:t>
            </w:r>
          </w:p>
        </w:tc>
      </w:tr>
    </w:tbl>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 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undiscounted forecasted cash flows or appraised values, depending on the nature of the assets.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 dilutive such that basic net loss per share and diluted net loss per share are equal.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compensation cost over the requisite service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maintains substantially all of its cash and cash equivalents in financial institutions believed to be of high-credit quality.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financial statements of operations. For transactions settled during the period, gains and losses are included in other (expense) income, net in the consolidated statements of operations. Foreign exchange gains and losses have not been significant in the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Debt issuance costs are initially capitalized as a deferred cost and amortized to interest expense using the effective interest method over the expected term of the related debt. Unamortized debt issuance costs related to extinguishment of debt are expensed at the time the debt is extinguished and recorded in other income (expenses), net in the consolidated statements of operations. Unamortized debt issuance costs are recorded in other assets in the consolidated balance sheets.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presents information about the Company’s liability as of December 31, 2011 and 2010 that is measured at fair value on a recurring basis and indicates the fair value hierarchy of the valuation techniques the Company utilized to determine such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December 31, 2011</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  39</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123,125</w:t>
            </w:r>
          </w:p>
        </w:tc>
        <w:tc>
          <w:tcPr>
            <w:tcW w:w="4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December 31, 2010</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Liability:</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230,069</w:t>
            </w:r>
          </w:p>
        </w:tc>
        <w:tc>
          <w:tcPr>
            <w:tcW w:w="4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The initial fair value of the warrant derivative liability at the date of issuance in October 2009 was determined to be $48.3 million using the Black-Scholes option valuation model applying the following assumptions: (i) risk-free rate of 2.37%, (ii) remaining term of 5 years, (iii) no dividend yield, (iv) volatility of 119%, and (v) the stock price or the date of measurement.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2010, the fair value of the warrant derivative liability was determined to be $230.1 million using the Black-Scholes option valuation applying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(i) risk-free rate of 1.52%, (ii) remaining term of 3.8 years, (iii) no dividend yield (iv) volatility of 117%, and (v) the stock price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measurement. The $210.9 million increase in the fair value of the warrants was recognized as a $205.2 million loss on change in fair value of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and $5.7 million compensation expense for change in fair value of warrants issued to former employees, both amounts are included in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of operations for the year ended December 31, 2010. At December 31, 2011, the fair value of the warrant derivative liability was determined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$123.1 million using the Black-Scholes option valuation model applying the following assumptions: (i) risk-free rate of 0.36%, (ii) remaining term of 2.8 years,</w:t>
      </w:r>
    </w:p>
    <w:p>
      <w:pPr>
        <w:spacing w:after="0" w:line="32" w:lineRule="exact"/>
        <w:rPr>
          <w:sz w:val="20"/>
          <w:szCs w:val="20"/>
          <w:color w:val="auto"/>
        </w:rPr>
      </w:pPr>
    </w:p>
    <w:p>
      <w:pPr>
        <w:ind w:firstLine="8"/>
        <w:spacing w:after="0" w:line="295" w:lineRule="auto"/>
        <w:tabs>
          <w:tab w:leader="none" w:pos="3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dividend yield (iv) volatility of 118%, and (v) the stock price on the date of measurement. The $22.6 million increase in the fair value of the warrants, net of exercises, was recognized as a $22.7 million loss on change in fair value of derivative liability and $(0.1) million compensation income for change in fair value of warrants issued to former employees, both amounts are included in the consolidated statement of operations for the year ended December 31, 2011. The change in the fair value of the warrant derivative liabilities is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3"/>
              </w:rPr>
              <w:t>October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and</w:t>
            </w: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May 2008</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2009</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Participation</w:t>
            </w:r>
          </w:p>
        </w:tc>
        <w:tc>
          <w:tcPr>
            <w:tcW w:w="12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Warrants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Rights</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6"/>
              </w:rPr>
              <w:t>504</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533</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Initial measurement, June and July 2009 warrants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Initial measurement, October 2009 financing warrants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Initial measurement, October 2009 warrants issued to employees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220"/>
              <w:spacing w:after="0"/>
              <w:rPr>
                <w:sz w:val="20"/>
                <w:szCs w:val="20"/>
                <w:color w:val="auto"/>
              </w:rPr>
            </w:pPr>
            <w:r>
              <w:rPr>
                <w:rFonts w:ascii="Arial" w:cs="Arial" w:eastAsia="Arial" w:hAnsi="Arial"/>
                <w:sz w:val="18"/>
                <w:szCs w:val="18"/>
                <w:color w:val="auto"/>
              </w:rPr>
              <w:t>former 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(4,316)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at December 31, 2009</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41,520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205,153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8"/>
                <w:szCs w:val="18"/>
                <w:color w:val="auto"/>
                <w:w w:val="98"/>
              </w:rPr>
              <w:t>Compensation expense for change in fair value of warrants issued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220"/>
              <w:spacing w:after="0"/>
              <w:rPr>
                <w:sz w:val="20"/>
                <w:szCs w:val="20"/>
                <w:color w:val="auto"/>
              </w:rPr>
            </w:pPr>
            <w:r>
              <w:rPr>
                <w:rFonts w:ascii="Arial" w:cs="Arial" w:eastAsia="Arial" w:hAnsi="Arial"/>
                <w:sz w:val="18"/>
                <w:szCs w:val="18"/>
                <w:color w:val="auto"/>
              </w:rPr>
              <w:t>former 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(22,317)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(22,317)</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230,069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230,069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22,669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220"/>
              <w:spacing w:after="0"/>
              <w:rPr>
                <w:sz w:val="20"/>
                <w:szCs w:val="20"/>
                <w:color w:val="auto"/>
              </w:rPr>
            </w:pPr>
            <w:r>
              <w:rPr>
                <w:rFonts w:ascii="Arial" w:cs="Arial" w:eastAsia="Arial" w:hAnsi="Arial"/>
                <w:sz w:val="18"/>
                <w:szCs w:val="18"/>
                <w:color w:val="auto"/>
              </w:rPr>
              <w:t>former employees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8"/>
              </w:rPr>
              <w:t>(129,517)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(129,517)</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at December 31, 2011</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123,125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fair value of the June and July 2009 warrant derivative liability, using a Monte Carlo valuation model, was determined to be $2.8 million at initial measurement and $4.3 million at termination, applying the following assumptions: (i) risk-free rates of 2.35% and 2.55%, (ii) remaining terms of 5.0 and 4.8 years, (iii) no dividend yield, (iv) volatility of 112%, and (v) the stock price on the date of measurement. The fair value of the warrant derivative liability of $4.3 million was reclassified from liabilities during 2009 and included as a component of equity at December 31, 2009.</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fair value of the December 2007 warrant derivative liability, using a Monte Carlo valuation model, was determined to be $2.5 million at initial measurement and $1.0 million at termination, applying the following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assumptions: (i) risk-free rates of 3.32% and 1.32%, (ii) remaining terms of 5.0 and 3.0 years, (iii) no dividend yield, (iv) volatility of 113% and 131%, and</w:t>
      </w:r>
    </w:p>
    <w:p>
      <w:pPr>
        <w:spacing w:after="0" w:line="38" w:lineRule="exact"/>
        <w:rPr>
          <w:sz w:val="20"/>
          <w:szCs w:val="20"/>
          <w:color w:val="auto"/>
        </w:rPr>
      </w:pPr>
    </w:p>
    <w:p>
      <w:pPr>
        <w:ind w:right="160" w:firstLine="8"/>
        <w:spacing w:after="0" w:line="261"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stock price on the date of measurement. The fair value of the warrant derivative liability of $1.0 million was reclassified from liabilities during 2009 and included as a component of equity at December 31, 2009.</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fair value of the December 2008 derivative liability, using a Monte Carlo valuation model, was determined to be $8.2 million at initial measurement and $0.5 million at termination, applying the following assumptions: (i) risk-free rates of 2.24 to 0.04%, (ii) remaining terms of 0.6 and 0.2 years, (iii) no dividend yield,</w:t>
      </w:r>
    </w:p>
    <w:p>
      <w:pPr>
        <w:ind w:right="700" w:firstLine="8"/>
        <w:spacing w:after="0" w:line="323" w:lineRule="auto"/>
        <w:tabs>
          <w:tab w:leader="none" w:pos="2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volatility of 90% and 131% and (v) the stock price on the date of measurement. The fair value of the warrant derivative liability of $0.5 million was recognized in the statement of operations as a gain on fair value of change in derivative liabilities at December 31, 2009.</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the years ended December 31, 2011, 2010 and 2009,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15"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at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17"/>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 receivable (1)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1,837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1,837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refunds receivable in the U.K. for research and development expenditures incurred in 2009 at Amarin Neuroscience Ltd (ANL).</w:t>
      </w:r>
    </w:p>
    <w:p>
      <w:pPr>
        <w:spacing w:after="0" w:line="269"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&amp;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at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4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Computer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163</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1"/>
        </w:trPr>
        <w:tc>
          <w:tcPr>
            <w:tcW w:w="5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100" w:type="dxa"/>
            <w:vAlign w:val="bottom"/>
          </w:tcPr>
          <w:p>
            <w:pPr>
              <w:spacing w:after="0"/>
              <w:rPr>
                <w:sz w:val="19"/>
                <w:szCs w:val="19"/>
                <w:color w:val="auto"/>
              </w:rPr>
            </w:pP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(115)</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Depreciation expense for the years ended December 31, 2011, December 31, 2010, and December 31, 2009 was $0.1 million, $0.1 million, $0.6 million,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Ester Asset Purchase</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2007, the Company purchased 100% of the outstanding share capital of Ester Neurosciences Ltd (Ester). In conjunction with the purchase of Ester, Amarin primarily received the rights to Ester’s intellectual property related to EN101. The Ester transaction was accounted for as an asset purchase with the purchase price consisting of an upfront payment of $5.2 million, $10.0 million in common stock (with a fair value of $9.0 million) and a variable contingent payment, payable in common stock, of up to $5.0 million, based on the achievement of a performance milestone called Milestone Ia. The achievement of Milestone Ia was considered probable and, as a result, the Company recorded a stock based liability with a fair value of $4.8 million. The stock based liability was remeasured at each reporting date with changes in the fair value recorded as compensation expense (income) as a component of research and development expense. The fair value of this liability was determined to be approximately $3.4 million at December 31, 2007 and the Company recognized a reduction of compensation expense of $1.4 million for the period ended December 31, 2007. The fair value of this liability was determined to be approximately $0.9 million at December 31, 2008 and the company recognized a reduction of compensation expense of $2.5 million for the period ended December 31, 2008.</w:t>
      </w:r>
    </w:p>
    <w:p>
      <w:pPr>
        <w:spacing w:after="0" w:line="12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June 2009, the Company amended the terms of its acquisition agreement with the original shareholders of Ester. Under the terms of this amendment, Amarin was released from all research and development diligence obligations contained in the original agreement and authorized to seek a partner to continue the research and development for EN101. The amendment also provided that any future payment obligations payable by Amarin to the former shareholders of Ester would be made only out of income received from potential partners. Under the terms of this amendment agreement, the former Ester shareholders have the option of reacquiring the original share capital of Ester if Amarin is unable to successfully partner EN101. In August 2009, in connection with this amendment agreement, the Company settled the liability and issued 1,315,789 common shares to the former Ester shareholders, with a fair value on the settlement date of approximately $1.8 million. The $0.9 million difference between the $1.8 million fair value of the common shares issued at settlement and the $0.9 million fair value of the stock based liability at the settlement date was recognized as compensation expense within research and development for the period ended December 31, 2009.</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Accrued Expenses and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December 31, 2011 and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18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27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 expenses</w:t>
            </w:r>
          </w:p>
        </w:tc>
        <w:tc>
          <w:tcPr>
            <w:tcW w:w="3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$1,631</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740" w:type="dxa"/>
            <w:vAlign w:val="bottom"/>
            <w:gridSpan w:val="3"/>
          </w:tcPr>
          <w:p>
            <w:pPr>
              <w:jc w:val="right"/>
              <w:ind w:right="560"/>
              <w:spacing w:after="0"/>
              <w:rPr>
                <w:sz w:val="20"/>
                <w:szCs w:val="20"/>
                <w:color w:val="auto"/>
              </w:rPr>
            </w:pPr>
            <w:r>
              <w:rPr>
                <w:rFonts w:ascii="Arial" w:cs="Arial" w:eastAsia="Arial" w:hAnsi="Arial"/>
                <w:sz w:val="18"/>
                <w:szCs w:val="18"/>
                <w:color w:val="auto"/>
              </w:rPr>
              <w:t>1,132</w:t>
            </w: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All other</w:t>
            </w:r>
          </w:p>
        </w:tc>
        <w:tc>
          <w:tcPr>
            <w:tcW w:w="26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1,781</w:t>
            </w: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r>
      <w:tr>
        <w:trPr>
          <w:trHeight w:val="27"/>
        </w:trPr>
        <w:tc>
          <w:tcPr>
            <w:tcW w:w="5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3,128</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Warrants and Derivative Liability</w:t>
      </w:r>
    </w:p>
    <w:p>
      <w:pPr>
        <w:spacing w:after="0" w:line="9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Company had 21,106,363 warrants to purchase common shares outstanding at December 31, 2011 at a weighted-average exercise price of $1.48,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Issue Date</w:t>
            </w: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1420" w:type="dxa"/>
            <w:vAlign w:val="bottom"/>
            <w:gridSpan w:val="2"/>
          </w:tcPr>
          <w:p>
            <w:pPr>
              <w:spacing w:after="0"/>
              <w:rPr>
                <w:sz w:val="14"/>
                <w:szCs w:val="14"/>
                <w:color w:val="auto"/>
              </w:rPr>
            </w:pPr>
          </w:p>
        </w:tc>
        <w:tc>
          <w:tcPr>
            <w:tcW w:w="232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Exercise Price</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Expiration Date</w:t>
            </w:r>
          </w:p>
        </w:tc>
      </w:tr>
      <w:tr>
        <w:trPr>
          <w:trHeight w:val="20"/>
        </w:trPr>
        <w:tc>
          <w:tcPr>
            <w:tcW w:w="1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17,500</w:t>
            </w: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1/17/14</w:t>
            </w:r>
          </w:p>
        </w:tc>
      </w:tr>
      <w:tr>
        <w:trPr>
          <w:trHeight w:val="216"/>
        </w:trPr>
        <w:tc>
          <w:tcPr>
            <w:tcW w:w="3740" w:type="dxa"/>
            <w:vAlign w:val="bottom"/>
            <w:gridSpan w:val="3"/>
          </w:tcPr>
          <w:p>
            <w:pPr>
              <w:jc w:val="right"/>
              <w:ind w:right="1240"/>
              <w:spacing w:after="0"/>
              <w:rPr>
                <w:sz w:val="20"/>
                <w:szCs w:val="20"/>
                <w:color w:val="auto"/>
              </w:rPr>
            </w:pPr>
            <w:r>
              <w:rPr>
                <w:rFonts w:ascii="Arial" w:cs="Arial" w:eastAsia="Arial" w:hAnsi="Arial"/>
                <w:sz w:val="18"/>
                <w:szCs w:val="18"/>
                <w:color w:val="auto"/>
              </w:rPr>
              <w:t>6/1/07</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55,737</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7.20</w:t>
            </w:r>
          </w:p>
        </w:tc>
        <w:tc>
          <w:tcPr>
            <w:tcW w:w="1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5/31/12</w:t>
            </w:r>
          </w:p>
        </w:tc>
      </w:tr>
      <w:tr>
        <w:trPr>
          <w:trHeight w:val="216"/>
        </w:trPr>
        <w:tc>
          <w:tcPr>
            <w:tcW w:w="374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12/5/07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516,300</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w:t>
            </w:r>
          </w:p>
        </w:tc>
      </w:tr>
      <w:tr>
        <w:trPr>
          <w:trHeight w:val="216"/>
        </w:trPr>
        <w:tc>
          <w:tcPr>
            <w:tcW w:w="3740" w:type="dxa"/>
            <w:vAlign w:val="bottom"/>
            <w:gridSpan w:val="3"/>
          </w:tcPr>
          <w:p>
            <w:pPr>
              <w:jc w:val="right"/>
              <w:ind w:right="1240"/>
              <w:spacing w:after="0"/>
              <w:rPr>
                <w:sz w:val="20"/>
                <w:szCs w:val="20"/>
                <w:color w:val="auto"/>
              </w:rPr>
            </w:pPr>
            <w:r>
              <w:rPr>
                <w:rFonts w:ascii="Arial" w:cs="Arial" w:eastAsia="Arial" w:hAnsi="Arial"/>
                <w:sz w:val="18"/>
                <w:szCs w:val="18"/>
                <w:color w:val="auto"/>
              </w:rPr>
              <w:t>7/31/09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138,888+</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374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7/31/09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1,666,000</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3740" w:type="dxa"/>
            <w:vAlign w:val="bottom"/>
            <w:gridSpan w:val="3"/>
          </w:tcPr>
          <w:p>
            <w:pPr>
              <w:jc w:val="right"/>
              <w:ind w:right="1240"/>
              <w:spacing w:after="0"/>
              <w:rPr>
                <w:sz w:val="20"/>
                <w:szCs w:val="20"/>
                <w:color w:val="auto"/>
              </w:rPr>
            </w:pPr>
            <w:r>
              <w:rPr>
                <w:rFonts w:ascii="Arial" w:cs="Arial" w:eastAsia="Arial" w:hAnsi="Arial"/>
                <w:sz w:val="18"/>
                <w:szCs w:val="18"/>
                <w:color w:val="auto"/>
              </w:rPr>
              <w:t>10/16/09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18,064,888</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374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10/16/09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647,050</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223"/>
        </w:trPr>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21,106,363</w:t>
            </w:r>
          </w:p>
        </w:tc>
        <w:tc>
          <w:tcPr>
            <w:tcW w:w="2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gridSpan w:val="3"/>
          </w:tcPr>
          <w:p>
            <w:pPr>
              <w:ind w:left="340"/>
              <w:spacing w:after="0"/>
              <w:rPr>
                <w:sz w:val="20"/>
                <w:szCs w:val="20"/>
                <w:color w:val="auto"/>
              </w:rPr>
            </w:pPr>
            <w:r>
              <w:rPr>
                <w:rFonts w:ascii="Arial" w:cs="Arial" w:eastAsia="Arial" w:hAnsi="Arial"/>
                <w:sz w:val="18"/>
                <w:szCs w:val="18"/>
                <w:color w:val="auto"/>
              </w:rPr>
              <w:t>F-12</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(see footnote 8—Debt).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w:t>
      </w:r>
    </w:p>
    <w:p>
      <w:pPr>
        <w:spacing w:after="0" w:line="2" w:lineRule="exact"/>
        <w:rPr>
          <w:sz w:val="20"/>
          <w:szCs w:val="20"/>
          <w:color w:val="auto"/>
        </w:rPr>
      </w:pPr>
    </w:p>
    <w:p>
      <w:pPr>
        <w:ind w:right="280" w:firstLine="8"/>
        <w:spacing w:after="0" w:line="261" w:lineRule="auto"/>
        <w:tabs>
          <w:tab w:leader="none" w:pos="2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warrant with a five year term to purchase 0.5 of an ADS an exercise price of $1.50 per ADS. The total number of warrants issued in conjunction with the financing was 35.2 million.</w:t>
      </w:r>
    </w:p>
    <w:p>
      <w:pPr>
        <w:spacing w:after="0" w:line="13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initial fair value of these warrants was determined to be approximately $47.1 million using the Black-Scholes option pricing model. The Company recorded the warrant issuances as a reduction to additional paid-in capital.</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initial fair value of the warrant derivative liability associated with these warrants was determined to be $1.2 million using the Black-Scholes option pricing model. The Company recorded a warrant derivative liability of $1.2 million for these warrants and a corresponding charge to compensation expense of $1.2 million for the period ended December 31, 2009.</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fair value of this warrant derivative liability is remeasured at each reporting period, with changes in fair value recognized in the statement of operations. The fair value of the warrants at December 31, 2009 was determined to be approximately $41.5 million using the Black-Scholes option pricing model and the Company recognized a gain of approximately $6.6 million for a change in fair value of warrant derivative liability and a reduction to compensation expense of $0.2 million for the period ended December 31, 2009.</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warrants contain a pricing variability feature, the number of warrants issuable remains fixed. Therefore, the maximum number of common shares issuable as a result of the October 2009 private placement is 36.1 million. During the year ended December 31, 2010, approximately 5.3 million of these October 2009 warrants were exercised, resulting in gross proceeds to the Company of approximately $8.0 million. Upon exercise, the fair value of the warrants exercised is remeasured and reclassified from warrant liability to additional paid-in capital. The $22.3 million fair value of the exercised warrants was transferred from warrant liability to additional paid in capital with the change in the fair value on the exercise date recognized in the statement of operations. The fair value of the warrant liability at December 31, 2010 for the remaining warrants was determined to be approximately $230.1 million. The Company recognized a loss on change in fair value of derivative liability of $205.2 million and compensation expense of $5.7 million for the period ended December 31, 2010.</w:t>
      </w:r>
    </w:p>
    <w:p>
      <w:pPr>
        <w:spacing w:after="0" w:line="11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During the year ended December 31, 2011, approximately 12.1 million of these October 2009 warrants were exercised, resulting in gross proceeds to the Company of approximately $18.1 million. Upon exercise, the fair value of the warrants exercised is remeasured and reclassified from warrant liability to additional paid-in capital. The $129.5 million fair value of the exercised warrants was transferred from warrant liability to additional paid in capital with the change in the fair value on the exercise date recognized in the statement of operations. The fair value of the warrant liability at December 31, 2011 for the remaining warrants was determined to be approximately $123.1 million. The Company recognized a loss on change in fair value of derivative liability of $22.7 million and compensation income of $0.1 million for the period ended December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June and July 2009 Warrants</w:t>
      </w:r>
    </w:p>
    <w:p>
      <w:pPr>
        <w:spacing w:after="0" w:line="9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 conjunction with the $2.6 million private placement of 8% convertible bridge loans due August 2009 in June 2009 the Company issued 1,444,442 warrants with an exercise price of $1.00. In July 2009, the Company completed a second private placement of $3.0 million of 8% convertible bridge loans due September 30, 2009. In conjunction with the July loan (i) $0.1 million of the June 2009 bridge notes were repaid, (ii) the maturity date of the June 2009 bridge notes was extended to September 30, 2009, (iii) the Company cancelled and reissued 1,388,887 of the June 2009 warrants with an exercise price of $1.00 and (iv) the Company issued an additional 1,666,666 warrants with an exercise price of $1.00.</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initial fair value of the warrants issued in conjunction with the June 2009 and July 2009 bridge loans was approximately $1.3 million and $1.5 million, respectively. Due to the lack of a fixed conversion feature, the warrants were classified as a derivative and the fair value of these warrants of $2.8 million was recorded in warrant derivative liability at the date of the transaction, with the remaining fair value of the proceeds received of $2.8 million recorded as loan payable. The difference between the loan payable of $2.8 million and the face value of the bridge notes of $5.6 million was recognized over the remaining term of the loan as interest expense of $2.8 million, and is included in the statement of operations for the period ended December 31, 2009.</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conjunction with the $70.0 million October 2009 private placement, $3.6 million of the $5.5 million outstanding bridge loan notes were converted into 3,999,996 common shares and new warrants were issued to purchase 1,999,996 common shares at an exercise price of $1.50. On October 16, 2009, the date of the conversion, the fair value of the June and July 2009 warrant derivative liability was $4.3 million. The resulting increase in the fair value of the bridge loan warrants of $1.5 million was recognized as a loss on change in fair value of derivative liabilities during the period ended December 31, 2009. At October 2009, the number and value of the underlying shares became fixed and determinable, therefore, the warrants were no longer classified as derivative liability and were remeasured to fair value and reclassified from derivative liability to additional paid-in capital with the change in the fair value on the exercise date recognized in the statement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December 2007 Warrants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conjunction with a registered direct offering in December 2007, the Company issued approximately 1.0 million warrants to purchase common stock at an initial exercise price of $4.80 per share, which was later adjusted to $1.17 based on a price protection provision in the warrant. Due to the pricing variability feature, the warrants were classified as derivative liabilities. The initial fair value of these warrants at December 31, 2007 was calculated to be approximately $2.1 million. The warrant liability was re-measured at each reporting date with subsequent changes in fair value recognized in the statement of operations.</w:t>
      </w:r>
    </w:p>
    <w:p>
      <w:pPr>
        <w:spacing w:after="0" w:line="11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At December 31, 2008, the fair value of these warrants was $0.5 million and the Company recognized a gain on change in fair value of derivative liability of approximately $1.6 million for the period ended December 31, 2008, due to the decrease in the fair value of these warrants from December 31, 2007.</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December 6, 2009, in accordance with the December 2007 purchase agreement, the pricing variability feature of these warrants expired and the number and value of the underlying shares became fixed. As such, the warrants were no longer considered a derivative liability and the fair value of the warrants at December 6, 2009 was determined to be $1.0 million. The resulting increase in the fair value of the warrants of $0.5 million was recognized as a loss on change in fair value of derivative liability for the period ended December 31, 2009, and the $1.0 million fair value of the warrants was reclassified from derivative liability to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Pre-December 2007 Warrants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issued several warrants in January 2006, April 2007, June 2007 and November 2007. These have been classified as equity instruments and have been included in the Company’s consolidated balance sheet within equity at December 31,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and 2010, the Company had no borrowings.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June and July 2009 Bridge Notes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June 2009 Amarin completed a $2.6 million private placement of 8% convertible bridge loans due August 2009. In conjunction with the June 2009 bridge loan, the Company issued 1,444,442 warrants with an exercise price of $1.00. In July 2009, the Company completed a second private placement of $3.0 million of 8% convertible bridge loans due September 30, 2009. In conjunction with the July 2009 bridge loan (i) $0.1 million of the June 2009 bridge notes were repaid, (ii) the maturity date of the June 2009 bridge notes was extended to September 30, 2009, (iii) the Company cancelled and reissued 1,388,887 of the June 2009 warrants with an exercise price of $1.00 and (iv) issued an additional 1,666,663 warrants with an exercise price of $1.00 (see Note 7 – Warrants). The warrants were classified as a derivative and the fair value of these warrants of $2.8 million was recorded as a warrant derivative liability, with the remaining fair value of the proceeds received of $2.8 million recorded as loan payable. The difference between the loan payable of $2.8 million and the face value of the bridge notes of $5.6 million was recognized over the remaining term of the loan as interest expense of $2.8 million, and is included in the statement of operations for the period ended December 31, 2009.</w:t>
      </w:r>
    </w:p>
    <w:p>
      <w:pPr>
        <w:spacing w:after="0" w:line="12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conjunction with the $70.0 million October 2009 private placement, $3.6 million of the $5.5 million outstanding bridge loan notes were converted into 3,999,996 common stock and new warrants were issued to purchase 1,999,996 common shares at an exercise price of $1.50. The holders of the remaining bridge loans elected to have their principal of $1.9 million and accrued interest of $0.1 million which was repaid in cash in 2009.</w:t>
      </w:r>
    </w:p>
    <w:p>
      <w:pPr>
        <w:spacing w:after="0" w:line="182"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is, from time to time, subject to disputes arising in the normal course of business. While ultimate results of any such disputes cannot be predicted with certainty, at December 31, 2011, there were no asserted claims against the Company which in the opinion of management, would have a material effect on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Leases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leases office space and office equipment under operating and capital leases. Future minimum lease payments under these leases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 are as follows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420" w:type="dxa"/>
            <w:vAlign w:val="bottom"/>
          </w:tcPr>
          <w:p>
            <w:pPr>
              <w:spacing w:after="0"/>
              <w:rPr>
                <w:sz w:val="15"/>
                <w:szCs w:val="15"/>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4"/>
              </w:rPr>
              <w:t>Operating</w:t>
            </w:r>
          </w:p>
        </w:tc>
        <w:tc>
          <w:tcPr>
            <w:tcW w:w="36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03"/>
        </w:trPr>
        <w:tc>
          <w:tcPr>
            <w:tcW w:w="1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362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556</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2013</w:t>
            </w:r>
          </w:p>
        </w:tc>
        <w:tc>
          <w:tcPr>
            <w:tcW w:w="3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1,288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Total principal obligations</w:t>
            </w: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Long-term capital lease</w:t>
            </w: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28, 2011, the Company entered into a lease agreement for 4,327 net useable square feet of office space in Groton, Connecticut. The Lease commenced on November 28, 2011, with payment obligations to begin on the later of January 15, 2012 or the date that certain improvements are completed (the “Commencement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Date”). The Lease shall terminate on the last day of the month in which the third anniversary of the Commencement Date occurs, but may be extended by Amarin for a period of three years. Under the Lease, Amarin will pay monthly rent of approximately $8,500 for the first three years and, if Amarin chooses to extend the lease, monthly rent would increase 3% in each of years four, five and six, respectively.</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September 30, 2011, the Company entered into an agreement for 320 square feet of office space at 2 Pembroke House, Upper Pembroke Street 28-32 in Dublin, Ireland. The agreement began November 1, 2011 and terminates on October 31, 2012 but can be extended automatically for successive one year periods. Monthly rent is approximately €2,700 (approximately $3,500). The agreement can be terminated by either party with three months prior written notice.</w:t>
      </w:r>
    </w:p>
    <w:p>
      <w:pPr>
        <w:spacing w:after="0" w:line="107"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In May 2011, the Company entered into an agreement for 9,747 square feet of office space in Bedminster, NJ. Monthly rent is approximately $21,931. The agreement began July 1, 2011 and terminates on June 30, 2014. The agreement can be terminated by either party with six months prior written notice. In December 2011, the Company leased an additional 2,142 square feet in the same location under the same terms as the previous lease.</w:t>
      </w:r>
    </w:p>
    <w:p>
      <w:pPr>
        <w:spacing w:after="0" w:line="107"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As previously disclosed in Amarin’s Annual Report on Form 10-K filed on March 16, 2011 for the year ended December 31, 2010, Amarin Pharmaceuticals Ireland Limited, a subsidiary of Amarin, previously gave notice of its intent to terminate the lease agreement for the Company’s offices at Block 3, The Oval, Shelbourne Road, Dublin 4, effective as of January 2012. This lease was terminated in December 2011.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On November 1, 2008 the Company entered into a three year operating lease for office space in Mystic, CT. This lease expired on October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during the years ended 2011, 2010 and 2009 was approximately $0.5 million, $0.3 million, and $0.3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 Liability</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December 2005 the Company ceased using the office space in Ely, Cambridgeshire. Amarin is obligated to pay rent, service charges and rates to the end of the lease, which expires in November 2014. The premises have been sublet through November 2014. Liabilities for exited lease facilities at December 31, 2011 and 2010 were $0.1 million and $0.1 million respectively, and are included on the consolidated balance sheet under accrued expenses and other long-term liabilities.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140" w:hanging="325"/>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2010 supply agreement with the Company’s existing Japan-based supplier: (i) a one-time non-refundable payment of $0.5 million is due to the supplier upon the first marketing approval of AMR101 in the United States (ii) the Company is subject to minimum supply purchase commitments; and (iii) if the Company is not successful in obtaining NDA approval for AMR101, a penalty equal to the facility expansion costs incurred by the supplier to meet the supply demands, not to exceed $5.0 million, less any profits paid to the supplier for purchased materials under the existing agreement;</w:t>
      </w:r>
    </w:p>
    <w:p>
      <w:pPr>
        <w:spacing w:after="0" w:line="61" w:lineRule="exact"/>
        <w:rPr>
          <w:rFonts w:ascii="Arial" w:cs="Arial" w:eastAsia="Arial" w:hAnsi="Arial"/>
          <w:sz w:val="18"/>
          <w:szCs w:val="18"/>
          <w:color w:val="auto"/>
        </w:rPr>
      </w:pPr>
    </w:p>
    <w:p>
      <w:pPr>
        <w:ind w:left="900" w:right="200" w:hanging="325"/>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signed two agreements in 2011 for the supply of API materials for AMR101. These agreements provide access to additional API supply that is incremental to supply from its existing Japan-based API supplier. These agreements include requirements for the suppliers to qualify their materials and facilities. The Company anticipates incurring certain costs associated with the qualification of product produced by these suppliers. Following FDA approvals of AMR101, these agreements include annual purchase levels to enable Amarin to maintain exclusivity with each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323" w:lineRule="auto"/>
        <w:rPr>
          <w:sz w:val="20"/>
          <w:szCs w:val="20"/>
          <w:color w:val="auto"/>
        </w:rPr>
      </w:pPr>
      <w:r>
        <w:rPr>
          <w:rFonts w:ascii="Arial" w:cs="Arial" w:eastAsia="Arial" w:hAnsi="Arial"/>
          <w:sz w:val="15"/>
          <w:szCs w:val="15"/>
          <w:color w:val="auto"/>
        </w:rPr>
        <w:t>respective supplier, and to prevent potential termination of the agreements. Because the Company has not yet obtained FDA approval for AMR101, no liability has been recorded. The 2011 supply agreements also includes (i) development fees up to a maximum of $0.5 million (ii) material commitments of up to $5.0 million for initial raw materials, which will be credited against future API purchases, and is refundable to Amarin if the supplier does not successfully develop and qualify the API by a certain date and (iii) a raw material purchase commitment of $1.1 million.</w:t>
      </w:r>
    </w:p>
    <w:p>
      <w:pPr>
        <w:spacing w:after="0" w:line="17" w:lineRule="exact"/>
        <w:rPr>
          <w:sz w:val="20"/>
          <w:szCs w:val="20"/>
          <w:color w:val="auto"/>
        </w:rPr>
      </w:pPr>
    </w:p>
    <w:p>
      <w:pPr>
        <w:ind w:left="900" w:right="12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Concurrent with the agreement with a supplier noted above for commercial supply, Amarin agreed to make a noncontrolling minority share equity investment in the supplier of up to $3.3 million. In July 2011, the Company invested $1.7 million under this agreement, which has been included in other long term assets and accounted for under the cost method at December 31, 2011.</w:t>
      </w:r>
    </w:p>
    <w:p>
      <w:pPr>
        <w:spacing w:after="0" w:line="59"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2009 Lorazepam sale agreement with Elan, whereunder Elan did not assume any obligations under a related Neurostat development agreement and, as a result, Amarin retained a potential obligation to make two milestone payments to Neurostat, contingent upon future events: (i) a $0.2 million payment if the drug is administered to human subjects by Elan and (ii) a $0.2 million payment if the drug is tested by Elan in an efficacy study. During 2011 the Company was notified that the first milestone was completed and $0.2 million was paid in cash in October 2011.</w:t>
      </w:r>
    </w:p>
    <w:p>
      <w:pPr>
        <w:spacing w:after="0" w:line="31"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 the 2004 share repurchase agreement with Laxdale Limited, in connection with commercialization of AMR101 for cardiovascular indications, prior to the end of 2012 the Company is required to pay potential royalties to a former employee of Laxdale of 1% on net sales up to £100 million (approximately $155 million at December 31, 2011); 0.5% for net sales between £100 million (approximately $155 million at December 31, 2011) and £500 million (approximately $773 million at December 31, 2011); and 0.25% for sales in excess of £500 million (approximately $773 million at December 31, 2011).</w:t>
      </w:r>
    </w:p>
    <w:p>
      <w:pPr>
        <w:spacing w:after="0" w:line="6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addition, under this same agreement with Laxdale Limited, upon receipt of marketing approval in the U.S. and/or Europe for the first indication for AMR101 (or first indication of any product containing Amarin Neuroscience intellectual property acquired from Laxdale Limited in 2004), the Company must make an aggregate stock or cash payment to the former shareholders of Laxdale Limited (at the sole option of each of the sellers) of £7.5 million (approximately $11.6 million at December 31, 2011) for each of the two potential marketing approvals (i.e. £15 million maximum, or approximately $23.2 million at December 31, 2011).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 million (approximately $7.7 million at December 31, 2011) for each of the two potential market approvals (i.e. £10 million maximum, or approximately $15.5 million at December 31, 2011).</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December 31, 2011. The royalty obligation noted above terminates on December 31, 2012.</w:t>
      </w:r>
    </w:p>
    <w:p>
      <w:pPr>
        <w:spacing w:after="0" w:line="207" w:lineRule="exact"/>
        <w:rPr>
          <w:sz w:val="20"/>
          <w:szCs w:val="20"/>
          <w:color w:val="auto"/>
        </w:rPr>
      </w:pPr>
    </w:p>
    <w:p>
      <w:pPr>
        <w:ind w:left="240" w:right="10080" w:hanging="232"/>
        <w:spacing w:after="0" w:line="417" w:lineRule="auto"/>
        <w:tabs>
          <w:tab w:leader="none" w:pos="48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gross proceeds of $104.9 million and net proceeds of $98.7 million.</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the year ended December 31, 2011, the Company issued 2,273,221 shares as a result of the exercise of stock options, resulting in gross proceeds of $5.2 million and net proceeds of $5.1 million. In addition the Company issued 12,888,369 shares as a result of the exercise of warrants, resulting in gross proceeds of $19.0 million and net proceeds of $18.7 million.</w:t>
      </w:r>
    </w:p>
    <w:p>
      <w:pPr>
        <w:spacing w:after="0" w:line="14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conjunction with the private placement. In consideration for the $62.3 million in net proceeds Amarin issued 66.4 million units, each unit consisting of (i) one ADS (representing one ordinary share) at purchase price of $1.00 and (ii) a warrant with a five year term to purchase 0.5 of an ADS at an exercise price of $1.50 per ADS.</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In conjunction with the $70.0 million October 2009 private placement, $3.6 million of the $5.5 million outstanding bridge loan notes were converted into 3,999,996 shares of common stock and new warrants were issued to purchase 1,999,996 common shares at an exercise price of $1.50.</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October 2009, the Company issued 39,473 common shares pursuant to an agreement with Proseed Capital Holdings, for a success fee related to the settlement of the Ester milestone Ia amendment.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2009, the Company amended the terms of its acquisition agreement with the original shareholders of Ester. Under the terms of this amendment, Amarin was released from all research and development diligence obligations contained in the original agreement and authorized to seek a partner for EN101. In connection with this amendment agreement, in August 2009 the Company issued 1,315,789 common shares to the former Ester shareholders, with a fair value on the settlement date of approximately $1.8 million.</w:t>
      </w:r>
    </w:p>
    <w:p>
      <w:pPr>
        <w:spacing w:after="0" w:line="21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of December 31, 2011, interest and penalties related to any uncertain tax positions have been insignificant. The Company recognizes interest and penalties related to uncertain tax positions in the provision for income taxes. The total amount of unrecognized tax benefits that would affect the Company’s effective tax rate if recognized is $1.0 million as of December 31, 2011, compared to $0.5 million as of December 31,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total amounts of unrecognized tax benefits for the years ended December 31, 2011, 2010 and 2009:</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940" w:type="dxa"/>
            <w:vAlign w:val="bottom"/>
            <w:tcBorders>
              <w:bottom w:val="single" w:sz="8" w:color="auto"/>
            </w:tcBorders>
            <w:gridSpan w:val="2"/>
          </w:tcPr>
          <w:p>
            <w:pPr>
              <w:jc w:val="center"/>
              <w:ind w:left="480"/>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Beginning uncertain tax benefits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Current year—increases</w:t>
            </w:r>
          </w:p>
        </w:tc>
        <w:tc>
          <w:tcPr>
            <w:tcW w:w="380" w:type="dxa"/>
            <w:vAlign w:val="bottom"/>
          </w:tcPr>
          <w:p>
            <w:pPr>
              <w:jc w:val="right"/>
              <w:spacing w:after="0"/>
              <w:rPr>
                <w:sz w:val="20"/>
                <w:szCs w:val="20"/>
                <w:color w:val="auto"/>
              </w:rPr>
            </w:pPr>
            <w:r>
              <w:rPr>
                <w:rFonts w:ascii="Arial" w:cs="Arial" w:eastAsia="Arial" w:hAnsi="Arial"/>
                <w:sz w:val="18"/>
                <w:szCs w:val="18"/>
                <w:color w:val="auto"/>
              </w:rPr>
              <w:t>439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256</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year—decreases</w:t>
            </w:r>
          </w:p>
        </w:tc>
        <w:tc>
          <w:tcPr>
            <w:tcW w:w="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7"/>
              </w:rPr>
              <w:t>—</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Ending uncertain tax benefits</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997</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558</w:t>
            </w:r>
          </w:p>
        </w:tc>
        <w:tc>
          <w:tcPr>
            <w:tcW w:w="58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304</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files income tax returns in the U.S., Ireland and United Kingdom. The Company remains subject to tax examinations in the following jurisdictions at December 31,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020" w:type="dxa"/>
            <w:vAlign w:val="bottom"/>
            <w:gridSpan w:val="3"/>
          </w:tcPr>
          <w:p>
            <w:pPr>
              <w:ind w:left="460"/>
              <w:spacing w:after="0"/>
              <w:rPr>
                <w:sz w:val="20"/>
                <w:szCs w:val="20"/>
                <w:color w:val="auto"/>
              </w:rPr>
            </w:pPr>
            <w:r>
              <w:rPr>
                <w:rFonts w:ascii="Arial" w:cs="Arial" w:eastAsia="Arial" w:hAnsi="Arial"/>
                <w:sz w:val="14"/>
                <w:szCs w:val="14"/>
                <w:b w:val="1"/>
                <w:bCs w:val="1"/>
                <w:color w:val="auto"/>
              </w:rPr>
              <w:t>Jurisdiction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w w:val="84"/>
              </w:rPr>
              <w:t>Tax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ind w:left="240"/>
              <w:spacing w:after="0" w:line="203" w:lineRule="exact"/>
              <w:rPr>
                <w:sz w:val="20"/>
                <w:szCs w:val="20"/>
                <w:color w:val="auto"/>
              </w:rPr>
            </w:pPr>
            <w:r>
              <w:rPr>
                <w:rFonts w:ascii="Arial" w:cs="Arial" w:eastAsia="Arial" w:hAnsi="Arial"/>
                <w:sz w:val="18"/>
                <w:szCs w:val="18"/>
                <w:color w:val="auto"/>
                <w:w w:val="85"/>
              </w:rPr>
              <w:t>2008-2011</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6"/>
          </w:tcPr>
          <w:p>
            <w:pPr>
              <w:ind w:left="660"/>
              <w:spacing w:after="0"/>
              <w:rPr>
                <w:sz w:val="20"/>
                <w:szCs w:val="20"/>
                <w:color w:val="auto"/>
              </w:rPr>
            </w:pPr>
            <w:r>
              <w:rPr>
                <w:rFonts w:ascii="Arial" w:cs="Arial" w:eastAsia="Arial" w:hAnsi="Arial"/>
                <w:sz w:val="18"/>
                <w:szCs w:val="18"/>
                <w:color w:val="auto"/>
                <w:w w:val="85"/>
              </w:rPr>
              <w:t>2006-2011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6"/>
            <w:shd w:val="clear" w:color="auto" w:fill="CCEEFF"/>
          </w:tcPr>
          <w:p>
            <w:pPr>
              <w:ind w:left="660"/>
              <w:spacing w:after="0"/>
              <w:rPr>
                <w:sz w:val="20"/>
                <w:szCs w:val="20"/>
                <w:color w:val="auto"/>
              </w:rPr>
            </w:pPr>
            <w:r>
              <w:rPr>
                <w:rFonts w:ascii="Arial" w:cs="Arial" w:eastAsia="Arial" w:hAnsi="Arial"/>
                <w:sz w:val="18"/>
                <w:szCs w:val="18"/>
                <w:color w:val="auto"/>
                <w:w w:val="85"/>
              </w:rPr>
              <w:t>2010-2011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6400" w:type="dxa"/>
            <w:vAlign w:val="bottom"/>
            <w:gridSpan w:val="4"/>
          </w:tcPr>
          <w:p>
            <w:pPr>
              <w:spacing w:after="0"/>
              <w:rPr>
                <w:sz w:val="20"/>
                <w:szCs w:val="20"/>
                <w:color w:val="auto"/>
              </w:rPr>
            </w:pPr>
            <w:r>
              <w:rPr>
                <w:rFonts w:ascii="Arial" w:cs="Arial" w:eastAsia="Arial" w:hAnsi="Arial"/>
                <w:sz w:val="18"/>
                <w:szCs w:val="18"/>
                <w:color w:val="auto"/>
              </w:rPr>
              <w:t>The Company expects gross liabilities of $48,000 to expire in 2012.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gridSpan w:val="4"/>
          </w:tcPr>
          <w:p>
            <w:pPr>
              <w:spacing w:after="0"/>
              <w:rPr>
                <w:sz w:val="20"/>
                <w:szCs w:val="20"/>
                <w:color w:val="auto"/>
              </w:rPr>
            </w:pPr>
            <w:r>
              <w:rPr>
                <w:rFonts w:ascii="Arial" w:cs="Arial" w:eastAsia="Arial" w:hAnsi="Arial"/>
                <w:sz w:val="18"/>
                <w:szCs w:val="18"/>
                <w:color w:val="auto"/>
                <w:w w:val="92"/>
              </w:rPr>
              <w:t>The components of loss from operations before taxes were as follows at 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Ireland and United Kingdom</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(67,629)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w w:val="88"/>
              </w:rPr>
              <w:t>(252,077)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(31,669)</w:t>
            </w:r>
          </w:p>
        </w:tc>
        <w:tc>
          <w:tcPr>
            <w:tcW w:w="0" w:type="dxa"/>
            <w:vAlign w:val="bottom"/>
          </w:tcPr>
          <w:p>
            <w:pPr>
              <w:spacing w:after="0"/>
              <w:rPr>
                <w:sz w:val="1"/>
                <w:szCs w:val="1"/>
                <w:color w:val="auto"/>
              </w:rPr>
            </w:pPr>
          </w:p>
        </w:tc>
      </w:tr>
      <w:tr>
        <w:trPr>
          <w:trHeight w:val="28"/>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(66,610)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(250,090)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(31,507)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40" w:type="dxa"/>
            <w:vAlign w:val="bottom"/>
            <w:vMerge w:val="restart"/>
          </w:tcPr>
          <w:p>
            <w:pPr>
              <w:ind w:left="2980"/>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expense (benefit) from income taxes shown in the accompanying consolidated statements of operations consists of the following for fiscal 2011, 2010 and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$ 3,908</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3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$ 5,009</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1,190</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Federal-U.S.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State-U.S.</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(557)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Ireland and United Kingdom</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(6,035)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6,035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(2,493)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$ 2,516</w:t>
            </w:r>
          </w:p>
        </w:tc>
        <w:tc>
          <w:tcPr>
            <w:tcW w:w="2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expense (benefit) from income taxes differs from the amount computed by applying the statutory income tax rate to income before taxes due to the following for fiscal 2011, 2010 and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Benefits from taxes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(16,652)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(62,523)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(7,877)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Rate differential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1,945</w:t>
            </w: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Change in valuation reserves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3,540</w:t>
            </w: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Permanent &amp;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3,433</w:t>
            </w: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Warrant derivative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52,761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(1,406)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r>
      <w:tr>
        <w:trPr>
          <w:trHeight w:val="222"/>
        </w:trPr>
        <w:tc>
          <w:tcPr>
            <w:tcW w:w="5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(901)</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tax residency of Amarin Corporation plc migrated from the United Kingdom (UK) to Ireland in April 2008. As a result of the migration, unutilized UK trading losses at the date of migration are no longer available for offset against taxable profits. The Company is subject to corporate tax rate in Ireland of 25% for non-trading activities and 12.5% for trading activities. For the years ended December 31, 2011, 2010 and 2009,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effect of each type of temporary difference comprising the net deferred tax asset at December 31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32,841</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Other reserves and accrued liabilities</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38,646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(33,379)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(27,978)</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20" w:type="dxa"/>
            <w:vAlign w:val="bottom"/>
            <w:gridSpan w:val="2"/>
          </w:tcPr>
          <w:p>
            <w:pPr>
              <w:jc w:val="right"/>
              <w:ind w:right="2043"/>
              <w:spacing w:after="0"/>
              <w:rPr>
                <w:sz w:val="20"/>
                <w:szCs w:val="20"/>
                <w:color w:val="auto"/>
              </w:rPr>
            </w:pPr>
            <w:r>
              <w:rPr>
                <w:rFonts w:ascii="Arial" w:cs="Arial" w:eastAsia="Arial" w:hAnsi="Arial"/>
                <w:sz w:val="18"/>
                <w:szCs w:val="18"/>
                <w:color w:val="auto"/>
              </w:rPr>
              <w:t>F-19</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UK, and Israeli net operating losses and the related deferred tax assets would not be realized in future periods and a full valuation allowance has been provided for all periods.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combined Irish, UK, and Israeli net operating loss carryforwards of $175.7 million, which begin to expire in 2011. In addition, the Company has available U.S. Federal tax credit carryforwards of $1.2 million and state tax credit carryforwards of $1.4 million. These carryforwards which will expire between 2028 and 2030 may be used to offset future taxable income, if any. The Company believes that net operating losses attributable to Ester of $12.0 million are not likely to be realized in the future.</w:t>
      </w:r>
    </w:p>
    <w:p>
      <w:pPr>
        <w:spacing w:after="0" w:line="218"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 Based Compensation</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April 29, 2011 the Board, upon the recommendation of the Remuneration Committee, adopted the 2011 Stock Incentive Plan (“2011 Plan”), which was approved by the Company’s shareholders on July 12, 2011. The 2011 Plan replaced the Company’s 2002 Stock Option Plan (“2002 Plan”), which expired on January 1, 2012. The maximum number of the Company’s Ordinary Shares of £0.50 each or any ADS’s, as to be issued under the 2011 Plan shall not exceed the sum of (i) 3.5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our Board of Directors and expires on July 12, 2021.</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grants under the 2011 Plan, on December 16, 2011, the Company granted nonqualified stock options to an employee to purchase 600,000 shares of the Company’s ordinary shares with a 10-year term and an exercise price equal to $6.35 per share, the closing price of the Company’s American Depositary Receipts on the grant date. Twenty-five percent of the options vest on the first anniversary of the grant date with the remaining seventy-five percent to vest ratably over the subsequent 36-month period, subject to continued employment with the Company. These grants were made pursuant to an employment agreement on terms consistent with the 2011 Plan.</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terms of the 2011 Plan, options are exercisable at various periods and expire as set forth in the grant document. In the case where an incentive stock option is granted, the maximum expiration date is not later than 10 years from the date of grant. The following table summarizes all stock option activity for the year ended December 31,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center"/>
              <w:ind w:left="5"/>
              <w:spacing w:after="0"/>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174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74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86"/>
              </w:rPr>
              <w:t>Remaining</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74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1740" w:type="dxa"/>
            <w:vAlign w:val="bottom"/>
          </w:tcPr>
          <w:p>
            <w:pPr>
              <w:jc w:val="center"/>
              <w:ind w:left="5"/>
              <w:spacing w:after="0"/>
              <w:rPr>
                <w:sz w:val="20"/>
                <w:szCs w:val="20"/>
                <w:color w:val="auto"/>
              </w:rPr>
            </w:pPr>
            <w:r>
              <w:rPr>
                <w:rFonts w:ascii="Arial" w:cs="Arial" w:eastAsia="Arial" w:hAnsi="Arial"/>
                <w:sz w:val="14"/>
                <w:szCs w:val="14"/>
                <w:b w:val="1"/>
                <w:bCs w:val="1"/>
                <w:color w:val="auto"/>
                <w:w w:val="87"/>
              </w:rPr>
              <w:t>Term</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w w:val="88"/>
              </w:rPr>
              <w:t>(in thousands, except for per share amounts)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2011</w:t>
            </w:r>
          </w:p>
        </w:tc>
        <w:tc>
          <w:tcPr>
            <w:tcW w:w="3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10,028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4,445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10.53</w:t>
            </w: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Cancelled/Expired</w:t>
            </w:r>
          </w:p>
        </w:tc>
        <w:tc>
          <w:tcPr>
            <w:tcW w:w="3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16.43</w:t>
            </w: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26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2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8.68 years</w:t>
            </w:r>
          </w:p>
        </w:tc>
        <w:tc>
          <w:tcPr>
            <w:tcW w:w="680" w:type="dxa"/>
            <w:vAlign w:val="bottom"/>
            <w:shd w:val="clear" w:color="auto" w:fill="CCEEFF"/>
          </w:tcPr>
          <w:p>
            <w:pPr>
              <w:jc w:val="center"/>
              <w:ind w:left="22"/>
              <w:spacing w:after="0"/>
              <w:rPr>
                <w:sz w:val="20"/>
                <w:szCs w:val="20"/>
                <w:color w:val="auto"/>
              </w:rPr>
            </w:pPr>
            <w:r>
              <w:rPr>
                <w:rFonts w:ascii="Arial" w:cs="Arial" w:eastAsia="Arial" w:hAnsi="Arial"/>
                <w:sz w:val="18"/>
                <w:szCs w:val="18"/>
                <w:color w:val="auto"/>
                <w:w w:val="82"/>
              </w:rPr>
              <w:t>$ 40,475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2011</w:t>
            </w:r>
          </w:p>
        </w:tc>
        <w:tc>
          <w:tcPr>
            <w:tcW w:w="2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vMerge w:val="restart"/>
          </w:tcPr>
          <w:p>
            <w:pPr>
              <w:ind w:left="580"/>
              <w:spacing w:after="0"/>
              <w:rPr>
                <w:sz w:val="20"/>
                <w:szCs w:val="20"/>
                <w:color w:val="auto"/>
              </w:rPr>
            </w:pPr>
            <w:r>
              <w:rPr>
                <w:rFonts w:ascii="Arial" w:cs="Arial" w:eastAsia="Arial" w:hAnsi="Arial"/>
                <w:sz w:val="18"/>
                <w:szCs w:val="18"/>
                <w:color w:val="auto"/>
              </w:rPr>
              <w:t>8.09 years</w:t>
            </w:r>
          </w:p>
        </w:tc>
        <w:tc>
          <w:tcPr>
            <w:tcW w:w="680" w:type="dxa"/>
            <w:vAlign w:val="bottom"/>
            <w:vMerge w:val="restart"/>
          </w:tcPr>
          <w:p>
            <w:pPr>
              <w:jc w:val="center"/>
              <w:ind w:left="22"/>
              <w:spacing w:after="0"/>
              <w:rPr>
                <w:sz w:val="20"/>
                <w:szCs w:val="20"/>
                <w:color w:val="auto"/>
              </w:rPr>
            </w:pPr>
            <w:r>
              <w:rPr>
                <w:rFonts w:ascii="Arial" w:cs="Arial" w:eastAsia="Arial" w:hAnsi="Arial"/>
                <w:sz w:val="18"/>
                <w:szCs w:val="18"/>
                <w:color w:val="auto"/>
                <w:w w:val="82"/>
              </w:rPr>
              <w:t>$ 17,972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3420" w:type="dxa"/>
            <w:vAlign w:val="bottom"/>
            <w:gridSpan w:val="3"/>
          </w:tcPr>
          <w:p>
            <w:pPr>
              <w:jc w:val="right"/>
              <w:ind w:right="120"/>
              <w:spacing w:after="0"/>
              <w:rPr>
                <w:sz w:val="20"/>
                <w:szCs w:val="20"/>
                <w:color w:val="auto"/>
              </w:rPr>
            </w:pPr>
            <w:r>
              <w:rPr>
                <w:rFonts w:ascii="Arial" w:cs="Arial" w:eastAsia="Arial" w:hAnsi="Arial"/>
                <w:sz w:val="18"/>
                <w:szCs w:val="18"/>
                <w:color w:val="auto"/>
              </w:rPr>
              <w:t>3,495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17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2011</w:t>
            </w:r>
          </w:p>
        </w:tc>
        <w:tc>
          <w:tcPr>
            <w:tcW w:w="2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8.68 years</w:t>
            </w:r>
          </w:p>
        </w:tc>
        <w:tc>
          <w:tcPr>
            <w:tcW w:w="680" w:type="dxa"/>
            <w:vAlign w:val="bottom"/>
            <w:shd w:val="clear" w:color="auto" w:fill="CCEEFF"/>
          </w:tcPr>
          <w:p>
            <w:pPr>
              <w:jc w:val="center"/>
              <w:ind w:left="22"/>
              <w:spacing w:after="0"/>
              <w:rPr>
                <w:sz w:val="20"/>
                <w:szCs w:val="20"/>
                <w:color w:val="auto"/>
              </w:rPr>
            </w:pPr>
            <w:r>
              <w:rPr>
                <w:rFonts w:ascii="Arial" w:cs="Arial" w:eastAsia="Arial" w:hAnsi="Arial"/>
                <w:sz w:val="18"/>
                <w:szCs w:val="18"/>
                <w:color w:val="auto"/>
                <w:w w:val="82"/>
              </w:rPr>
              <w:t>$ 40,250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 at December 31, 2011</w:t>
            </w:r>
          </w:p>
        </w:tc>
        <w:tc>
          <w:tcPr>
            <w:tcW w:w="2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420" w:type="dxa"/>
            <w:vAlign w:val="bottom"/>
            <w:gridSpan w:val="3"/>
          </w:tcPr>
          <w:p>
            <w:pPr>
              <w:jc w:val="right"/>
              <w:ind w:right="2040"/>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 of the stock options granted during the year ended December 31, 2011, 2010 and 2009 was $8.61, $2.21, and $1.12, respectively.</w:t>
      </w:r>
    </w:p>
    <w:p>
      <w:pPr>
        <w:spacing w:after="0" w:line="20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the year ended December 31, 2011, the Company received cash of $5.2 million from the exercise of options. The intrinsic value of options exercised during fiscal 2011 was $11.9 million and $10.3 million during fiscal 2010. As of December 31, 2011 and 2010, there was $36.9 million and $9.6 million of unrecognized stock-based compensation expense related to unvested stock option share-based compensation arrangements granted under the Company’s stock award plans. This expense is expected to be recognized over a weighted-average period of approximately 2.5 years. There was an impact of $0.5 million, on the presentation in the consolidated statement of cash flows relating to excess tax benefits on the federal level that have been realized as a reduction in taxes payable for the year ended December 31, 2010. The Company recognizes compensation expense for the fair values of those awards which have graded vesting on a straight line basis. There were no option exercises during fiscal year 2009. The following table presents the stock-based compensation expense related to option awards for the period ended December 31:</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fair value of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based on the expected holding period of an industry peer group due to lack of history of employee exercises. The risk-free interest rate is based on zero-coupon U.S. Treasury securities with a maturity term approximating the expected life of the option at the date of grant. No dividend yield has been assumed as the Company does not currently pay dividends on its common stock.</w:t>
      </w:r>
    </w:p>
    <w:p>
      <w:pPr>
        <w:spacing w:after="0" w:line="11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Employee stock options granted prior to June 30, 2009 generally vested over a three-year service period. Employee stock options granted after June 30, 2009 generally vest over a four-year service period and all stock options are settled by the issuance of new shares. Compensation expense recognized for all option grants is net of estimated forfeitures and is recognized over the awards’ respective requisite service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2011, 2010 and 2009, the Company used the following assumptions to estimate the fair value of share-based payment awards: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2009</w:t>
            </w: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 - 2.56%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0.00%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105% - 112%</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ind w:left="20"/>
              <w:spacing w:after="0"/>
              <w:rPr>
                <w:sz w:val="20"/>
                <w:szCs w:val="20"/>
                <w:color w:val="auto"/>
              </w:rPr>
            </w:pPr>
            <w:r>
              <w:rPr>
                <w:rFonts w:ascii="Arial" w:cs="Arial" w:eastAsia="Arial" w:hAnsi="Arial"/>
                <w:sz w:val="18"/>
                <w:szCs w:val="18"/>
                <w:color w:val="auto"/>
              </w:rPr>
              <w:t>- 110%</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ind w:left="20"/>
              <w:spacing w:after="0"/>
              <w:rPr>
                <w:sz w:val="20"/>
                <w:szCs w:val="20"/>
                <w:color w:val="auto"/>
              </w:rPr>
            </w:pPr>
            <w:r>
              <w:rPr>
                <w:rFonts w:ascii="Arial" w:cs="Arial" w:eastAsia="Arial" w:hAnsi="Arial"/>
                <w:sz w:val="18"/>
                <w:szCs w:val="18"/>
                <w:color w:val="auto"/>
              </w:rPr>
              <w:t>- 110%</w:t>
            </w:r>
          </w:p>
        </w:tc>
      </w:tr>
    </w:tbl>
    <w:p>
      <w:pPr>
        <w:spacing w:after="0" w:line="222"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9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sponsored a defined contribution plan for certain of its employees and makes available a 401(k) plan for its U.S. employees to which it made contributions in prior years. Contributions made by the Company for the years ended December 31, 2011, 2010 and 2009 amounted to $-0-, $21,000, and $306,000,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October 2009 Private Placement</w:t>
      </w:r>
    </w:p>
    <w:p>
      <w:pPr>
        <w:spacing w:after="0" w:line="9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Dr. Joseph Anderson, a Director of Amarin, is a partner; (ii) 7 million ADSs purchased by Orbimed Advisors LLC, where Dr. Carl L. Gordon, a Director of Amarin, is a General Partner;</w:t>
      </w:r>
    </w:p>
    <w:p>
      <w:pPr>
        <w:spacing w:after="0" w:line="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7 million ADSs purchased by Sofinnova Venture Partners VII, L.P., where Dr. James I. Healy, a Director of Amarin, is a Managing General Partner; and</w:t>
      </w:r>
    </w:p>
    <w:p>
      <w:pPr>
        <w:spacing w:after="0" w:line="32" w:lineRule="exact"/>
        <w:rPr>
          <w:rFonts w:ascii="Arial" w:cs="Arial" w:eastAsia="Arial" w:hAnsi="Arial"/>
          <w:sz w:val="16"/>
          <w:szCs w:val="16"/>
          <w:color w:val="auto"/>
        </w:rPr>
      </w:pPr>
    </w:p>
    <w:p>
      <w:pPr>
        <w:ind w:right="40" w:firstLine="8"/>
        <w:spacing w:after="0" w:line="253" w:lineRule="auto"/>
        <w:tabs>
          <w:tab w:leader="none" w:pos="2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5 million ADSs purchased by Fountain Healthcare Partners Fund 1, L.P. Fountain Healthcare Partners Ltd. is the sole General Partner of Fountain Healthcare Partners Fund 1, L.P. Dr Manus Rogan is a Managing Partner of Fountain Healthcare Partners Ltd. and until December 2011 was a non-executive director of Amarin. In addition, for every ADS purchased, the investor received warrants to purchase 0.5 of an ADS. Of the $123.1 million warrant derivative liability at December 31, 2011, the fair value of the warrants held by the current and former directors of the Company and their related investment funds amounted to $102.0 million.</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June 2009 Convertible Bridge Notes</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Sunninghill Ltd, a company controlled by Dr. John Climax, a non-executive director of Amarin until October 2009, purchased $2.0 million of the Company’s June 2009 convertible bridge loans and $1.0 million of the Company’s July 2009 convertible bridge loans. In addition, Mr. Thomas Lynch, then an executive director of Amarin, purchased $0.3 million of the Company’s June 2009 bridge loans. These loans were retired in October 2009 in conjunction with the private placement.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Elan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February 2007 Amarin signed a development and license agreement with Elan Pharma International Ltd, a subsidiary of Elan Corporation, plc (Elan), licensing the rights to develop and market a nasal formulation of lorazepam (NanoCrystal </w:t>
      </w:r>
      <w:r>
        <w:rPr>
          <w:rFonts w:ascii="Arial" w:cs="Arial" w:eastAsia="Arial" w:hAnsi="Arial"/>
          <w:sz w:val="11"/>
          <w:szCs w:val="11"/>
          <w:color w:val="auto"/>
        </w:rPr>
        <w:t>®</w:t>
      </w:r>
      <w:r>
        <w:rPr>
          <w:rFonts w:ascii="Arial" w:cs="Arial" w:eastAsia="Arial" w:hAnsi="Arial"/>
          <w:sz w:val="18"/>
          <w:szCs w:val="18"/>
          <w:color w:val="auto"/>
        </w:rPr>
        <w:t xml:space="preserve"> ). Mr. Shane Cooke, chief financial officer of Elan is related to Mr. Alan Cooke, former president of Amarin. In 2009 we sold all rights in lorazepam back to Elan for $0.7 million, which has been included in other income at December 31, 2009.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Transactions with Directors and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Mr. Thomas Lynch</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March 2007 Amarin’s Remuneration Committee approved an agreement between the Company and Dalriada Ltd for consultancy services relating to financing and other corporate matters. Under the agreement, the Company paid Dalriada Ltd £240,000 per annum through June 30, 2010, at which time the agreement terminated. An additional amount of £195,000 was approved by the remuneration committee of which £75,000 ($121,500) was paid during the year ended December 31, 2007 for consultancy services, with the remainder being paid during the year ended December 31, 2008. In January 2009, the annual consultancy fee was revised to €300,000 ($400,000) per annum and an additional performance related payment of $100,000 was paid. Dalriada Ltd is owned by a family trust, the beneficiaries of which include Mr. Thomas Lynch, former Amarin Chairman and Chief Executive Officer.</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October 16, 2009, Mr. Lynch was issued 500,000 warrants to purchase common shares of Amarin upon the completion of the $70.0 million financing. The fair value of these warrants on the date of grant was $669,000, which was included in stock compensation expense for the year ended December 31, 2009. In conjunction with Mr. Lynch’s participation in the June and July 2009 bridge loans, he received 277,777 shares and 277,776 warrants. The warrants are exercisable for five years from issuance, 138,888 warrants have an exercise price of $1.00 and 138,888 warrants have an exercise price of $1.50.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Mr. Alan Cooke</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October 16, 2009, Mr. Cooke, Amarin’s former President, entered a compromise agreement with the Company. Pursuant to the compromise agreement, Mr. Cooke received a termination payment of €375,000 ($607,500) and his options to purchase shares in the Company became fully vested. These options were exercised during 2010. Also on October 16, 2009, Mr. Cooke was issued 247,050 warrants to purchase shares in Amarin. The fair value of these warrants on the date of grant was $331,000, which was included in stock compensation expense for the year ended December 31, 2009. The warrant exercise price is $1.50 and they are exercisable for five years from the issuance date.</w:t>
      </w:r>
    </w:p>
    <w:p>
      <w:pPr>
        <w:spacing w:after="0" w:line="191"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Summarized Financial Information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w w:val="98"/>
              </w:rPr>
              <w:t>Fiscal year ended December 31, 2011</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7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1st</w:t>
            </w:r>
          </w:p>
        </w:tc>
        <w:tc>
          <w:tcPr>
            <w:tcW w:w="540" w:type="dxa"/>
            <w:vAlign w:val="bottom"/>
          </w:tcPr>
          <w:p>
            <w:pPr>
              <w:spacing w:after="0"/>
              <w:rPr>
                <w:sz w:val="11"/>
                <w:szCs w:val="11"/>
                <w:color w:val="auto"/>
              </w:rPr>
            </w:pPr>
          </w:p>
        </w:tc>
        <w:tc>
          <w:tcPr>
            <w:tcW w:w="840" w:type="dxa"/>
            <w:vAlign w:val="bottom"/>
          </w:tcPr>
          <w:p>
            <w:pPr>
              <w:jc w:val="right"/>
              <w:ind w:right="377"/>
              <w:spacing w:after="0" w:line="129" w:lineRule="exact"/>
              <w:rPr>
                <w:sz w:val="20"/>
                <w:szCs w:val="20"/>
                <w:color w:val="auto"/>
              </w:rPr>
            </w:pPr>
            <w:r>
              <w:rPr>
                <w:rFonts w:ascii="Arial" w:cs="Arial" w:eastAsia="Arial" w:hAnsi="Arial"/>
                <w:sz w:val="14"/>
                <w:szCs w:val="14"/>
                <w:b w:val="1"/>
                <w:bCs w:val="1"/>
                <w:color w:val="auto"/>
              </w:rPr>
              <w:t>2nd</w:t>
            </w:r>
          </w:p>
        </w:tc>
        <w:tc>
          <w:tcPr>
            <w:tcW w:w="480" w:type="dxa"/>
            <w:vAlign w:val="bottom"/>
          </w:tcPr>
          <w:p>
            <w:pPr>
              <w:spacing w:after="0"/>
              <w:rPr>
                <w:sz w:val="11"/>
                <w:szCs w:val="11"/>
                <w:color w:val="auto"/>
              </w:rPr>
            </w:pPr>
          </w:p>
        </w:tc>
        <w:tc>
          <w:tcPr>
            <w:tcW w:w="820" w:type="dxa"/>
            <w:vAlign w:val="bottom"/>
          </w:tcPr>
          <w:p>
            <w:pPr>
              <w:jc w:val="right"/>
              <w:ind w:right="436"/>
              <w:spacing w:after="0" w:line="129" w:lineRule="exact"/>
              <w:rPr>
                <w:sz w:val="20"/>
                <w:szCs w:val="20"/>
                <w:color w:val="auto"/>
              </w:rPr>
            </w:pPr>
            <w:r>
              <w:rPr>
                <w:rFonts w:ascii="Arial" w:cs="Arial" w:eastAsia="Arial" w:hAnsi="Arial"/>
                <w:sz w:val="14"/>
                <w:szCs w:val="14"/>
                <w:b w:val="1"/>
                <w:bCs w:val="1"/>
                <w:color w:val="auto"/>
              </w:rPr>
              <w:t>3rd</w:t>
            </w:r>
          </w:p>
        </w:tc>
        <w:tc>
          <w:tcPr>
            <w:tcW w:w="360" w:type="dxa"/>
            <w:vAlign w:val="bottom"/>
          </w:tcPr>
          <w:p>
            <w:pPr>
              <w:spacing w:after="0"/>
              <w:rPr>
                <w:sz w:val="11"/>
                <w:szCs w:val="11"/>
                <w:color w:val="auto"/>
              </w:rPr>
            </w:pPr>
          </w:p>
        </w:tc>
        <w:tc>
          <w:tcPr>
            <w:tcW w:w="50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1"/>
                <w:szCs w:val="11"/>
                <w:color w:val="auto"/>
              </w:rPr>
            </w:pPr>
          </w:p>
        </w:tc>
      </w:tr>
      <w:tr>
        <w:trPr>
          <w:trHeight w:val="161"/>
        </w:trPr>
        <w:tc>
          <w:tcPr>
            <w:tcW w:w="4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w:t>
            </w:r>
          </w:p>
        </w:tc>
        <w:tc>
          <w:tcPr>
            <w:tcW w:w="540" w:type="dxa"/>
            <w:vAlign w:val="bottom"/>
          </w:tcPr>
          <w:p>
            <w:pPr>
              <w:spacing w:after="0"/>
              <w:rPr>
                <w:sz w:val="14"/>
                <w:szCs w:val="14"/>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w w:val="94"/>
              </w:rPr>
              <w:t>Quarter</w:t>
            </w:r>
          </w:p>
        </w:tc>
        <w:tc>
          <w:tcPr>
            <w:tcW w:w="130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4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4"/>
          </w:tcPr>
          <w:p>
            <w:pPr>
              <w:jc w:val="right"/>
              <w:ind w:right="16"/>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(loss)(1)</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w w:val="87"/>
              </w:rPr>
              <w:t>18,294</w:t>
            </w:r>
          </w:p>
        </w:tc>
        <w:tc>
          <w:tcPr>
            <w:tcW w:w="540" w:type="dxa"/>
            <w:vAlign w:val="bottom"/>
          </w:tcPr>
          <w:p>
            <w:pPr>
              <w:spacing w:after="0"/>
              <w:rPr>
                <w:sz w:val="18"/>
                <w:szCs w:val="18"/>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w w:val="88"/>
              </w:rPr>
              <w:t>(202,103)</w:t>
            </w:r>
          </w:p>
        </w:tc>
        <w:tc>
          <w:tcPr>
            <w:tcW w:w="480" w:type="dxa"/>
            <w:vAlign w:val="bottom"/>
          </w:tcPr>
          <w:p>
            <w:pPr>
              <w:spacing w:after="0"/>
              <w:rPr>
                <w:sz w:val="18"/>
                <w:szCs w:val="18"/>
                <w:color w:val="auto"/>
              </w:rPr>
            </w:pPr>
          </w:p>
        </w:tc>
        <w:tc>
          <w:tcPr>
            <w:tcW w:w="820" w:type="dxa"/>
            <w:vAlign w:val="bottom"/>
          </w:tcPr>
          <w:p>
            <w:pPr>
              <w:jc w:val="right"/>
              <w:ind w:right="236"/>
              <w:spacing w:after="0"/>
              <w:rPr>
                <w:sz w:val="20"/>
                <w:szCs w:val="20"/>
                <w:color w:val="auto"/>
              </w:rPr>
            </w:pPr>
            <w:r>
              <w:rPr>
                <w:rFonts w:ascii="Arial" w:cs="Arial" w:eastAsia="Arial" w:hAnsi="Arial"/>
                <w:sz w:val="18"/>
                <w:szCs w:val="18"/>
                <w:color w:val="auto"/>
                <w:w w:val="87"/>
              </w:rPr>
              <w:t>96,345</w:t>
            </w:r>
          </w:p>
        </w:tc>
        <w:tc>
          <w:tcPr>
            <w:tcW w:w="3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18,338</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Basic</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0.15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(1.58)</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36"/>
              <w:spacing w:after="0"/>
              <w:rPr>
                <w:sz w:val="20"/>
                <w:szCs w:val="20"/>
                <w:color w:val="auto"/>
              </w:rPr>
            </w:pPr>
            <w:r>
              <w:rPr>
                <w:rFonts w:ascii="Arial" w:cs="Arial" w:eastAsia="Arial" w:hAnsi="Arial"/>
                <w:sz w:val="18"/>
                <w:szCs w:val="18"/>
                <w:color w:val="auto"/>
              </w:rPr>
              <w:t>0.72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0.62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r>
      <w:tr>
        <w:trPr>
          <w:trHeight w:val="351"/>
        </w:trPr>
        <w:tc>
          <w:tcPr>
            <w:tcW w:w="4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5"/>
              </w:rPr>
              <w:t>Fiscal year ended December 31, 2010</w:t>
            </w: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47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1st</w:t>
            </w:r>
          </w:p>
        </w:tc>
        <w:tc>
          <w:tcPr>
            <w:tcW w:w="1380" w:type="dxa"/>
            <w:vAlign w:val="bottom"/>
            <w:gridSpan w:val="2"/>
          </w:tcPr>
          <w:p>
            <w:pPr>
              <w:jc w:val="right"/>
              <w:ind w:right="557"/>
              <w:spacing w:after="0" w:line="129" w:lineRule="exact"/>
              <w:rPr>
                <w:sz w:val="20"/>
                <w:szCs w:val="20"/>
                <w:color w:val="auto"/>
              </w:rPr>
            </w:pPr>
            <w:r>
              <w:rPr>
                <w:rFonts w:ascii="Arial" w:cs="Arial" w:eastAsia="Arial" w:hAnsi="Arial"/>
                <w:sz w:val="14"/>
                <w:szCs w:val="14"/>
                <w:b w:val="1"/>
                <w:bCs w:val="1"/>
                <w:color w:val="auto"/>
              </w:rPr>
              <w:t>2nd</w:t>
            </w:r>
          </w:p>
        </w:tc>
        <w:tc>
          <w:tcPr>
            <w:tcW w:w="13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3rd</w:t>
            </w:r>
          </w:p>
        </w:tc>
        <w:tc>
          <w:tcPr>
            <w:tcW w:w="360" w:type="dxa"/>
            <w:vAlign w:val="bottom"/>
          </w:tcPr>
          <w:p>
            <w:pPr>
              <w:spacing w:after="0"/>
              <w:rPr>
                <w:sz w:val="11"/>
                <w:szCs w:val="11"/>
                <w:color w:val="auto"/>
              </w:rPr>
            </w:pPr>
          </w:p>
        </w:tc>
        <w:tc>
          <w:tcPr>
            <w:tcW w:w="48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w w:val="85"/>
              </w:rPr>
              <w:t>4th</w:t>
            </w:r>
          </w:p>
        </w:tc>
        <w:tc>
          <w:tcPr>
            <w:tcW w:w="100" w:type="dxa"/>
            <w:vAlign w:val="bottom"/>
            <w:gridSpan w:val="2"/>
          </w:tcPr>
          <w:p>
            <w:pPr>
              <w:spacing w:after="0"/>
              <w:rPr>
                <w:sz w:val="11"/>
                <w:szCs w:val="11"/>
                <w:color w:val="auto"/>
              </w:rPr>
            </w:pPr>
          </w:p>
        </w:tc>
      </w:tr>
      <w:tr>
        <w:trPr>
          <w:trHeight w:val="161"/>
        </w:trPr>
        <w:tc>
          <w:tcPr>
            <w:tcW w:w="4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4"/>
              </w:rPr>
              <w:t>Quarter</w:t>
            </w:r>
          </w:p>
        </w:tc>
        <w:tc>
          <w:tcPr>
            <w:tcW w:w="138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Quarter</w:t>
            </w:r>
          </w:p>
        </w:tc>
        <w:tc>
          <w:tcPr>
            <w:tcW w:w="130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4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4"/>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loss(2)</w:t>
            </w:r>
          </w:p>
        </w:tc>
        <w:tc>
          <w:tcPr>
            <w:tcW w:w="3060" w:type="dxa"/>
            <w:vAlign w:val="bottom"/>
            <w:gridSpan w:val="4"/>
          </w:tcPr>
          <w:p>
            <w:pPr>
              <w:jc w:val="right"/>
              <w:ind w:right="176"/>
              <w:spacing w:after="0"/>
              <w:rPr>
                <w:sz w:val="20"/>
                <w:szCs w:val="20"/>
                <w:color w:val="auto"/>
              </w:rPr>
            </w:pPr>
            <w:r>
              <w:rPr>
                <w:rFonts w:ascii="Arial" w:cs="Arial" w:eastAsia="Arial" w:hAnsi="Arial"/>
                <w:sz w:val="18"/>
                <w:szCs w:val="18"/>
                <w:color w:val="auto"/>
              </w:rPr>
              <w:t>(9,211)</w:t>
            </w:r>
          </w:p>
        </w:tc>
        <w:tc>
          <w:tcPr>
            <w:tcW w:w="1380" w:type="dxa"/>
            <w:vAlign w:val="bottom"/>
            <w:gridSpan w:val="2"/>
          </w:tcPr>
          <w:p>
            <w:pPr>
              <w:jc w:val="right"/>
              <w:ind w:right="297"/>
              <w:spacing w:after="0"/>
              <w:rPr>
                <w:sz w:val="20"/>
                <w:szCs w:val="20"/>
                <w:color w:val="auto"/>
              </w:rPr>
            </w:pPr>
            <w:r>
              <w:rPr>
                <w:rFonts w:ascii="Arial" w:cs="Arial" w:eastAsia="Arial" w:hAnsi="Arial"/>
                <w:sz w:val="18"/>
                <w:szCs w:val="18"/>
                <w:color w:val="auto"/>
              </w:rPr>
              <w:t>(41,357)</w:t>
            </w:r>
          </w:p>
        </w:tc>
        <w:tc>
          <w:tcPr>
            <w:tcW w:w="1300" w:type="dxa"/>
            <w:vAlign w:val="bottom"/>
            <w:gridSpan w:val="2"/>
          </w:tcPr>
          <w:p>
            <w:pPr>
              <w:jc w:val="right"/>
              <w:ind w:right="356"/>
              <w:spacing w:after="0"/>
              <w:rPr>
                <w:sz w:val="20"/>
                <w:szCs w:val="20"/>
                <w:color w:val="auto"/>
              </w:rPr>
            </w:pPr>
            <w:r>
              <w:rPr>
                <w:rFonts w:ascii="Arial" w:cs="Arial" w:eastAsia="Arial" w:hAnsi="Arial"/>
                <w:sz w:val="18"/>
                <w:szCs w:val="18"/>
                <w:color w:val="auto"/>
              </w:rPr>
              <w:t>(11,209)</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(187,812)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basic and diluted share:</w:t>
            </w:r>
          </w:p>
        </w:tc>
        <w:tc>
          <w:tcPr>
            <w:tcW w:w="3060" w:type="dxa"/>
            <w:vAlign w:val="bottom"/>
            <w:gridSpan w:val="4"/>
            <w:shd w:val="clear" w:color="auto" w:fill="CCEEFF"/>
          </w:tcPr>
          <w:p>
            <w:pPr>
              <w:jc w:val="right"/>
              <w:ind w:right="176"/>
              <w:spacing w:after="0"/>
              <w:rPr>
                <w:sz w:val="20"/>
                <w:szCs w:val="20"/>
                <w:color w:val="auto"/>
              </w:rPr>
            </w:pPr>
            <w:r>
              <w:rPr>
                <w:rFonts w:ascii="Arial" w:cs="Arial" w:eastAsia="Arial" w:hAnsi="Arial"/>
                <w:sz w:val="18"/>
                <w:szCs w:val="18"/>
                <w:color w:val="auto"/>
              </w:rPr>
              <w:t>$ (0.09)</w:t>
            </w:r>
          </w:p>
        </w:tc>
        <w:tc>
          <w:tcPr>
            <w:tcW w:w="5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93"/>
              </w:rPr>
              <w:t>(0.42)</w:t>
            </w:r>
          </w:p>
        </w:tc>
        <w:tc>
          <w:tcPr>
            <w:tcW w:w="1300" w:type="dxa"/>
            <w:vAlign w:val="bottom"/>
            <w:gridSpan w:val="2"/>
            <w:shd w:val="clear" w:color="auto" w:fill="CCEEFF"/>
          </w:tcPr>
          <w:p>
            <w:pPr>
              <w:jc w:val="right"/>
              <w:ind w:right="356"/>
              <w:spacing w:after="0"/>
              <w:rPr>
                <w:sz w:val="20"/>
                <w:szCs w:val="20"/>
                <w:color w:val="auto"/>
              </w:rPr>
            </w:pPr>
            <w:r>
              <w:rPr>
                <w:rFonts w:ascii="Arial" w:cs="Arial" w:eastAsia="Arial" w:hAnsi="Arial"/>
                <w:sz w:val="18"/>
                <w:szCs w:val="18"/>
                <w:color w:val="auto"/>
              </w:rPr>
              <w:t>$  (0.11)</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bl>
    <w:p>
      <w:pPr>
        <w:spacing w:after="0" w:line="194" w:lineRule="exact"/>
        <w:rPr>
          <w:sz w:val="20"/>
          <w:szCs w:val="20"/>
          <w:color w:val="auto"/>
        </w:rPr>
      </w:pPr>
    </w:p>
    <w:p>
      <w:pPr>
        <w:ind w:left="460" w:right="160" w:hanging="452"/>
        <w:spacing w:after="0" w:line="283"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net income generated in the first, third and fourth quarters of 2011 were due to the change in the fair value of the warrant derivative liability at each respective quarterly reporting period in 2011. As a result of a decrease in the Company’s stock price at each respective quarter end versus the previous quarter end, the value of the derivative liability decreased, resulting in non-cash income for change in the fair value of the warrant derivative. The loss in the second quarter of 2011 was also due primarily to the change in the fair value of the warrant derivative liability, which was due to the Company’s stock price increasing in value at June 30, 2011, versus March 31, 2011.</w:t>
      </w:r>
    </w:p>
    <w:p>
      <w:pPr>
        <w:spacing w:after="0" w:line="2" w:lineRule="exact"/>
        <w:rPr>
          <w:rFonts w:ascii="Arial" w:cs="Arial" w:eastAsia="Arial" w:hAnsi="Arial"/>
          <w:sz w:val="16"/>
          <w:szCs w:val="16"/>
          <w:color w:val="auto"/>
        </w:rPr>
      </w:pPr>
    </w:p>
    <w:p>
      <w:pPr>
        <w:ind w:left="460" w:right="44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 in net loss in the fourth quarter of 2010 is primarily due to the change in the fair value of the warrant derivative liability as a result of the change in the Company’s stock price at December 31, 2010.</w:t>
      </w:r>
    </w:p>
    <w:p>
      <w:pPr>
        <w:spacing w:after="0" w:line="213"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January 2012, the Company completed the sale of $150.0 million in aggregate principal amount of 3.5% Convertible Senior Notes due 2032. The notes were issued by Corsicanto Limited, an Irish limited company acquired by Amarin in January 2012. Corsicanto Limited is a wholly-owned subsidiary of Amarin Corporation plc. The general, unsecured, senior obligations are guaranteed by the parent. Net proceeds to us, after payment of underwriting fees and estimated expenses, were approximately $144.3 million. The notes bear cash interest at a rate of 3.5% per year, payable semiannually in arrears on January 15 and July 15 of each year, beginning on July 15, 2012 and mature on January 15, 2032. The notes are subject to repurchase by us at the option of the holders on each of January 19, 2017, January 19, 2022, and January 19, 2027, at a price equal to 100% of the principal amount of the notes to be repurchased, plus accrued and unpaid interest to, but excluding, the fundamental change repurchase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Holders may convert their notes at their option at any time prior to the close of business on the business day immediately preceding October 15, 2031 only under the following circumstances: (1) during any calendar quarter commencing after March 31, 2012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the consecutive business day period immediately following any five consecutive trading day period, or the measurement period, in which the trading price per $1,000 principal amount of notes for each trading day of the measurement period was less than 98% of the product of the last reported sale price of the Company’s common stock and the conversion rate on each such trading day; (3) if the Company calls any or all of the notes for redemption, at any time prior to the close of business on the scheduled trading day immediately preceding the redemption date; or (4) upon the occurrence of specified corporate events. On or after October 15, 2031 until the close of business on the second scheduled trading day immediately preceding the maturity date, holders may convert their notes at any time, regardless of the foregoing conditions have been satisfied. Upon conversion, the Company will pay or deliver, as the case may be, cash, shares of its common stock (and cash in lieu of any fractional share) or a combination of cash and shares of its common stock, at the Company’s election. The conversion rate will initially be 113.4572 shares of common stock per $1,000 principal amount of notes (equivalent to an initial conversion price of approximately $8.8125 per share of common stock). The conversion rate will be subject to adjustment in some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in certain circumstances and will pay to such holder any accrued and unpaid interest on the notes to but excluding the conversion date.</w:t>
      </w:r>
    </w:p>
    <w:p>
      <w:pPr>
        <w:spacing w:after="0" w:line="12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 On or after January 19, 2017 and prior to the maturity date, the Company may redeem for cash all or part of the notes at a redemption price equal to 100% of the principal amount of the notes to be redeemed, plus accrued and unpaid interest to, but excluding, the redemption date. No sinking fund is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in right of payment to future secured indebtedness to the extent of the value of the assets securing such indebtedness.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AMENDED AND RESTATED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3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AMARIN CORPORATION PLC</w:t>
      </w:r>
    </w:p>
    <w:p>
      <w:pPr>
        <w:spacing w:after="0" w:line="33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Depositary,</w:t>
      </w:r>
    </w:p>
    <w:p>
      <w:pPr>
        <w:spacing w:after="0" w:line="3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HOLDERS AND BENEFICIAL OWNERS OF</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November 4, 2011</w:t>
      </w:r>
    </w:p>
    <w:p>
      <w:pPr>
        <w:sectPr>
          <w:pgSz w:w="11900" w:h="16838" w:orient="portrait"/>
          <w:cols w:equalWidth="0" w:num="1">
            <w:col w:w="10220"/>
          </w:cols>
          <w:pgMar w:left="1440" w:top="125" w:right="239" w:bottom="1440" w:gutter="0" w:footer="0" w:header="0"/>
        </w:sectPr>
      </w:pPr>
    </w:p>
    <w:bookmarkStart w:id="101" w:name="page102"/>
    <w:bookmarkEnd w:id="101"/>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9780" w:type="dxa"/>
            <w:vAlign w:val="bottom"/>
            <w:gridSpan w:val="36"/>
          </w:tcPr>
          <w:p>
            <w:pPr>
              <w:spacing w:after="0"/>
              <w:rPr>
                <w:sz w:val="20"/>
                <w:szCs w:val="20"/>
                <w:color w:val="auto"/>
              </w:rPr>
            </w:pPr>
            <w:r>
              <w:rPr>
                <w:rFonts w:ascii="Arial" w:cs="Arial" w:eastAsia="Arial" w:hAnsi="Arial"/>
                <w:sz w:val="18"/>
                <w:szCs w:val="18"/>
                <w:color w:val="auto"/>
              </w:rPr>
              <w:t>ARTICLE I 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“ADS Record Date”</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“Affiliate”</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1.3</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“American Depositary Receipt(s)”, “ADR(s)” and “Receipt(s)”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1.4</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“American Depositary Share(s)” and “ADS(s)”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1.5</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“Applicant”</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1.6</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“Beneficial Owner”</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1.7</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“Certificated ADS(s)”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1.8</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“Commission”</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1.9</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1.10</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“CREST”</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1.11</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“Custodian”</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1.12</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“Deliver” and “Delivery”</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1.13</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“Deposit Agreement”</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1.14</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“Depositary”</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1.15</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“Deposited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1.16</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“Dollars” and “$”</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1.17</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“DTC”</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1.18</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“DTC Participant”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1.19</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“Exchange Act”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1.20</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“Foreign Currency”</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56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1.21</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“Full Entitlement ADR(s)”, “Full Entitlement ADS(s)” and “Full Entitlement Share(s)”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560" w:type="dxa"/>
            <w:vAlign w:val="bottom"/>
            <w:tcBorders>
              <w:left w:val="single" w:sz="8" w:color="auto"/>
            </w:tcBorders>
            <w:gridSpan w:val="6"/>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1.22</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1.23</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“Original Deposit Agreement”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9"/>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1.23</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“Pound(s) Sterling”, “Pound(s)” and “£”</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9"/>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1.24</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“Partial Entitlement ADR(s)”, “Partial Entitlement ADS(s)” and “Partial Entitlement Share(s)”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gridSpan w:val="15"/>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20" w:type="dxa"/>
            <w:vAlign w:val="bottom"/>
            <w:gridSpan w:val="10"/>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Section 1.25</w:t>
            </w:r>
          </w:p>
        </w:tc>
        <w:tc>
          <w:tcPr>
            <w:tcW w:w="8660" w:type="dxa"/>
            <w:vAlign w:val="bottom"/>
            <w:gridSpan w:val="35"/>
          </w:tcPr>
          <w:p>
            <w:pPr>
              <w:ind w:left="220"/>
              <w:spacing w:after="0"/>
              <w:rPr>
                <w:sz w:val="20"/>
                <w:szCs w:val="20"/>
                <w:color w:val="auto"/>
              </w:rPr>
            </w:pPr>
            <w:r>
              <w:rPr>
                <w:rFonts w:ascii="Arial" w:cs="Arial" w:eastAsia="Arial" w:hAnsi="Arial"/>
                <w:sz w:val="18"/>
                <w:szCs w:val="18"/>
                <w:b w:val="1"/>
                <w:bCs w:val="1"/>
                <w:color w:val="auto"/>
              </w:rPr>
              <w:t>“Pre-Release Transaction”</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11320"/>
          </w:cols>
          <w:pgMar w:left="240" w:top="261" w:right="33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1.26</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“Principal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1.27</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“Registrar”</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1.28</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“Restricted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1.29</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“Restricted ADR(s)”, “Restricted ADS(s)” and “Restricted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1.30</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“Securities Act”</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1.31</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“Share Registrar”</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1.32</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1.33</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“United States” and “U.S.”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44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44"/>
        </w:trPr>
        <w:tc>
          <w:tcPr>
            <w:tcW w:w="11020" w:type="dxa"/>
            <w:vAlign w:val="bottom"/>
            <w:gridSpan w:val="27"/>
          </w:tcPr>
          <w:p>
            <w:pPr>
              <w:spacing w:after="0"/>
              <w:rPr>
                <w:sz w:val="20"/>
                <w:szCs w:val="20"/>
                <w:color w:val="auto"/>
              </w:rPr>
            </w:pPr>
            <w:r>
              <w:rPr>
                <w:rFonts w:ascii="Arial" w:cs="Arial" w:eastAsia="Arial" w:hAnsi="Arial"/>
                <w:sz w:val="18"/>
                <w:szCs w:val="18"/>
                <w:color w:val="auto"/>
                <w:w w:val="94"/>
              </w:rPr>
              <w:t>ARTICLE II APPOINTMENT OF DEPOSITARY; FORM OF RECEIPTS; DEPOSIT OF SHARES; EXECUTION AND DELIVERY, TRANSFER AND</w:t>
            </w:r>
          </w:p>
        </w:tc>
        <w:tc>
          <w:tcPr>
            <w:tcW w:w="300" w:type="dxa"/>
            <w:vAlign w:val="bottom"/>
          </w:tcPr>
          <w:p>
            <w:pPr>
              <w:spacing w:after="0"/>
              <w:rPr>
                <w:sz w:val="24"/>
                <w:szCs w:val="24"/>
                <w:color w:val="auto"/>
              </w:rPr>
            </w:pPr>
          </w:p>
        </w:tc>
      </w:tr>
      <w:tr>
        <w:trPr>
          <w:trHeight w:val="222"/>
        </w:trPr>
        <w:tc>
          <w:tcPr>
            <w:tcW w:w="11020" w:type="dxa"/>
            <w:vAlign w:val="bottom"/>
            <w:gridSpan w:val="27"/>
          </w:tcPr>
          <w:p>
            <w:pPr>
              <w:spacing w:after="0"/>
              <w:rPr>
                <w:sz w:val="20"/>
                <w:szCs w:val="20"/>
                <w:color w:val="auto"/>
              </w:rPr>
            </w:pPr>
            <w:r>
              <w:rPr>
                <w:rFonts w:ascii="Arial" w:cs="Arial" w:eastAsia="Arial" w:hAnsi="Arial"/>
                <w:sz w:val="18"/>
                <w:szCs w:val="18"/>
                <w:color w:val="auto"/>
              </w:rPr>
              <w:t>SURRENDER OF RECEIPTS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9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2.1</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Appointment of Depositary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36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2.2</w:t>
            </w:r>
          </w:p>
        </w:tc>
        <w:tc>
          <w:tcPr>
            <w:tcW w:w="258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w w:val="89"/>
              </w:rPr>
              <w:t>Form and Transferability of ADSs</w:t>
            </w:r>
          </w:p>
        </w:tc>
        <w:tc>
          <w:tcPr>
            <w:tcW w:w="70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2.3</w:t>
            </w:r>
          </w:p>
        </w:tc>
        <w:tc>
          <w:tcPr>
            <w:tcW w:w="132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84"/>
              </w:rPr>
              <w:t>Deposit of Shares</w:t>
            </w:r>
          </w:p>
        </w:tc>
        <w:tc>
          <w:tcPr>
            <w:tcW w:w="834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2.4</w:t>
            </w:r>
          </w:p>
        </w:tc>
        <w:tc>
          <w:tcPr>
            <w:tcW w:w="4000" w:type="dxa"/>
            <w:vAlign w:val="bottom"/>
            <w:tcBorders>
              <w:bottom w:val="single" w:sz="8" w:color="auto"/>
            </w:tcBorders>
            <w:gridSpan w:val="21"/>
          </w:tcPr>
          <w:p>
            <w:pPr>
              <w:spacing w:after="0"/>
              <w:rPr>
                <w:sz w:val="20"/>
                <w:szCs w:val="20"/>
                <w:color w:val="auto"/>
              </w:rPr>
            </w:pPr>
            <w:r>
              <w:rPr>
                <w:rFonts w:ascii="Arial" w:cs="Arial" w:eastAsia="Arial" w:hAnsi="Arial"/>
                <w:sz w:val="18"/>
                <w:szCs w:val="18"/>
                <w:b w:val="1"/>
                <w:bCs w:val="1"/>
                <w:color w:val="auto"/>
                <w:w w:val="86"/>
              </w:rPr>
              <w:t>Registration and Safekeeping of Deposited Securities</w:t>
            </w:r>
          </w:p>
        </w:tc>
        <w:tc>
          <w:tcPr>
            <w:tcW w:w="56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2.5</w:t>
            </w:r>
          </w:p>
        </w:tc>
        <w:tc>
          <w:tcPr>
            <w:tcW w:w="12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1"/>
              </w:rPr>
              <w:t>Issuance of ADSs</w:t>
            </w:r>
          </w:p>
        </w:tc>
        <w:tc>
          <w:tcPr>
            <w:tcW w:w="838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2.6</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Transfer, Combination and Split-up of ADRs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36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2.7</w:t>
            </w:r>
          </w:p>
        </w:tc>
        <w:tc>
          <w:tcPr>
            <w:tcW w:w="4460" w:type="dxa"/>
            <w:vAlign w:val="bottom"/>
            <w:tcBorders>
              <w:bottom w:val="single" w:sz="8" w:color="auto"/>
            </w:tcBorders>
            <w:gridSpan w:val="22"/>
          </w:tcPr>
          <w:p>
            <w:pPr>
              <w:spacing w:after="0"/>
              <w:rPr>
                <w:sz w:val="20"/>
                <w:szCs w:val="20"/>
                <w:color w:val="auto"/>
              </w:rPr>
            </w:pPr>
            <w:r>
              <w:rPr>
                <w:rFonts w:ascii="Arial" w:cs="Arial" w:eastAsia="Arial" w:hAnsi="Arial"/>
                <w:sz w:val="18"/>
                <w:szCs w:val="18"/>
                <w:b w:val="1"/>
                <w:bCs w:val="1"/>
                <w:color w:val="auto"/>
                <w:w w:val="88"/>
              </w:rPr>
              <w:t>Surrender of ADSs and Withdrawal of Deposited Securities</w:t>
            </w:r>
          </w:p>
        </w:tc>
        <w:tc>
          <w:tcPr>
            <w:tcW w:w="52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2.8</w:t>
            </w:r>
          </w:p>
        </w:tc>
        <w:tc>
          <w:tcPr>
            <w:tcW w:w="7480" w:type="dxa"/>
            <w:vAlign w:val="bottom"/>
            <w:tcBorders>
              <w:bottom w:val="single" w:sz="8" w:color="auto"/>
            </w:tcBorders>
            <w:gridSpan w:val="25"/>
          </w:tcPr>
          <w:p>
            <w:pPr>
              <w:spacing w:after="0"/>
              <w:rPr>
                <w:sz w:val="20"/>
                <w:szCs w:val="20"/>
                <w:color w:val="auto"/>
              </w:rPr>
            </w:pPr>
            <w:r>
              <w:rPr>
                <w:rFonts w:ascii="Arial" w:cs="Arial" w:eastAsia="Arial" w:hAnsi="Arial"/>
                <w:sz w:val="18"/>
                <w:szCs w:val="18"/>
                <w:b w:val="1"/>
                <w:bCs w:val="1"/>
                <w:color w:val="auto"/>
                <w:w w:val="87"/>
              </w:rPr>
              <w:t>Limitations on Execution and Delivery, Transfer, etc. of ADSs; Suspension of Delivery, Transfer, etc.</w:t>
            </w:r>
          </w:p>
        </w:tc>
        <w:tc>
          <w:tcPr>
            <w:tcW w:w="2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2.9</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Lost ADRs, etc.</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36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2.10</w:t>
            </w:r>
          </w:p>
        </w:tc>
        <w:tc>
          <w:tcPr>
            <w:tcW w:w="5800" w:type="dxa"/>
            <w:vAlign w:val="bottom"/>
            <w:tcBorders>
              <w:bottom w:val="single" w:sz="8" w:color="auto"/>
            </w:tcBorders>
            <w:gridSpan w:val="24"/>
          </w:tcPr>
          <w:p>
            <w:pPr>
              <w:spacing w:after="0"/>
              <w:rPr>
                <w:sz w:val="20"/>
                <w:szCs w:val="20"/>
                <w:color w:val="auto"/>
              </w:rPr>
            </w:pPr>
            <w:r>
              <w:rPr>
                <w:rFonts w:ascii="Arial" w:cs="Arial" w:eastAsia="Arial" w:hAnsi="Arial"/>
                <w:sz w:val="18"/>
                <w:szCs w:val="18"/>
                <w:b w:val="1"/>
                <w:bCs w:val="1"/>
                <w:color w:val="auto"/>
                <w:w w:val="88"/>
              </w:rPr>
              <w:t>Cancellation and Destruction of Surrendered ADRs; Maintenance of Records</w:t>
            </w:r>
          </w:p>
        </w:tc>
        <w:tc>
          <w:tcPr>
            <w:tcW w:w="38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2.11</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Escheatment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36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2.12</w:t>
            </w:r>
          </w:p>
        </w:tc>
        <w:tc>
          <w:tcPr>
            <w:tcW w:w="19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w w:val="90"/>
              </w:rPr>
              <w:t>Partial Entitlement ADSs</w:t>
            </w:r>
          </w:p>
        </w:tc>
        <w:tc>
          <w:tcPr>
            <w:tcW w:w="77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2.13</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Certificated/Uncertificated ADSs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2.14</w:t>
            </w:r>
          </w:p>
        </w:tc>
        <w:tc>
          <w:tcPr>
            <w:tcW w:w="12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7"/>
              </w:rPr>
              <w:t>Restricted ADSs</w:t>
            </w:r>
          </w:p>
        </w:tc>
        <w:tc>
          <w:tcPr>
            <w:tcW w:w="1200" w:type="dxa"/>
            <w:vAlign w:val="bottom"/>
            <w:tcBorders>
              <w:top w:val="single" w:sz="8" w:color="auto"/>
            </w:tcBorders>
            <w:gridSpan w:val="7"/>
          </w:tcPr>
          <w:p>
            <w:pPr>
              <w:spacing w:after="0"/>
              <w:rPr>
                <w:sz w:val="24"/>
                <w:szCs w:val="24"/>
                <w:color w:val="auto"/>
              </w:rPr>
            </w:pPr>
          </w:p>
        </w:tc>
        <w:tc>
          <w:tcPr>
            <w:tcW w:w="71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51"/>
        </w:trPr>
        <w:tc>
          <w:tcPr>
            <w:tcW w:w="11020" w:type="dxa"/>
            <w:vAlign w:val="bottom"/>
            <w:gridSpan w:val="27"/>
          </w:tcPr>
          <w:p>
            <w:pPr>
              <w:spacing w:after="0"/>
              <w:rPr>
                <w:sz w:val="20"/>
                <w:szCs w:val="20"/>
                <w:color w:val="auto"/>
              </w:rPr>
            </w:pPr>
            <w:r>
              <w:rPr>
                <w:rFonts w:ascii="Arial" w:cs="Arial" w:eastAsia="Arial" w:hAnsi="Arial"/>
                <w:sz w:val="18"/>
                <w:szCs w:val="18"/>
                <w:color w:val="auto"/>
              </w:rPr>
              <w:t>ARTICLE III CERTAIN OBLIGATIONS OF HOLDERS AND BENEFICIAL OWNERS OF ADSs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3.1</w:t>
            </w:r>
          </w:p>
        </w:tc>
        <w:tc>
          <w:tcPr>
            <w:tcW w:w="322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w w:val="89"/>
              </w:rPr>
              <w:t>Proofs, Certificates and Other Information</w:t>
            </w:r>
          </w:p>
        </w:tc>
        <w:tc>
          <w:tcPr>
            <w:tcW w:w="64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3.2</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Liability for Taxes and Other Charges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360" w:type="dxa"/>
            <w:vAlign w:val="bottom"/>
          </w:tcPr>
          <w:p>
            <w:pPr>
              <w:spacing w:after="0" w:line="20" w:lineRule="exact"/>
              <w:rPr>
                <w:sz w:val="1"/>
                <w:szCs w:val="1"/>
                <w:color w:val="auto"/>
              </w:rPr>
            </w:pPr>
          </w:p>
        </w:tc>
        <w:tc>
          <w:tcPr>
            <w:tcW w:w="2860" w:type="dxa"/>
            <w:vAlign w:val="bottom"/>
            <w:gridSpan w:val="16"/>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360" w:type="dxa"/>
            <w:vAlign w:val="bottom"/>
          </w:tcPr>
          <w:p>
            <w:pPr>
              <w:spacing w:after="0"/>
              <w:rPr>
                <w:sz w:val="20"/>
                <w:szCs w:val="20"/>
                <w:color w:val="auto"/>
              </w:rPr>
            </w:pPr>
            <w:r>
              <w:rPr>
                <w:rFonts w:ascii="Arial" w:cs="Arial" w:eastAsia="Arial" w:hAnsi="Arial"/>
                <w:sz w:val="18"/>
                <w:szCs w:val="18"/>
                <w:b w:val="1"/>
                <w:bCs w:val="1"/>
                <w:color w:val="auto"/>
              </w:rPr>
              <w:t>Section 3.3</w:t>
            </w:r>
          </w:p>
        </w:tc>
        <w:tc>
          <w:tcPr>
            <w:tcW w:w="9660" w:type="dxa"/>
            <w:vAlign w:val="bottom"/>
            <w:gridSpan w:val="26"/>
          </w:tcPr>
          <w:p>
            <w:pPr>
              <w:spacing w:after="0"/>
              <w:rPr>
                <w:sz w:val="20"/>
                <w:szCs w:val="20"/>
                <w:color w:val="auto"/>
              </w:rPr>
            </w:pPr>
            <w:r>
              <w:rPr>
                <w:rFonts w:ascii="Arial" w:cs="Arial" w:eastAsia="Arial" w:hAnsi="Arial"/>
                <w:sz w:val="18"/>
                <w:szCs w:val="18"/>
                <w:b w:val="1"/>
                <w:bCs w:val="1"/>
                <w:color w:val="auto"/>
              </w:rPr>
              <w:t>Representations and Warranties on Deposit of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932" w:right="33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3.4</w:t>
            </w:r>
          </w:p>
        </w:tc>
        <w:tc>
          <w:tcPr>
            <w:tcW w:w="29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w w:val="88"/>
              </w:rPr>
              <w:t>Compliance with Information Requests</w:t>
            </w:r>
          </w:p>
        </w:tc>
        <w:tc>
          <w:tcPr>
            <w:tcW w:w="3220" w:type="dxa"/>
            <w:vAlign w:val="bottom"/>
            <w:gridSpan w:val="8"/>
          </w:tcPr>
          <w:p>
            <w:pPr>
              <w:spacing w:after="0"/>
              <w:rPr>
                <w:sz w:val="17"/>
                <w:szCs w:val="17"/>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3.5</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Ownership Restrictions</w:t>
            </w:r>
          </w:p>
        </w:tc>
        <w:tc>
          <w:tcPr>
            <w:tcW w:w="3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3.6</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Reporting Obligations and Regulatory Approvals</w:t>
            </w:r>
          </w:p>
        </w:tc>
        <w:tc>
          <w:tcPr>
            <w:tcW w:w="3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51"/>
        </w:trPr>
        <w:tc>
          <w:tcPr>
            <w:tcW w:w="7420" w:type="dxa"/>
            <w:vAlign w:val="bottom"/>
            <w:gridSpan w:val="25"/>
          </w:tcPr>
          <w:p>
            <w:pPr>
              <w:spacing w:after="0"/>
              <w:rPr>
                <w:sz w:val="20"/>
                <w:szCs w:val="20"/>
                <w:color w:val="auto"/>
              </w:rPr>
            </w:pPr>
            <w:r>
              <w:rPr>
                <w:rFonts w:ascii="Arial" w:cs="Arial" w:eastAsia="Arial" w:hAnsi="Arial"/>
                <w:sz w:val="18"/>
                <w:szCs w:val="18"/>
                <w:color w:val="auto"/>
              </w:rPr>
              <w:t>ARTICLE IV THE DEPOSITED SECURITIES</w:t>
            </w:r>
          </w:p>
        </w:tc>
        <w:tc>
          <w:tcPr>
            <w:tcW w:w="3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Cash Distributions</w:t>
            </w:r>
          </w:p>
        </w:tc>
        <w:tc>
          <w:tcPr>
            <w:tcW w:w="3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4.2</w:t>
            </w:r>
          </w:p>
        </w:tc>
        <w:tc>
          <w:tcPr>
            <w:tcW w:w="16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87"/>
              </w:rPr>
              <w:t>Distribution in Shares</w:t>
            </w:r>
          </w:p>
        </w:tc>
        <w:tc>
          <w:tcPr>
            <w:tcW w:w="4520" w:type="dxa"/>
            <w:vAlign w:val="bottom"/>
            <w:gridSpan w:val="14"/>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4.3</w:t>
            </w:r>
          </w:p>
        </w:tc>
        <w:tc>
          <w:tcPr>
            <w:tcW w:w="3000" w:type="dxa"/>
            <w:vAlign w:val="bottom"/>
            <w:tcBorders>
              <w:bottom w:val="single" w:sz="8" w:color="auto"/>
            </w:tcBorders>
            <w:gridSpan w:val="17"/>
          </w:tcPr>
          <w:p>
            <w:pPr>
              <w:spacing w:after="0"/>
              <w:rPr>
                <w:sz w:val="20"/>
                <w:szCs w:val="20"/>
                <w:color w:val="auto"/>
              </w:rPr>
            </w:pPr>
            <w:r>
              <w:rPr>
                <w:rFonts w:ascii="Arial" w:cs="Arial" w:eastAsia="Arial" w:hAnsi="Arial"/>
                <w:sz w:val="18"/>
                <w:szCs w:val="18"/>
                <w:b w:val="1"/>
                <w:bCs w:val="1"/>
                <w:color w:val="auto"/>
                <w:w w:val="87"/>
              </w:rPr>
              <w:t>Elective Distributions in Cash or Shares</w:t>
            </w:r>
          </w:p>
        </w:tc>
        <w:tc>
          <w:tcPr>
            <w:tcW w:w="3180" w:type="dxa"/>
            <w:vAlign w:val="bottom"/>
            <w:gridSpan w:val="7"/>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4.4</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Distribution of Rights to Purchase Additional ADSs</w:t>
            </w:r>
          </w:p>
        </w:tc>
        <w:tc>
          <w:tcPr>
            <w:tcW w:w="3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4.5</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Distributions Other Than Cash, Shares or Rights to Purchase Shares</w:t>
            </w:r>
          </w:p>
        </w:tc>
        <w:tc>
          <w:tcPr>
            <w:tcW w:w="3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4.6</w:t>
            </w:r>
          </w:p>
        </w:tc>
        <w:tc>
          <w:tcPr>
            <w:tcW w:w="5140" w:type="dxa"/>
            <w:vAlign w:val="bottom"/>
            <w:tcBorders>
              <w:top w:val="single" w:sz="8" w:color="auto"/>
            </w:tcBorders>
            <w:gridSpan w:val="23"/>
          </w:tcPr>
          <w:p>
            <w:pPr>
              <w:spacing w:after="0"/>
              <w:rPr>
                <w:sz w:val="20"/>
                <w:szCs w:val="20"/>
                <w:color w:val="auto"/>
              </w:rPr>
            </w:pPr>
            <w:r>
              <w:rPr>
                <w:rFonts w:ascii="Arial" w:cs="Arial" w:eastAsia="Arial" w:hAnsi="Arial"/>
                <w:sz w:val="18"/>
                <w:szCs w:val="18"/>
                <w:b w:val="1"/>
                <w:bCs w:val="1"/>
                <w:color w:val="auto"/>
                <w:w w:val="90"/>
              </w:rPr>
              <w:t>Distributions with Respect to Deposited Securities in Bearer Form</w:t>
            </w:r>
          </w:p>
        </w:tc>
        <w:tc>
          <w:tcPr>
            <w:tcW w:w="1040" w:type="dxa"/>
            <w:vAlign w:val="bottom"/>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4.7</w:t>
            </w:r>
          </w:p>
        </w:tc>
        <w:tc>
          <w:tcPr>
            <w:tcW w:w="9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Redemption</w:t>
            </w:r>
          </w:p>
        </w:tc>
        <w:tc>
          <w:tcPr>
            <w:tcW w:w="4020" w:type="dxa"/>
            <w:vAlign w:val="bottom"/>
            <w:tcBorders>
              <w:top w:val="single" w:sz="8" w:color="auto"/>
            </w:tcBorders>
            <w:gridSpan w:val="19"/>
          </w:tcPr>
          <w:p>
            <w:pPr>
              <w:spacing w:after="0"/>
              <w:rPr>
                <w:sz w:val="24"/>
                <w:szCs w:val="24"/>
                <w:color w:val="auto"/>
              </w:rPr>
            </w:pPr>
          </w:p>
        </w:tc>
        <w:tc>
          <w:tcPr>
            <w:tcW w:w="1240" w:type="dxa"/>
            <w:vAlign w:val="bottom"/>
            <w:gridSpan w:val="2"/>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4.8</w:t>
            </w:r>
          </w:p>
        </w:tc>
        <w:tc>
          <w:tcPr>
            <w:tcW w:w="24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w w:val="87"/>
              </w:rPr>
              <w:t>Conversion of Foreign Currency</w:t>
            </w:r>
          </w:p>
        </w:tc>
        <w:tc>
          <w:tcPr>
            <w:tcW w:w="3740" w:type="dxa"/>
            <w:vAlign w:val="bottom"/>
            <w:gridSpan w:val="10"/>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4.9</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Fixing of ADS Record Date</w:t>
            </w:r>
          </w:p>
        </w:tc>
        <w:tc>
          <w:tcPr>
            <w:tcW w:w="3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4.10</w:t>
            </w:r>
          </w:p>
        </w:tc>
        <w:tc>
          <w:tcPr>
            <w:tcW w:w="22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b w:val="1"/>
                <w:bCs w:val="1"/>
                <w:color w:val="auto"/>
                <w:w w:val="85"/>
              </w:rPr>
              <w:t>Voting of Deposited Securities</w:t>
            </w:r>
          </w:p>
        </w:tc>
        <w:tc>
          <w:tcPr>
            <w:tcW w:w="3940" w:type="dxa"/>
            <w:vAlign w:val="bottom"/>
            <w:gridSpan w:val="11"/>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4.11</w:t>
            </w:r>
          </w:p>
        </w:tc>
        <w:tc>
          <w:tcPr>
            <w:tcW w:w="294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w w:val="85"/>
              </w:rPr>
              <w:t>Changes Affecting Deposited Securities</w:t>
            </w:r>
          </w:p>
        </w:tc>
        <w:tc>
          <w:tcPr>
            <w:tcW w:w="3240" w:type="dxa"/>
            <w:vAlign w:val="bottom"/>
            <w:gridSpan w:val="9"/>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4.12</w:t>
            </w:r>
          </w:p>
        </w:tc>
        <w:tc>
          <w:tcPr>
            <w:tcW w:w="16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89"/>
              </w:rPr>
              <w:t>Available Information</w:t>
            </w:r>
          </w:p>
        </w:tc>
        <w:tc>
          <w:tcPr>
            <w:tcW w:w="4520" w:type="dxa"/>
            <w:vAlign w:val="bottom"/>
            <w:gridSpan w:val="14"/>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4.13</w:t>
            </w: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Reports</w:t>
            </w:r>
          </w:p>
        </w:tc>
        <w:tc>
          <w:tcPr>
            <w:tcW w:w="5580" w:type="dxa"/>
            <w:vAlign w:val="bottom"/>
            <w:gridSpan w:val="23"/>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4.14</w:t>
            </w:r>
          </w:p>
        </w:tc>
        <w:tc>
          <w:tcPr>
            <w:tcW w:w="1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List of Holders</w:t>
            </w:r>
          </w:p>
        </w:tc>
        <w:tc>
          <w:tcPr>
            <w:tcW w:w="5060" w:type="dxa"/>
            <w:vAlign w:val="bottom"/>
            <w:gridSpan w:val="19"/>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4.15</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Taxation</w:t>
            </w:r>
          </w:p>
        </w:tc>
        <w:tc>
          <w:tcPr>
            <w:tcW w:w="5520" w:type="dxa"/>
            <w:vAlign w:val="bottom"/>
            <w:gridSpan w:val="22"/>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1"/>
        </w:trPr>
        <w:tc>
          <w:tcPr>
            <w:tcW w:w="7420" w:type="dxa"/>
            <w:vAlign w:val="bottom"/>
            <w:gridSpan w:val="25"/>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3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5.1</w:t>
            </w:r>
          </w:p>
        </w:tc>
        <w:tc>
          <w:tcPr>
            <w:tcW w:w="4460" w:type="dxa"/>
            <w:vAlign w:val="bottom"/>
            <w:tcBorders>
              <w:bottom w:val="single" w:sz="8" w:color="auto"/>
            </w:tcBorders>
            <w:gridSpan w:val="21"/>
          </w:tcPr>
          <w:p>
            <w:pPr>
              <w:spacing w:after="0"/>
              <w:rPr>
                <w:sz w:val="20"/>
                <w:szCs w:val="20"/>
                <w:color w:val="auto"/>
              </w:rPr>
            </w:pPr>
            <w:r>
              <w:rPr>
                <w:rFonts w:ascii="Arial" w:cs="Arial" w:eastAsia="Arial" w:hAnsi="Arial"/>
                <w:sz w:val="18"/>
                <w:szCs w:val="18"/>
                <w:b w:val="1"/>
                <w:bCs w:val="1"/>
                <w:color w:val="auto"/>
                <w:w w:val="88"/>
              </w:rPr>
              <w:t>Maintenance of Office and Transfer Books by the Registrar</w:t>
            </w:r>
          </w:p>
        </w:tc>
        <w:tc>
          <w:tcPr>
            <w:tcW w:w="1720" w:type="dxa"/>
            <w:vAlign w:val="bottom"/>
            <w:gridSpan w:val="3"/>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5.2</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Exoneration</w:t>
            </w:r>
          </w:p>
        </w:tc>
        <w:tc>
          <w:tcPr>
            <w:tcW w:w="3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24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5.3</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Standard of Care</w:t>
            </w:r>
          </w:p>
        </w:tc>
        <w:tc>
          <w:tcPr>
            <w:tcW w:w="3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24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5.4</w:t>
            </w:r>
          </w:p>
        </w:tc>
        <w:tc>
          <w:tcPr>
            <w:tcW w:w="6180" w:type="dxa"/>
            <w:vAlign w:val="bottom"/>
            <w:tcBorders>
              <w:bottom w:val="single" w:sz="8" w:color="auto"/>
            </w:tcBorders>
            <w:gridSpan w:val="24"/>
          </w:tcPr>
          <w:p>
            <w:pPr>
              <w:spacing w:after="0"/>
              <w:rPr>
                <w:sz w:val="20"/>
                <w:szCs w:val="20"/>
                <w:color w:val="auto"/>
              </w:rPr>
            </w:pPr>
            <w:r>
              <w:rPr>
                <w:rFonts w:ascii="Arial" w:cs="Arial" w:eastAsia="Arial" w:hAnsi="Arial"/>
                <w:sz w:val="18"/>
                <w:szCs w:val="18"/>
                <w:b w:val="1"/>
                <w:bCs w:val="1"/>
                <w:color w:val="auto"/>
                <w:w w:val="86"/>
              </w:rPr>
              <w:t>Resignation and Removal of the Depositary; Appointment of Successor Depositary</w:t>
            </w:r>
          </w:p>
        </w:tc>
        <w:tc>
          <w:tcPr>
            <w:tcW w:w="3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5.5</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The Custodian</w:t>
            </w:r>
          </w:p>
        </w:tc>
        <w:tc>
          <w:tcPr>
            <w:tcW w:w="3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24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5.6</w:t>
            </w:r>
          </w:p>
        </w:tc>
        <w:tc>
          <w:tcPr>
            <w:tcW w:w="6180" w:type="dxa"/>
            <w:vAlign w:val="bottom"/>
            <w:gridSpan w:val="24"/>
          </w:tcPr>
          <w:p>
            <w:pPr>
              <w:spacing w:after="0"/>
              <w:rPr>
                <w:sz w:val="20"/>
                <w:szCs w:val="20"/>
                <w:color w:val="auto"/>
              </w:rPr>
            </w:pPr>
            <w:r>
              <w:rPr>
                <w:rFonts w:ascii="Arial" w:cs="Arial" w:eastAsia="Arial" w:hAnsi="Arial"/>
                <w:sz w:val="18"/>
                <w:szCs w:val="18"/>
                <w:b w:val="1"/>
                <w:bCs w:val="1"/>
                <w:color w:val="auto"/>
              </w:rPr>
              <w:t>Notices and Reports</w:t>
            </w:r>
          </w:p>
        </w:tc>
        <w:tc>
          <w:tcPr>
            <w:tcW w:w="3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240" w:type="dxa"/>
            <w:vAlign w:val="bottom"/>
          </w:tcPr>
          <w:p>
            <w:pPr>
              <w:spacing w:after="0" w:line="20" w:lineRule="exact"/>
              <w:rPr>
                <w:sz w:val="1"/>
                <w:szCs w:val="1"/>
                <w:color w:val="auto"/>
              </w:rPr>
            </w:pPr>
          </w:p>
        </w:tc>
        <w:tc>
          <w:tcPr>
            <w:tcW w:w="1200" w:type="dxa"/>
            <w:vAlign w:val="bottom"/>
            <w:gridSpan w:val="6"/>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5.7</w:t>
            </w:r>
          </w:p>
        </w:tc>
        <w:tc>
          <w:tcPr>
            <w:tcW w:w="304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w w:val="85"/>
              </w:rPr>
              <w:t>Issuance of Additional Shares, ADSs etc.</w:t>
            </w:r>
          </w:p>
        </w:tc>
        <w:tc>
          <w:tcPr>
            <w:tcW w:w="3140" w:type="dxa"/>
            <w:vAlign w:val="bottom"/>
            <w:gridSpan w:val="6"/>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5.8</w:t>
            </w:r>
          </w:p>
        </w:tc>
        <w:tc>
          <w:tcPr>
            <w:tcW w:w="12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8"/>
              </w:rPr>
              <w:t>Indemnification</w:t>
            </w:r>
          </w:p>
        </w:tc>
        <w:tc>
          <w:tcPr>
            <w:tcW w:w="4980" w:type="dxa"/>
            <w:vAlign w:val="bottom"/>
            <w:gridSpan w:val="18"/>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20"/>
          </w:cols>
          <w:pgMar w:left="240" w:top="932" w:right="3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5.9</w:t>
            </w:r>
          </w:p>
        </w:tc>
        <w:tc>
          <w:tcPr>
            <w:tcW w:w="2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85"/>
              </w:rPr>
              <w:t>Fees and Charges of Depositary</w:t>
            </w:r>
          </w:p>
        </w:tc>
        <w:tc>
          <w:tcPr>
            <w:tcW w:w="4680" w:type="dxa"/>
            <w:vAlign w:val="bottom"/>
            <w:gridSpan w:val="5"/>
          </w:tcPr>
          <w:p>
            <w:pPr>
              <w:spacing w:after="0"/>
              <w:rPr>
                <w:sz w:val="17"/>
                <w:szCs w:val="17"/>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5.10</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Pre-Release Transactions</w:t>
            </w:r>
          </w:p>
        </w:tc>
        <w:tc>
          <w:tcPr>
            <w:tcW w:w="3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5.11</w:t>
            </w:r>
          </w:p>
        </w:tc>
        <w:tc>
          <w:tcPr>
            <w:tcW w:w="21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86"/>
              </w:rPr>
              <w:t>Restricted Securities Owners</w:t>
            </w:r>
          </w:p>
        </w:tc>
        <w:tc>
          <w:tcPr>
            <w:tcW w:w="488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51"/>
        </w:trPr>
        <w:tc>
          <w:tcPr>
            <w:tcW w:w="8300" w:type="dxa"/>
            <w:vAlign w:val="bottom"/>
            <w:gridSpan w:val="16"/>
          </w:tcPr>
          <w:p>
            <w:pPr>
              <w:spacing w:after="0"/>
              <w:rPr>
                <w:sz w:val="20"/>
                <w:szCs w:val="20"/>
                <w:color w:val="auto"/>
              </w:rPr>
            </w:pPr>
            <w:r>
              <w:rPr>
                <w:rFonts w:ascii="Arial" w:cs="Arial" w:eastAsia="Arial" w:hAnsi="Arial"/>
                <w:sz w:val="18"/>
                <w:szCs w:val="18"/>
                <w:color w:val="auto"/>
              </w:rPr>
              <w:t>ARTICLE VI AMENDMENT AND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9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6.1</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Amendment/Supplement</w:t>
            </w:r>
          </w:p>
        </w:tc>
        <w:tc>
          <w:tcPr>
            <w:tcW w:w="3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6.2</w:t>
            </w:r>
          </w:p>
        </w:tc>
        <w:tc>
          <w:tcPr>
            <w:tcW w:w="188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Termination</w:t>
            </w:r>
          </w:p>
        </w:tc>
        <w:tc>
          <w:tcPr>
            <w:tcW w:w="5180" w:type="dxa"/>
            <w:vAlign w:val="bottom"/>
            <w:gridSpan w:val="8"/>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51"/>
        </w:trPr>
        <w:tc>
          <w:tcPr>
            <w:tcW w:w="8300" w:type="dxa"/>
            <w:vAlign w:val="bottom"/>
            <w:gridSpan w:val="16"/>
          </w:tcPr>
          <w:p>
            <w:pPr>
              <w:spacing w:after="0"/>
              <w:rPr>
                <w:sz w:val="20"/>
                <w:szCs w:val="20"/>
                <w:color w:val="auto"/>
              </w:rPr>
            </w:pPr>
            <w:r>
              <w:rPr>
                <w:rFonts w:ascii="Arial" w:cs="Arial" w:eastAsia="Arial" w:hAnsi="Arial"/>
                <w:sz w:val="18"/>
                <w:szCs w:val="18"/>
                <w:color w:val="auto"/>
              </w:rPr>
              <w:t>ARTICLE VII MISCELLANEOUS</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9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7.1</w:t>
            </w:r>
          </w:p>
        </w:tc>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Counterparts</w:t>
            </w:r>
          </w:p>
        </w:tc>
        <w:tc>
          <w:tcPr>
            <w:tcW w:w="6040" w:type="dxa"/>
            <w:vAlign w:val="bottom"/>
            <w:gridSpan w:val="11"/>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7.2</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No Third-Party Beneficiaries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7.3</w:t>
            </w:r>
          </w:p>
        </w:tc>
        <w:tc>
          <w:tcPr>
            <w:tcW w:w="9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Severability</w:t>
            </w:r>
          </w:p>
        </w:tc>
        <w:tc>
          <w:tcPr>
            <w:tcW w:w="1260" w:type="dxa"/>
            <w:vAlign w:val="bottom"/>
            <w:tcBorders>
              <w:top w:val="single" w:sz="8" w:color="auto"/>
            </w:tcBorders>
            <w:gridSpan w:val="5"/>
          </w:tcPr>
          <w:p>
            <w:pPr>
              <w:spacing w:after="0"/>
              <w:rPr>
                <w:sz w:val="24"/>
                <w:szCs w:val="24"/>
                <w:color w:val="auto"/>
              </w:rPr>
            </w:pPr>
          </w:p>
        </w:tc>
        <w:tc>
          <w:tcPr>
            <w:tcW w:w="488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7.4</w:t>
            </w:r>
          </w:p>
        </w:tc>
        <w:tc>
          <w:tcPr>
            <w:tcW w:w="430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w w:val="87"/>
              </w:rPr>
              <w:t>Holders and Beneficial Owners as Parties; Binding Effect</w:t>
            </w:r>
          </w:p>
        </w:tc>
        <w:tc>
          <w:tcPr>
            <w:tcW w:w="27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7.5</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7.6</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Governing Law and Jurisdiction</w:t>
            </w:r>
          </w:p>
        </w:tc>
        <w:tc>
          <w:tcPr>
            <w:tcW w:w="3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7.7</w:t>
            </w: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Assignment</w:t>
            </w:r>
          </w:p>
        </w:tc>
        <w:tc>
          <w:tcPr>
            <w:tcW w:w="1560" w:type="dxa"/>
            <w:vAlign w:val="bottom"/>
            <w:tcBorders>
              <w:top w:val="single" w:sz="8" w:color="auto"/>
            </w:tcBorders>
            <w:gridSpan w:val="9"/>
          </w:tcPr>
          <w:p>
            <w:pPr>
              <w:spacing w:after="0"/>
              <w:rPr>
                <w:sz w:val="24"/>
                <w:szCs w:val="24"/>
                <w:color w:val="auto"/>
              </w:rPr>
            </w:pPr>
          </w:p>
        </w:tc>
        <w:tc>
          <w:tcPr>
            <w:tcW w:w="462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7.8</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Compliance with U.S. Securities Laws</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7.9</w:t>
            </w:r>
          </w:p>
        </w:tc>
        <w:tc>
          <w:tcPr>
            <w:tcW w:w="2840" w:type="dxa"/>
            <w:vAlign w:val="bottom"/>
            <w:tcBorders>
              <w:top w:val="single" w:sz="8" w:color="auto"/>
            </w:tcBorders>
            <w:gridSpan w:val="13"/>
          </w:tcPr>
          <w:p>
            <w:pPr>
              <w:spacing w:after="0"/>
              <w:rPr>
                <w:sz w:val="20"/>
                <w:szCs w:val="20"/>
                <w:color w:val="auto"/>
              </w:rPr>
            </w:pPr>
            <w:r>
              <w:rPr>
                <w:rFonts w:ascii="Arial" w:cs="Arial" w:eastAsia="Arial" w:hAnsi="Arial"/>
                <w:sz w:val="18"/>
                <w:szCs w:val="18"/>
                <w:b w:val="1"/>
                <w:bCs w:val="1"/>
                <w:color w:val="auto"/>
                <w:w w:val="91"/>
              </w:rPr>
              <w:t>England and Wales Law References</w:t>
            </w:r>
          </w:p>
        </w:tc>
        <w:tc>
          <w:tcPr>
            <w:tcW w:w="4220" w:type="dxa"/>
            <w:vAlign w:val="bottom"/>
            <w:gridSpan w:val="2"/>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7.10</w:t>
            </w:r>
          </w:p>
        </w:tc>
        <w:tc>
          <w:tcPr>
            <w:tcW w:w="16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4"/>
              </w:rPr>
              <w:t>Titles and References</w:t>
            </w:r>
          </w:p>
        </w:tc>
        <w:tc>
          <w:tcPr>
            <w:tcW w:w="1080" w:type="dxa"/>
            <w:vAlign w:val="bottom"/>
            <w:tcBorders>
              <w:top w:val="single" w:sz="8" w:color="auto"/>
            </w:tcBorders>
            <w:gridSpan w:val="6"/>
          </w:tcPr>
          <w:p>
            <w:pPr>
              <w:spacing w:after="0"/>
              <w:rPr>
                <w:sz w:val="24"/>
                <w:szCs w:val="24"/>
                <w:color w:val="auto"/>
              </w:rPr>
            </w:pPr>
          </w:p>
        </w:tc>
        <w:tc>
          <w:tcPr>
            <w:tcW w:w="438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7.11</w:t>
            </w:r>
          </w:p>
        </w:tc>
        <w:tc>
          <w:tcPr>
            <w:tcW w:w="224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87"/>
              </w:rPr>
              <w:t>Amendment and Restatement</w:t>
            </w:r>
          </w:p>
        </w:tc>
        <w:tc>
          <w:tcPr>
            <w:tcW w:w="4820" w:type="dxa"/>
            <w:vAlign w:val="bottom"/>
            <w:gridSpan w:val="6"/>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 7.12</w:t>
            </w: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Deposit Agreement</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51"/>
        </w:trPr>
        <w:tc>
          <w:tcPr>
            <w:tcW w:w="1240" w:type="dxa"/>
            <w:vAlign w:val="bottom"/>
          </w:tcPr>
          <w:p>
            <w:pPr>
              <w:spacing w:after="0"/>
              <w:rPr>
                <w:sz w:val="20"/>
                <w:szCs w:val="20"/>
                <w:color w:val="auto"/>
              </w:rPr>
            </w:pPr>
            <w:r>
              <w:rPr>
                <w:rFonts w:ascii="Arial" w:cs="Arial" w:eastAsia="Arial" w:hAnsi="Arial"/>
                <w:sz w:val="18"/>
                <w:szCs w:val="18"/>
                <w:color w:val="auto"/>
              </w:rPr>
              <w:t>EXHIBITS</w:t>
            </w:r>
          </w:p>
        </w:tc>
        <w:tc>
          <w:tcPr>
            <w:tcW w:w="5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Form of ADR</w:t>
            </w:r>
          </w:p>
        </w:tc>
        <w:tc>
          <w:tcPr>
            <w:tcW w:w="3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28"/>
        </w:trPr>
        <w:tc>
          <w:tcPr>
            <w:tcW w:w="1240" w:type="dxa"/>
            <w:vAlign w:val="bottom"/>
          </w:tcPr>
          <w:p>
            <w:pPr>
              <w:spacing w:after="0"/>
              <w:rPr>
                <w:sz w:val="19"/>
                <w:szCs w:val="19"/>
                <w:color w:val="auto"/>
              </w:rPr>
            </w:pPr>
          </w:p>
        </w:tc>
        <w:tc>
          <w:tcPr>
            <w:tcW w:w="7060" w:type="dxa"/>
            <w:vAlign w:val="bottom"/>
            <w:gridSpan w:val="15"/>
          </w:tcPr>
          <w:p>
            <w:pPr>
              <w:spacing w:after="0"/>
              <w:rPr>
                <w:sz w:val="20"/>
                <w:szCs w:val="20"/>
                <w:color w:val="auto"/>
              </w:rPr>
            </w:pPr>
            <w:r>
              <w:rPr>
                <w:rFonts w:ascii="Arial" w:cs="Arial" w:eastAsia="Arial" w:hAnsi="Arial"/>
                <w:sz w:val="18"/>
                <w:szCs w:val="18"/>
                <w:b w:val="1"/>
                <w:bCs w:val="1"/>
                <w:color w:val="auto"/>
              </w:rPr>
              <w:t>Fee Schedule</w:t>
            </w:r>
          </w:p>
        </w:tc>
        <w:tc>
          <w:tcPr>
            <w:tcW w:w="3020" w:type="dxa"/>
            <w:vAlign w:val="bottom"/>
          </w:tcPr>
          <w:p>
            <w:pPr>
              <w:jc w:val="right"/>
              <w:spacing w:after="0"/>
              <w:rPr>
                <w:sz w:val="20"/>
                <w:szCs w:val="20"/>
                <w:color w:val="auto"/>
              </w:rPr>
            </w:pPr>
            <w:r>
              <w:rPr>
                <w:rFonts w:ascii="Arial" w:cs="Arial" w:eastAsia="Arial" w:hAnsi="Arial"/>
                <w:sz w:val="18"/>
                <w:szCs w:val="18"/>
                <w:color w:val="auto"/>
              </w:rPr>
              <w:t>B-1</w:t>
            </w:r>
          </w:p>
        </w:tc>
      </w:tr>
    </w:tbl>
    <w:p>
      <w:pPr>
        <w:sectPr>
          <w:pgSz w:w="11900" w:h="16838" w:orient="portrait"/>
          <w:cols w:equalWidth="0" w:num="1">
            <w:col w:w="11320"/>
          </w:cols>
          <w:pgMar w:left="240" w:top="932" w:right="339" w:bottom="1440" w:gutter="0" w:footer="0" w:header="0"/>
        </w:sectPr>
      </w:pPr>
    </w:p>
    <w:bookmarkStart w:id="105" w:name="page106"/>
    <w:bookmarkEnd w:id="105"/>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DEPOSIT AGREEMENT</w:t>
      </w:r>
    </w:p>
    <w:p>
      <w:pPr>
        <w:spacing w:after="0" w:line="17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AMENDED AND RESTATED DEPOSIT AGREEMENT</w:t>
      </w:r>
      <w:r>
        <w:rPr>
          <w:rFonts w:ascii="Arial" w:cs="Arial" w:eastAsia="Arial" w:hAnsi="Arial"/>
          <w:sz w:val="16"/>
          <w:szCs w:val="16"/>
          <w:color w:val="auto"/>
        </w:rPr>
        <w:t>, dated as of November 4, 2011, by and among (i) Amarin Corporation plc,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under the laws of England and Wales, and its successors (the “Company”), (ii) CITIBANK, N.A., a national banking association organized under the laws of the United States of America acting in its capacity as depositary, and any successor depositary hereunder (the “Depositary”), and (iii) all Holders and Beneficial Owners of American Depositary Shares issued hereunder (all such capitalized terms as hereinafter defined).</w:t>
      </w:r>
    </w:p>
    <w:p>
      <w:pPr>
        <w:spacing w:after="0" w:line="265" w:lineRule="exact"/>
        <w:rPr>
          <w:sz w:val="20"/>
          <w:szCs w:val="20"/>
          <w:color w:val="auto"/>
        </w:rPr>
      </w:pPr>
    </w:p>
    <w:p>
      <w:pPr>
        <w:jc w:val="center"/>
        <w:ind w:right="-119"/>
        <w:spacing w:after="0"/>
        <w:tabs>
          <w:tab w:leader="none" w:pos="140" w:val="left"/>
        </w:tabs>
        <w:rPr>
          <w:sz w:val="20"/>
          <w:szCs w:val="20"/>
          <w:color w:val="auto"/>
        </w:rPr>
      </w:pPr>
      <w:r>
        <w:rPr>
          <w:rFonts w:ascii="Arial" w:cs="Arial" w:eastAsia="Arial" w:hAnsi="Arial"/>
          <w:sz w:val="18"/>
          <w:szCs w:val="18"/>
          <w:b w:val="1"/>
          <w:bCs w:val="1"/>
          <w:color w:val="auto"/>
        </w:rPr>
        <w:t>W I T N E S S E T H</w:t>
      </w:r>
      <w:r>
        <w:rPr>
          <w:sz w:val="20"/>
          <w:szCs w:val="20"/>
          <w:color w:val="auto"/>
        </w:rPr>
        <w:tab/>
      </w:r>
      <w:r>
        <w:rPr>
          <w:rFonts w:ascii="Arial" w:cs="Arial" w:eastAsia="Arial" w:hAnsi="Arial"/>
          <w:sz w:val="16"/>
          <w:szCs w:val="16"/>
          <w:b w:val="1"/>
          <w:bCs w:val="1"/>
          <w:color w:val="auto"/>
        </w:rPr>
        <w:t>T H A T:</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Depositary previously entered into a 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March 29, 1993, as amended by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No. 1 to Deposit Agreement, dated as of October 8, 1998, and by Amendment No. 2 to Deposit Agreement, dated as of September 25, 2002, as supplemented by Letter Agreement, dated as of October 16, 2007 (the “Original Deposit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amend and restate the Original Deposit Agreement;</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Depositary previously entered into a Letter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October 16, 2007 relating to the establishment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 Registration System for ADSs (the “DRS Letter Agreement”);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implement the terms and provisions of the DRS Letter Agreement in the Deposit Agreement;</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and</w:t>
      </w:r>
    </w:p>
    <w:p>
      <w:pPr>
        <w:spacing w:after="0" w:line="120"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with appropriate insertions, modifications and omissions, as hereinafter provided in the Deposit Agreement; and</w:t>
      </w:r>
    </w:p>
    <w:p>
      <w:pPr>
        <w:spacing w:after="0" w:line="7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used, but not otherwise defined, herein shall have the meanings set forth below, unless otherwise clearly indicated: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 “</w:t>
      </w:r>
      <w:r>
        <w:rPr>
          <w:rFonts w:ascii="Arial" w:cs="Arial" w:eastAsia="Arial" w:hAnsi="Arial"/>
          <w:sz w:val="18"/>
          <w:szCs w:val="18"/>
          <w:b w:val="1"/>
          <w:bCs w:val="1"/>
          <w:u w:val="single" w:color="auto"/>
          <w:color w:val="auto"/>
        </w:rPr>
        <w:t>ADS Record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given to such term in Section 4.9.</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106" w:name="page107"/>
    <w:bookmarkEnd w:id="106"/>
    <w:p>
      <w:pPr>
        <w:ind w:right="1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 promulgated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(as hereinafter defined), or under any successor regulation thereto.</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Receipt(s)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ADR(s)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Receipt(s)</w:t>
      </w:r>
      <w:r>
        <w:rPr>
          <w:rFonts w:ascii="Arial" w:cs="Arial" w:eastAsia="Arial" w:hAnsi="Arial"/>
          <w:sz w:val="16"/>
          <w:szCs w:val="16"/>
          <w:color w:val="auto"/>
        </w:rPr>
        <w:t>” shall mean the certificate(s) issued by the Depositary to evidence the</w:t>
      </w:r>
      <w:r>
        <w:rPr>
          <w:rFonts w:ascii="Arial" w:cs="Arial" w:eastAsia="Arial" w:hAnsi="Arial"/>
          <w:sz w:val="16"/>
          <w:szCs w:val="16"/>
          <w:b w:val="1"/>
          <w:bCs w:val="1"/>
          <w:color w:val="auto"/>
        </w:rPr>
        <w:t xml:space="preserve"> </w:t>
      </w:r>
      <w:r>
        <w:rPr>
          <w:rFonts w:ascii="Arial" w:cs="Arial" w:eastAsia="Arial" w:hAnsi="Arial"/>
          <w:sz w:val="16"/>
          <w:szCs w:val="16"/>
          <w:color w:val="auto"/>
        </w:rPr>
        <w:t>American Depositary Shares issued under the terms of the Deposit Agreement as such ADRs may be amended from time to time in accordance with the provisions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 Notwithstanding anything else contained herein or therein, the American depositary receipts issued and outstanding under the terms of the Original Deposit Agreement shall, from and after the date hereof, be treated as ADRs issued hereunder and shall, from and after the date hereof, be subject to the terms hereof in all respects.</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shall mean the rights and interests in the Deposited Securities (as hereinafter defined)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Holders and Beneficial Owners pursuant to the terms and conditions of the Deposit Agreement and, if issued as Certificated ADS(s), (as hereinafter defined) the ADR(s) issued to evidence such ADSs. ADS(s) may be issued under the terms of the Deposit Agreement in the form of (a) 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subject to the terms and conditions of the Deposit Agreement and the applicable ADR, if issued as a Certificated ADS, one (1) Share until there shall occur a distribution upon Deposited Securities referred to in Section 4.2 or a change in Deposited Securities referred to in Section 4.11 with respect to which additional ADSs are not issued, and thereafter each ADS shall represent the right to receive, subject to the terms and conditions of the Deposit Agreement and the applicable ADR if issued as a Certificated ADS, the Deposited Securities determined in accordance with the terms of such Sections. American depositary shares outstanding under the Original Deposit Agreement as of the date hereof shall, from and after the date hereof, for all purposes be treated as American Depositary Shares issued and outstanding hereunder and shall, from and after the date hereof, be subject to the terms and conditions of the Deposit Agreement in all respects, except that any amendment of the Original Deposit Agreement effected under the terms of the Deposit Agreement which shall impose or increase any fees or charges (other than the fees of the Depositary for the execution and delivery or the cancellation of ADRs and taxes or other governmental charges), or which shall otherwise prejudice any substantial existing right of Holders (as defined in the Original Deposit Agreement), shall not become effective as to Holders of American depositary shares until the expiration of three months after notice of the amendments effected by the Deposit Agreement shall have been given to the Holders of American depositary shares outstanding under the Original Deposit Agreement as of the date hereof.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Applicant</w:t>
      </w:r>
      <w:r>
        <w:rPr>
          <w:rFonts w:ascii="Arial" w:cs="Arial" w:eastAsia="Arial" w:hAnsi="Arial"/>
          <w:sz w:val="18"/>
          <w:szCs w:val="18"/>
          <w:color w:val="auto"/>
        </w:rPr>
        <w:t>” shall have the meaning given to such term in Section 5.10.</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Beneficial Owner</w:t>
      </w:r>
      <w:r>
        <w:rPr>
          <w:rFonts w:ascii="Arial" w:cs="Arial" w:eastAsia="Arial" w:hAnsi="Arial"/>
          <w:sz w:val="18"/>
          <w:szCs w:val="18"/>
          <w:color w:val="auto"/>
        </w:rPr>
        <w:t>” shall mean, as to any ADS, any person or entity having a beneficial interest deriving from the ownership of such ADS.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Persons who own beneficial interests in the American depositary shares issued under the terms of the Original Deposit Agreement and outstanding as of the date hereof shall, from and after the date hereof, be treated as Beneficial Owners of ADS(s) under the terms hereof.</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Certificated ADS(s)</w:t>
      </w:r>
      <w:r>
        <w:rPr>
          <w:rFonts w:ascii="Arial" w:cs="Arial" w:eastAsia="Arial" w:hAnsi="Arial"/>
          <w:sz w:val="18"/>
          <w:szCs w:val="18"/>
          <w:color w:val="auto"/>
        </w:rPr>
        <w:t>” shall have the meaning set forth in Section 2.13.</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thereto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Section 1.9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shall mean Amarin Corporation plc a company incorporated and existing under the laws of England and Wales, and its successors.</w:t>
      </w:r>
    </w:p>
    <w:p>
      <w:pPr>
        <w:spacing w:after="0" w:line="206"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CREST</w:t>
      </w:r>
      <w:r>
        <w:rPr>
          <w:rFonts w:ascii="Arial" w:cs="Arial" w:eastAsia="Arial" w:hAnsi="Arial"/>
          <w:sz w:val="18"/>
          <w:szCs w:val="18"/>
          <w:color w:val="auto"/>
        </w:rPr>
        <w:t>” shall mean the system for the paperless settlement of trades in securities and the holding of uncertificated securities operated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Euroclear UK &amp; Ireland Limited in accordance with the Uncertificated Securities Regulations 2001 (SI 2001 No. 3755), as amended from time to time, or any successor thereto.</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Custodian</w:t>
      </w:r>
      <w:r>
        <w:rPr>
          <w:rFonts w:ascii="Arial" w:cs="Arial" w:eastAsia="Arial" w:hAnsi="Arial"/>
          <w:sz w:val="18"/>
          <w:szCs w:val="18"/>
          <w:color w:val="auto"/>
        </w:rPr>
        <w:t>” shall mean (i) as of the date hereof, Citibank, N.A. London Branch, having its principal office at Citigroup Centre, Canada</w:t>
      </w:r>
      <w:r>
        <w:rPr>
          <w:rFonts w:ascii="Arial" w:cs="Arial" w:eastAsia="Arial" w:hAnsi="Arial"/>
          <w:sz w:val="18"/>
          <w:szCs w:val="18"/>
          <w:b w:val="1"/>
          <w:bCs w:val="1"/>
          <w:color w:val="auto"/>
        </w:rPr>
        <w:t xml:space="preserve"> </w:t>
      </w:r>
      <w:r>
        <w:rPr>
          <w:rFonts w:ascii="Arial" w:cs="Arial" w:eastAsia="Arial" w:hAnsi="Arial"/>
          <w:sz w:val="18"/>
          <w:szCs w:val="18"/>
          <w:color w:val="auto"/>
        </w:rPr>
        <w:t>Square, Canary Wharf, London E14 5LB, England, as the custodian for the purposes of the Deposit Agreement, (ii) Citibank, N.A., acting as custodian of Deposited Securities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3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Deliver</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Delivery</w:t>
      </w:r>
      <w:r>
        <w:rPr>
          <w:rFonts w:ascii="Arial" w:cs="Arial" w:eastAsia="Arial" w:hAnsi="Arial"/>
          <w:sz w:val="16"/>
          <w:szCs w:val="16"/>
          <w:color w:val="auto"/>
        </w:rPr>
        <w:t>” shall mean (x)</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when used in respect of Shares and other Deposited Securities</w:t>
      </w:r>
      <w:r>
        <w:rPr>
          <w:rFonts w:ascii="Arial" w:cs="Arial" w:eastAsia="Arial" w:hAnsi="Arial"/>
          <w:sz w:val="16"/>
          <w:szCs w:val="16"/>
          <w:color w:val="auto"/>
        </w:rPr>
        <w:t>, either (i) the physical delivery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certificate(s) representing such securities, or (ii) the book-entry transfer and recordation of such securities on the register of members of the Company and/or in the book-entry settlement of CREST, and (y) </w:t>
      </w:r>
      <w:r>
        <w:rPr>
          <w:rFonts w:ascii="Arial" w:cs="Arial" w:eastAsia="Arial" w:hAnsi="Arial"/>
          <w:sz w:val="16"/>
          <w:szCs w:val="16"/>
          <w:i w:val="1"/>
          <w:iCs w:val="1"/>
          <w:color w:val="auto"/>
        </w:rPr>
        <w:t>when used in respect of ADSs</w:t>
      </w:r>
      <w:r>
        <w:rPr>
          <w:rFonts w:ascii="Arial" w:cs="Arial" w:eastAsia="Arial" w:hAnsi="Arial"/>
          <w:sz w:val="16"/>
          <w:szCs w:val="16"/>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0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 Agreement</w:t>
      </w:r>
      <w:r>
        <w:rPr>
          <w:rFonts w:ascii="Arial" w:cs="Arial" w:eastAsia="Arial" w:hAnsi="Arial"/>
          <w:sz w:val="18"/>
          <w:szCs w:val="18"/>
          <w:color w:val="auto"/>
        </w:rPr>
        <w:t>” shall mean this Amended and Restated Deposit Agreement and all exhibits hereto, as the same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be amended and supplemented from time to time in accordance with the terms of the Deposit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8" w:name="page109"/>
    <w:bookmarkEnd w:id="108"/>
    <w:p>
      <w:pPr>
        <w:ind w:right="4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 capacity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under the terms of the Deposit Agreement, and any successor depositary hereunder.</w:t>
      </w:r>
    </w:p>
    <w:p>
      <w:pPr>
        <w:spacing w:after="0" w:line="12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Section 1.15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Deposited Securities</w:t>
      </w:r>
      <w:r>
        <w:rPr>
          <w:rFonts w:ascii="Arial" w:cs="Arial" w:eastAsia="Arial" w:hAnsi="Arial"/>
          <w:sz w:val="16"/>
          <w:szCs w:val="16"/>
          <w:color w:val="auto"/>
        </w:rPr>
        <w:t>” shall mean Shares at any time deposited under the Deposit Agreement and any and all other securities, property and</w:t>
      </w:r>
      <w:r>
        <w:rPr>
          <w:rFonts w:ascii="Arial" w:cs="Arial" w:eastAsia="Arial" w:hAnsi="Arial"/>
          <w:sz w:val="16"/>
          <w:szCs w:val="16"/>
          <w:b w:val="1"/>
          <w:bCs w:val="1"/>
          <w:color w:val="auto"/>
        </w:rPr>
        <w:t xml:space="preserve"> </w:t>
      </w:r>
      <w:r>
        <w:rPr>
          <w:rFonts w:ascii="Arial" w:cs="Arial" w:eastAsia="Arial" w:hAnsi="Arial"/>
          <w:sz w:val="16"/>
          <w:szCs w:val="16"/>
          <w:color w:val="auto"/>
        </w:rPr>
        <w:t>cash held by the Depositary or the Custodian in respect thereof, subject, in the case of cash, to the provisions of Section 4.8. Notwithstanding anything else contained herein, the securities, property and cash delivered to the Custodian in respect of American depositary shares outstanding as of the date hereof under the Original Deposit Agreement and defined as “Deposited Securities” thereunder shall, for all purposes from and after the date hereof, be considered to be, and treated as, Deposited Securities hereunder in all respects. The collateral delivered in connection with Pre-Release Transactions described in Section 5.10 shall not constitute Deposited Securities.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Dollars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shall refer to the lawful currency of the United States.</w:t>
      </w:r>
    </w:p>
    <w:p>
      <w:pPr>
        <w:spacing w:after="0" w:line="171"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b w:val="1"/>
          <w:bCs w:val="1"/>
          <w:color w:val="auto"/>
        </w:rPr>
        <w:t xml:space="preserve">Section 1.17 </w:t>
      </w:r>
      <w:r>
        <w:rPr>
          <w:rFonts w:ascii="Arial" w:cs="Arial" w:eastAsia="Arial" w:hAnsi="Arial"/>
          <w:sz w:val="15"/>
          <w:szCs w:val="15"/>
          <w:color w:val="auto"/>
        </w:rPr>
        <w:t>“</w:t>
      </w:r>
      <w:r>
        <w:rPr>
          <w:rFonts w:ascii="Arial" w:cs="Arial" w:eastAsia="Arial" w:hAnsi="Arial"/>
          <w:sz w:val="15"/>
          <w:szCs w:val="15"/>
          <w:b w:val="1"/>
          <w:bCs w:val="1"/>
          <w:u w:val="single" w:color="auto"/>
          <w:color w:val="auto"/>
        </w:rPr>
        <w:t>DTC</w:t>
      </w:r>
      <w:r>
        <w:rPr>
          <w:rFonts w:ascii="Arial" w:cs="Arial" w:eastAsia="Arial" w:hAnsi="Arial"/>
          <w:sz w:val="15"/>
          <w:szCs w:val="15"/>
          <w:color w:val="auto"/>
        </w:rPr>
        <w:t>” shall mean The Depository Trust Company, a national clearinghouse and the central book-entry settlement system for securities traded</w:t>
      </w:r>
      <w:r>
        <w:rPr>
          <w:rFonts w:ascii="Arial" w:cs="Arial" w:eastAsia="Arial" w:hAnsi="Arial"/>
          <w:sz w:val="15"/>
          <w:szCs w:val="15"/>
          <w:b w:val="1"/>
          <w:bCs w:val="1"/>
          <w:color w:val="auto"/>
        </w:rPr>
        <w:t xml:space="preserve"> </w:t>
      </w:r>
      <w:r>
        <w:rPr>
          <w:rFonts w:ascii="Arial" w:cs="Arial" w:eastAsia="Arial" w:hAnsi="Arial"/>
          <w:sz w:val="15"/>
          <w:szCs w:val="15"/>
          <w:color w:val="auto"/>
        </w:rPr>
        <w:t>in the United States and, as such, the custodian for the securities of DTC Participants (as hereinafter defined) maintained in DTC, and any successor thereto.</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 Participant</w:t>
      </w:r>
      <w:r>
        <w:rPr>
          <w:rFonts w:ascii="Arial" w:cs="Arial" w:eastAsia="Arial" w:hAnsi="Arial"/>
          <w:sz w:val="18"/>
          <w:szCs w:val="18"/>
          <w:color w:val="auto"/>
        </w:rPr>
        <w:t>” shall mean any financial institution (or any nominee of such institution) having one or more participant accounts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shall mean the United States Securities Exchange Act of 1934,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Currency</w:t>
      </w:r>
      <w:r>
        <w:rPr>
          <w:rFonts w:ascii="Arial" w:cs="Arial" w:eastAsia="Arial" w:hAnsi="Arial"/>
          <w:sz w:val="18"/>
          <w:szCs w:val="18"/>
          <w:color w:val="auto"/>
        </w:rPr>
        <w:t>” shall mean any currency other than Dollars.</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Full Entitlement ADR(s)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Full Entitlement ADS(s)</w:t>
      </w:r>
      <w:r>
        <w:rPr>
          <w:rFonts w:ascii="Arial" w:cs="Arial" w:eastAsia="Arial" w:hAnsi="Arial"/>
          <w:sz w:val="18"/>
          <w:szCs w:val="18"/>
          <w:color w:val="auto"/>
        </w:rPr>
        <w:t>”</w:t>
      </w:r>
      <w:r>
        <w:rPr>
          <w:rFonts w:ascii="Arial" w:cs="Arial" w:eastAsia="Arial" w:hAnsi="Arial"/>
          <w:sz w:val="18"/>
          <w:szCs w:val="18"/>
          <w:b w:val="1"/>
          <w:bCs w:val="1"/>
          <w:color w:val="auto"/>
        </w:rPr>
        <w:t xml:space="preserve"> and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color w:val="auto"/>
        </w:rPr>
        <w:t>” shall have the respective meanings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2.12.</w:t>
      </w:r>
    </w:p>
    <w:p>
      <w:pPr>
        <w:spacing w:after="0" w:line="120"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shall mean the person(s) in whose name the ADSs are registered on the books of the Depositary (or the Registrar, if any)</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Holders (as defined in the Original Deposit Agreement) of American depositary shares issued under the terms of the Original Deposit Agreement and outstanding as of the date hereof shall from and after the date hereof, become Holders under the terms of the Deposit Agreement.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9" w:name="page110"/>
    <w:bookmarkEnd w:id="109"/>
    <w:p>
      <w:pPr>
        <w:ind w:right="16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1.23 “</w:t>
      </w:r>
      <w:r>
        <w:rPr>
          <w:rFonts w:ascii="Arial" w:cs="Arial" w:eastAsia="Arial" w:hAnsi="Arial"/>
          <w:sz w:val="16"/>
          <w:szCs w:val="16"/>
          <w:b w:val="1"/>
          <w:bCs w:val="1"/>
          <w:u w:val="single" w:color="auto"/>
          <w:color w:val="auto"/>
        </w:rPr>
        <w:t>Original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deposit agreement, dated as of Deposit Agreement, dated as of March 29, 1993,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Amendment No. 1 to Deposit Agreement, dated as of October 8, 1998, and by Amendment No. 2 to Deposit Agreement, dated as of September 25, 2002, as supplemented by Letter Agreement, dated as of October 16, 2007, by and among the Company, Citibank, N.A., as Depositary, and the Holders (as defined therein) of American depositary shares evidenced by American depositary receipts issued thereunder.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Pound(s) Sterling</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Pound(s)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shall refer to the lawful currency of England.</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color w:val="auto"/>
        </w:rPr>
        <w:t>” 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Pre-Release Transaction</w:t>
      </w:r>
      <w:r>
        <w:rPr>
          <w:rFonts w:ascii="Arial" w:cs="Arial" w:eastAsia="Arial" w:hAnsi="Arial"/>
          <w:sz w:val="18"/>
          <w:szCs w:val="18"/>
          <w:color w:val="auto"/>
        </w:rPr>
        <w:t>” shall have the meaning set forth in Section 5.10.</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 particular time</w:t>
      </w:r>
      <w:r>
        <w:rPr>
          <w:rFonts w:ascii="Arial" w:cs="Arial" w:eastAsia="Arial" w:hAnsi="Arial"/>
          <w:sz w:val="18"/>
          <w:szCs w:val="18"/>
          <w:b w:val="1"/>
          <w:bCs w:val="1"/>
          <w:color w:val="auto"/>
        </w:rPr>
        <w:t xml:space="preserve"> </w:t>
      </w:r>
      <w:r>
        <w:rPr>
          <w:rFonts w:ascii="Arial" w:cs="Arial" w:eastAsia="Arial" w:hAnsi="Arial"/>
          <w:sz w:val="18"/>
          <w:szCs w:val="18"/>
          <w:color w:val="auto"/>
        </w:rPr>
        <w:t>its depositary receipts business shall be administered, which, at the date of the Deposit Agreement, is located at 388 Greenwich Street, New York, New York 10013, U.S.A.</w:t>
      </w:r>
    </w:p>
    <w:p>
      <w:pPr>
        <w:spacing w:after="0" w:line="132"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Section 1.27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Registrar</w:t>
      </w:r>
      <w:r>
        <w:rPr>
          <w:rFonts w:ascii="Arial" w:cs="Arial" w:eastAsia="Arial" w:hAnsi="Arial"/>
          <w:sz w:val="16"/>
          <w:szCs w:val="16"/>
          <w:color w:val="auto"/>
        </w:rPr>
        <w:t>” shall mean the Depositary or any bank or trust company having an office in the Borough of Manhattan, The City of New York,</w:t>
      </w:r>
      <w:r>
        <w:rPr>
          <w:rFonts w:ascii="Arial" w:cs="Arial" w:eastAsia="Arial" w:hAnsi="Arial"/>
          <w:sz w:val="16"/>
          <w:szCs w:val="16"/>
          <w:b w:val="1"/>
          <w:bCs w:val="1"/>
          <w:color w:val="auto"/>
        </w:rPr>
        <w:t xml:space="preserve"> </w:t>
      </w:r>
      <w:r>
        <w:rPr>
          <w:rFonts w:ascii="Arial" w:cs="Arial" w:eastAsia="Arial" w:hAnsi="Arial"/>
          <w:sz w:val="16"/>
          <w:szCs w:val="16"/>
          <w:color w:val="auto"/>
        </w:rPr>
        <w:t>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Section 1.28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Securities</w:t>
      </w:r>
      <w:r>
        <w:rPr>
          <w:rFonts w:ascii="Arial" w:cs="Arial" w:eastAsia="Arial" w:hAnsi="Arial"/>
          <w:sz w:val="16"/>
          <w:szCs w:val="16"/>
          <w:color w:val="auto"/>
        </w:rPr>
        <w:t>” shall mean Shares, Deposited Securities or ADSs which (i) have been acquired directly or indirectly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Affiliates in a transaction or chain of transactions not involving any public offering and are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12" w:lineRule="exact"/>
        <w:rPr>
          <w:sz w:val="20"/>
          <w:szCs w:val="20"/>
          <w:color w:val="auto"/>
        </w:rPr>
      </w:pPr>
    </w:p>
    <w:p>
      <w:pPr>
        <w:jc w:val="center"/>
        <w:ind w:right="360"/>
        <w:spacing w:after="0" w:line="447" w:lineRule="auto"/>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Restricted ADR(s)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Restricted ADS(s)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Restricted Shares</w:t>
      </w:r>
      <w:r>
        <w:rPr>
          <w:rFonts w:ascii="Arial" w:cs="Arial" w:eastAsia="Arial" w:hAnsi="Arial"/>
          <w:sz w:val="18"/>
          <w:szCs w:val="18"/>
          <w:color w:val="auto"/>
        </w:rPr>
        <w:t>” shall have the respective meanings set forth in Section 2.14.</w:t>
      </w:r>
      <w:r>
        <w:rPr>
          <w:rFonts w:ascii="Arial" w:cs="Arial" w:eastAsia="Arial" w:hAnsi="Arial"/>
          <w:sz w:val="18"/>
          <w:szCs w:val="18"/>
          <w:b w:val="1"/>
          <w:bCs w:val="1"/>
          <w:color w:val="auto"/>
        </w:rPr>
        <w:t xml:space="preserve"> </w:t>
      </w: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shall mean the United States Securities Act of 1933, as amended from time to time.</w:t>
      </w:r>
    </w:p>
    <w:p>
      <w:pPr>
        <w:spacing w:after="0" w:line="171"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 xml:space="preserve">Section 1.31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 Registrar</w:t>
      </w:r>
      <w:r>
        <w:rPr>
          <w:rFonts w:ascii="Arial" w:cs="Arial" w:eastAsia="Arial" w:hAnsi="Arial"/>
          <w:sz w:val="18"/>
          <w:szCs w:val="18"/>
          <w:color w:val="auto"/>
        </w:rPr>
        <w:t>” shall mean Equiniti Limited or any other institution organized under the laws of England and Wales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carry out the duties of registrar for the Shares, and any successor thereto.</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Section 1.32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shall mean Ordinary Shares of £0.50 each in the capital of the Company, validly issued and outstanding, fully paid and may, 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par or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1.33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United States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U.S.</w:t>
      </w:r>
      <w:r>
        <w:rPr>
          <w:rFonts w:ascii="Arial" w:cs="Arial" w:eastAsia="Arial" w:hAnsi="Arial"/>
          <w:sz w:val="16"/>
          <w:szCs w:val="16"/>
          <w:color w:val="auto"/>
        </w:rPr>
        <w:t>” shall have the meaning assigned to it in Regulation S as promulgated by the Commission under the Securities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1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Securities and hereby authorizes</w:t>
      </w:r>
      <w:r>
        <w:rPr>
          <w:rFonts w:ascii="Arial" w:cs="Arial" w:eastAsia="Arial" w:hAnsi="Arial"/>
          <w:sz w:val="16"/>
          <w:szCs w:val="16"/>
          <w:b w:val="1"/>
          <w:bCs w:val="1"/>
          <w:color w:val="auto"/>
        </w:rPr>
        <w:t xml:space="preserve"> </w:t>
      </w:r>
      <w:r>
        <w:rPr>
          <w:rFonts w:ascii="Arial" w:cs="Arial" w:eastAsia="Arial" w:hAnsi="Arial"/>
          <w:sz w:val="16"/>
          <w:szCs w:val="16"/>
          <w:color w:val="auto"/>
        </w:rPr>
        <w:t>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or by continuing to hold, from and after the date hereof any American depositary shares issued and outstanding under the Original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Form and Transferability of ADSs</w:t>
      </w:r>
      <w:r>
        <w:rPr>
          <w:rFonts w:ascii="Arial" w:cs="Arial" w:eastAsia="Arial" w:hAnsi="Arial"/>
          <w:sz w:val="18"/>
          <w:szCs w:val="18"/>
          <w:b w:val="1"/>
          <w:bCs w:val="1"/>
          <w:color w:val="auto"/>
        </w:rPr>
        <w:t>.</w:t>
      </w:r>
    </w:p>
    <w:p>
      <w:pPr>
        <w:spacing w:after="0" w:line="171" w:lineRule="exact"/>
        <w:rPr>
          <w:sz w:val="20"/>
          <w:szCs w:val="20"/>
          <w:color w:val="auto"/>
        </w:rPr>
      </w:pPr>
    </w:p>
    <w:p>
      <w:pPr>
        <w:ind w:right="200" w:firstLine="464"/>
        <w:spacing w:after="0" w:line="275" w:lineRule="auto"/>
        <w:tabs>
          <w:tab w:leader="none" w:pos="70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Certificated ADSs shall be evidenced by definitive ADRs which shall be engraved, printed, lithographed or produced in such other manner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agreed upon by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11" w:name="page112"/>
    <w:bookmarkEnd w:id="111"/>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(other than an American depositary receipt issued and outstanding as of the date hereof under the terms of the Original Deposit Agreement which from and after the date hereof becomes subject to the terms of the Deposit Agreement in all respects).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15" w:lineRule="exact"/>
        <w:rPr>
          <w:sz w:val="20"/>
          <w:szCs w:val="20"/>
          <w:color w:val="auto"/>
        </w:rPr>
      </w:pPr>
    </w:p>
    <w:p>
      <w:pPr>
        <w:ind w:right="80" w:firstLine="464"/>
        <w:spacing w:after="0" w:line="290" w:lineRule="auto"/>
        <w:tabs>
          <w:tab w:leader="none" w:pos="715"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12" w:lineRule="exact"/>
        <w:rPr>
          <w:rFonts w:ascii="Arial" w:cs="Arial" w:eastAsia="Arial" w:hAnsi="Arial"/>
          <w:sz w:val="16"/>
          <w:szCs w:val="16"/>
          <w:b w:val="1"/>
          <w:bCs w:val="1"/>
          <w:color w:val="auto"/>
        </w:rPr>
      </w:pPr>
    </w:p>
    <w:p>
      <w:pPr>
        <w:ind w:firstLine="464"/>
        <w:spacing w:after="0" w:line="291" w:lineRule="auto"/>
        <w:tabs>
          <w:tab w:leader="none" w:pos="695"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Title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contained herein and in the ADR, title to an ADR (and to each Certificated ADS evidenced thereby)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2" w:name="page113"/>
    <w:bookmarkEnd w:id="112"/>
    <w:p>
      <w:pPr>
        <w:ind w:firstLine="464"/>
        <w:spacing w:after="0" w:line="286" w:lineRule="auto"/>
        <w:tabs>
          <w:tab w:leader="none" w:pos="715"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w:t>
      </w:r>
    </w:p>
    <w:p>
      <w:pPr>
        <w:spacing w:after="0" w:line="12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 Shares represented by</w:t>
      </w:r>
      <w:r>
        <w:rPr>
          <w:rFonts w:ascii="Arial" w:cs="Arial" w:eastAsia="Arial" w:hAnsi="Arial"/>
          <w:sz w:val="16"/>
          <w:szCs w:val="16"/>
          <w:color w:val="auto"/>
        </w:rPr>
        <w:t xml:space="preserve"> </w:t>
      </w:r>
      <w:r>
        <w:rPr>
          <w:rFonts w:ascii="Arial" w:cs="Arial" w:eastAsia="Arial" w:hAnsi="Arial"/>
          <w:sz w:val="16"/>
          <w:szCs w:val="16"/>
          <w:i w:val="1"/>
          <w:iCs w:val="1"/>
          <w:color w:val="auto"/>
        </w:rPr>
        <w:t>certificates issued in registered form</w:t>
      </w:r>
      <w:r>
        <w:rPr>
          <w:rFonts w:ascii="Arial" w:cs="Arial" w:eastAsia="Arial" w:hAnsi="Arial"/>
          <w:sz w:val="16"/>
          <w:szCs w:val="16"/>
          <w:color w:val="auto"/>
        </w:rPr>
        <w:t>, appropriate instruments of transfer or endorsement, in a form satisfactory to the Custodian, (ii)</w:t>
      </w:r>
      <w:r>
        <w:rPr>
          <w:rFonts w:ascii="Arial" w:cs="Arial" w:eastAsia="Arial" w:hAnsi="Arial"/>
          <w:sz w:val="16"/>
          <w:szCs w:val="16"/>
          <w:i w:val="1"/>
          <w:iCs w:val="1"/>
          <w:color w:val="auto"/>
        </w:rPr>
        <w:t xml:space="preserve"> in the case of Shares represented by certificates in bearer form</w:t>
      </w:r>
      <w:r>
        <w:rPr>
          <w:rFonts w:ascii="Arial" w:cs="Arial" w:eastAsia="Arial" w:hAnsi="Arial"/>
          <w:sz w:val="16"/>
          <w:szCs w:val="16"/>
          <w:color w:val="auto"/>
        </w:rPr>
        <w:t>. the requisite coupons and talons pertaining thereto, and (iii)</w:t>
      </w:r>
      <w:r>
        <w:rPr>
          <w:rFonts w:ascii="Arial" w:cs="Arial" w:eastAsia="Arial" w:hAnsi="Arial"/>
          <w:sz w:val="16"/>
          <w:szCs w:val="16"/>
          <w:i w:val="1"/>
          <w:iCs w:val="1"/>
          <w:color w:val="auto"/>
        </w:rPr>
        <w:t xml:space="preserve"> in the case of Shares delivered by book-entry transfer and recordation</w:t>
      </w:r>
      <w:r>
        <w:rPr>
          <w:rFonts w:ascii="Arial" w:cs="Arial" w:eastAsia="Arial" w:hAnsi="Arial"/>
          <w:sz w:val="16"/>
          <w:szCs w:val="16"/>
          <w:color w:val="auto"/>
        </w:rPr>
        <w:t>, confirmation of such book-entry transfer and recordation in the register of members of the Company and/or CREST, as applicable, to the Custodian</w:t>
      </w:r>
      <w:r>
        <w:rPr>
          <w:rFonts w:ascii="Arial" w:cs="Arial" w:eastAsia="Arial" w:hAnsi="Arial"/>
          <w:sz w:val="16"/>
          <w:szCs w:val="16"/>
          <w:i w:val="1"/>
          <w:iCs w:val="1"/>
          <w:color w:val="auto"/>
        </w:rPr>
        <w:t xml:space="preserve"> </w:t>
      </w:r>
      <w:r>
        <w:rPr>
          <w:rFonts w:ascii="Arial" w:cs="Arial" w:eastAsia="Arial" w:hAnsi="Arial"/>
          <w:sz w:val="16"/>
          <w:szCs w:val="16"/>
          <w:color w:val="auto"/>
        </w:rPr>
        <w:t>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3" w:name="page114"/>
    <w:bookmarkEnd w:id="11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that all necessary approvals have been granted by, or there has been compliance with the rules and regulations of, any applicable governmental agency in England,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4" w:name="page115"/>
    <w:bookmarkEnd w:id="114"/>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2.4 </w:t>
      </w:r>
      <w:r>
        <w:rPr>
          <w:rFonts w:ascii="Arial" w:cs="Arial" w:eastAsia="Arial" w:hAnsi="Arial"/>
          <w:sz w:val="18"/>
          <w:szCs w:val="18"/>
          <w:b w:val="1"/>
          <w:bCs w:val="1"/>
          <w:u w:val="single" w:color="auto"/>
          <w:color w:val="auto"/>
        </w:rPr>
        <w:t>Registration and Safekeeping of 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instruct the Custodian upon each Delivery of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registered Shares being deposited hereunder with the Custodian (or other Deposited Securities pursuant to Article IV hereof), together with the other documents above specified, to present such certificate(s),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on behalf of the Holders and Beneficial Owners, at such place or places as the Depositary or the Custodian shall determine.</w:t>
      </w:r>
    </w:p>
    <w:p>
      <w:pPr>
        <w:spacing w:after="0" w:line="14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color w:val="auto"/>
        </w:rPr>
        <w:t xml:space="preserve">Section 2.5 </w:t>
      </w:r>
      <w:r>
        <w:rPr>
          <w:rFonts w:ascii="Arial" w:cs="Arial" w:eastAsia="Arial" w:hAnsi="Arial"/>
          <w:sz w:val="15"/>
          <w:szCs w:val="15"/>
          <w:b w:val="1"/>
          <w:bCs w:val="1"/>
          <w:u w:val="single" w:color="auto"/>
          <w:color w:val="auto"/>
        </w:rPr>
        <w:t>Issuance of ADSs.</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has made arrangements with the Custodian for the Custodian to confirm to the Depositary upon receipt of a</w:t>
      </w:r>
      <w:r>
        <w:rPr>
          <w:rFonts w:ascii="Arial" w:cs="Arial" w:eastAsia="Arial" w:hAnsi="Arial"/>
          <w:sz w:val="15"/>
          <w:szCs w:val="15"/>
          <w:b w:val="1"/>
          <w:bCs w:val="1"/>
          <w:color w:val="auto"/>
        </w:rPr>
        <w:t xml:space="preserve"> </w:t>
      </w:r>
      <w:r>
        <w:rPr>
          <w:rFonts w:ascii="Arial" w:cs="Arial" w:eastAsia="Arial" w:hAnsi="Arial"/>
          <w:sz w:val="15"/>
          <w:szCs w:val="15"/>
          <w:color w:val="auto"/>
        </w:rPr>
        <w:t>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in CREST,</w:t>
      </w:r>
    </w:p>
    <w:p>
      <w:pPr>
        <w:spacing w:after="0" w:line="1" w:lineRule="exact"/>
        <w:rPr>
          <w:sz w:val="20"/>
          <w:szCs w:val="20"/>
          <w:color w:val="auto"/>
        </w:rPr>
      </w:pPr>
    </w:p>
    <w:p>
      <w:pPr>
        <w:ind w:right="20" w:firstLine="8"/>
        <w:spacing w:after="0" w:line="286" w:lineRule="auto"/>
        <w:tabs>
          <w:tab w:leader="none" w:pos="307"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 Nothing herein shall prohibit any Pre-Release Transaction upon the terms set forth in the Deposit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2.6 </w:t>
      </w:r>
      <w:r>
        <w:rPr>
          <w:rFonts w:ascii="Arial" w:cs="Arial" w:eastAsia="Arial" w:hAnsi="Arial"/>
          <w:sz w:val="18"/>
          <w:szCs w:val="18"/>
          <w:b w:val="1"/>
          <w:bCs w:val="1"/>
          <w:u w:val="single" w:color="auto"/>
          <w:color w:val="auto"/>
        </w:rPr>
        <w:t>Transfer, Combination and Split-up of ADRs</w:t>
      </w:r>
      <w:r>
        <w:rPr>
          <w:rFonts w:ascii="Arial" w:cs="Arial" w:eastAsia="Arial" w:hAnsi="Arial"/>
          <w:sz w:val="18"/>
          <w:szCs w:val="18"/>
          <w:b w:val="1"/>
          <w:bCs w:val="1"/>
          <w:color w:val="auto"/>
        </w:rPr>
        <w:t>.</w:t>
      </w:r>
    </w:p>
    <w:p>
      <w:pPr>
        <w:spacing w:after="0" w:line="171" w:lineRule="exact"/>
        <w:rPr>
          <w:sz w:val="20"/>
          <w:szCs w:val="20"/>
          <w:color w:val="auto"/>
        </w:rPr>
      </w:pPr>
    </w:p>
    <w:p>
      <w:pPr>
        <w:ind w:firstLine="464"/>
        <w:spacing w:after="0" w:line="289" w:lineRule="auto"/>
        <w:tabs>
          <w:tab w:leader="none" w:pos="705"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 purpose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applicable ADRs, of the Deposit Agreement and of applicable law, in each case as in effect at the time thereof.</w:t>
      </w:r>
    </w:p>
    <w:p>
      <w:pPr>
        <w:spacing w:after="0" w:line="112" w:lineRule="exact"/>
        <w:rPr>
          <w:rFonts w:ascii="Arial" w:cs="Arial" w:eastAsia="Arial" w:hAnsi="Arial"/>
          <w:sz w:val="16"/>
          <w:szCs w:val="16"/>
          <w:b w:val="1"/>
          <w:bCs w:val="1"/>
          <w:color w:val="auto"/>
        </w:rPr>
      </w:pPr>
    </w:p>
    <w:p>
      <w:pPr>
        <w:ind w:right="40" w:firstLine="464"/>
        <w:spacing w:after="0" w:line="290" w:lineRule="auto"/>
        <w:tabs>
          <w:tab w:leader="none" w:pos="715"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Combination &amp; Split 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 the books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applicable ADRs, of the Deposit Agreement and of applicable law, in each case as in effect at the time thereof.</w:t>
      </w:r>
    </w:p>
    <w:p>
      <w:pPr>
        <w:spacing w:after="0" w:line="112" w:lineRule="exact"/>
        <w:rPr>
          <w:rFonts w:ascii="Arial" w:cs="Arial" w:eastAsia="Arial" w:hAnsi="Arial"/>
          <w:sz w:val="16"/>
          <w:szCs w:val="16"/>
          <w:b w:val="1"/>
          <w:bCs w:val="1"/>
          <w:color w:val="auto"/>
        </w:rPr>
      </w:pPr>
    </w:p>
    <w:p>
      <w:pPr>
        <w:ind w:firstLine="464"/>
        <w:spacing w:after="0" w:line="255" w:lineRule="auto"/>
        <w:tabs>
          <w:tab w:leader="none" w:pos="69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Co-Transfer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appoint one or more co-transfer agents for the purpose of effecting transfers, combinations and split-ups of</w:t>
      </w:r>
      <w:r>
        <w:rPr>
          <w:rFonts w:ascii="Arial" w:cs="Arial" w:eastAsia="Arial" w:hAnsi="Arial"/>
          <w:sz w:val="18"/>
          <w:szCs w:val="18"/>
          <w:b w:val="1"/>
          <w:bCs w:val="1"/>
          <w:color w:val="auto"/>
        </w:rPr>
        <w:t xml:space="preserve"> </w:t>
      </w:r>
      <w:r>
        <w:rPr>
          <w:rFonts w:ascii="Arial" w:cs="Arial" w:eastAsia="Arial" w:hAnsi="Arial"/>
          <w:sz w:val="18"/>
          <w:szCs w:val="18"/>
          <w:color w:val="auto"/>
        </w:rPr>
        <w:t>ADRs at designated transfer offices on behalf of the Depositary. In carrying out its functions, a co-transfer agent may require evidence of authority and compliance with applicable laws and other requirements by Holders or persons entitled to such ADRs and will be entitled to protection and indemnity to the same extent as the Depositary. Such co-transfer agents may be removed and substitutes appointed by the Depositary. Each co-transfer agent appointed under this Section 2.6 (other than the Depositary) shall give notice in writing to the Depositary accepting such appointment and agreeing to be bound by the applicable terms of the Deposit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6" w:name="page117"/>
    <w:bookmarkEnd w:id="116"/>
    <w:p>
      <w:pPr>
        <w:ind w:right="60"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 Custodian’s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Deposit Agreement, of the ADRs evidencing the ADSs so cancelled, of the Articles of Association of the Company, of any applicable laws and of the rules of CREST, and to the terms and conditions of or governing the Deposited Securities, in each case as in effect at the time thereof.</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Depositary shall not accept for surrender ADSs representing less than one (1)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(i) any cash dividends or cash distributions, or (ii) any proceeds from the sale of any distributions of shares or rights, which are at the time held by the Depositary in respect of the Deposited Securities represented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17" w:name="page118"/>
    <w:bookmarkEnd w:id="117"/>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ADSs surrendered for cancellation and withdrawal. At the request, risk and expense of any Holder so surrendering ADSs, and for the account of such Holder, the Depositary shall direct the Custodian to forward (to the extent permitted by law) any cash or other property (other than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Limitations on Execution and Delivery, Transfer, etc. of ADSs; Suspension of Delivery, Transfer, etc</w:t>
      </w:r>
      <w:r>
        <w:rPr>
          <w:rFonts w:ascii="Arial" w:cs="Arial" w:eastAsia="Arial" w:hAnsi="Arial"/>
          <w:sz w:val="18"/>
          <w:szCs w:val="18"/>
          <w:b w:val="1"/>
          <w:bCs w:val="1"/>
          <w:color w:val="auto"/>
        </w:rPr>
        <w:t>.</w:t>
      </w:r>
    </w:p>
    <w:p>
      <w:pPr>
        <w:spacing w:after="0" w:line="171" w:lineRule="exact"/>
        <w:rPr>
          <w:sz w:val="20"/>
          <w:szCs w:val="20"/>
          <w:color w:val="auto"/>
        </w:rPr>
      </w:pPr>
    </w:p>
    <w:p>
      <w:pPr>
        <w:ind w:right="40" w:firstLine="464"/>
        <w:spacing w:after="0" w:line="290" w:lineRule="auto"/>
        <w:tabs>
          <w:tab w:leader="none" w:pos="70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registration of issuance, transfer, split-up, combination or surrender,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12" w:lineRule="exact"/>
        <w:rPr>
          <w:rFonts w:ascii="Arial" w:cs="Arial" w:eastAsia="Arial" w:hAnsi="Arial"/>
          <w:sz w:val="16"/>
          <w:szCs w:val="16"/>
          <w:b w:val="1"/>
          <w:bCs w:val="1"/>
          <w:color w:val="auto"/>
        </w:rPr>
      </w:pPr>
    </w:p>
    <w:p>
      <w:pPr>
        <w:ind w:firstLine="464"/>
        <w:spacing w:after="0" w:line="291" w:lineRule="auto"/>
        <w:tabs>
          <w:tab w:leader="none" w:pos="71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 suspended,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w:t>
      </w:r>
    </w:p>
    <w:p>
      <w:pPr>
        <w:spacing w:after="0" w:line="113" w:lineRule="exact"/>
        <w:rPr>
          <w:rFonts w:ascii="Arial" w:cs="Arial" w:eastAsia="Arial" w:hAnsi="Arial"/>
          <w:sz w:val="16"/>
          <w:szCs w:val="16"/>
          <w:b w:val="1"/>
          <w:bCs w:val="1"/>
          <w:color w:val="auto"/>
        </w:rPr>
      </w:pPr>
    </w:p>
    <w:p>
      <w:pPr>
        <w:ind w:right="100" w:firstLine="464"/>
        <w:spacing w:after="0" w:line="293" w:lineRule="auto"/>
        <w:tabs>
          <w:tab w:leader="none" w:pos="69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Regulatory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the Deposit Agreement or any ADR(s) to the contrary, Holders are entitled to surrender</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18" w:name="page119"/>
    <w:bookmarkEnd w:id="118"/>
    <w:p>
      <w:pPr>
        <w:ind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 ADR of like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case of a destroyed, lost or stolen ADR, </w:t>
      </w:r>
      <w:r>
        <w:rPr>
          <w:rFonts w:ascii="Arial" w:cs="Arial" w:eastAsia="Arial" w:hAnsi="Arial"/>
          <w:sz w:val="16"/>
          <w:szCs w:val="16"/>
          <w:color w:val="auto"/>
        </w:rPr>
        <w:t>in lieu of and in substitution for such destroyed, lost, or stolen ADR, after the Holder thereof (i) has submitted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13"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 be canceled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i.e.</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08"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19" w:name="page120"/>
    <w:bookmarkEnd w:id="119"/>
    <w:p>
      <w:pPr>
        <w:ind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 distribution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20" w:name="page121"/>
    <w:bookmarkEnd w:id="120"/>
    <w:p>
      <w:pPr>
        <w:ind w:firstLine="45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 time and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applicable laws and any rules and regulations the Depositary may have established in respect of the Uncertificated ADSs.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Securities represented by such Holders’ Uncertificated ADSs under the terms of Section 6.2 of the Deposit Agreement. When issuing ADSs under the terms of the Deposit Agreement, including, without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21" w:name="page122"/>
    <w:bookmarkEnd w:id="1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280" w:right="399" w:bottom="1440" w:gutter="0" w:footer="0" w:header="0"/>
        </w:sectPr>
      </w:pPr>
    </w:p>
    <w:bookmarkStart w:id="122" w:name="page123"/>
    <w:bookmarkEnd w:id="122"/>
    <w:p>
      <w:pPr>
        <w:ind w:firstLine="456"/>
        <w:spacing w:after="0" w:line="28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 hereunder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that are Restricted Securities in order to enable the holder of such Shares to hold its ownership interests in such Restricted Shares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Shares and the Restricted ADSs shall not be eligible for Pre-Release Transactions.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w:t>
      </w:r>
    </w:p>
    <w:p>
      <w:pPr>
        <w:spacing w:after="0" w:line="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23" w:name="page124"/>
    <w:bookmarkEnd w:id="12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2.14 and of the Restricted ADR shall be controlling and shall govern the rights and obligations of the parties to the Deposit Agreement pertaining to the deposited Restricted Shares, the Restricted ADSs and Restricted ADRs.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Pre-Release Transactions and for inclusion in the applicable book-entry settlement systems.</w:t>
      </w: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CERTAIN OBLIGATIONS OF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ADSs</w:t>
      </w:r>
    </w:p>
    <w:p>
      <w:pPr>
        <w:spacing w:after="0" w:line="1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Deposit Agreement or the ADR(s) evidencing the ADSs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 the delivery of any Deposited Securities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4" w:name="page125"/>
    <w:bookmarkEnd w:id="12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1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Deposited Securities, ADSs or ADRs shall be payable by the Holders and Beneficial Owners to the Depositary.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any taxes (including applicable interest and penalties) or charges that are or may be payable by Holders or Beneficial Owners in respect of the ADSs, Deposited Securities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 the withdrawal of Deposited Securities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w:t>
      </w:r>
    </w:p>
    <w:p>
      <w:pPr>
        <w:spacing w:after="0" w:line="115"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Representations and Warranties on Deposit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depositing Shares under the Deposit Agreement shall be deemed thereby</w:t>
      </w:r>
      <w:r>
        <w:rPr>
          <w:rFonts w:ascii="Arial" w:cs="Arial" w:eastAsia="Arial" w:hAnsi="Arial"/>
          <w:sz w:val="15"/>
          <w:szCs w:val="15"/>
          <w:b w:val="1"/>
          <w:bCs w:val="1"/>
          <w:color w:val="auto"/>
        </w:rPr>
        <w:t xml:space="preserve"> </w:t>
      </w:r>
      <w:r>
        <w:rPr>
          <w:rFonts w:ascii="Arial" w:cs="Arial" w:eastAsia="Arial" w:hAnsi="Arial"/>
          <w:sz w:val="15"/>
          <w:szCs w:val="15"/>
          <w:color w:val="auto"/>
        </w:rPr>
        <w:t>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(v) the Shares presented for deposit are not, and the ADSs issuable upon such deposit will not be, Restricted Securities (except as contemplated in</w:t>
      </w:r>
    </w:p>
    <w:p>
      <w:pPr>
        <w:ind w:right="80"/>
        <w:spacing w:after="0" w:line="254" w:lineRule="auto"/>
        <w:rPr>
          <w:sz w:val="20"/>
          <w:szCs w:val="20"/>
          <w:color w:val="auto"/>
        </w:rPr>
      </w:pPr>
      <w:r>
        <w:rPr>
          <w:rFonts w:ascii="Arial" w:cs="Arial" w:eastAsia="Arial" w:hAnsi="Arial"/>
          <w:sz w:val="18"/>
          <w:szCs w:val="18"/>
          <w:color w:val="auto"/>
        </w:rPr>
        <w:t>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3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agrees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25" w:name="page126"/>
    <w:bookmarkEnd w:id="12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comply with requests from the Company pursuant to applicable law and any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1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in the Deposit Agreement or any ADR, the Company may restrict transfers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u w:val="single" w:color="auto"/>
          <w:color w:val="auto"/>
        </w:rPr>
        <w:t>Reporting Obligations and Regulatory Approvals</w:t>
      </w:r>
      <w:r>
        <w:rPr>
          <w:rFonts w:ascii="Arial" w:cs="Arial" w:eastAsia="Arial" w:hAnsi="Arial"/>
          <w:sz w:val="16"/>
          <w:szCs w:val="16"/>
          <w:color w:val="auto"/>
        </w:rPr>
        <w:t>. Applicable laws and regulations may require holders and beneficial owners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DEPOSITED SECURITIES</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Cash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the Company intends to make a distribution of a cash dividend or other cash distribution,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give notice thereof to the Depositary at least twenty (20) days prior to the proposed distribution. specifying, </w:t>
      </w:r>
      <w:r>
        <w:rPr>
          <w:rFonts w:ascii="Arial" w:cs="Arial" w:eastAsia="Arial" w:hAnsi="Arial"/>
          <w:sz w:val="18"/>
          <w:szCs w:val="18"/>
          <w:i w:val="1"/>
          <w:iCs w:val="1"/>
          <w:u w:val="single" w:color="auto"/>
          <w:color w:val="auto"/>
        </w:rPr>
        <w:t>inter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126" w:name="page127"/>
    <w:bookmarkEnd w:id="126"/>
    <w:p>
      <w:pPr>
        <w:spacing w:after="0" w:line="284" w:lineRule="auto"/>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alia</w:t>
      </w:r>
      <w:r>
        <w:rPr>
          <w:rFonts w:ascii="Arial" w:cs="Arial" w:eastAsia="Arial" w:hAnsi="Arial"/>
          <w:sz w:val="16"/>
          <w:szCs w:val="16"/>
          <w:color w:val="auto"/>
        </w:rPr>
        <w:t>, the record date applicable for determining the holders of Deposited Securities entitled to receive such distribution. Upon the timely receipt of such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shall establish an ADS Record Date upon the terms described in Section 4.9. Upon receipt of confirmation from the Custodian of the receipt of any cash dividend or other cash distribution on any Deposited Securities, or upon receipt of proceeds from the sale of any Deposited Securities or any other entitlements held in respect of Deposited Securities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27"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b w:val="1"/>
          <w:bCs w:val="1"/>
          <w:color w:val="auto"/>
        </w:rPr>
        <w:t xml:space="preserve">Section 4.2 </w:t>
      </w:r>
      <w:r>
        <w:rPr>
          <w:rFonts w:ascii="Arial" w:cs="Arial" w:eastAsia="Arial" w:hAnsi="Arial"/>
          <w:sz w:val="15"/>
          <w:szCs w:val="15"/>
          <w:b w:val="1"/>
          <w:bCs w:val="1"/>
          <w:u w:val="single" w:color="auto"/>
          <w:color w:val="auto"/>
        </w:rPr>
        <w:t>Distribution in Shares</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the Company intends to make a distribution that consists of a dividend in, or free distribution of, Shares,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shall give notice thereof to the Depositary at least twenty (20) days prior to the proposed distribution, specifying, </w:t>
      </w:r>
      <w:r>
        <w:rPr>
          <w:rFonts w:ascii="Arial" w:cs="Arial" w:eastAsia="Arial" w:hAnsi="Arial"/>
          <w:sz w:val="15"/>
          <w:szCs w:val="15"/>
          <w:i w:val="1"/>
          <w:iCs w:val="1"/>
          <w:u w:val="single" w:color="auto"/>
          <w:color w:val="auto"/>
        </w:rPr>
        <w:t>inter alia</w:t>
      </w:r>
      <w:r>
        <w:rPr>
          <w:rFonts w:ascii="Arial" w:cs="Arial" w:eastAsia="Arial" w:hAnsi="Arial"/>
          <w:sz w:val="15"/>
          <w:szCs w:val="15"/>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sz w:val="20"/>
          <w:szCs w:val="20"/>
          <w:color w:val="auto"/>
        </w:rPr>
      </w:pPr>
    </w:p>
    <w:p>
      <w:pPr>
        <w:ind w:right="40" w:firstLine="8"/>
        <w:spacing w:after="0" w:line="261"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taxes), or (ii) if additional ADSs are not so distributed, take all actions necessary so that each ADS issued and outstanding after the ADS Record Date shall, to the extent permissible by law, thenceforth also represent rights and interests in the additional integral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27" w:name="page128"/>
    <w:bookmarkEnd w:id="12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in cash or in additional Shares, the Company shall give timely notice thereof to the Depositary at least sixty (60) days prior to the proposed distribution specifying, </w:t>
      </w:r>
      <w:r>
        <w:rPr>
          <w:rFonts w:ascii="Arial" w:cs="Arial" w:eastAsia="Arial" w:hAnsi="Arial"/>
          <w:sz w:val="16"/>
          <w:szCs w:val="16"/>
          <w:i w:val="1"/>
          <w:iCs w:val="1"/>
          <w:u w:val="single" w:color="auto"/>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w:t>
      </w:r>
    </w:p>
    <w:p>
      <w:pPr>
        <w:spacing w:after="0" w:line="1" w:lineRule="exact"/>
        <w:rPr>
          <w:sz w:val="20"/>
          <w:szCs w:val="20"/>
          <w:color w:val="auto"/>
        </w:rPr>
      </w:pPr>
    </w:p>
    <w:p>
      <w:pPr>
        <w:ind w:right="60" w:firstLine="8"/>
        <w:spacing w:after="0" w:line="300" w:lineRule="auto"/>
        <w:tabs>
          <w:tab w:leader="none" w:pos="258"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Depositary shall have determined that such distribution is reasonably practicable and (iii) the Depositary shall have received satisfactory documentation within the terms of Section 5.7. If the above conditions are not satisfied, the Depositary shall establish an ADS Record Date on the terms described in Section 4.9 and, to the extent permitted by law, distribute to the Holders, on the basis of the same determination as is made in respect of the Shares for which no election is made, either (X) cash upon the terms described in Section 4.1 or (Y) additional ADSs representing such additional Shares upon the terms described in</w:t>
      </w:r>
    </w:p>
    <w:p>
      <w:pPr>
        <w:spacing w:after="0" w:line="1" w:lineRule="exact"/>
        <w:rPr>
          <w:rFonts w:ascii="Arial" w:cs="Arial" w:eastAsia="Arial" w:hAnsi="Arial"/>
          <w:sz w:val="15"/>
          <w:szCs w:val="15"/>
          <w:color w:val="auto"/>
        </w:rPr>
      </w:pPr>
    </w:p>
    <w:p>
      <w:pPr>
        <w:ind w:right="300"/>
        <w:spacing w:after="0" w:line="312" w:lineRule="auto"/>
        <w:rPr>
          <w:rFonts w:ascii="Arial" w:cs="Arial" w:eastAsia="Arial" w:hAnsi="Arial"/>
          <w:sz w:val="15"/>
          <w:szCs w:val="15"/>
          <w:color w:val="auto"/>
        </w:rPr>
      </w:pPr>
      <w:r>
        <w:rPr>
          <w:rFonts w:ascii="Arial" w:cs="Arial" w:eastAsia="Arial" w:hAnsi="Arial"/>
          <w:sz w:val="15"/>
          <w:szCs w:val="15"/>
          <w:color w:val="auto"/>
        </w:rPr>
        <w:t>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4.4 </w:t>
      </w:r>
      <w:r>
        <w:rPr>
          <w:rFonts w:ascii="Arial" w:cs="Arial" w:eastAsia="Arial" w:hAnsi="Arial"/>
          <w:sz w:val="18"/>
          <w:szCs w:val="18"/>
          <w:b w:val="1"/>
          <w:bCs w:val="1"/>
          <w:u w:val="single" w:color="auto"/>
          <w:color w:val="auto"/>
        </w:rPr>
        <w:t>Distribution of Rights to Purchase Additional ADSs</w:t>
      </w:r>
      <w:r>
        <w:rPr>
          <w:rFonts w:ascii="Arial" w:cs="Arial" w:eastAsia="Arial" w:hAnsi="Arial"/>
          <w:sz w:val="18"/>
          <w:szCs w:val="18"/>
          <w:b w:val="1"/>
          <w:bCs w:val="1"/>
          <w:color w:val="auto"/>
        </w:rPr>
        <w:t>.</w:t>
      </w:r>
    </w:p>
    <w:p>
      <w:pPr>
        <w:spacing w:after="0" w:line="171" w:lineRule="exact"/>
        <w:rPr>
          <w:sz w:val="20"/>
          <w:szCs w:val="20"/>
          <w:color w:val="auto"/>
        </w:rPr>
      </w:pPr>
    </w:p>
    <w:p>
      <w:pPr>
        <w:ind w:left="-20" w:right="40" w:firstLine="464"/>
        <w:spacing w:after="0" w:line="286" w:lineRule="auto"/>
        <w:tabs>
          <w:tab w:leader="none" w:pos="68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the Company shall give notice thereof to the Depositary at least sixty (60) days prior to the proposed distribution specifying, </w:t>
      </w:r>
      <w:r>
        <w:rPr>
          <w:rFonts w:ascii="Arial" w:cs="Arial" w:eastAsia="Arial" w:hAnsi="Arial"/>
          <w:sz w:val="16"/>
          <w:szCs w:val="16"/>
          <w:i w:val="1"/>
          <w:iCs w:val="1"/>
          <w:u w:val="single" w:color="auto"/>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4.9) and establish procedures to (x) distribute rights to purchase additional ADSs (by means of warrants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17" w:lineRule="exact"/>
        <w:rPr>
          <w:rFonts w:ascii="Arial" w:cs="Arial" w:eastAsia="Arial" w:hAnsi="Arial"/>
          <w:sz w:val="16"/>
          <w:szCs w:val="16"/>
          <w:b w:val="1"/>
          <w:bCs w:val="1"/>
          <w:color w:val="auto"/>
        </w:rPr>
      </w:pPr>
    </w:p>
    <w:p>
      <w:pPr>
        <w:ind w:left="-20" w:firstLine="464"/>
        <w:spacing w:after="0" w:line="291" w:lineRule="auto"/>
        <w:tabs>
          <w:tab w:leader="none" w:pos="69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Sale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If (i) the Company does not timely request the Depositary to make the rights available to Holders or requests that the rights not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13" w:lineRule="exact"/>
        <w:rPr>
          <w:rFonts w:ascii="Arial" w:cs="Arial" w:eastAsia="Arial" w:hAnsi="Arial"/>
          <w:sz w:val="16"/>
          <w:szCs w:val="16"/>
          <w:b w:val="1"/>
          <w:bCs w:val="1"/>
          <w:color w:val="auto"/>
        </w:rPr>
      </w:pPr>
    </w:p>
    <w:p>
      <w:pPr>
        <w:ind w:left="-20" w:firstLine="464"/>
        <w:spacing w:after="0" w:line="275" w:lineRule="auto"/>
        <w:tabs>
          <w:tab w:leader="none" w:pos="67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 for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rights upon the terms described in Section 4.4(b), the Depositary shall allow such rights to lapse.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74" w:right="259" w:bottom="1440" w:gutter="0" w:footer="0" w:header="0"/>
        </w:sectPr>
      </w:pPr>
    </w:p>
    <w:bookmarkStart w:id="129" w:name="page130"/>
    <w:bookmarkEnd w:id="129"/>
    <w:p>
      <w:pPr>
        <w:jc w:val="both"/>
        <w:ind w:right="4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the Company, the Depositary or the Custodian shall be required to withhold and does withhold from any distribution of property (including rights) an amount on account of taxes or other governmental charges, the amount distributed to the Holders of ADSs representing such Deposited Securities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Distributions Other Than Cash, Shares or Rights to Purchase Shares</w:t>
      </w:r>
      <w:r>
        <w:rPr>
          <w:rFonts w:ascii="Arial" w:cs="Arial" w:eastAsia="Arial" w:hAnsi="Arial"/>
          <w:sz w:val="18"/>
          <w:szCs w:val="18"/>
          <w:b w:val="1"/>
          <w:bCs w:val="1"/>
          <w:color w:val="auto"/>
        </w:rPr>
        <w:t>.</w:t>
      </w:r>
    </w:p>
    <w:p>
      <w:pPr>
        <w:spacing w:after="0" w:line="177" w:lineRule="exact"/>
        <w:rPr>
          <w:sz w:val="20"/>
          <w:szCs w:val="20"/>
          <w:color w:val="auto"/>
        </w:rPr>
      </w:pPr>
    </w:p>
    <w:p>
      <w:pPr>
        <w:ind w:right="20" w:firstLine="464"/>
        <w:spacing w:after="0" w:line="314" w:lineRule="auto"/>
        <w:tabs>
          <w:tab w:leader="none" w:pos="705" w:val="left"/>
        </w:tabs>
        <w:numPr>
          <w:ilvl w:val="0"/>
          <w:numId w:val="62"/>
        </w:numPr>
        <w:rPr>
          <w:rFonts w:ascii="Arial" w:cs="Arial" w:eastAsia="Arial" w:hAnsi="Arial"/>
          <w:sz w:val="15"/>
          <w:szCs w:val="15"/>
          <w:b w:val="1"/>
          <w:bCs w:val="1"/>
          <w:color w:val="auto"/>
        </w:rPr>
      </w:pPr>
      <w:r>
        <w:rPr>
          <w:rFonts w:ascii="Arial" w:cs="Arial" w:eastAsia="Arial" w:hAnsi="Arial"/>
          <w:sz w:val="15"/>
          <w:szCs w:val="15"/>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30" w:name="page131"/>
    <w:bookmarkEnd w:id="130"/>
    <w:p>
      <w:pPr>
        <w:ind w:right="20" w:firstLine="464"/>
        <w:spacing w:after="0" w:line="291" w:lineRule="auto"/>
        <w:tabs>
          <w:tab w:leader="none" w:pos="715"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20" w:lineRule="exact"/>
        <w:rPr>
          <w:rFonts w:ascii="Arial" w:cs="Arial" w:eastAsia="Arial" w:hAnsi="Arial"/>
          <w:sz w:val="16"/>
          <w:szCs w:val="16"/>
          <w:b w:val="1"/>
          <w:bCs w:val="1"/>
          <w:color w:val="auto"/>
        </w:rPr>
      </w:pPr>
    </w:p>
    <w:p>
      <w:pPr>
        <w:ind w:firstLine="464"/>
        <w:spacing w:after="0" w:line="290" w:lineRule="auto"/>
        <w:tabs>
          <w:tab w:leader="none" w:pos="695"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12" w:lineRule="exact"/>
        <w:rPr>
          <w:sz w:val="20"/>
          <w:szCs w:val="20"/>
          <w:color w:val="auto"/>
        </w:rPr>
      </w:pPr>
    </w:p>
    <w:p>
      <w:pPr>
        <w:ind w:right="420" w:firstLine="456"/>
        <w:spacing w:after="0" w:line="296"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that are held by the Depositary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0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 shall give</w:t>
      </w:r>
      <w:r>
        <w:rPr>
          <w:rFonts w:ascii="Arial" w:cs="Arial" w:eastAsia="Arial" w:hAnsi="Arial"/>
          <w:sz w:val="16"/>
          <w:szCs w:val="16"/>
          <w:b w:val="1"/>
          <w:bCs w:val="1"/>
          <w:color w:val="auto"/>
        </w:rPr>
        <w:t xml:space="preserve"> </w:t>
      </w:r>
      <w:r>
        <w:rPr>
          <w:rFonts w:ascii="Arial" w:cs="Arial" w:eastAsia="Arial" w:hAnsi="Arial"/>
          <w:sz w:val="16"/>
          <w:szCs w:val="16"/>
          <w:color w:val="auto"/>
        </w:rPr>
        <w:t>timely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31" w:name="page132"/>
    <w:bookmarkEnd w:id="13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Conversion of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or the Custodian shall receive Foreign Currency, by way of dividends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or the net proceeds from the sale of securities, property or rights,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32" w:name="page133"/>
    <w:bookmarkEnd w:id="132"/>
    <w:p>
      <w:pPr>
        <w:ind w:right="60"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under English law and the Company’s Articles of Association.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1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33" w:name="page134"/>
    <w:bookmarkEnd w:id="133"/>
    <w:p>
      <w:pPr>
        <w:ind w:right="1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such voting instructions.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voting and neither the Depositary nor the Custodian shall vote, attempt to exercise the right to vote, or in any way make use of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Changes Affecting 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change in nominal or par value, split-up, cancellation, consolidation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reclassification of Deposited Securities, or upon any recapitalization, reorganization, merger, consolidation or sale of assets affecting the Company or to which it is a party, any securities which shall be received by the Depositary or the Custodian in exchange for, or in conversion of or replacement of or otherwise in respect of, such Deposited Securities shall, to the extent permitted by law, be treated as new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34" w:name="page135"/>
    <w:bookmarkEnd w:id="134"/>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Deposited Securities under the Deposit Agreement, and the ADRs shall, subject to the provisions of the Deposit Agreement and applicable law, evidence ADSs representing the right to receive such additional or replacement securities.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security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securities at public or private sale, at such place or places and upon such terms as it may deem proper and may allocate the net proceeds of such sales (net of</w:t>
      </w:r>
    </w:p>
    <w:p>
      <w:pPr>
        <w:spacing w:after="0" w:line="5" w:lineRule="exact"/>
        <w:rPr>
          <w:sz w:val="20"/>
          <w:szCs w:val="20"/>
          <w:color w:val="auto"/>
        </w:rPr>
      </w:pPr>
    </w:p>
    <w:p>
      <w:pPr>
        <w:ind w:right="100" w:firstLine="8"/>
        <w:spacing w:after="0" w:line="292" w:lineRule="auto"/>
        <w:tabs>
          <w:tab w:leader="none" w:pos="239" w:val="left"/>
        </w:tabs>
        <w:numPr>
          <w:ilvl w:val="0"/>
          <w:numId w:val="64"/>
        </w:numPr>
        <w:rPr>
          <w:rFonts w:ascii="Arial" w:cs="Arial" w:eastAsia="Arial" w:hAnsi="Arial"/>
          <w:sz w:val="16"/>
          <w:szCs w:val="16"/>
          <w:color w:val="auto"/>
        </w:rPr>
      </w:pPr>
      <w:r>
        <w:rPr>
          <w:rFonts w:ascii="Arial" w:cs="Arial" w:eastAsia="Arial" w:hAnsi="Arial"/>
          <w:sz w:val="16"/>
          <w:szCs w:val="16"/>
          <w:color w:val="auto"/>
        </w:rPr>
        <w:t>fees and charges of, and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securities available to Holders in general or to any Holder in particular, (ii) any foreign exchange exposure or loss incurred in connection with such sale, or (iii) any liability to the purchaser of such securities.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submit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0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proxy soliciting materials, received from the Company which are both (a) received by the Depositary, the Custodian, or the nominee of either of them as the holder of the Deposited Securities and (b) made generally available to the holders of such Deposited Securities by the Company. The Depositary shall also provide or make available to Holders copies of such reports when furnished by the Company pursuant to Section 5.6.</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35" w:name="page136"/>
    <w:bookmarkEnd w:id="135"/>
    <w:p>
      <w:pPr>
        <w:ind w:right="3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 names,</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addresses and holdings of ADSs of all Holders.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Section 4.15 </w:t>
      </w:r>
      <w:r>
        <w:rPr>
          <w:rFonts w:ascii="Arial" w:cs="Arial" w:eastAsia="Arial" w:hAnsi="Arial"/>
          <w:sz w:val="16"/>
          <w:szCs w:val="16"/>
          <w:b w:val="1"/>
          <w:bCs w:val="1"/>
          <w:u w:val="single" w:color="auto"/>
          <w:color w:val="auto"/>
        </w:rPr>
        <w:t>Taxation</w:t>
      </w:r>
      <w:r>
        <w:rPr>
          <w:rFonts w:ascii="Arial" w:cs="Arial" w:eastAsia="Arial" w:hAnsi="Arial"/>
          <w:sz w:val="16"/>
          <w:szCs w:val="16"/>
          <w:color w:val="auto"/>
        </w:rPr>
        <w:t>. The Depositary will, and will instruct the Custodian to, forward to the Company or its agents such information from its records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6"/>
          <w:szCs w:val="16"/>
          <w:i w:val="1"/>
          <w:iCs w:val="1"/>
          <w:color w:val="auto"/>
        </w:rPr>
        <w:t>i.e.</w:t>
      </w:r>
      <w:r>
        <w:rPr>
          <w:rFonts w:ascii="Arial" w:cs="Arial" w:eastAsia="Arial" w:hAnsi="Arial"/>
          <w:sz w:val="16"/>
          <w:szCs w:val="16"/>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sectPr>
      </w:pPr>
    </w:p>
    <w:bookmarkStart w:id="136" w:name="page137"/>
    <w:bookmarkEnd w:id="136"/>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Company (or any of its subsidiaries) being treated as a “Passive Foreign Investment Company” (in each case as defined in the U.S. Internal Revenue Code and the regulations issued thereunder) or otherwise.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 terms,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4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Arial" w:cs="Arial" w:eastAsia="Arial" w:hAnsi="Arial"/>
          <w:sz w:val="16"/>
          <w:szCs w:val="16"/>
          <w:b w:val="1"/>
          <w:bCs w:val="1"/>
          <w:color w:val="auto"/>
        </w:rPr>
        <w:t>,</w:t>
      </w:r>
      <w:r>
        <w:rPr>
          <w:rFonts w:ascii="Arial" w:cs="Arial" w:eastAsia="Arial" w:hAnsi="Arial"/>
          <w:sz w:val="16"/>
          <w:szCs w:val="16"/>
          <w:color w:val="auto"/>
        </w:rPr>
        <w:t xml:space="preserve"> in accordance with any requirements of such exchanges or systems. Such Registrar or co-registrars may be removed and a substitute or substitutes appointed by the Depositary.</w:t>
      </w:r>
    </w:p>
    <w:p>
      <w:pPr>
        <w:spacing w:after="0" w:line="10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Depositary nor the Company shall be obligated to do or perform any act which is inconsistent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or any other country, or of any other governmental authority or regulatory authority or stock exchange, or on account of the possible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37" w:name="page138"/>
    <w:bookmarkEnd w:id="13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for any breach of the terms of the Deposit Agreement.</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disclaimer of liability under the Securities Act is intended by any provision of the Deposit Agreement.</w:t>
      </w:r>
    </w:p>
    <w:p>
      <w:pPr>
        <w:spacing w:after="0" w:line="165"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38" w:name="page139"/>
    <w:bookmarkEnd w:id="138"/>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terms of the Deposit Agreement, for the failure or timeliness of any notice from the Company, or for any action of or failure to act by, or any information provided or not provided by, DTC or any DTC Participant.</w:t>
      </w:r>
    </w:p>
    <w:p>
      <w:pPr>
        <w:spacing w:after="0" w:line="13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0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Resignation and Removal of the Depositary; Appointment of Successor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at any time resign as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42"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07"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right, title and interest to the Deposited Securities to such successor, and</w:t>
      </w:r>
    </w:p>
    <w:p>
      <w:pPr>
        <w:spacing w:after="0" w:line="5" w:lineRule="exact"/>
        <w:rPr>
          <w:sz w:val="20"/>
          <w:szCs w:val="20"/>
          <w:color w:val="auto"/>
        </w:rPr>
      </w:pPr>
    </w:p>
    <w:p>
      <w:pPr>
        <w:ind w:right="80" w:firstLine="8"/>
        <w:spacing w:after="0" w:line="261" w:lineRule="auto"/>
        <w:tabs>
          <w:tab w:leader="none" w:pos="3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corporation into or with which the Depositary may be merged or consolidated shall be the successor of the Depositary without the execution or filing of any document or any further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39" w:name="page140"/>
    <w:bookmarkEnd w:id="139"/>
    <w:p>
      <w:pPr>
        <w:ind w:firstLine="456"/>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5.5 </w:t>
      </w:r>
      <w:r>
        <w:rPr>
          <w:rFonts w:ascii="Arial" w:cs="Arial" w:eastAsia="Arial" w:hAnsi="Arial"/>
          <w:sz w:val="16"/>
          <w:szCs w:val="16"/>
          <w:b w:val="1"/>
          <w:bCs w:val="1"/>
          <w:u w:val="single" w:color="auto"/>
          <w:color w:val="auto"/>
        </w:rPr>
        <w:t>The 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initially appointed Citibank, N.A. London Branch, as Custodian for the purpose of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or cause the Delivery of,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custodian with respect to any Deposited Securities, or discharge the Custodian with respect to any Deposited Securities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12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Citibank, N.A. may at any time act as Custodian of the Deposited Securities pursuant to the Deposit Agreement, in which case any reference to Custodian shall mean Citibank, N.A. solely in its capacity as Custodian pursuant to the Deposit Agreement. Notwithstanding anything contained in the Deposit Agreement or any ADR, the Depositary shall not be obligated to give notice to the Company, any Holders of ADSs or any other Custodian of its acting as Custodian pursuant to the Deposit Agreement.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0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b w:val="1"/>
          <w:bCs w:val="1"/>
          <w:u w:val="single" w:color="auto"/>
          <w:color w:val="auto"/>
        </w:rPr>
        <w:t>Notices and Reports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first date on which the Company gives notice, by publication or otherwise, of any meeting of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1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40" w:name="page141"/>
    <w:bookmarkEnd w:id="14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3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 issuance, sale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proposed transaction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(2) all requisite regulatory consents and approvals have been obtained in England.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41" w:name="page142"/>
    <w:bookmarkEnd w:id="14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w:t>
      </w:r>
    </w:p>
    <w:p>
      <w:pPr>
        <w:ind w:right="140" w:firstLine="8"/>
        <w:spacing w:after="0" w:line="254" w:lineRule="auto"/>
        <w:tabs>
          <w:tab w:leader="none" w:pos="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26"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 against, and</w:t>
      </w:r>
      <w:r>
        <w:rPr>
          <w:rFonts w:ascii="Arial" w:cs="Arial" w:eastAsia="Arial" w:hAnsi="Arial"/>
          <w:sz w:val="18"/>
          <w:szCs w:val="18"/>
          <w:b w:val="1"/>
          <w:bCs w:val="1"/>
          <w:color w:val="auto"/>
        </w:rPr>
        <w:t xml:space="preserve"> </w:t>
      </w:r>
      <w:r>
        <w:rPr>
          <w:rFonts w:ascii="Arial" w:cs="Arial" w:eastAsia="Arial" w:hAnsi="Arial"/>
          <w:sz w:val="18"/>
          <w:szCs w:val="18"/>
          <w:color w:val="auto"/>
        </w:rPr>
        <w:t>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4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the ADRs, the ADSs, the Shares, or any Deposited Securities,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set forth in this Section shall survive the termination of the Deposit Agreement and the succession or substitution of any party hereto.</w:t>
      </w:r>
    </w:p>
    <w:p>
      <w:pPr>
        <w:spacing w:after="0" w:line="19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42" w:name="page143"/>
    <w:bookmarkEnd w:id="142"/>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7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Fees and Charges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the Holders, the Beneficial Owners, and persons depositing Shares or surrendering ADSs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cancellation and withdrawal of Deposited Securities shall be required to pay to the Depositary the Depositary’s fees and related charges identified as payable by them respectively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All fees and charges so payable may, at any time and from time to time, be changed by agreement between the Depositary and the Company, but, in the case of fees and charges payable by Holders and Beneficial Owners, only in the manner contemplated in Section 6.1. The Depositary shall provide, without charge, a copy of its latest fee schedule to anyone upon request.</w:t>
      </w:r>
    </w:p>
    <w:p>
      <w:pPr>
        <w:spacing w:after="0" w:line="11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Beneficial Owners for whom they hold ADSs.</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Depositary may reimburse the Company for certain expenses incurred by the Company in respect of the ADR program established pursuant to the Deposit Agreement, by making available a portion of the Depositary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charges and reimbursements may from time to time be changed by agreement between the Company and the Depositary. Unless otherwise agreed, the Depositary shall present its statement for such expenses and fees or charges to the Company once every three months. The charges and expenses of the Custodian are for the sole account of the Depositary.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43" w:name="page144"/>
    <w:bookmarkEnd w:id="1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 of the Depositary to receive payment of fees, charges and expenses as provided above shall survive the termination of the Deposit Agreement. As to any Depositary, upon the resignation or removal of such Depositary as described in Section 5.4, such right shall extend for those fees, charges and expenses incurred prior to the effectiveness of such resignation or removal.</w:t>
      </w:r>
    </w:p>
    <w:p>
      <w:pPr>
        <w:spacing w:after="0" w:line="134"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b w:val="1"/>
          <w:bCs w:val="1"/>
          <w:color w:val="auto"/>
        </w:rPr>
        <w:t xml:space="preserve">Section 5.10 </w:t>
      </w:r>
      <w:r>
        <w:rPr>
          <w:rFonts w:ascii="Arial" w:cs="Arial" w:eastAsia="Arial" w:hAnsi="Arial"/>
          <w:sz w:val="15"/>
          <w:szCs w:val="15"/>
          <w:b w:val="1"/>
          <w:bCs w:val="1"/>
          <w:u w:val="single" w:color="auto"/>
          <w:color w:val="auto"/>
        </w:rPr>
        <w:t>Pre-Release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further terms and provisions of this Section 5.10, the Depositary, its Affiliates and their agents, on</w:t>
      </w:r>
      <w:r>
        <w:rPr>
          <w:rFonts w:ascii="Arial" w:cs="Arial" w:eastAsia="Arial" w:hAnsi="Arial"/>
          <w:sz w:val="15"/>
          <w:szCs w:val="15"/>
          <w:b w:val="1"/>
          <w:bCs w:val="1"/>
          <w:color w:val="auto"/>
        </w:rPr>
        <w:t xml:space="preserve"> </w:t>
      </w:r>
      <w:r>
        <w:rPr>
          <w:rFonts w:ascii="Arial" w:cs="Arial" w:eastAsia="Arial" w:hAnsi="Arial"/>
          <w:sz w:val="15"/>
          <w:szCs w:val="15"/>
          <w:color w:val="auto"/>
        </w:rPr>
        <w:t>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and (ii) deliver Shares prior to the receipt of ADSs for withdrawal of Deposited Securities pursuant to Section 2.7, including ADSs which were issued under (i) above but for which Shares may not have been received (each such transaction a “</w:t>
      </w:r>
      <w:r>
        <w:rPr>
          <w:rFonts w:ascii="Arial" w:cs="Arial" w:eastAsia="Arial" w:hAnsi="Arial"/>
          <w:sz w:val="15"/>
          <w:szCs w:val="15"/>
          <w:u w:val="single" w:color="auto"/>
          <w:color w:val="auto"/>
        </w:rPr>
        <w:t>Pre-Release Transaction</w:t>
      </w:r>
      <w:r>
        <w:rPr>
          <w:rFonts w:ascii="Arial" w:cs="Arial" w:eastAsia="Arial" w:hAnsi="Arial"/>
          <w:sz w:val="15"/>
          <w:szCs w:val="15"/>
          <w:color w:val="auto"/>
        </w:rPr>
        <w:t>”). The Depositary may receive ADSs in lieu of Shares under (i) above and receive Shares in lieu of ADSs under (ii) above. Each such Pre-Release Transaction will be (a) subject to a written agreement whereby the person or entity (the “</w:t>
      </w:r>
      <w:r>
        <w:rPr>
          <w:rFonts w:ascii="Arial" w:cs="Arial" w:eastAsia="Arial" w:hAnsi="Arial"/>
          <w:sz w:val="15"/>
          <w:szCs w:val="15"/>
          <w:u w:val="single" w:color="auto"/>
          <w:color w:val="auto"/>
        </w:rPr>
        <w:t>Applicant</w:t>
      </w:r>
      <w:r>
        <w:rPr>
          <w:rFonts w:ascii="Arial" w:cs="Arial" w:eastAsia="Arial" w:hAnsi="Arial"/>
          <w:sz w:val="15"/>
          <w:szCs w:val="15"/>
          <w:color w:val="auto"/>
        </w:rPr>
        <w: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w:t>
      </w:r>
    </w:p>
    <w:p>
      <w:pPr>
        <w:spacing w:after="0" w:line="4" w:lineRule="exact"/>
        <w:rPr>
          <w:sz w:val="20"/>
          <w:szCs w:val="20"/>
          <w:color w:val="auto"/>
        </w:rPr>
      </w:pPr>
    </w:p>
    <w:p>
      <w:pPr>
        <w:ind w:right="180" w:firstLine="8"/>
        <w:spacing w:after="0" w:line="290"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01" w:lineRule="exact"/>
        <w:rPr>
          <w:sz w:val="20"/>
          <w:szCs w:val="20"/>
          <w:color w:val="auto"/>
        </w:rPr>
      </w:pPr>
    </w:p>
    <w:p>
      <w:pPr>
        <w:ind w:right="500" w:firstLine="456"/>
        <w:spacing w:after="0" w:line="258"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 any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i.e.</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26"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at any time at the written direction of the Company, terminate the Deposit Agreement by distributing</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such termination to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45" w:name="page146"/>
    <w:bookmarkEnd w:id="14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securities and other property received in respect of Deposited Securities, (iii) deliver Deposited Securities, together with any dividends or other distributions received with respect thereto and the net proceeds of the sale of any securities or other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Securities then held under the Deposit Agreement and shall after such sale hold un-invested the net proceeds of such sale, together with any other cash then held by it under the Deposit Agreement, in an un-segregated account and without liability for interest, for the pro -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together shall constitute one and the same agreement. Copies of the Deposit Agreement shall be maintained with the Depositary and shall be open to inspection by any Holder during business hours.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 successors) and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the Deposit Agreement shall (a) preclude the Depositary or any of its Affiliates from engaging in such transactions or establishing or maintaining such relationships, and (b) obligate the Depositary or any of its Affiliates to disclose such transactions or relationships or to account for any profit made or payment received in such transactions or relationships.</w:t>
      </w:r>
    </w:p>
    <w:p>
      <w:pPr>
        <w:spacing w:after="0" w:line="11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illegal or unenforceable in any respect, the validity, legality and enforceability of the remaining provisions contained herein or therein shall in no way be affected, prejudiced or disturbed thereby.</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 issued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parties to the Deposit Agreement and shall be bound by all of the terms and conditions hereof and of any ADR evidencing their ADSs by acceptance thereof or any beneficial interest therein.</w:t>
      </w:r>
    </w:p>
    <w:p>
      <w:pPr>
        <w:spacing w:after="0" w:line="13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 by mail, air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courier or cable, telex or facsimile transmission, confirmed by letter personally delivered or sent by mail or air courier, addressed to Amarin Corporation plc, c/o Amarin Pharma Inc., 12 Roosevelt Ave., Mystic, Connecticut, 06355, U.S.A., </w:t>
      </w:r>
      <w:r>
        <w:rPr>
          <w:rFonts w:ascii="Arial" w:cs="Arial" w:eastAsia="Arial" w:hAnsi="Arial"/>
          <w:sz w:val="18"/>
          <w:szCs w:val="18"/>
          <w:u w:val="single" w:color="auto"/>
          <w:color w:val="auto"/>
        </w:rPr>
        <w:t>Attention</w:t>
      </w:r>
      <w:r>
        <w:rPr>
          <w:rFonts w:ascii="Arial" w:cs="Arial" w:eastAsia="Arial" w:hAnsi="Arial"/>
          <w:sz w:val="18"/>
          <w:szCs w:val="18"/>
          <w:color w:val="auto"/>
        </w:rPr>
        <w:t>: Chief Financial Officer, or to any other address which the Company may specify in writing to the Depositary.</w:t>
      </w:r>
    </w:p>
    <w:p>
      <w:pPr>
        <w:spacing w:after="0" w:line="14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6"/>
          <w:szCs w:val="16"/>
          <w:u w:val="single" w:color="auto"/>
          <w:color w:val="auto"/>
        </w:rPr>
        <w:t>Attention</w:t>
      </w:r>
      <w:r>
        <w:rPr>
          <w:rFonts w:ascii="Arial" w:cs="Arial" w:eastAsia="Arial" w:hAnsi="Arial"/>
          <w:sz w:val="16"/>
          <w:szCs w:val="16"/>
          <w:color w:val="auto"/>
        </w:rPr>
        <w:t>: Depositary Receipts Department, or to any other address which the Depositary may specify in writing to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147" w:name="page148"/>
    <w:bookmarkEnd w:id="147"/>
    <w:p>
      <w:pPr>
        <w:ind w:right="80"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and all notices to be given to any Holder shall be deemed to have been duly given if </w:t>
      </w:r>
      <w:r>
        <w:rPr>
          <w:rFonts w:ascii="Arial" w:cs="Arial" w:eastAsia="Arial" w:hAnsi="Arial"/>
          <w:sz w:val="15"/>
          <w:szCs w:val="15"/>
          <w:b w:val="1"/>
          <w:bCs w:val="1"/>
          <w:color w:val="auto"/>
        </w:rPr>
        <w:t>(a)</w:t>
      </w:r>
      <w:r>
        <w:rPr>
          <w:rFonts w:ascii="Arial" w:cs="Arial" w:eastAsia="Arial" w:hAnsi="Arial"/>
          <w:sz w:val="15"/>
          <w:szCs w:val="15"/>
          <w:color w:val="auto"/>
        </w:rPr>
        <w:t xml:space="preserve">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w:t>
      </w:r>
    </w:p>
    <w:p>
      <w:pPr>
        <w:spacing w:after="0" w:line="1" w:lineRule="exact"/>
        <w:rPr>
          <w:sz w:val="20"/>
          <w:szCs w:val="20"/>
          <w:color w:val="auto"/>
        </w:rPr>
      </w:pPr>
    </w:p>
    <w:p>
      <w:pPr>
        <w:jc w:val="both"/>
        <w:ind w:right="260" w:firstLine="8"/>
        <w:spacing w:after="0" w:line="295" w:lineRule="auto"/>
        <w:tabs>
          <w:tab w:leader="none" w:pos="258"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w:t>
      </w:r>
    </w:p>
    <w:p>
      <w:pPr>
        <w:spacing w:after="0" w:line="11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82" w:lineRule="exact"/>
        <w:rPr>
          <w:sz w:val="20"/>
          <w:szCs w:val="20"/>
          <w:color w:val="auto"/>
        </w:rPr>
      </w:pPr>
    </w:p>
    <w:p>
      <w:pPr>
        <w:jc w:val="both"/>
        <w:ind w:right="40" w:firstLine="456"/>
        <w:spacing w:after="0" w:line="293" w:lineRule="auto"/>
        <w:rPr>
          <w:sz w:val="20"/>
          <w:szCs w:val="20"/>
          <w:color w:val="auto"/>
        </w:rPr>
      </w:pPr>
      <w:r>
        <w:rPr>
          <w:rFonts w:ascii="Arial" w:cs="Arial" w:eastAsia="Arial" w:hAnsi="Arial"/>
          <w:sz w:val="16"/>
          <w:szCs w:val="16"/>
          <w:b w:val="1"/>
          <w:bCs w:val="1"/>
          <w:color w:val="auto"/>
        </w:rPr>
        <w:t xml:space="preserve">Section 7.6 </w:t>
      </w:r>
      <w:r>
        <w:rPr>
          <w:rFonts w:ascii="Arial" w:cs="Arial" w:eastAsia="Arial" w:hAnsi="Arial"/>
          <w:sz w:val="16"/>
          <w:szCs w:val="16"/>
          <w:b w:val="1"/>
          <w:bCs w:val="1"/>
          <w:u w:val="single" w:color="auto"/>
          <w:color w:val="auto"/>
        </w:rPr>
        <w:t>Governing Law and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and the ADRs shall be interpreted in accordance with, and all rights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and provisions hereof and thereof shall be governed by, the laws of the State of New York without reference to the principles of choice of law thereof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48" w:name="page149"/>
    <w:bookmarkEnd w:id="14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irrevocably submits to the non-exclusive jurisdiction of such courts. The Company hereby irrevocably designates, appoints and empowers the Company’s Chief Financial Officer (the “</w:t>
      </w:r>
      <w:r>
        <w:rPr>
          <w:rFonts w:ascii="Arial" w:cs="Arial" w:eastAsia="Arial" w:hAnsi="Arial"/>
          <w:sz w:val="16"/>
          <w:szCs w:val="16"/>
          <w:u w:val="single" w:color="auto"/>
          <w:color w:val="auto"/>
        </w:rPr>
        <w:t>Agent</w:t>
      </w:r>
      <w:r>
        <w:rPr>
          <w:rFonts w:ascii="Arial" w:cs="Arial" w:eastAsia="Arial" w:hAnsi="Arial"/>
          <w:sz w:val="16"/>
          <w:szCs w:val="16"/>
          <w:color w:val="auto"/>
        </w:rPr>
        <w:t>”) now at Amarin Corporation plc, c/o Amarin Pharma Inc., 12 Roosevelt Ave., Mystic, Connecticut, 06355, U.S.A.,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2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0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Securities.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149" w:name="page150"/>
    <w:bookmarkEnd w:id="149"/>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disclaimer of liability under the Securities Act is intended by any provision of the Deposit Agreement. The provisions of this Section 7.6 shall survive any termination of the Deposit Agreement, in whole or in part.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7.7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5.4, the Deposit Agreement may not be assigned by either the Company or the Depositary.</w:t>
      </w:r>
    </w:p>
    <w:p>
      <w:pPr>
        <w:spacing w:after="0" w:line="194"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Deposit Agreement to the contrary, the withdrawal or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Securities will not be suspended by the Company or the Depositary except as would be permitted by Instruction I.A.(1) of the General Instructions to Form F-6 Registration Statement, as amended from time to time, under the Securities Act.</w:t>
      </w:r>
    </w:p>
    <w:p>
      <w:pPr>
        <w:spacing w:after="0" w:line="13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Section 7.9 </w:t>
      </w:r>
      <w:r>
        <w:rPr>
          <w:rFonts w:ascii="Arial" w:cs="Arial" w:eastAsia="Arial" w:hAnsi="Arial"/>
          <w:sz w:val="16"/>
          <w:szCs w:val="16"/>
          <w:b w:val="1"/>
          <w:bCs w:val="1"/>
          <w:u w:val="single" w:color="auto"/>
          <w:color w:val="auto"/>
        </w:rPr>
        <w:t>England and Wales Law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Any summary of the laws of England and Wales and regulations and of the terms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Titles and References</w:t>
      </w:r>
      <w:r>
        <w:rPr>
          <w:rFonts w:ascii="Arial" w:cs="Arial" w:eastAsia="Arial" w:hAnsi="Arial"/>
          <w:sz w:val="18"/>
          <w:szCs w:val="18"/>
          <w:b w:val="1"/>
          <w:bCs w:val="1"/>
          <w:color w:val="auto"/>
        </w:rPr>
        <w:t>.</w:t>
      </w:r>
    </w:p>
    <w:p>
      <w:pPr>
        <w:spacing w:after="0" w:line="171" w:lineRule="exact"/>
        <w:rPr>
          <w:sz w:val="20"/>
          <w:szCs w:val="20"/>
          <w:color w:val="auto"/>
        </w:rPr>
      </w:pPr>
    </w:p>
    <w:p>
      <w:pPr>
        <w:ind w:right="40" w:firstLine="464"/>
        <w:spacing w:after="0" w:line="290" w:lineRule="auto"/>
        <w:tabs>
          <w:tab w:leader="none" w:pos="70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 to the 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 xml:space="preserve">vice versa </w:t>
      </w:r>
      <w:r>
        <w:rPr>
          <w:rFonts w:ascii="Arial" w:cs="Arial" w:eastAsia="Arial" w:hAnsi="Arial"/>
          <w:sz w:val="16"/>
          <w:szCs w:val="16"/>
          <w:color w:val="auto"/>
        </w:rPr>
        <w:t>unless the context otherwise requires. Titles to sections of the Deposit Agreement are included for convenience only and shall be disregarded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construing the language contained in the Deposit Agreement. References to “applicable laws and regulations” shall refer to laws and regulations applicable to ADRs, ADSs or Deposited Securities as in effect at the relevant time of determination, unless otherwise required by law or regulation.</w:t>
      </w:r>
    </w:p>
    <w:p>
      <w:pPr>
        <w:spacing w:after="0" w:line="112" w:lineRule="exact"/>
        <w:rPr>
          <w:rFonts w:ascii="Arial" w:cs="Arial" w:eastAsia="Arial" w:hAnsi="Arial"/>
          <w:sz w:val="16"/>
          <w:szCs w:val="16"/>
          <w:b w:val="1"/>
          <w:bCs w:val="1"/>
          <w:color w:val="auto"/>
        </w:rPr>
      </w:pPr>
    </w:p>
    <w:p>
      <w:pPr>
        <w:ind w:right="260" w:firstLine="464"/>
        <w:spacing w:after="0" w:line="275" w:lineRule="auto"/>
        <w:tabs>
          <w:tab w:leader="none" w:pos="71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in any ADR(s) to paragraphs, exhibits, articles, sections, subsections, and other subdivisions refer to the paragraphs, 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sections,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150" w:name="page151"/>
    <w:bookmarkEnd w:id="150"/>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Securities as in effect at the relevant time of determination, unless otherwise required by law or regulation.</w:t>
      </w:r>
    </w:p>
    <w:p>
      <w:pPr>
        <w:spacing w:after="0" w:line="141"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 xml:space="preserve">Section 7.11 </w:t>
      </w:r>
      <w:r>
        <w:rPr>
          <w:rFonts w:ascii="Arial" w:cs="Arial" w:eastAsia="Arial" w:hAnsi="Arial"/>
          <w:sz w:val="15"/>
          <w:szCs w:val="15"/>
          <w:b w:val="1"/>
          <w:bCs w:val="1"/>
          <w:u w:val="single" w:color="auto"/>
          <w:color w:val="auto"/>
        </w:rPr>
        <w:t>Amendment and Restatement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shall arrange to have new ADRs printed that reflect the form of ADR attached to the Deposit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All ADRs issued hereunder after the date hereof, whether upon the deposit of Shares or other Deposited Securities or upon the transfer, combination or split-up of existing ADRs, shall be substantially in the form of the specimen ADR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However, American depositary receipts issued prior to the date hereof under the terms of the Original Deposit Agreement and outstanding as of the date hereof, which do not reflect the form of ADR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do not need to be called in for exchange and may remain outstanding until such time as the Holders thereof choose to surrender them for any reason under the Deposit Agreement. The Depositary is authorized and directed to take any and all actions deemed necessary to effect the foregoing.</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hereby instructs the Depositary to (i) promptly send notice of the execution of the Deposit Agreement to all holders of American depositary shares outstanding under the Original Deposit Agreement as of the date hereof and (ii) inform holders of American depositary shares issued as “certificated American depositary shares” and outstanding under the Original Deposit Agreement as of the date hereof that they have the opportunity, but are not required, to exchange their American depositary receipts for one or more ADR(s) issued pursuant to the Deposit Agreement.</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Holders and Beneficial Owners of American depositary shares issued pursuant to the Original Deposit Agreement and outstanding as of the date hereof, shall, from and after the date hereof, be deemed Holders and Beneficial Owners of ADSs issued pursuant and be subject to all of the terms and conditions of the Deposit Agreement in all respects, provided, however, that any term of the Deposit Agreement which shall impose or increase any fees or charges (other than the fees of the Depositary for the execution and delivery or the cancellation of ADRs and taxes or other governmental charges), or which shall otherwise prejudice any substantial existing right of Holders (as defined in the Original Deposit Agreement), shall not become effective as to Holders until three months after notice of the amendments effectuated by the Deposit Agreement shall have been given to holders of ADSs outstanding as of the date hereof.</w:t>
      </w:r>
    </w:p>
    <w:p>
      <w:pPr>
        <w:spacing w:after="0" w:line="11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hereby agree and acknowledge that all references to the term “Deposit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Letter Agreements, dated March 29, 2006, April 11, 2006, December 5, 2007, May 16, 2008, August 5, 2009, October 7, 2009 and October 15, 2009 respectively, shall, as of the date hereof, refer to the Deposit Agreement.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151" w:name="page152"/>
    <w:bookmarkEnd w:id="15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AMARIN CORPORATION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EXECUTED BY AMARIN CORPORATION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Joseph Zakrzewski</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F. Thero</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Director/Secretary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Franz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Franz</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79" w:right="319" w:bottom="1440" w:gutter="0" w:footer="0" w:header="0"/>
        </w:sectPr>
      </w:pPr>
    </w:p>
    <w:bookmarkStart w:id="152" w:name="page153"/>
    <w:bookmarkEnd w:id="152"/>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FEE SCHEDULE</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DEPOSITARY FEES AND RELATED CHARGES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capitalized terms used but not otherwise defined herein shall have the meaning given to such terms in the Deposit Agreement.</w:t>
      </w:r>
    </w:p>
    <w:p>
      <w:pPr>
        <w:spacing w:after="0" w:line="31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Depositary Fees</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The Company, the Holders, the Beneficial Owners and the persons depositing Shares or surrendering ADSs for cancellation agree to pay the following fees of the Depositary:</w:t>
      </w:r>
    </w:p>
    <w:p>
      <w:pPr>
        <w:sectPr>
          <w:pgSz w:w="11900" w:h="16838" w:orient="portrait"/>
          <w:cols w:equalWidth="0" w:num="1">
            <w:col w:w="11400"/>
          </w:cols>
          <w:pgMar w:left="240" w:top="274" w:right="259" w:bottom="1440" w:gutter="0" w:footer="0" w:header="0"/>
        </w:sectPr>
      </w:pPr>
    </w:p>
    <w:p>
      <w:pPr>
        <w:spacing w:after="0" w:line="162"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5126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88" w:lineRule="exact"/>
        <w:rPr>
          <w:sz w:val="20"/>
          <w:szCs w:val="20"/>
          <w:color w:val="auto"/>
        </w:rPr>
      </w:pPr>
    </w:p>
    <w:p>
      <w:pPr>
        <w:ind w:left="440" w:hanging="432"/>
        <w:spacing w:after="0" w:line="339" w:lineRule="auto"/>
        <w:tabs>
          <w:tab w:leader="none" w:pos="44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Issuance of ADSs upon deposit of Shares (excluding issuances as a result of distributions described in paragraph (4) below).</w:t>
      </w:r>
    </w:p>
    <w:p>
      <w:pPr>
        <w:spacing w:after="0" w:line="25" w:lineRule="exact"/>
        <w:rPr>
          <w:rFonts w:ascii="Arial" w:cs="Arial" w:eastAsia="Arial" w:hAnsi="Arial"/>
          <w:sz w:val="15"/>
          <w:szCs w:val="15"/>
          <w:b w:val="1"/>
          <w:bCs w:val="1"/>
          <w:color w:val="auto"/>
        </w:rPr>
      </w:pPr>
    </w:p>
    <w:p>
      <w:pPr>
        <w:ind w:left="440" w:right="540" w:hanging="432"/>
        <w:spacing w:after="0" w:line="275" w:lineRule="auto"/>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Deposited Securities against surrender of ADSs.</w:t>
      </w:r>
    </w:p>
    <w:p>
      <w:pPr>
        <w:spacing w:after="0" w:line="281" w:lineRule="exact"/>
        <w:rPr>
          <w:rFonts w:ascii="Arial" w:cs="Arial" w:eastAsia="Arial" w:hAnsi="Arial"/>
          <w:sz w:val="18"/>
          <w:szCs w:val="18"/>
          <w:b w:val="1"/>
          <w:bCs w:val="1"/>
          <w:color w:val="auto"/>
        </w:rPr>
      </w:pPr>
    </w:p>
    <w:p>
      <w:pPr>
        <w:ind w:left="440" w:right="220" w:hanging="432"/>
        <w:spacing w:after="0" w:line="262" w:lineRule="auto"/>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cash dividends or other cash distributions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sale of rights and other entitlements).</w:t>
      </w:r>
    </w:p>
    <w:p>
      <w:pPr>
        <w:spacing w:after="0" w:line="78" w:lineRule="exact"/>
        <w:rPr>
          <w:rFonts w:ascii="Arial" w:cs="Arial" w:eastAsia="Arial" w:hAnsi="Arial"/>
          <w:sz w:val="18"/>
          <w:szCs w:val="18"/>
          <w:b w:val="1"/>
          <w:bCs w:val="1"/>
          <w:color w:val="auto"/>
        </w:rPr>
      </w:pPr>
    </w:p>
    <w:p>
      <w:pPr>
        <w:ind w:left="440" w:right="100" w:hanging="432"/>
        <w:spacing w:after="0" w:line="258" w:lineRule="auto"/>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ADSs pursuant to (i) stock dividends or other free stock distributions, or (ii) exercise of rights to purchase additional ADSs.</w:t>
      </w:r>
    </w:p>
    <w:p>
      <w:pPr>
        <w:spacing w:after="0" w:line="82" w:lineRule="exact"/>
        <w:rPr>
          <w:rFonts w:ascii="Arial" w:cs="Arial" w:eastAsia="Arial" w:hAnsi="Arial"/>
          <w:sz w:val="18"/>
          <w:szCs w:val="18"/>
          <w:b w:val="1"/>
          <w:bCs w:val="1"/>
          <w:color w:val="auto"/>
        </w:rPr>
      </w:pPr>
    </w:p>
    <w:p>
      <w:pPr>
        <w:jc w:val="both"/>
        <w:ind w:left="440" w:right="100" w:hanging="432"/>
        <w:spacing w:after="0" w:line="262" w:lineRule="auto"/>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securities other than ADSs or rights to purchase additional ADSs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spin-off shares).</w:t>
      </w:r>
    </w:p>
    <w:p>
      <w:pPr>
        <w:spacing w:after="0" w:line="78" w:lineRule="exact"/>
        <w:rPr>
          <w:sz w:val="20"/>
          <w:szCs w:val="20"/>
          <w:color w:val="auto"/>
        </w:rPr>
      </w:pPr>
    </w:p>
    <w:p>
      <w:pPr>
        <w:ind w:left="440" w:hanging="432"/>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Depositary Services.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2383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Up to U.S. $5.00 per 100 ADSs (or fraction thereof) issued.</w:t>
      </w:r>
    </w:p>
    <w:p>
      <w:pPr>
        <w:spacing w:after="0" w:line="2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Up to U.S. $5.00 per 100 ADSs (or fraction thereof) surrendered.</w:t>
      </w:r>
    </w:p>
    <w:p>
      <w:pPr>
        <w:spacing w:after="0" w:line="2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Up to U.S. $5.00 per 100 ADSs (or fraction thereof) held.</w:t>
      </w:r>
    </w:p>
    <w:p>
      <w:pPr>
        <w:spacing w:after="0" w:line="2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Up to U.S. $5.00 per 100 ADSs (or fraction thereof) held.</w:t>
      </w:r>
    </w:p>
    <w:p>
      <w:pPr>
        <w:spacing w:after="0" w:line="200" w:lineRule="exact"/>
        <w:rPr>
          <w:sz w:val="20"/>
          <w:szCs w:val="20"/>
          <w:color w:val="auto"/>
        </w:rPr>
      </w:pPr>
    </w:p>
    <w:p>
      <w:pPr>
        <w:spacing w:after="0" w:line="29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Up to U.S. $5.00 per 100 ADSs (or fraction thereof) held.</w:t>
      </w:r>
    </w:p>
    <w:p>
      <w:pPr>
        <w:spacing w:after="0" w:line="282"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Up to U.S. $5.00 per 100 ADSs (or fraction thereof) held on the applicable record date(s) established by the Depositary.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By Whom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1697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Person depositing Shares or person receiving ADSs.</w:t>
      </w:r>
    </w:p>
    <w:p>
      <w:pPr>
        <w:spacing w:after="0" w:line="282" w:lineRule="exact"/>
        <w:rPr>
          <w:sz w:val="20"/>
          <w:szCs w:val="20"/>
          <w:color w:val="auto"/>
        </w:rPr>
      </w:pPr>
    </w:p>
    <w:p>
      <w:pPr>
        <w:jc w:val="both"/>
        <w:spacing w:after="0" w:line="339" w:lineRule="auto"/>
        <w:rPr>
          <w:sz w:val="20"/>
          <w:szCs w:val="20"/>
          <w:color w:val="auto"/>
        </w:rPr>
      </w:pPr>
      <w:r>
        <w:rPr>
          <w:rFonts w:ascii="Arial" w:cs="Arial" w:eastAsia="Arial" w:hAnsi="Arial"/>
          <w:sz w:val="15"/>
          <w:szCs w:val="15"/>
          <w:b w:val="1"/>
          <w:bCs w:val="1"/>
          <w:color w:val="auto"/>
        </w:rPr>
        <w:t>Person surrendering ADSs for the purpose of withdrawal of Deposited Securities or person to whom Deposited Securities are delivered.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 to whom distribution is made.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 to whom distribution is made.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 to whom distribution is made.</w:t>
      </w:r>
    </w:p>
    <w:p>
      <w:pPr>
        <w:spacing w:after="0" w:line="200" w:lineRule="exact"/>
        <w:rPr>
          <w:sz w:val="20"/>
          <w:szCs w:val="20"/>
          <w:color w:val="auto"/>
        </w:rPr>
      </w:pPr>
    </w:p>
    <w:p>
      <w:pPr>
        <w:spacing w:after="0" w:line="349" w:lineRule="exact"/>
        <w:rPr>
          <w:sz w:val="20"/>
          <w:szCs w:val="20"/>
          <w:color w:val="auto"/>
        </w:rPr>
      </w:pPr>
    </w:p>
    <w:p>
      <w:pPr>
        <w:ind w:right="80"/>
        <w:spacing w:after="0" w:line="378" w:lineRule="auto"/>
        <w:rPr>
          <w:sz w:val="20"/>
          <w:szCs w:val="20"/>
          <w:color w:val="auto"/>
        </w:rPr>
      </w:pPr>
      <w:r>
        <w:rPr>
          <w:rFonts w:ascii="Arial" w:cs="Arial" w:eastAsia="Arial" w:hAnsi="Arial"/>
          <w:sz w:val="15"/>
          <w:szCs w:val="15"/>
          <w:b w:val="1"/>
          <w:bCs w:val="1"/>
          <w:color w:val="auto"/>
        </w:rPr>
        <w:t>Person holding ADSs on the applicable record date(s) established by the Depositary.</w:t>
      </w:r>
    </w:p>
    <w:p>
      <w:pPr>
        <w:sectPr>
          <w:pgSz w:w="11900" w:h="16838" w:orient="portrait"/>
          <w:cols w:equalWidth="0" w:num="3">
            <w:col w:w="3940" w:space="280"/>
            <w:col w:w="3360" w:space="420"/>
            <w:col w:w="3400"/>
          </w:cols>
          <w:pgMar w:left="240" w:top="274" w:right="259" w:bottom="1440" w:gutter="0" w:footer="0" w:header="0"/>
          <w:type w:val="continuous"/>
        </w:sectPr>
      </w:pPr>
    </w:p>
    <w:bookmarkStart w:id="153" w:name="page154"/>
    <w:bookmarkEnd w:id="153"/>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Holders, Beneficial Owners, persons depositing Shares and persons surrendering ADSs for cancellation and for the purpose of withdrawing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Deposited Securities shall be responsible for the following charges:</w:t>
      </w:r>
    </w:p>
    <w:p>
      <w:pPr>
        <w:spacing w:after="0" w:line="8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9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59"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or withdrawing Shares or Holders and Beneficial Owners of ADSs;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9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fees and expenses incurred by the Depositary, the Custodian, or any nominee in connection with the servicing or delivery of Deposited Securities.</w:t>
      </w:r>
    </w:p>
    <w:p>
      <w:pPr>
        <w:sectPr>
          <w:pgSz w:w="11900" w:h="16838" w:orient="portrait"/>
          <w:cols w:equalWidth="0" w:num="1">
            <w:col w:w="11320"/>
          </w:cols>
          <w:pgMar w:left="240" w:top="274"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ADR]</w:t>
      </w:r>
    </w:p>
    <w:p>
      <w:pPr>
        <w:spacing w:after="0" w:line="218" w:lineRule="exact"/>
        <w:rPr>
          <w:sz w:val="20"/>
          <w:szCs w:val="20"/>
          <w:color w:val="auto"/>
        </w:rPr>
      </w:pPr>
    </w:p>
    <w:p>
      <w:pPr>
        <w:spacing w:after="0"/>
        <w:tabs>
          <w:tab w:leader="none" w:pos="92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CUSIP NUMBER: 023111206</w:t>
      </w:r>
    </w:p>
    <w:p>
      <w:pPr>
        <w:spacing w:after="0" w:line="23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American Depositary Shares (each American</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Depositary Share representing the right to receive</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one (1) Fully Paid Ordinary Share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RECEIPT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DEPOSITED ORDINARY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AMARIN CORPORATION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England and Wales)</w:t>
      </w:r>
    </w:p>
    <w:p>
      <w:pPr>
        <w:spacing w:after="0" w:line="17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hereby certifies that is the owner of American Depositary Shares (hereinafter “ADS”) representing deposited Ordinary shares, including evidence of rights to receive such Ordinary shares (the “Shares”), of Amarin Corporation plc, a corporation incorporated under the laws of England (the “Company”). As of the date of the Deposit Agreement (as hereinafter defined), each ADS represents the right to receive one (1) Share deposited under the Deposit Agreement with the Custodian, which at the date of execution of the Deposit Agreement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42"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 and to be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terms and conditions set forth in the Amended and Restated Deposit Agreement, dated as of November 4, 2011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securities, property and cash from time to</w:t>
      </w:r>
    </w:p>
    <w:p>
      <w:pPr>
        <w:sectPr>
          <w:pgSz w:w="11900" w:h="16838" w:orient="portrait"/>
          <w:cols w:equalWidth="0" w:num="1">
            <w:col w:w="11420"/>
          </w:cols>
          <w:pgMar w:left="240" w:top="125" w:right="239" w:bottom="1440" w:gutter="0" w:footer="0" w:header="0"/>
        </w:sectPr>
      </w:pPr>
    </w:p>
    <w:bookmarkStart w:id="155" w:name="page156"/>
    <w:bookmarkEnd w:id="155"/>
    <w:p>
      <w:pPr>
        <w:ind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received in respect of such Shares and held thereunder (such Shares, securities, property and cash are herein called “Deposited Securities”).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 All capitalized terms used herein which are not otherwise defined herein shall have the meanings ascribed thereto in the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u w:val="single" w:color="auto"/>
          <w:color w:val="auto"/>
        </w:rPr>
        <w:t>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 entitled to Delivery (at the Custodian’s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designated office) of the Deposited Securities at the time represented by the ADSs evidenced hereby upon satisfaction of each of the following conditions: (i) the Holder (or a duly authorized attorney of the Holder) has duly Delivered ADSs to the Depositary at its Principal Office the ADSs evidenced hereby (and, if applicable, this ADR)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6" w:name="page157"/>
    <w:bookmarkEnd w:id="156"/>
    <w:p>
      <w:pPr>
        <w:ind w:right="80" w:firstLine="456"/>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5"/>
          <w:szCs w:val="15"/>
          <w:i w:val="1"/>
          <w:iCs w:val="1"/>
          <w:color w:val="auto"/>
        </w:rPr>
        <w:t>subject however, in each</w:t>
      </w:r>
      <w:r>
        <w:rPr>
          <w:rFonts w:ascii="Arial" w:cs="Arial" w:eastAsia="Arial" w:hAnsi="Arial"/>
          <w:sz w:val="15"/>
          <w:szCs w:val="15"/>
          <w:color w:val="auto"/>
        </w:rPr>
        <w:t xml:space="preserve"> </w:t>
      </w:r>
      <w:r>
        <w:rPr>
          <w:rFonts w:ascii="Arial" w:cs="Arial" w:eastAsia="Arial" w:hAnsi="Arial"/>
          <w:sz w:val="15"/>
          <w:szCs w:val="15"/>
          <w:i w:val="1"/>
          <w:iCs w:val="1"/>
          <w:color w:val="auto"/>
        </w:rPr>
        <w:t>case</w:t>
      </w:r>
      <w:r>
        <w:rPr>
          <w:rFonts w:ascii="Arial" w:cs="Arial" w:eastAsia="Arial" w:hAnsi="Arial"/>
          <w:sz w:val="15"/>
          <w:szCs w:val="15"/>
          <w:color w:val="auto"/>
        </w:rPr>
        <w:t>, to the terms and conditions of the Deposit Agreement, of this ADR evidencing the ADS so cancelled, of the Articles of Association of the Company, of any</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laws and of the rules of CREST, and to the terms and conditions of or governing the Deposited Securities, in each case as in effect at the time thereof.</w:t>
      </w:r>
    </w:p>
    <w:p>
      <w:pPr>
        <w:spacing w:after="0" w:line="10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Depositary shall not accept for surrender ADSs representing less than one (1)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w:t>
      </w:r>
    </w:p>
    <w:p>
      <w:pPr>
        <w:spacing w:after="0" w:line="3" w:lineRule="exact"/>
        <w:rPr>
          <w:sz w:val="20"/>
          <w:szCs w:val="20"/>
          <w:color w:val="auto"/>
        </w:rPr>
      </w:pPr>
    </w:p>
    <w:p>
      <w:pPr>
        <w:ind w:right="20" w:firstLine="8"/>
        <w:spacing w:after="0" w:line="252" w:lineRule="auto"/>
        <w:tabs>
          <w:tab w:leader="none" w:pos="2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applicable fees and charges of, and expenses incurred by, the Depositary and (b) taxes withheld) to the person surrendering the ADSs. Notwithstanding anything else contained in this ADR or the Deposit Agreement, the Depositary may make delivery at the Principal Office of the Depositary of (i) any cash dividends or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cash or other property (other than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 hereby) on the books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7" w:name="page158"/>
    <w:bookmarkEnd w:id="157"/>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of the Deposit Agreement and of applicable law, in each case as in effect at the time thereof.</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Depositary may appoint one or more co-transfer agents for the purpose of effecting transfers, combinations and split-ups of ADRs at designated transfer offices on behalf of the Depositary. In carrying out its functions, a co-transfer agent may require evidence of authority and compliance with applicable laws and other requirements by Holders or persons entitled to such ADRs and will be entitled to protection and indemnity to the same extent as the Depositary. Such co-transfer agents may be removed and substitutes appointed by the Depositary. Each co-transfer agent appointed under Section 2.6 of the Deposit Agreement (other than the Depositary) shall give notice in writing to the Depositary accepting such appointment and agreeing to be bound by the applicable terms of the Deposit Agreement.</w:t>
      </w:r>
    </w:p>
    <w:p>
      <w:pPr>
        <w:spacing w:after="0" w:line="13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registration of issuance, transfer,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satisfactory to it as to the identity and genuineness of any signature or any other matters contemplated in Section 3.1 of the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if applicable, the Deposit Agreement and applicable law.</w:t>
      </w:r>
    </w:p>
    <w:p>
      <w:pPr>
        <w:spacing w:after="0" w:line="11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8" w:name="page159"/>
    <w:bookmarkEnd w:id="15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Shares or ADSs are listed, or under any provision of the Deposit Agreement or this ADR, or under any provision of, or governing, the Deposited Securities, or because of a meeting of shareholders of the Company or for any other reason, subject, in all cases to paragraph (24) and Section 7.8 of the Deposit Agreement.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the withdrawal of the Deposited Securities, and (iv) other circumstances specifically contemplated by Instruction I.A.(l) of the General Instructions to Form F-6 (as such General Instructions may be amended from time to time).</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ADSs represented hereby agrees to comply with requests from the Company pursuant to applicable law and any stock exchange on which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this ADR or of the Deposit Agreement, the Company may restrict transfers of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9" w:name="page160"/>
    <w:bookmarkEnd w:id="15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14"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u w:val="single" w:color="auto"/>
          <w:color w:val="auto"/>
        </w:rPr>
        <w:t>Liability of Holder for Taxes and Other Charges</w:t>
      </w:r>
      <w:r>
        <w:rPr>
          <w:rFonts w:ascii="Arial" w:cs="Arial" w:eastAsia="Arial" w:hAnsi="Arial"/>
          <w:sz w:val="15"/>
          <w:szCs w:val="15"/>
          <w:b w:val="1"/>
          <w:bCs w:val="1"/>
          <w:color w:val="auto"/>
        </w:rPr>
        <w:t xml:space="preserve">. </w:t>
      </w:r>
      <w:r>
        <w:rPr>
          <w:rFonts w:ascii="Arial" w:cs="Arial" w:eastAsia="Arial" w:hAnsi="Arial"/>
          <w:sz w:val="15"/>
          <w:szCs w:val="15"/>
          <w:color w:val="auto"/>
        </w:rPr>
        <w:t>Any tax or other governmental charge payable by the Custodian or by the Depositary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any ADR or any Deposited Securities or ADSs shall be payable by the Holders and Beneficial Owners to the Depositary. The Company, the Custodian and/or Depositary may withhold or deduct from any distributions made in respect of Deposited Securities, and may sell for the account of a Holder and/or Beneficial Owner any or all of the Deposited Securities and apply such distributions and sale proceeds in payment of, any taxes (including applicable interest and penalties) or charges that are or may be payable by Holders or Beneficial Owners in respect of the ADSs, Deposited Securities and ADRs,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(24) and Section 7.8 of the Deposit Agreement) the withdrawal of Deposited Securities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any tax benefit obtained for such Holder and/or Beneficial Owner.</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u w:val="single" w:color="auto"/>
          <w:color w:val="auto"/>
        </w:rPr>
        <w:t>Representations and Warranties of Depositors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 thereby to represent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60" w:name="page161"/>
    <w:bookmarkEnd w:id="160"/>
    <w:p>
      <w:pPr>
        <w:ind w:firstLine="456"/>
        <w:spacing w:after="0" w:line="285"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and any Holder and any Beneficial Owner may be required,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Deposit Agreement or the ADR(s) evidencing the ADSs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Shares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paragraph (24) and Section 7.8 of the Deposit Agreement, the delivery of any Deposited Securities until such proof or other information is filed or such certifications are executed, or such representations and warranties are made or such other information or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Charges of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charge the following fees:</w:t>
      </w:r>
    </w:p>
    <w:p>
      <w:pPr>
        <w:spacing w:after="0" w:line="96" w:lineRule="exact"/>
        <w:rPr>
          <w:sz w:val="20"/>
          <w:szCs w:val="20"/>
          <w:color w:val="auto"/>
        </w:rPr>
      </w:pPr>
    </w:p>
    <w:p>
      <w:pPr>
        <w:ind w:left="1500" w:right="100" w:hanging="396"/>
        <w:spacing w:after="0" w:line="259" w:lineRule="auto"/>
        <w:rPr>
          <w:sz w:val="20"/>
          <w:szCs w:val="20"/>
          <w:color w:val="auto"/>
        </w:rPr>
      </w:pPr>
      <w:r>
        <w:rPr>
          <w:rFonts w:ascii="Arial" w:cs="Arial" w:eastAsia="Arial" w:hAnsi="Arial"/>
          <w:sz w:val="18"/>
          <w:szCs w:val="18"/>
          <w:u w:val="single" w:color="auto"/>
          <w:color w:val="auto"/>
        </w:rPr>
        <w:t>Issuance Fee</w:t>
      </w:r>
      <w:r>
        <w:rPr>
          <w:rFonts w:ascii="Arial" w:cs="Arial" w:eastAsia="Arial" w:hAnsi="Arial"/>
          <w:sz w:val="18"/>
          <w:szCs w:val="18"/>
          <w:color w:val="auto"/>
        </w:rPr>
        <w:t>: to any person depositing Shares or to whom ADSs are issued upon the deposit of Shares (excluding issuances as a result of distributions described in paragraph (iv) below), a fee not in excess of U.S. $5.00 per 100 ADSs (or fraction thereof) issued under the terms of the Deposit Agreement;</w:t>
      </w:r>
    </w:p>
    <w:p>
      <w:pPr>
        <w:spacing w:after="0" w:line="59" w:lineRule="exact"/>
        <w:rPr>
          <w:sz w:val="20"/>
          <w:szCs w:val="20"/>
          <w:color w:val="auto"/>
        </w:rPr>
      </w:pPr>
    </w:p>
    <w:p>
      <w:pPr>
        <w:ind w:left="1500" w:right="140" w:hanging="396"/>
        <w:spacing w:after="0" w:line="332" w:lineRule="auto"/>
        <w:rPr>
          <w:sz w:val="20"/>
          <w:szCs w:val="20"/>
          <w:color w:val="auto"/>
        </w:rPr>
      </w:pPr>
      <w:r>
        <w:rPr>
          <w:rFonts w:ascii="Arial" w:cs="Arial" w:eastAsia="Arial" w:hAnsi="Arial"/>
          <w:sz w:val="16"/>
          <w:szCs w:val="16"/>
          <w:u w:val="single" w:color="auto"/>
          <w:color w:val="auto"/>
        </w:rPr>
        <w:t>Cancellation Fee</w:t>
      </w:r>
      <w:r>
        <w:rPr>
          <w:rFonts w:ascii="Arial" w:cs="Arial" w:eastAsia="Arial" w:hAnsi="Arial"/>
          <w:sz w:val="16"/>
          <w:szCs w:val="16"/>
          <w:color w:val="auto"/>
        </w:rPr>
        <w:t>: to any person surrendering ADSs for cancellation and withdrawal of Deposited Securities or to any person to whom Deposited Securities are delivered, a fee not in excess of U.S. $5.00 per 100 ADSs (or fraction thereof) surrendered;</w:t>
      </w:r>
    </w:p>
    <w:p>
      <w:pPr>
        <w:spacing w:after="0" w:line="4" w:lineRule="exact"/>
        <w:rPr>
          <w:sz w:val="20"/>
          <w:szCs w:val="20"/>
          <w:color w:val="auto"/>
        </w:rPr>
      </w:pPr>
    </w:p>
    <w:p>
      <w:pPr>
        <w:ind w:left="1500" w:right="320" w:hanging="396"/>
        <w:spacing w:after="0" w:line="268" w:lineRule="auto"/>
        <w:rPr>
          <w:sz w:val="20"/>
          <w:szCs w:val="20"/>
          <w:color w:val="auto"/>
        </w:rPr>
      </w:pPr>
      <w:r>
        <w:rPr>
          <w:rFonts w:ascii="Arial" w:cs="Arial" w:eastAsia="Arial" w:hAnsi="Arial"/>
          <w:sz w:val="18"/>
          <w:szCs w:val="18"/>
          <w:u w:val="single" w:color="auto"/>
          <w:color w:val="auto"/>
        </w:rPr>
        <w:t>Cash Distribution Fee</w:t>
      </w:r>
      <w:r>
        <w:rPr>
          <w:rFonts w:ascii="Arial" w:cs="Arial" w:eastAsia="Arial" w:hAnsi="Arial"/>
          <w:sz w:val="18"/>
          <w:szCs w:val="18"/>
          <w:color w:val="auto"/>
        </w:rPr>
        <w:t>: to any Holder of ADSs, a fee not in excess of U.S. $5.00 per 100 ADSs (or fraction thereof) held for the distribution of cash dividends or other cash distributions (</w:t>
      </w:r>
      <w:r>
        <w:rPr>
          <w:rFonts w:ascii="Arial" w:cs="Arial" w:eastAsia="Arial" w:hAnsi="Arial"/>
          <w:sz w:val="18"/>
          <w:szCs w:val="18"/>
          <w:i w:val="1"/>
          <w:iCs w:val="1"/>
          <w:color w:val="auto"/>
        </w:rPr>
        <w:t>i.e.</w:t>
      </w:r>
      <w:r>
        <w:rPr>
          <w:rFonts w:ascii="Arial" w:cs="Arial" w:eastAsia="Arial" w:hAnsi="Arial"/>
          <w:sz w:val="18"/>
          <w:szCs w:val="18"/>
          <w:color w:val="auto"/>
        </w:rPr>
        <w:t>, sale of rights and other entitlements);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61" w:name="page162"/>
    <w:bookmarkEnd w:id="161"/>
    <w:p>
      <w:pPr>
        <w:ind w:left="110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Distribution /Rights Exercise Fee</w:t>
      </w:r>
      <w:r>
        <w:rPr>
          <w:rFonts w:ascii="Arial" w:cs="Arial" w:eastAsia="Arial" w:hAnsi="Arial"/>
          <w:sz w:val="16"/>
          <w:szCs w:val="16"/>
          <w:color w:val="auto"/>
        </w:rPr>
        <w:t>: to any Holder of ADS(s), a fee not in excess of U.S. $5.00 per 100 ADSs (or fraction thereof) held for</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stock dividends or other free stock distributions, or (b) exercise of rights to purchase additional ADSs;</w:t>
      </w:r>
    </w:p>
    <w:p>
      <w:pPr>
        <w:spacing w:after="0" w:line="84" w:lineRule="exact"/>
        <w:rPr>
          <w:sz w:val="20"/>
          <w:szCs w:val="20"/>
          <w:color w:val="auto"/>
        </w:rPr>
      </w:pPr>
    </w:p>
    <w:p>
      <w:pPr>
        <w:ind w:left="1500" w:right="80" w:hanging="396"/>
        <w:spacing w:after="0" w:line="268" w:lineRule="auto"/>
        <w:rPr>
          <w:sz w:val="20"/>
          <w:szCs w:val="20"/>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to any Holder of ADS(s), a fee not in excess of U.S. $5.00 per 100 ADSs (or fraction thereof) held for the distribution of securities other than ADSs or rights to purchase additional ADSs (i.e., spin-off shares); and</w:t>
      </w:r>
    </w:p>
    <w:p>
      <w:pPr>
        <w:spacing w:after="0" w:line="51" w:lineRule="exact"/>
        <w:rPr>
          <w:sz w:val="20"/>
          <w:szCs w:val="20"/>
          <w:color w:val="auto"/>
        </w:rPr>
      </w:pPr>
    </w:p>
    <w:p>
      <w:pPr>
        <w:ind w:left="1500" w:right="260" w:hanging="396"/>
        <w:spacing w:after="0" w:line="268" w:lineRule="auto"/>
        <w:rPr>
          <w:sz w:val="20"/>
          <w:szCs w:val="20"/>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to any Holder of ADS(s), a fee not in excess of U.S. $5.00 per 100 ADSs (or fraction thereof) held on the applicable record date(s) established by the Depositary.</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Holders, Beneficial Owners, persons depositing Shares and persons surrendering ADSs for cancellation and for the purpose of withdrawing Deposited Securities shall be responsible for the following charges:</w:t>
      </w:r>
    </w:p>
    <w:p>
      <w:pPr>
        <w:spacing w:after="0" w:line="5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taxes (including applicable interest and penalties) and other governmental charges;</w:t>
      </w:r>
    </w:p>
    <w:p>
      <w:pPr>
        <w:spacing w:after="0" w:line="90" w:lineRule="exact"/>
        <w:rPr>
          <w:sz w:val="20"/>
          <w:szCs w:val="20"/>
          <w:color w:val="auto"/>
        </w:rPr>
      </w:pPr>
    </w:p>
    <w:p>
      <w:pPr>
        <w:jc w:val="both"/>
        <w:ind w:left="1500" w:right="120" w:hanging="396"/>
        <w:spacing w:after="0" w:line="259" w:lineRule="auto"/>
        <w:rPr>
          <w:sz w:val="20"/>
          <w:szCs w:val="20"/>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59" w:lineRule="exact"/>
        <w:rPr>
          <w:sz w:val="20"/>
          <w:szCs w:val="20"/>
          <w:color w:val="auto"/>
        </w:rPr>
      </w:pPr>
    </w:p>
    <w:p>
      <w:pPr>
        <w:ind w:left="1500" w:hanging="396"/>
        <w:spacing w:after="0" w:line="268" w:lineRule="auto"/>
        <w:rPr>
          <w:sz w:val="20"/>
          <w:szCs w:val="20"/>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or withdrawing Shares or Holders and Beneficial Owners of ADSs;</w:t>
      </w:r>
    </w:p>
    <w:p>
      <w:pPr>
        <w:spacing w:after="0" w:line="5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expenses and charges incurred by the Depositary in the conversion of foreign currency;</w:t>
      </w:r>
    </w:p>
    <w:p>
      <w:pPr>
        <w:spacing w:after="0" w:line="90" w:lineRule="exact"/>
        <w:rPr>
          <w:sz w:val="20"/>
          <w:szCs w:val="20"/>
          <w:color w:val="auto"/>
        </w:rPr>
      </w:pPr>
    </w:p>
    <w:p>
      <w:pPr>
        <w:ind w:left="1500" w:right="140" w:hanging="396"/>
        <w:spacing w:after="0" w:line="268" w:lineRule="auto"/>
        <w:rPr>
          <w:sz w:val="20"/>
          <w:szCs w:val="20"/>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51" w:lineRule="exact"/>
        <w:rPr>
          <w:sz w:val="20"/>
          <w:szCs w:val="20"/>
          <w:color w:val="auto"/>
        </w:rPr>
      </w:pPr>
    </w:p>
    <w:p>
      <w:pPr>
        <w:ind w:left="1500" w:right="500" w:hanging="396"/>
        <w:spacing w:after="0" w:line="268" w:lineRule="auto"/>
        <w:rPr>
          <w:sz w:val="20"/>
          <w:szCs w:val="20"/>
          <w:color w:val="auto"/>
        </w:rPr>
      </w:pPr>
      <w:r>
        <w:rPr>
          <w:rFonts w:ascii="Arial" w:cs="Arial" w:eastAsia="Arial" w:hAnsi="Arial"/>
          <w:sz w:val="18"/>
          <w:szCs w:val="18"/>
          <w:color w:val="auto"/>
        </w:rPr>
        <w:t>the fees and expenses incurred by the Depositary, the Custodian, or any nominee in connection with the delivery or servicing of Deposited Securities.</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All fees and charges may, at any time and from time to time, be changed by agreement between the Depositary and Company but, in the case of fees and charges payable by Holders or Beneficial Owners, only in the manner contemplated by paragraph (22) of this ADR and as contemplated in the Deposit Agreement. The Depositary will provide, without charge, a copy of its latest fee schedule to anyone upon request.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62" w:name="page163"/>
    <w:bookmarkEnd w:id="162"/>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Beneficial Owners for whom they hold ADSs.</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Depositary may reimburse the Company for certain expenses incurred by the Company in respect of the ADR program established pursuant to the Deposit Agreement, by making available a portion of the Depositary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charges and reimbursements may from time to time be changed by agreement between the Company and the Depositary. Unless otherwise agreed, the Depositary shall present its statement for such expenses and fees or charges to the Company once every three months. The charges and expenses of the Custodian are for the sole account of the Depositary.</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as described in Section 5.4 of the Deposit Agreement, such right shall extend for those fees, charges and expenses incurred prior to the effectiveness of such resignation or removal.</w:t>
      </w:r>
    </w:p>
    <w:p>
      <w:pPr>
        <w:spacing w:after="0" w:line="13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u w:val="single" w:color="auto"/>
          <w:color w:val="auto"/>
        </w:rPr>
        <w:t>Title to ADRs</w:t>
      </w:r>
      <w:r>
        <w:rPr>
          <w:rFonts w:ascii="Arial" w:cs="Arial" w:eastAsia="Arial" w:hAnsi="Arial"/>
          <w:sz w:val="16"/>
          <w:szCs w:val="16"/>
          <w:b w:val="1"/>
          <w:bCs w:val="1"/>
          <w:color w:val="auto"/>
        </w:rPr>
        <w:t xml:space="preserve">. </w:t>
      </w:r>
      <w:r>
        <w:rPr>
          <w:rFonts w:ascii="Arial" w:cs="Arial" w:eastAsia="Arial" w:hAnsi="Arial"/>
          <w:sz w:val="16"/>
          <w:szCs w:val="16"/>
          <w:color w:val="auto"/>
        </w:rPr>
        <w:t>It is a condition of this ADR, and every successive Holder of this ADR by accepting or holding the same consents and agrees, that title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ADR (and to each ADS evidenced 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63" w:name="page164"/>
    <w:bookmarkEnd w:id="163"/>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0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5"/>
          <w:szCs w:val="15"/>
          <w:b w:val="1"/>
          <w:bCs w:val="1"/>
          <w:u w:val="single" w:color="auto"/>
          <w:color w:val="auto"/>
        </w:rPr>
        <w:t>Validity of ADR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of this ADR (and the ADSs represented hereby) shall not be entitled to any benefits under the Deposit Agreement or be</w:t>
      </w:r>
      <w:r>
        <w:rPr>
          <w:rFonts w:ascii="Arial" w:cs="Arial" w:eastAsia="Arial" w:hAnsi="Arial"/>
          <w:sz w:val="15"/>
          <w:szCs w:val="15"/>
          <w:b w:val="1"/>
          <w:bCs w:val="1"/>
          <w:color w:val="auto"/>
        </w:rPr>
        <w:t xml:space="preserve"> </w:t>
      </w:r>
      <w:r>
        <w:rPr>
          <w:rFonts w:ascii="Arial" w:cs="Arial" w:eastAsia="Arial" w:hAnsi="Arial"/>
          <w:sz w:val="15"/>
          <w:szCs w:val="15"/>
          <w:color w:val="auto"/>
        </w:rPr>
        <w:t>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w:t>
      </w:r>
    </w:p>
    <w:p>
      <w:pPr>
        <w:spacing w:after="0" w:line="1" w:lineRule="exact"/>
        <w:rPr>
          <w:sz w:val="20"/>
          <w:szCs w:val="20"/>
          <w:color w:val="auto"/>
        </w:rPr>
      </w:pPr>
    </w:p>
    <w:p>
      <w:pPr>
        <w:jc w:val="both"/>
        <w:ind w:firstLine="8"/>
        <w:spacing w:after="0" w:line="331" w:lineRule="auto"/>
        <w:tabs>
          <w:tab w:leader="none" w:pos="297"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submit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 The Depositary shall also provide or make available to Holders copies of such reports when furnished by the Company pursuant to Section 5.6 of the Deposit Agreement.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(24) and Section 7.8 of the Deposit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02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12"/>
        </w:trPr>
        <w:tc>
          <w:tcPr>
            <w:tcW w:w="538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CITIBANK, N.A.</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as Depositary</w:t>
            </w:r>
          </w:p>
        </w:tc>
      </w:tr>
      <w:tr>
        <w:trPr>
          <w:trHeight w:val="447"/>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4"/>
                <w:szCs w:val="24"/>
                <w:color w:val="auto"/>
              </w:rPr>
            </w:pPr>
          </w:p>
        </w:tc>
        <w:tc>
          <w:tcPr>
            <w:tcW w:w="1020" w:type="dxa"/>
            <w:vAlign w:val="bottom"/>
          </w:tcPr>
          <w:p>
            <w:pPr>
              <w:ind w:left="6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r>
      <w:tr>
        <w:trPr>
          <w:trHeight w:val="222"/>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Authorized Signatory</w:t>
            </w:r>
          </w:p>
        </w:tc>
        <w:tc>
          <w:tcPr>
            <w:tcW w:w="10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address of the Principal Office of the Depositary is 388 Greenwich Street, New York, New York 10013, U.S.A.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REVERSE OF ADR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SUMMARY OF CERTAIN ADDITIONAL PROVISIONS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DEPOSIT AGREEMENT</w:t>
      </w:r>
    </w:p>
    <w:p>
      <w:pPr>
        <w:spacing w:after="0" w:line="16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shall give notice thereof to the Depositary at least twenty (20) days prior to the proposed distribution, specifying, </w:t>
      </w:r>
      <w:r>
        <w:rPr>
          <w:rFonts w:ascii="Arial" w:cs="Arial" w:eastAsia="Arial" w:hAnsi="Arial"/>
          <w:sz w:val="16"/>
          <w:szCs w:val="16"/>
          <w:u w:val="single" w:color="auto"/>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 notice, the Depositary shall establish an ADS Record Date upon the terms described in Section 4.9 of the Deposit Agreement. Upon receipt of confirmation from the Custodian of the receipt of any cash dividend or other cash distribution on any Deposited Securities, or upon receipt of proceeds from the sale of any Deposited Securities or of any entitlements held in respect of Deposited Securities under the terms of the Deposit Agreement, the Depositary will (i) if at the time of receipt thereof any amounts received in a Foreign Currency can, in the judgment of the Depositary (upon the terms of Section 4.8 of the Deposit Agreement), be converted on a practicable basis into Dollars transferable to the United States, promptly convert or cause to be converted such cash dividend, distribution or proceeds into Dollars (upon the terms of Section 4.8 of the Deposit Agreement), (ii) if applicable and unless previously established, establish the ADS Record Date upon the terms described in Section 4.9 of the Deposit Agreement, and (iii) distribute promptly the amount thus received (net of (a) applicable fees and charges of, and expenses incurred by, the Depositary and (b)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3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Whenever the Company intends to make a distribution that consists of a dividend in, or free distribution of, Shares, the Company shall give notice thereof to the Depositary at least twenty (20) days prior to the proposed distribution, specifying, </w:t>
      </w:r>
      <w:r>
        <w:rPr>
          <w:rFonts w:ascii="Arial" w:cs="Arial" w:eastAsia="Arial" w:hAnsi="Arial"/>
          <w:sz w:val="16"/>
          <w:szCs w:val="16"/>
          <w:u w:val="single" w:color="auto"/>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an ADS Record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6" w:name="page167"/>
    <w:bookmarkEnd w:id="166"/>
    <w:p>
      <w:pPr>
        <w:ind w:right="8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 in the additional integral number of Shares distributed upon the Deposited Securities represented thereby (net of (a) the applicable fees and charges of, and expenses incurred by, the Depositary, and</w:t>
      </w:r>
    </w:p>
    <w:p>
      <w:pPr>
        <w:spacing w:after="0" w:line="5" w:lineRule="exact"/>
        <w:rPr>
          <w:sz w:val="20"/>
          <w:szCs w:val="20"/>
          <w:color w:val="auto"/>
        </w:rPr>
      </w:pPr>
    </w:p>
    <w:p>
      <w:pPr>
        <w:ind w:right="20" w:firstLine="8"/>
        <w:spacing w:after="0" w:line="26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taxes). In lieu of delivering fractional ADSs, the Depositary shall sell the number of Shares or ADSs, as the case may be, represented by the aggregate of such fractions and distribute the net proceeds upon the terms set forth in Section 4.1 of the Deposit Agreement.</w:t>
      </w:r>
    </w:p>
    <w:p>
      <w:pPr>
        <w:spacing w:after="0" w:line="13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Whenever the Company intends to make a distribution payable at the election of the holders of Shares in cash or in additional Shares, the Company shall give timely notice thereof to the Depositary at least sixty (60) days prior to the proposed distribution specifying, inter alia,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the Depositary shall establish an ADS Record Date on the terms described in Section 4.9 of the Deposit Agreement and, to the extent permitted by law, distribute to the Holders, on the basis of the same determination as is made in respect of the Shares for which no election is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7" w:name="page168"/>
    <w:bookmarkEnd w:id="167"/>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Whenever the Company intends to distribute to the holders of the Deposited Securities rights to subscribe for additional Shares, the Company shall give notice thereof to the Depositary at least sixty (60) days prior to the proposed distribution specifying, inter alia,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an ADS Record Date (upon the terms described in Section 4.9 of the Deposit Agreement) and establish procedures to (x) distribute rights to purchase additional ADSs (by means of warrants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8" w:name="page169"/>
    <w:bookmarkEnd w:id="16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legality and practicability. The Depositary shall, upon such sale, convert and distribute proceeds of such sale (net of applicable (a) fees and charges of, and expenses incurred by, the Depositary and (b) taxes) upon the terms set forth in Section 4.1 of the Deposit Agreement.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85"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the Company, the Depositary or the Custodian shall be required to withhold and does withhold from any distribution of property (including rights) an amount on account of taxes or other governmental charges, the amount distributed to the Holders of ADSs representing such Deposited Securities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charges.</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9" w:name="page170"/>
    <w:bookmarkEnd w:id="169"/>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11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 shall give timely</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distribute the proceeds (net of applicable (a) fees and charges of, and expenses incurred by, the Depositary, and (b) taxes), retire ADSs and cancel ADRs, if applicable, upon delivery of such ADSs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0" w:name="page171"/>
    <w:bookmarkEnd w:id="170"/>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thereof and upon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w:t>
      </w:r>
    </w:p>
    <w:p>
      <w:pPr>
        <w:spacing w:after="0" w:line="11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 determination of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under English law and the Company's Articles of Association. Subject to applicable law and the terms and conditions of this ADR and Sections 4.1 through 4.8 of the Deposit Agreement, only the Holders of ADSs at the close of business in New York on such ADS Record Date shall be entitled to receive such distributions, to give such instructions, to receive such notice or solicitation, or otherwise take action.</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 are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vote, or of solicitation of consents or proxies from holders of Deposited Securities, the Depositary shall fix the ADS Record Date in respect of such meeting or solicitation of such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proxies, (b) a statement that the Holders at the close of business on the ADS Record Date will be entitled, subject to any applicable law, the provisions of the Deposit Agreement, the Articles of Association and the provisions of or governing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1" w:name="page172"/>
    <w:bookmarkEnd w:id="17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such voting instructions.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voting and neither the Depositary nor the Custodian shall vote, attempt to exercise the right to vote, or in any way make use of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instructions. Deposited Securities represented by ADSs for which no timely voting instructions are received by the Depositary from the Holder shall not be voted.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 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requested by the Depositary. There can be no assurance that Holders generally or any Holder in particular will receive the notice described above with sufficient time to enable the Holder to return voting instructions to the Depositary in a timely manner.</w:t>
      </w:r>
    </w:p>
    <w:p>
      <w:pPr>
        <w:spacing w:after="0" w:line="122"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 reclassification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or upon any recapitalization, reorganization, merger, consolidation or sale of assets affecting the Company or to which it is a party, any securities which shall be received by the Depositary or the Custodian in exchange for, or in conversion of or replacement of or otherwise in respect of, such Deposited Securities shall, to the extent permitted by law, be treated as new Deposited Securities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72" w:name="page173"/>
    <w:bookmarkEnd w:id="17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Deposit Agreement, and the ADRs shall, subject to the provisions of the Deposit Agreement and applicable law, evidence ADSs representing the right to receive such additional or replacement securities.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security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securities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securities available to Holders in general or any Holder in particular, (ii) any foreign exchange exposure or loss incurred in connection with such sale, or (iii) any liability to the purchaser of such securities.</w:t>
      </w:r>
    </w:p>
    <w:p>
      <w:pPr>
        <w:spacing w:after="0" w:line="11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Depositary nor the Company shall be obligated to do or perform any act which is inconsistent with the provisions of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incur any liability (i) if the Depositary or the Company shall be prevented or forbidden from, or delayed in, doing or performing any act or thing required by the terms of the Deposit Agreement and this ADR, by reason of any provision of any present or future law or regulation of the United States, England or any other country, or of any other governmental authority or regulatory authority or stock exchange, or on account of the possible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73" w:name="page174"/>
    <w:bookmarkEnd w:id="17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distribution, offering, right or other benefit which is made available to holders of Deposited Securities but is not, under the terms of the Deposit Agreement, made available to Holders of ADSs or (v) for any consequential or punitive damages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 No disclaimer of liability under the Securities Act is intended by any provision of the Deposit Agreement or this ADR.</w:t>
      </w:r>
    </w:p>
    <w:p>
      <w:pPr>
        <w:spacing w:after="0" w:line="1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 Agreement or this</w:t>
      </w:r>
      <w:r>
        <w:rPr>
          <w:rFonts w:ascii="Arial" w:cs="Arial" w:eastAsia="Arial" w:hAnsi="Arial"/>
          <w:sz w:val="16"/>
          <w:szCs w:val="16"/>
          <w:b w:val="1"/>
          <w:bCs w:val="1"/>
          <w:color w:val="auto"/>
        </w:rPr>
        <w:t xml:space="preserve"> </w:t>
      </w:r>
      <w:r>
        <w:rPr>
          <w:rFonts w:ascii="Arial" w:cs="Arial" w:eastAsia="Arial" w:hAnsi="Arial"/>
          <w:sz w:val="16"/>
          <w:szCs w:val="16"/>
          <w:color w:val="auto"/>
        </w:rPr>
        <w:t>ADR to any Holder(s) or Beneficial Owner(s), except that the Company and Depositary agree to perform their respective obligations specifically set forth in the Deposit Agreement and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 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for the failure or timeliness of any notice from the Company, or for any action or failure to act by, or any information provided or not provided by, DTC or any DTC participant.</w:t>
      </w:r>
    </w:p>
    <w:p>
      <w:pPr>
        <w:spacing w:after="0" w:line="12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01"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b w:val="1"/>
          <w:bCs w:val="1"/>
          <w:u w:val="single" w:color="auto"/>
          <w:color w:val="auto"/>
        </w:rPr>
        <w:t>Resignation and Removal of the Depositary; Appointment of Successor Depositary</w:t>
      </w:r>
      <w:r>
        <w:rPr>
          <w:rFonts w:ascii="Arial" w:cs="Arial" w:eastAsia="Arial" w:hAnsi="Arial"/>
          <w:sz w:val="15"/>
          <w:szCs w:val="15"/>
          <w:b w:val="1"/>
          <w:bCs w:val="1"/>
          <w:color w:val="auto"/>
        </w:rPr>
        <w:t xml:space="preserve">. </w:t>
      </w:r>
      <w:r>
        <w:rPr>
          <w:rFonts w:ascii="Arial" w:cs="Arial" w:eastAsia="Arial" w:hAnsi="Arial"/>
          <w:sz w:val="15"/>
          <w:szCs w:val="15"/>
          <w:color w:val="auto"/>
        </w:rPr>
        <w:t>The Depositary may at any time resign as Depositary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74" w:name="page175"/>
    <w:bookmarkEnd w:id="174"/>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w:t>
      </w:r>
    </w:p>
    <w:p>
      <w:pPr>
        <w:spacing w:after="0" w:line="4" w:lineRule="exact"/>
        <w:rPr>
          <w:sz w:val="20"/>
          <w:szCs w:val="20"/>
          <w:color w:val="auto"/>
        </w:rPr>
      </w:pPr>
    </w:p>
    <w:p>
      <w:pPr>
        <w:ind w:right="220" w:firstLine="8"/>
        <w:spacing w:after="0" w:line="300" w:lineRule="auto"/>
        <w:tabs>
          <w:tab w:leader="none" w:pos="210" w:val="left"/>
        </w:tabs>
        <w:numPr>
          <w:ilvl w:val="0"/>
          <w:numId w:val="78"/>
        </w:numPr>
        <w:rPr>
          <w:rFonts w:ascii="Arial" w:cs="Arial" w:eastAsia="Arial" w:hAnsi="Arial"/>
          <w:sz w:val="15"/>
          <w:szCs w:val="15"/>
          <w:color w:val="auto"/>
        </w:rPr>
      </w:pPr>
      <w:r>
        <w:rPr>
          <w:rFonts w:ascii="Arial" w:cs="Arial" w:eastAsia="Arial" w:hAnsi="Arial"/>
          <w:sz w:val="15"/>
          <w:szCs w:val="15"/>
          <w:color w:val="auto"/>
        </w:rPr>
        <w:t>execute and deliver an instrument transferring to such successor all rights and powers of such predecessor hereunder (other than as contemplated in Sections 5.8 and 5.9 of the Deposit Agreement), (ii) duly assign, transfer and deliver all right, title and interest to the Deposited Securities to such successor, and</w:t>
      </w:r>
    </w:p>
    <w:p>
      <w:pPr>
        <w:ind w:right="80" w:firstLine="8"/>
        <w:spacing w:after="0" w:line="302" w:lineRule="auto"/>
        <w:tabs>
          <w:tab w:leader="none" w:pos="3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deliver to such successor a list of the Holders of all outstanding ADSs and such other information relating to ADSs and Holders thereof as the successor may reasonably request. Any such successor depositary shall promptly provide notice of its appointment to such Holders. Any corporation into or with which the Depositary may be merged or consolidated shall be the successor of the Depositary without the execution or filing of any document or any further act.</w:t>
      </w:r>
    </w:p>
    <w:p>
      <w:pPr>
        <w:spacing w:after="0" w:line="10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22, and Section 6.1 of the Deposit Agreement and applicable law,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i.e.</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w:t>
      </w:r>
    </w:p>
    <w:p>
      <w:pPr>
        <w:spacing w:after="0" w:line="3" w:lineRule="exact"/>
        <w:rPr>
          <w:sz w:val="20"/>
          <w:szCs w:val="20"/>
          <w:color w:val="auto"/>
        </w:rPr>
      </w:pPr>
    </w:p>
    <w:p>
      <w:pPr>
        <w:ind w:right="40" w:firstLine="8"/>
        <w:spacing w:after="0" w:line="323" w:lineRule="auto"/>
        <w:tabs>
          <w:tab w:leader="none" w:pos="2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75" w:name="page176"/>
    <w:bookmarkEnd w:id="175"/>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1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 notice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securities and other property received in respect of Deposited Securities, (iii) deliver Deposited Securities, together with any dividends or other distributions received with respect thereto and the net proceeds of the sale of any securities or other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w:t>
      </w:r>
    </w:p>
    <w:p>
      <w:pPr>
        <w:spacing w:after="0" w:line="11" w:lineRule="exact"/>
        <w:rPr>
          <w:sz w:val="20"/>
          <w:szCs w:val="20"/>
          <w:color w:val="auto"/>
        </w:rPr>
      </w:pPr>
    </w:p>
    <w:p>
      <w:pPr>
        <w:ind w:right="40" w:firstLine="8"/>
        <w:spacing w:after="0" w:line="295" w:lineRule="auto"/>
        <w:tabs>
          <w:tab w:leader="none" w:pos="29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take such actions as may be required under applicable law in connection with its role as Depositary under the Deposit Agreement. At any time after the Termination Date, the Depositary may sell the Deposited Securities then held under the Deposit Agreement and shall after such sale hold un-invested the net proceeds of such sale, together with any other cash then held by it under the Deposit Agreement, in an un-segregated account and without liability for interest, for the pro - rata benefit of the Holders whose ADSs have not theretofore been surrendered. After making such sale, the Depositary shall be discharged from 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76" w:name="page177"/>
    <w:bookmarkEnd w:id="17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w:t>
      </w:r>
    </w:p>
    <w:p>
      <w:pPr>
        <w:spacing w:after="0" w:line="112"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u w:val="single" w:color="auto"/>
          <w:color w:val="auto"/>
        </w:rPr>
        <w:t>Compliance with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in this ADR or the Deposit Agreement to the contrary, the withdrawal or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3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b w:val="1"/>
          <w:bCs w:val="1"/>
          <w:u w:val="single" w:color="auto"/>
          <w:color w:val="auto"/>
        </w:rPr>
        <w:t>Certain Rights of the Depositary;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further terms and provisions of this paragraph (25) and Section 5.10 of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the Depositary, its Affiliates and their agents, on their own behalf, may own and deal in any class of securities of the Company and its Affiliates and in ADSs. In its capacity as Depositary, the Depositary shall not lend Shares or ADSs;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may (i) issue ADSs prior to the receipt of Shares pursuant to Section 2.3 of the Deposit Agreement and (ii) deliver Shares prior to the receipt of ADSs for withdrawal of Deposited Securities pursuant to Section 2.7 of the Deposit Agreement, including ADSs which were issued under (i) above but for which Shares may not have been received (each such transaction a “</w:t>
      </w:r>
      <w:r>
        <w:rPr>
          <w:rFonts w:ascii="Arial" w:cs="Arial" w:eastAsia="Arial" w:hAnsi="Arial"/>
          <w:sz w:val="16"/>
          <w:szCs w:val="16"/>
          <w:u w:val="single" w:color="auto"/>
          <w:color w:val="auto"/>
        </w:rPr>
        <w:t>Pre-Release Transaction</w:t>
      </w:r>
      <w:r>
        <w:rPr>
          <w:rFonts w:ascii="Arial" w:cs="Arial" w:eastAsia="Arial" w:hAnsi="Arial"/>
          <w:sz w:val="16"/>
          <w:szCs w:val="16"/>
          <w:color w:val="auto"/>
        </w:rPr>
        <w:t>”). The Depositary may receive ADSs in lieu of Shares under (i) above and receive Shares in lieu of ADSs under</w:t>
      </w:r>
    </w:p>
    <w:p>
      <w:pPr>
        <w:spacing w:after="0" w:line="3" w:lineRule="exact"/>
        <w:rPr>
          <w:sz w:val="20"/>
          <w:szCs w:val="20"/>
          <w:color w:val="auto"/>
        </w:rPr>
      </w:pPr>
    </w:p>
    <w:p>
      <w:pPr>
        <w:ind w:right="100" w:firstLine="8"/>
        <w:spacing w:after="0" w:line="286" w:lineRule="auto"/>
        <w:tabs>
          <w:tab w:leader="none" w:pos="25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above. Each such Pre-Release Transaction will be (a) subject to a written agreement whereby the person or entity (the “</w:t>
      </w:r>
      <w:r>
        <w:rPr>
          <w:rFonts w:ascii="Arial" w:cs="Arial" w:eastAsia="Arial" w:hAnsi="Arial"/>
          <w:sz w:val="16"/>
          <w:szCs w:val="16"/>
          <w:u w:val="single" w:color="auto"/>
          <w:color w:val="auto"/>
        </w:rPr>
        <w:t>Applicant</w:t>
      </w:r>
      <w:r>
        <w:rPr>
          <w:rFonts w:ascii="Arial" w:cs="Arial" w:eastAsia="Arial" w:hAnsi="Arial"/>
          <w:sz w:val="16"/>
          <w:szCs w:val="16"/>
          <w:color w:val="auto"/>
        </w:rPr>
        <w:t xml:space="preserve">”)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reserves the right to change or disregard such limit from time to time as it deems appropriate. The Depositary may also set limits with respect to the number of ADSs and Shares involved in Pre-Release Transactions with any one person on a case by case basis as it deems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The Depositary may retain for its own account any compensation received by it in conjunction with the foregoing. Collateral provided pursuant to</w:t>
      </w:r>
    </w:p>
    <w:p>
      <w:pPr>
        <w:spacing w:after="0" w:line="38" w:lineRule="exact"/>
        <w:rPr>
          <w:sz w:val="20"/>
          <w:szCs w:val="20"/>
          <w:color w:val="auto"/>
        </w:rPr>
      </w:pPr>
    </w:p>
    <w:p>
      <w:pPr>
        <w:ind w:left="5620" w:right="3720" w:hanging="5612"/>
        <w:spacing w:after="0" w:line="433" w:lineRule="auto"/>
        <w:tabs>
          <w:tab w:leader="none" w:pos="25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above, but not earnings thereon, shall be held for the benefit of the Holders (other than the Applicant). 24</w:t>
      </w:r>
    </w:p>
    <w:p>
      <w:pPr>
        <w:sectPr>
          <w:pgSz w:w="11900" w:h="16838" w:orient="portrait"/>
          <w:cols w:equalWidth="0" w:num="1">
            <w:col w:w="11160"/>
          </w:cols>
          <w:pgMar w:left="240" w:top="280" w:right="49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AND TRANSFER SIGNATURE LINES)</w:t>
      </w:r>
    </w:p>
    <w:p>
      <w:pPr>
        <w:spacing w:after="0" w:line="17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VALUE RECEIVED, the undersigned Holder hereby sell(s), assign(s) and transfer(s) unto whose taxpayer identification number is and whose address including postal zip code is , the within ADS and all rights thereunder, hereby irrevocably constituting and appointing attorney-in-fact to transfer said ADS on the books of the Depositary with full power of substitution in the premises.</w:t>
      </w:r>
    </w:p>
    <w:p>
      <w:pPr>
        <w:sectPr>
          <w:pgSz w:w="11900" w:h="16838" w:orient="portrait"/>
          <w:cols w:equalWidth="0" w:num="1">
            <w:col w:w="11420"/>
          </w:cols>
          <w:pgMar w:left="240" w:top="274" w:right="2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51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25400</wp:posOffset>
            </wp:positionV>
            <wp:extent cx="31813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100" w:space="720"/>
            <w:col w:w="5600"/>
          </w:cols>
          <w:pgMar w:left="240" w:top="274" w:right="239" w:bottom="1440" w:gutter="0" w:footer="0" w:header="0"/>
          <w:type w:val="continuous"/>
        </w:sectPr>
      </w:pPr>
    </w:p>
    <w:p>
      <w:pPr>
        <w:ind w:left="64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NOTICE: The signature of the Holder to this assignment must correspond with</w:t>
      </w:r>
    </w:p>
    <w:p>
      <w:pPr>
        <w:spacing w:after="0" w:line="3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the name as written upon the face of the within instrument in every particular,</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without alteration or enlargement or any change whatsoever.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If the endorsement be executed by an attorney, executor, administrator, trustee</w:t>
      </w:r>
    </w:p>
    <w:p>
      <w:pPr>
        <w:spacing w:after="0" w:line="5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or guardian, the person executing the endorsement must give his/her full title in</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such capacity and proper evidence of authority to act in such capacity, if not on</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file with the Depositary, must be forwarded with this ADR.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32670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All endorsements or assignments of ADRs must be guaranteed by a member of</w:t>
      </w:r>
    </w:p>
    <w:p>
      <w:pPr>
        <w:spacing w:after="0" w:line="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 Medallion Signature Program approved by the Securities Transfer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Association, Inc.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118110</wp:posOffset>
            </wp:positionV>
            <wp:extent cx="2032635" cy="411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326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 2011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15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and made effective as of [ ], 20 between Amarin Corporation plc (the </w:t>
      </w:r>
      <w:r>
        <w:rPr>
          <w:rFonts w:ascii="Arial" w:cs="Arial" w:eastAsia="Arial" w:hAnsi="Arial"/>
          <w:sz w:val="18"/>
          <w:szCs w:val="18"/>
          <w:b w:val="1"/>
          <w:bCs w:val="1"/>
          <w:color w:val="auto"/>
        </w:rPr>
        <w:t>“Company”</w:t>
      </w:r>
      <w:r>
        <w:rPr>
          <w:rFonts w:ascii="Arial" w:cs="Arial" w:eastAsia="Arial" w:hAnsi="Arial"/>
          <w:sz w:val="18"/>
          <w:szCs w:val="18"/>
          <w:color w:val="auto"/>
        </w:rPr>
        <w:t>), and [ ] (</w:t>
      </w:r>
      <w:r>
        <w:rPr>
          <w:rFonts w:ascii="Arial" w:cs="Arial" w:eastAsia="Arial" w:hAnsi="Arial"/>
          <w:sz w:val="18"/>
          <w:szCs w:val="18"/>
          <w:b w:val="1"/>
          <w:bCs w:val="1"/>
          <w:color w:val="auto"/>
        </w:rPr>
        <w:t>“Optionee”</w:t>
      </w:r>
      <w:r>
        <w:rPr>
          <w:rFonts w:ascii="Arial" w:cs="Arial" w:eastAsia="Arial" w:hAnsi="Arial"/>
          <w:sz w:val="18"/>
          <w:szCs w:val="18"/>
          <w:color w:val="auto"/>
        </w:rPr>
        <w:t>). Capitalized terms used and not defined herein shall have the meanings set forth in the Amarin Corporation plc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2011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b w:val="1"/>
          <w:bCs w:val="1"/>
          <w:color w:val="auto"/>
        </w:rPr>
        <w:t>Number of Incentive Stock Options (“Options”): [</w:t>
      </w:r>
    </w:p>
    <w:p>
      <w:pPr>
        <w:spacing w:after="0" w:line="1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Per Share Purchase Price: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(provided that such Per Share Purchase Price shall not be less than the par value of the Share at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time, currently £0.50)</w:t>
      </w:r>
    </w:p>
    <w:p>
      <w:pPr>
        <w:spacing w:after="0" w:line="78" w:lineRule="exact"/>
        <w:rPr>
          <w:sz w:val="20"/>
          <w:szCs w:val="20"/>
          <w:color w:val="auto"/>
        </w:rPr>
      </w:pPr>
    </w:p>
    <w:p>
      <w:pPr>
        <w:sectPr>
          <w:pgSz w:w="11900" w:h="16838" w:orient="portrait"/>
          <w:cols w:equalWidth="0" w:num="2">
            <w:col w:w="4200" w:space="40"/>
            <w:col w:w="7180"/>
          </w:cols>
          <w:pgMar w:left="240" w:top="125" w:right="239" w:bottom="1440" w:gutter="0" w:footer="0" w:header="0"/>
          <w:type w:val="continuous"/>
        </w:sectPr>
      </w:pPr>
    </w:p>
    <w:p>
      <w:pPr>
        <w:spacing w:after="0"/>
        <w:tabs>
          <w:tab w:leader="none" w:pos="440" w:val="left"/>
          <w:tab w:leader="none" w:pos="2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color w:val="auto"/>
        </w:rPr>
        <w:t xml:space="preserve">Grant Date: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type w:val="continuous"/>
        </w:sectPr>
      </w:pPr>
    </w:p>
    <w:p>
      <w:pPr>
        <w:spacing w:after="0" w:line="9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Date Options Become Exercisable (Vesting):</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Number of Ordinary Shares</w:t>
            </w:r>
          </w:p>
        </w:tc>
        <w:tc>
          <w:tcPr>
            <w:tcW w:w="50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w w:val="93"/>
              </w:rPr>
              <w:t>Exercise Dates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5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62"/>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8"/>
              </w:rPr>
              <w: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600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600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600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spacing w:after="0"/>
        <w:tabs>
          <w:tab w:leader="none" w:pos="440" w:val="left"/>
          <w:tab w:leader="none" w:pos="26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Expiration Date: [</w:t>
      </w:r>
      <w:r>
        <w:rPr>
          <w:sz w:val="20"/>
          <w:szCs w:val="20"/>
          <w:color w:val="auto"/>
        </w:rPr>
        <w:tab/>
      </w:r>
      <w:r>
        <w:rPr>
          <w:rFonts w:ascii="Arial" w:cs="Arial" w:eastAsia="Arial" w:hAnsi="Arial"/>
          <w:sz w:val="18"/>
          <w:szCs w:val="18"/>
          <w:b w:val="1"/>
          <w:bCs w:val="1"/>
          <w:color w:val="auto"/>
        </w:rPr>
        <w:t>]</w:t>
      </w:r>
    </w:p>
    <w:p>
      <w:pPr>
        <w:spacing w:after="0" w:line="90" w:lineRule="exact"/>
        <w:rPr>
          <w:sz w:val="20"/>
          <w:szCs w:val="20"/>
          <w:color w:val="auto"/>
        </w:rPr>
      </w:pPr>
    </w:p>
    <w:p>
      <w:pPr>
        <w:ind w:left="460" w:right="120" w:hanging="452"/>
        <w:spacing w:after="0" w:line="275" w:lineRule="auto"/>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of this Award Agreement: </w:t>
      </w:r>
      <w:r>
        <w:rPr>
          <w:rFonts w:ascii="Arial" w:cs="Arial" w:eastAsia="Arial" w:hAnsi="Arial"/>
          <w:sz w:val="18"/>
          <w:szCs w:val="18"/>
          <w:color w:val="auto"/>
        </w:rPr>
        <w:t>In the event of a conflict between the provisions of this Award Agreement and the Plan, except in relation to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below, the provisions of the Plan shall prevail. A copy of the Plan is provided herewith.</w:t>
      </w:r>
    </w:p>
    <w:p>
      <w:pPr>
        <w:spacing w:after="0" w:line="38" w:lineRule="exact"/>
        <w:rPr>
          <w:rFonts w:ascii="Arial" w:cs="Arial" w:eastAsia="Arial" w:hAnsi="Arial"/>
          <w:sz w:val="18"/>
          <w:szCs w:val="18"/>
          <w:b w:val="1"/>
          <w:bCs w:val="1"/>
          <w:color w:val="auto"/>
        </w:rPr>
      </w:pPr>
    </w:p>
    <w:p>
      <w:pPr>
        <w:ind w:left="460" w:right="80" w:hanging="452"/>
        <w:spacing w:after="0" w:line="275" w:lineRule="auto"/>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Non-transferable: </w:t>
      </w:r>
      <w:r>
        <w:rPr>
          <w:rFonts w:ascii="Arial" w:cs="Arial" w:eastAsia="Arial" w:hAnsi="Arial"/>
          <w:sz w:val="18"/>
          <w:szCs w:val="18"/>
          <w:color w:val="auto"/>
        </w:rPr>
        <w:t>These Options shall not be transferable by the Optionee other than by will or the laws of descent and distribution, and the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exercisable, during the Optionee’s lifetime, only by the Optionee.</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By signing this Award Agreement, you agree to all of the terms and conditions described herein and in the Plan.</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AMARIN CORPORATION plc</w:t>
            </w:r>
          </w:p>
        </w:tc>
        <w:tc>
          <w:tcPr>
            <w:tcW w:w="2060" w:type="dxa"/>
            <w:vAlign w:val="bottom"/>
            <w:gridSpan w:val="2"/>
          </w:tcPr>
          <w:p>
            <w:pPr>
              <w:ind w:left="660"/>
              <w:spacing w:after="0"/>
              <w:rPr>
                <w:sz w:val="20"/>
                <w:szCs w:val="20"/>
                <w:color w:val="auto"/>
              </w:rPr>
            </w:pPr>
            <w:r>
              <w:rPr>
                <w:rFonts w:ascii="Arial" w:cs="Arial" w:eastAsia="Arial" w:hAnsi="Arial"/>
                <w:sz w:val="18"/>
                <w:szCs w:val="18"/>
                <w:b w:val="1"/>
                <w:bCs w:val="1"/>
                <w:color w:val="auto"/>
              </w:rPr>
              <w:t>OPTIONEE</w:t>
            </w:r>
          </w:p>
        </w:tc>
        <w:tc>
          <w:tcPr>
            <w:tcW w:w="3840" w:type="dxa"/>
            <w:vAlign w:val="bottom"/>
          </w:tcPr>
          <w:p>
            <w:pPr>
              <w:spacing w:after="0"/>
              <w:rPr>
                <w:sz w:val="19"/>
                <w:szCs w:val="19"/>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c>
          <w:tcPr>
            <w:tcW w:w="1560" w:type="dxa"/>
            <w:vAlign w:val="bottom"/>
          </w:tcPr>
          <w:p>
            <w:pPr>
              <w:ind w:left="660"/>
              <w:spacing w:after="0"/>
              <w:rPr>
                <w:sz w:val="20"/>
                <w:szCs w:val="20"/>
                <w:color w:val="auto"/>
              </w:rPr>
            </w:pPr>
            <w:r>
              <w:rPr>
                <w:rFonts w:ascii="Arial" w:cs="Arial" w:eastAsia="Arial" w:hAnsi="Arial"/>
                <w:sz w:val="18"/>
                <w:szCs w:val="18"/>
                <w:color w:val="auto"/>
              </w:rPr>
              <w:t>Signature:</w:t>
            </w:r>
          </w:p>
        </w:tc>
        <w:tc>
          <w:tcPr>
            <w:tcW w:w="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ind w:left="660"/>
              <w:spacing w:after="0"/>
              <w:rPr>
                <w:sz w:val="20"/>
                <w:szCs w:val="20"/>
                <w:color w:val="auto"/>
              </w:rPr>
            </w:pPr>
            <w:r>
              <w:rPr>
                <w:rFonts w:ascii="Arial" w:cs="Arial" w:eastAsia="Arial" w:hAnsi="Arial"/>
                <w:sz w:val="18"/>
                <w:szCs w:val="18"/>
                <w:color w:val="auto"/>
              </w:rPr>
              <w:t>Name:</w:t>
            </w:r>
          </w:p>
        </w:tc>
        <w:tc>
          <w:tcPr>
            <w:tcW w:w="500" w:type="dxa"/>
            <w:vAlign w:val="bottom"/>
          </w:tcPr>
          <w:p>
            <w:pPr>
              <w:jc w:val="right"/>
              <w:ind w:right="352"/>
              <w:spacing w:after="0"/>
              <w:rPr>
                <w:sz w:val="20"/>
                <w:szCs w:val="20"/>
                <w:color w:val="auto"/>
              </w:rPr>
            </w:pPr>
            <w:r>
              <w:rPr>
                <w:rFonts w:ascii="Arial" w:cs="Arial" w:eastAsia="Arial" w:hAnsi="Arial"/>
                <w:sz w:val="18"/>
                <w:szCs w:val="18"/>
                <w:color w:val="auto"/>
                <w:w w:val="78"/>
              </w:rPr>
              <w:t>[</w:t>
            </w:r>
          </w:p>
        </w:tc>
        <w:tc>
          <w:tcPr>
            <w:tcW w:w="3840" w:type="dxa"/>
            <w:vAlign w:val="bottom"/>
          </w:tcPr>
          <w:p>
            <w:pPr>
              <w:jc w:val="right"/>
              <w:ind w:right="3252"/>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4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246380</wp:posOffset>
            </wp:positionV>
            <wp:extent cx="2032635" cy="411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326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 2011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1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and made effective as of [ ], 20 between Amarin Corporation plc (the </w:t>
      </w:r>
      <w:r>
        <w:rPr>
          <w:rFonts w:ascii="Arial" w:cs="Arial" w:eastAsia="Arial" w:hAnsi="Arial"/>
          <w:sz w:val="18"/>
          <w:szCs w:val="18"/>
          <w:b w:val="1"/>
          <w:bCs w:val="1"/>
          <w:color w:val="auto"/>
        </w:rPr>
        <w:t>“Company”</w:t>
      </w:r>
      <w:r>
        <w:rPr>
          <w:rFonts w:ascii="Arial" w:cs="Arial" w:eastAsia="Arial" w:hAnsi="Arial"/>
          <w:sz w:val="18"/>
          <w:szCs w:val="18"/>
          <w:color w:val="auto"/>
        </w:rPr>
        <w:t>), and [ ], (</w:t>
      </w:r>
      <w:r>
        <w:rPr>
          <w:rFonts w:ascii="Arial" w:cs="Arial" w:eastAsia="Arial" w:hAnsi="Arial"/>
          <w:sz w:val="18"/>
          <w:szCs w:val="18"/>
          <w:b w:val="1"/>
          <w:bCs w:val="1"/>
          <w:color w:val="auto"/>
        </w:rPr>
        <w:t>“Optionee”</w:t>
      </w:r>
      <w:r>
        <w:rPr>
          <w:rFonts w:ascii="Arial" w:cs="Arial" w:eastAsia="Arial" w:hAnsi="Arial"/>
          <w:sz w:val="18"/>
          <w:szCs w:val="18"/>
          <w:color w:val="auto"/>
        </w:rPr>
        <w:t>). Capitalized terms used and not defined herein shall have the meanings set forth in the Amarin Corporation plc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2011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73" w:lineRule="exact"/>
        <w:rPr>
          <w:sz w:val="20"/>
          <w:szCs w:val="20"/>
          <w:color w:val="auto"/>
        </w:rPr>
      </w:pPr>
    </w:p>
    <w:p>
      <w:pPr>
        <w:spacing w:after="0"/>
        <w:tabs>
          <w:tab w:leader="none" w:pos="440" w:val="left"/>
          <w:tab w:leader="none" w:pos="54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color w:val="auto"/>
        </w:rPr>
        <w:t xml:space="preserve">Number of Non-Qualified Stock Options (“Options”):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spacing w:after="0"/>
        <w:tabs>
          <w:tab w:leader="none" w:pos="460" w:val="left"/>
          <w:tab w:leader="none" w:pos="3500" w:val="left"/>
          <w:tab w:leader="none" w:pos="42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Per Share Purchase Price: $[</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(provided that such Per Share Purchase Price shall not be less than the par value of the Share at</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any time, currently £0.50)</w:t>
      </w:r>
    </w:p>
    <w:p>
      <w:pPr>
        <w:spacing w:after="0" w:line="78" w:lineRule="exact"/>
        <w:rPr>
          <w:sz w:val="20"/>
          <w:szCs w:val="20"/>
          <w:color w:val="auto"/>
        </w:rPr>
      </w:pPr>
    </w:p>
    <w:p>
      <w:pPr>
        <w:spacing w:after="0"/>
        <w:tabs>
          <w:tab w:leader="none" w:pos="440" w:val="left"/>
          <w:tab w:leader="none" w:pos="2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color w:val="auto"/>
        </w:rPr>
        <w:t xml:space="preserve">Grant Date: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Date Options Become Exercisable (Vesting):</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9"/>
              </w:rPr>
              <w:t>Number of Ordinary Shares</w:t>
            </w:r>
          </w:p>
        </w:tc>
        <w:tc>
          <w:tcPr>
            <w:tcW w:w="49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0"/>
              </w:rPr>
              <w:t>Exercise Dates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w:t>
            </w:r>
          </w:p>
        </w:tc>
        <w:tc>
          <w:tcPr>
            <w:tcW w:w="49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62"/>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8"/>
              </w:rPr>
              <w: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594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594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594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spacing w:after="0"/>
        <w:tabs>
          <w:tab w:leader="none" w:pos="440" w:val="left"/>
          <w:tab w:leader="none" w:pos="26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left="460" w:right="120" w:hanging="452"/>
        <w:spacing w:after="0" w:line="275" w:lineRule="auto"/>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of this Award Agreement: </w:t>
      </w:r>
      <w:r>
        <w:rPr>
          <w:rFonts w:ascii="Arial" w:cs="Arial" w:eastAsia="Arial" w:hAnsi="Arial"/>
          <w:sz w:val="18"/>
          <w:szCs w:val="18"/>
          <w:color w:val="auto"/>
        </w:rPr>
        <w:t>In the event of a conflict between the provisions of this Award Agreement and the Plan, except in relation to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7 below, the provisions of the Plan shall prevail. A copy of the Plan is provided herewith.</w:t>
      </w:r>
    </w:p>
    <w:p>
      <w:pPr>
        <w:spacing w:after="0" w:line="38" w:lineRule="exact"/>
        <w:rPr>
          <w:rFonts w:ascii="Arial" w:cs="Arial" w:eastAsia="Arial" w:hAnsi="Arial"/>
          <w:sz w:val="18"/>
          <w:szCs w:val="18"/>
          <w:b w:val="1"/>
          <w:bCs w:val="1"/>
          <w:color w:val="auto"/>
        </w:rPr>
      </w:pPr>
    </w:p>
    <w:p>
      <w:pPr>
        <w:ind w:left="460" w:right="80" w:hanging="452"/>
        <w:spacing w:after="0" w:line="275" w:lineRule="auto"/>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Non-transferable: </w:t>
      </w:r>
      <w:r>
        <w:rPr>
          <w:rFonts w:ascii="Arial" w:cs="Arial" w:eastAsia="Arial" w:hAnsi="Arial"/>
          <w:sz w:val="18"/>
          <w:szCs w:val="18"/>
          <w:color w:val="auto"/>
        </w:rPr>
        <w:t>These Options shall not be transferable by the Optionee other than by will or the laws of descent and distribution, and the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exercisable, during the Optionee’s lifetime, only by the Optionee.</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By signing this Award Agreement, you agree to all of the terms and conditions described herein and in the Plan.</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AMARIN CORPORATION plc</w:t>
            </w:r>
          </w:p>
        </w:tc>
        <w:tc>
          <w:tcPr>
            <w:tcW w:w="2060" w:type="dxa"/>
            <w:vAlign w:val="bottom"/>
            <w:gridSpan w:val="2"/>
          </w:tcPr>
          <w:p>
            <w:pPr>
              <w:ind w:left="660"/>
              <w:spacing w:after="0"/>
              <w:rPr>
                <w:sz w:val="20"/>
                <w:szCs w:val="20"/>
                <w:color w:val="auto"/>
              </w:rPr>
            </w:pPr>
            <w:r>
              <w:rPr>
                <w:rFonts w:ascii="Arial" w:cs="Arial" w:eastAsia="Arial" w:hAnsi="Arial"/>
                <w:sz w:val="18"/>
                <w:szCs w:val="18"/>
                <w:b w:val="1"/>
                <w:bCs w:val="1"/>
                <w:color w:val="auto"/>
              </w:rPr>
              <w:t>OPTIONEE</w:t>
            </w:r>
          </w:p>
        </w:tc>
        <w:tc>
          <w:tcPr>
            <w:tcW w:w="3840" w:type="dxa"/>
            <w:vAlign w:val="bottom"/>
          </w:tcPr>
          <w:p>
            <w:pPr>
              <w:spacing w:after="0"/>
              <w:rPr>
                <w:sz w:val="19"/>
                <w:szCs w:val="19"/>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c>
          <w:tcPr>
            <w:tcW w:w="1560" w:type="dxa"/>
            <w:vAlign w:val="bottom"/>
          </w:tcPr>
          <w:p>
            <w:pPr>
              <w:ind w:left="660"/>
              <w:spacing w:after="0"/>
              <w:rPr>
                <w:sz w:val="20"/>
                <w:szCs w:val="20"/>
                <w:color w:val="auto"/>
              </w:rPr>
            </w:pPr>
            <w:r>
              <w:rPr>
                <w:rFonts w:ascii="Arial" w:cs="Arial" w:eastAsia="Arial" w:hAnsi="Arial"/>
                <w:sz w:val="18"/>
                <w:szCs w:val="18"/>
                <w:color w:val="auto"/>
              </w:rPr>
              <w:t>Signature:</w:t>
            </w:r>
          </w:p>
        </w:tc>
        <w:tc>
          <w:tcPr>
            <w:tcW w:w="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ind w:left="660"/>
              <w:spacing w:after="0"/>
              <w:rPr>
                <w:sz w:val="20"/>
                <w:szCs w:val="20"/>
                <w:color w:val="auto"/>
              </w:rPr>
            </w:pPr>
            <w:r>
              <w:rPr>
                <w:rFonts w:ascii="Arial" w:cs="Arial" w:eastAsia="Arial" w:hAnsi="Arial"/>
                <w:sz w:val="18"/>
                <w:szCs w:val="18"/>
                <w:color w:val="auto"/>
              </w:rPr>
              <w:t>Name:</w:t>
            </w:r>
          </w:p>
        </w:tc>
        <w:tc>
          <w:tcPr>
            <w:tcW w:w="500" w:type="dxa"/>
            <w:vAlign w:val="bottom"/>
          </w:tcPr>
          <w:p>
            <w:pPr>
              <w:jc w:val="right"/>
              <w:ind w:right="352"/>
              <w:spacing w:after="0"/>
              <w:rPr>
                <w:sz w:val="20"/>
                <w:szCs w:val="20"/>
                <w:color w:val="auto"/>
              </w:rPr>
            </w:pPr>
            <w:r>
              <w:rPr>
                <w:rFonts w:ascii="Arial" w:cs="Arial" w:eastAsia="Arial" w:hAnsi="Arial"/>
                <w:sz w:val="18"/>
                <w:szCs w:val="18"/>
                <w:color w:val="auto"/>
                <w:w w:val="78"/>
              </w:rPr>
              <w:t>[</w:t>
            </w:r>
          </w:p>
        </w:tc>
        <w:tc>
          <w:tcPr>
            <w:tcW w:w="3840" w:type="dxa"/>
            <w:vAlign w:val="bottom"/>
          </w:tcPr>
          <w:p>
            <w:pPr>
              <w:jc w:val="right"/>
              <w:ind w:right="3252"/>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4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246380</wp:posOffset>
            </wp:positionV>
            <wp:extent cx="2032635" cy="411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326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 2011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1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AWARD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and made effective as of [ ], 20 by and between Amarin Corporation plc (the “</w:t>
      </w:r>
      <w:r>
        <w:rPr>
          <w:rFonts w:ascii="Arial" w:cs="Arial" w:eastAsia="Arial" w:hAnsi="Arial"/>
          <w:sz w:val="16"/>
          <w:szCs w:val="16"/>
          <w:b w:val="1"/>
          <w:bCs w:val="1"/>
          <w:color w:val="auto"/>
        </w:rPr>
        <w:t>Company</w:t>
      </w:r>
      <w:r>
        <w:rPr>
          <w:rFonts w:ascii="Arial" w:cs="Arial" w:eastAsia="Arial" w:hAnsi="Arial"/>
          <w:sz w:val="16"/>
          <w:szCs w:val="16"/>
          <w:color w:val="auto"/>
        </w:rPr>
        <w:t>”), and [ ] (“</w:t>
      </w:r>
      <w:r>
        <w:rPr>
          <w:rFonts w:ascii="Arial" w:cs="Arial" w:eastAsia="Arial" w:hAnsi="Arial"/>
          <w:sz w:val="16"/>
          <w:szCs w:val="16"/>
          <w:b w:val="1"/>
          <w:bCs w:val="1"/>
          <w:color w:val="auto"/>
        </w:rPr>
        <w:t>Participant</w:t>
      </w:r>
      <w:r>
        <w:rPr>
          <w:rFonts w:ascii="Arial" w:cs="Arial" w:eastAsia="Arial" w:hAnsi="Arial"/>
          <w:sz w:val="16"/>
          <w:szCs w:val="16"/>
          <w:color w:val="auto"/>
        </w:rPr>
        <w:t>”). Capitalized terms used and not otherwise defined herein shall have the meanings ascribed to such terms in the</w:t>
      </w:r>
    </w:p>
    <w:p>
      <w:pPr>
        <w:spacing w:after="0" w:line="1"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Amarin Corporation plc 2011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which is incorporated by this reference in its entirety. The Company hereby grants to the Participant an award (this “</w:t>
      </w:r>
      <w:r>
        <w:rPr>
          <w:rFonts w:ascii="Arial" w:cs="Arial" w:eastAsia="Arial" w:hAnsi="Arial"/>
          <w:sz w:val="16"/>
          <w:szCs w:val="16"/>
          <w:b w:val="1"/>
          <w:bCs w:val="1"/>
          <w:color w:val="auto"/>
        </w:rPr>
        <w:t>Award</w:t>
      </w:r>
      <w:r>
        <w:rPr>
          <w:rFonts w:ascii="Arial" w:cs="Arial" w:eastAsia="Arial" w:hAnsi="Arial"/>
          <w:sz w:val="16"/>
          <w:szCs w:val="16"/>
          <w:color w:val="auto"/>
        </w:rPr>
        <w:t>”) of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as set forth below. The Company intends that this Award shall not be considered to provide for the deferral of compensation under section 409A of the Code and that this Award Agreement shall be so administered and construed. Further, the Company may modify this Award Agreement and this Award to the extent necessary to fulfill this intent.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1.</w:t>
            </w:r>
          </w:p>
        </w:tc>
        <w:tc>
          <w:tcPr>
            <w:tcW w:w="1820" w:type="dxa"/>
            <w:vAlign w:val="bottom"/>
          </w:tcPr>
          <w:p>
            <w:pPr>
              <w:ind w:left="160"/>
              <w:spacing w:after="0"/>
              <w:rPr>
                <w:sz w:val="20"/>
                <w:szCs w:val="20"/>
                <w:color w:val="auto"/>
              </w:rPr>
            </w:pPr>
            <w:r>
              <w:rPr>
                <w:rFonts w:ascii="Arial" w:cs="Arial" w:eastAsia="Arial" w:hAnsi="Arial"/>
                <w:sz w:val="18"/>
                <w:szCs w:val="18"/>
                <w:b w:val="1"/>
                <w:bCs w:val="1"/>
                <w:color w:val="auto"/>
              </w:rPr>
              <w:t xml:space="preserve">Number of RSUs: </w:t>
            </w: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2.</w:t>
            </w:r>
          </w:p>
        </w:tc>
        <w:tc>
          <w:tcPr>
            <w:tcW w:w="1820" w:type="dxa"/>
            <w:vAlign w:val="bottom"/>
          </w:tcPr>
          <w:p>
            <w:pPr>
              <w:ind w:left="160"/>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w:t>
            </w:r>
          </w:p>
        </w:tc>
        <w:tc>
          <w:tcPr>
            <w:tcW w:w="700" w:type="dxa"/>
            <w:vAlign w:val="bottom"/>
          </w:tcPr>
          <w:p>
            <w:pPr>
              <w:jc w:val="right"/>
              <w:ind w:right="332"/>
              <w:spacing w:after="0"/>
              <w:rPr>
                <w:sz w:val="20"/>
                <w:szCs w:val="20"/>
                <w:color w:val="auto"/>
              </w:rPr>
            </w:pPr>
            <w:r>
              <w:rPr>
                <w:rFonts w:ascii="Arial" w:cs="Arial" w:eastAsia="Arial" w:hAnsi="Arial"/>
                <w:sz w:val="18"/>
                <w:szCs w:val="18"/>
                <w:color w:val="auto"/>
              </w:rPr>
              <w:t>]</w:t>
            </w:r>
          </w:p>
        </w:tc>
      </w:tr>
      <w:tr>
        <w:trPr>
          <w:trHeight w:val="297"/>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1820" w:type="dxa"/>
            <w:vAlign w:val="bottom"/>
          </w:tcPr>
          <w:p>
            <w:pPr>
              <w:ind w:left="16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6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Date Award Vests:</w:t>
      </w:r>
    </w:p>
    <w:p>
      <w:pPr>
        <w:spacing w:after="0" w:line="21" w:lineRule="exact"/>
        <w:rPr>
          <w:sz w:val="20"/>
          <w:szCs w:val="20"/>
          <w:color w:val="auto"/>
        </w:rPr>
      </w:pPr>
    </w:p>
    <w:p>
      <w:pPr>
        <w:ind w:left="1400" w:hanging="936"/>
        <w:spacing w:after="0"/>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60" w:right="160" w:hanging="452"/>
        <w:spacing w:after="0" w:line="310" w:lineRule="auto"/>
        <w:tabs>
          <w:tab w:leader="none" w:pos="4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Upon vesting of each RSU, the Participant shall be entitled to a payment equal to the Fair Market Value of one Share. The payment shall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Participant in cash, or at the sole discretion of the Committee in Shares or a combination of cash or Shares, and any such Shares may be subject to restrictions concerning their transferability and/or forfeiture as the Committee may determine.</w:t>
      </w:r>
    </w:p>
    <w:p>
      <w:pPr>
        <w:spacing w:after="0" w:line="16" w:lineRule="exact"/>
        <w:rPr>
          <w:rFonts w:ascii="Arial" w:cs="Arial" w:eastAsia="Arial" w:hAnsi="Arial"/>
          <w:sz w:val="16"/>
          <w:szCs w:val="16"/>
          <w:b w:val="1"/>
          <w:bCs w:val="1"/>
          <w:color w:val="auto"/>
        </w:rPr>
      </w:pPr>
    </w:p>
    <w:p>
      <w:pPr>
        <w:ind w:left="460" w:right="320" w:hanging="452"/>
        <w:spacing w:after="0" w:line="275" w:lineRule="auto"/>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Notwithstanding anything in Section 8 of the Plan to the contrary,</w:t>
      </w:r>
      <w:r>
        <w:rPr>
          <w:rFonts w:ascii="Arial" w:cs="Arial" w:eastAsia="Arial" w:hAnsi="Arial"/>
          <w:sz w:val="18"/>
          <w:szCs w:val="18"/>
          <w:b w:val="1"/>
          <w:bCs w:val="1"/>
          <w:color w:val="auto"/>
        </w:rPr>
        <w:t xml:space="preserve"> i</w:t>
      </w:r>
      <w:r>
        <w:rPr>
          <w:rFonts w:ascii="Arial" w:cs="Arial" w:eastAsia="Arial" w:hAnsi="Arial"/>
          <w:sz w:val="18"/>
          <w:szCs w:val="18"/>
          <w:color w:val="auto"/>
        </w:rPr>
        <w:t>n the event of termination of the Participant’s Continuous Status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Consultant, any RSUs that have not vested will lapse immediately.</w:t>
      </w:r>
    </w:p>
    <w:p>
      <w:pPr>
        <w:spacing w:after="0" w:line="38" w:lineRule="exact"/>
        <w:rPr>
          <w:rFonts w:ascii="Arial" w:cs="Arial" w:eastAsia="Arial" w:hAnsi="Arial"/>
          <w:sz w:val="18"/>
          <w:szCs w:val="18"/>
          <w:b w:val="1"/>
          <w:bCs w:val="1"/>
          <w:color w:val="auto"/>
        </w:rPr>
      </w:pPr>
    </w:p>
    <w:p>
      <w:pPr>
        <w:ind w:left="460" w:right="520" w:hanging="452"/>
        <w:spacing w:after="0" w:line="275" w:lineRule="auto"/>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Dilution Protection: </w:t>
      </w:r>
      <w:r>
        <w:rPr>
          <w:rFonts w:ascii="Arial" w:cs="Arial" w:eastAsia="Arial" w:hAnsi="Arial"/>
          <w:sz w:val="18"/>
          <w:szCs w:val="18"/>
          <w:color w:val="auto"/>
        </w:rPr>
        <w:t>The Plan contains detailed provisions for adjustments in the number and price of Shares for various corporate events, such as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capitalization, or a corporate transaction.</w:t>
      </w:r>
    </w:p>
    <w:p>
      <w:pPr>
        <w:spacing w:after="0" w:line="38" w:lineRule="exact"/>
        <w:rPr>
          <w:rFonts w:ascii="Arial" w:cs="Arial" w:eastAsia="Arial" w:hAnsi="Arial"/>
          <w:sz w:val="18"/>
          <w:szCs w:val="18"/>
          <w:b w:val="1"/>
          <w:bCs w:val="1"/>
          <w:color w:val="auto"/>
        </w:rPr>
      </w:pPr>
    </w:p>
    <w:p>
      <w:pPr>
        <w:ind w:left="460" w:right="420" w:hanging="452"/>
        <w:spacing w:after="0" w:line="275" w:lineRule="auto"/>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 has the right to require payment for any withholding tax and social security contributions applicable to the vesting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Any withholding in the form of Shares shall not exceed the required minimum withholding amount.</w:t>
      </w:r>
    </w:p>
    <w:p>
      <w:pPr>
        <w:spacing w:after="0" w:line="38" w:lineRule="exact"/>
        <w:rPr>
          <w:rFonts w:ascii="Arial" w:cs="Arial" w:eastAsia="Arial" w:hAnsi="Arial"/>
          <w:sz w:val="18"/>
          <w:szCs w:val="18"/>
          <w:b w:val="1"/>
          <w:bCs w:val="1"/>
          <w:color w:val="auto"/>
        </w:rPr>
      </w:pPr>
    </w:p>
    <w:p>
      <w:pPr>
        <w:ind w:left="460" w:right="320" w:hanging="452"/>
        <w:spacing w:after="0" w:line="275" w:lineRule="auto"/>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The Award itself does not confer the rights of the underlying Shares which are the subject of the Award. Shareholder rights derive</w:t>
      </w:r>
      <w:r>
        <w:rPr>
          <w:rFonts w:ascii="Arial" w:cs="Arial" w:eastAsia="Arial" w:hAnsi="Arial"/>
          <w:sz w:val="18"/>
          <w:szCs w:val="18"/>
          <w:b w:val="1"/>
          <w:bCs w:val="1"/>
          <w:color w:val="auto"/>
        </w:rPr>
        <w:t xml:space="preserve"> </w:t>
      </w:r>
      <w:r>
        <w:rPr>
          <w:rFonts w:ascii="Arial" w:cs="Arial" w:eastAsia="Arial" w:hAnsi="Arial"/>
          <w:sz w:val="18"/>
          <w:szCs w:val="18"/>
          <w:color w:val="auto"/>
        </w:rPr>
        <w:t>only from Share ownership.</w:t>
      </w:r>
    </w:p>
    <w:p>
      <w:pPr>
        <w:spacing w:after="0" w:line="38" w:lineRule="exact"/>
        <w:rPr>
          <w:rFonts w:ascii="Arial" w:cs="Arial" w:eastAsia="Arial" w:hAnsi="Arial"/>
          <w:sz w:val="18"/>
          <w:szCs w:val="18"/>
          <w:b w:val="1"/>
          <w:bCs w:val="1"/>
          <w:color w:val="auto"/>
        </w:rPr>
      </w:pPr>
    </w:p>
    <w:p>
      <w:pPr>
        <w:ind w:left="460" w:right="40" w:hanging="452"/>
        <w:spacing w:after="0" w:line="334" w:lineRule="auto"/>
        <w:tabs>
          <w:tab w:leader="none" w:pos="4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Contract: </w:t>
      </w:r>
      <w:r>
        <w:rPr>
          <w:rFonts w:ascii="Arial" w:cs="Arial" w:eastAsia="Arial" w:hAnsi="Arial"/>
          <w:sz w:val="16"/>
          <w:szCs w:val="16"/>
          <w:color w:val="auto"/>
        </w:rPr>
        <w:t>This Agreement and the Plan constitute the entire agreement between you and the Company with regard to the Award described herein, and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be modified or amended except in a writing duly executed by the Participant and an executive officer of the Company.</w:t>
      </w:r>
    </w:p>
    <w:p>
      <w:pPr>
        <w:spacing w:after="0" w:line="1" w:lineRule="exact"/>
        <w:rPr>
          <w:rFonts w:ascii="Arial" w:cs="Arial" w:eastAsia="Arial" w:hAnsi="Arial"/>
          <w:sz w:val="16"/>
          <w:szCs w:val="16"/>
          <w:b w:val="1"/>
          <w:bCs w:val="1"/>
          <w:color w:val="auto"/>
        </w:rPr>
      </w:pPr>
    </w:p>
    <w:p>
      <w:pPr>
        <w:jc w:val="both"/>
        <w:ind w:left="460" w:right="120" w:hanging="452"/>
        <w:spacing w:after="0" w:line="378" w:lineRule="auto"/>
        <w:tabs>
          <w:tab w:leader="none" w:pos="46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Applicable Law: </w:t>
      </w:r>
      <w:r>
        <w:rPr>
          <w:rFonts w:ascii="Arial" w:cs="Arial" w:eastAsia="Arial" w:hAnsi="Arial"/>
          <w:sz w:val="15"/>
          <w:szCs w:val="15"/>
          <w:color w:val="auto"/>
        </w:rPr>
        <w:t>The Plan is not subject to the Employee Retirement Income Security Act of 1974, as amended, and is not qualified under Section 401(a)</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Code. The laws of the State of New York govern the terms and conditions of the RSUs, the Plan, and any construction or interpretation of the same.</w:t>
      </w:r>
    </w:p>
    <w:p>
      <w:pPr>
        <w:sectPr>
          <w:pgSz w:w="11900" w:h="16838" w:orient="portrait"/>
          <w:cols w:equalWidth="0" w:num="1">
            <w:col w:w="11420"/>
          </w:cols>
          <w:pgMar w:left="240" w:top="125" w:right="239" w:bottom="1440" w:gutter="0" w:footer="0" w:header="0"/>
        </w:sectPr>
      </w:pPr>
    </w:p>
    <w:bookmarkStart w:id="182" w:name="page183"/>
    <w:bookmarkEnd w:id="182"/>
    <w:p>
      <w:pPr>
        <w:ind w:left="452" w:right="180" w:hanging="452"/>
        <w:spacing w:after="0" w:line="275" w:lineRule="auto"/>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2764790</wp:posOffset>
            </wp:positionH>
            <wp:positionV relativeFrom="page">
              <wp:posOffset>183515</wp:posOffset>
            </wp:positionV>
            <wp:extent cx="2032635" cy="411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411480"/>
                    </a:xfrm>
                    <a:prstGeom prst="rect">
                      <a:avLst/>
                    </a:prstGeom>
                    <a:noFill/>
                  </pic:spPr>
                </pic:pic>
              </a:graphicData>
            </a:graphic>
          </wp:anchor>
        </w:drawing>
        <w:t xml:space="preserve">Conflict: </w:t>
      </w:r>
      <w:r>
        <w:rPr>
          <w:rFonts w:ascii="Arial" w:cs="Arial" w:eastAsia="Arial" w:hAnsi="Arial"/>
          <w:sz w:val="18"/>
          <w:szCs w:val="18"/>
          <w:color w:val="auto"/>
        </w:rPr>
        <w:t>In the event of a conflict between the provisions of this Agreement and the Plan, the Plan shall control. A copy of the Plan is available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Secretary at the Company’s U.S. headquarters.</w:t>
      </w:r>
    </w:p>
    <w:p>
      <w:pPr>
        <w:spacing w:after="0" w:line="38" w:lineRule="exact"/>
        <w:rPr>
          <w:rFonts w:ascii="Arial" w:cs="Arial" w:eastAsia="Arial" w:hAnsi="Arial"/>
          <w:sz w:val="18"/>
          <w:szCs w:val="18"/>
          <w:b w:val="1"/>
          <w:bCs w:val="1"/>
          <w:color w:val="auto"/>
        </w:rPr>
      </w:pPr>
    </w:p>
    <w:p>
      <w:pPr>
        <w:ind w:left="452" w:right="60" w:hanging="452"/>
        <w:spacing w:after="0" w:line="275" w:lineRule="auto"/>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Committee will administer the Plan. The Board appoints the members of the Committee, who will remain members until removed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w:t>
      </w:r>
    </w:p>
    <w:p>
      <w:pPr>
        <w:spacing w:after="0" w:line="4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Company and the Participant have executed this Agreement as of the day and year first written above.</w:t>
      </w:r>
    </w:p>
    <w:p>
      <w:pPr>
        <w:spacing w:after="0" w:line="206" w:lineRule="exact"/>
        <w:rPr>
          <w:sz w:val="20"/>
          <w:szCs w:val="20"/>
          <w:color w:val="auto"/>
        </w:rPr>
      </w:pPr>
    </w:p>
    <w:tbl>
      <w:tblPr>
        <w:tblLayout w:type="fixed"/>
        <w:tblInd w:w="472"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AMARIN CORPORATION plc</w:t>
            </w:r>
          </w:p>
        </w:tc>
        <w:tc>
          <w:tcPr>
            <w:tcW w:w="5900" w:type="dxa"/>
            <w:vAlign w:val="bottom"/>
            <w:gridSpan w:val="2"/>
          </w:tcPr>
          <w:p>
            <w:pPr>
              <w:ind w:left="660"/>
              <w:spacing w:after="0"/>
              <w:rPr>
                <w:sz w:val="20"/>
                <w:szCs w:val="20"/>
                <w:color w:val="auto"/>
              </w:rPr>
            </w:pPr>
            <w:r>
              <w:rPr>
                <w:rFonts w:ascii="Arial" w:cs="Arial" w:eastAsia="Arial" w:hAnsi="Arial"/>
                <w:sz w:val="18"/>
                <w:szCs w:val="18"/>
                <w:b w:val="1"/>
                <w:bCs w:val="1"/>
                <w:color w:val="auto"/>
              </w:rPr>
              <w:t>PARTICIPANT</w:t>
            </w:r>
          </w:p>
        </w:tc>
      </w:tr>
      <w:tr>
        <w:trPr>
          <w:trHeight w:val="433"/>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c>
          <w:tcPr>
            <w:tcW w:w="1560" w:type="dxa"/>
            <w:vAlign w:val="bottom"/>
          </w:tcPr>
          <w:p>
            <w:pPr>
              <w:ind w:left="660"/>
              <w:spacing w:after="0"/>
              <w:rPr>
                <w:sz w:val="20"/>
                <w:szCs w:val="20"/>
                <w:color w:val="auto"/>
              </w:rPr>
            </w:pPr>
            <w:r>
              <w:rPr>
                <w:rFonts w:ascii="Arial" w:cs="Arial" w:eastAsia="Arial" w:hAnsi="Arial"/>
                <w:sz w:val="18"/>
                <w:szCs w:val="18"/>
                <w:color w:val="auto"/>
              </w:rPr>
              <w:t>Signature</w:t>
            </w:r>
          </w:p>
        </w:tc>
        <w:tc>
          <w:tcPr>
            <w:tcW w:w="4340" w:type="dxa"/>
            <w:vAlign w:val="bottom"/>
            <w:tcBorders>
              <w:bottom w:val="single" w:sz="8" w:color="auto"/>
            </w:tcBorders>
          </w:tcPr>
          <w:p>
            <w:pPr>
              <w:spacing w:after="0"/>
              <w:rPr>
                <w:sz w:val="24"/>
                <w:szCs w:val="24"/>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Name:</w:t>
            </w:r>
          </w:p>
        </w:tc>
        <w:tc>
          <w:tcPr>
            <w:tcW w:w="15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Title:</w:t>
            </w:r>
          </w:p>
        </w:tc>
        <w:tc>
          <w:tcPr>
            <w:tcW w:w="1560" w:type="dxa"/>
            <w:vAlign w:val="bottom"/>
          </w:tcPr>
          <w:p>
            <w:pPr>
              <w:spacing w:after="0"/>
              <w:rPr>
                <w:sz w:val="19"/>
                <w:szCs w:val="19"/>
                <w:color w:val="auto"/>
              </w:rPr>
            </w:pPr>
          </w:p>
        </w:tc>
        <w:tc>
          <w:tcPr>
            <w:tcW w:w="4340" w:type="dxa"/>
            <w:vAlign w:val="bottom"/>
          </w:tcPr>
          <w:p>
            <w:pPr>
              <w:spacing w:after="0"/>
              <w:rPr>
                <w:sz w:val="19"/>
                <w:szCs w:val="19"/>
                <w:color w:val="auto"/>
              </w:rPr>
            </w:pPr>
          </w:p>
        </w:tc>
      </w:tr>
    </w:tbl>
    <w:p>
      <w:pPr>
        <w:sectPr>
          <w:pgSz w:w="11900" w:h="16838" w:orient="portrait"/>
          <w:cols w:equalWidth="0" w:num="1">
            <w:col w:w="11412"/>
          </w:cols>
          <w:pgMar w:left="248" w:top="107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17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149860</wp:posOffset>
            </wp:positionV>
            <wp:extent cx="30441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API SUPPLY AGREEMENT</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This A</w:t>
      </w:r>
      <w:r>
        <w:rPr>
          <w:rFonts w:ascii="Arial" w:cs="Arial" w:eastAsia="Arial" w:hAnsi="Arial"/>
          <w:sz w:val="14"/>
          <w:szCs w:val="14"/>
          <w:color w:val="auto"/>
        </w:rPr>
        <w:t>MENDMENT TO</w:t>
      </w:r>
      <w:r>
        <w:rPr>
          <w:rFonts w:ascii="Arial" w:cs="Arial" w:eastAsia="Arial" w:hAnsi="Arial"/>
          <w:sz w:val="18"/>
          <w:szCs w:val="18"/>
          <w:color w:val="auto"/>
        </w:rPr>
        <w:t xml:space="preserve"> API S</w:t>
      </w:r>
      <w:r>
        <w:rPr>
          <w:rFonts w:ascii="Arial" w:cs="Arial" w:eastAsia="Arial" w:hAnsi="Arial"/>
          <w:sz w:val="14"/>
          <w:szCs w:val="14"/>
          <w:color w:val="auto"/>
        </w:rPr>
        <w:t>UPPLY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(the “Amendment”) is made as of this 19</w:t>
      </w:r>
      <w:r>
        <w:rPr>
          <w:rFonts w:ascii="Arial" w:cs="Arial" w:eastAsia="Arial" w:hAnsi="Arial"/>
          <w:sz w:val="11"/>
          <w:szCs w:val="11"/>
          <w:color w:val="auto"/>
        </w:rPr>
        <w:t>th</w:t>
      </w:r>
      <w:r>
        <w:rPr>
          <w:rFonts w:ascii="Arial" w:cs="Arial" w:eastAsia="Arial" w:hAnsi="Arial"/>
          <w:sz w:val="18"/>
          <w:szCs w:val="18"/>
          <w:color w:val="auto"/>
        </w:rPr>
        <w:t xml:space="preserve"> day of October, 2011 (the “Amendment Effective Date”), by and between Amarin Pharmaceuticals Ireland Ltd., a corporation organized under the laws of Ireland and having its principal office at First Floor, Block 3, The Oval, Shelbourne Road, Ballsbridge, Dublin 4, Ireland (“Amarin”), and Equateq Limited, a company incorporated in England with registered number 5507387 and with its registered office at Lion House, Red Lion Street, London, WC1R 4GB but with its principal offices at Callanish, Isle of Lewis, HS2 9ED (“Equateq”).</w:t>
      </w:r>
    </w:p>
    <w:p>
      <w:pPr>
        <w:spacing w:after="0" w:line="143" w:lineRule="exact"/>
        <w:rPr>
          <w:sz w:val="20"/>
          <w:szCs w:val="20"/>
          <w:color w:val="auto"/>
        </w:rPr>
      </w:pPr>
    </w:p>
    <w:p>
      <w:pPr>
        <w:ind w:left="460" w:right="2780"/>
        <w:spacing w:after="0" w:line="438" w:lineRule="auto"/>
        <w:rPr>
          <w:sz w:val="20"/>
          <w:szCs w:val="20"/>
          <w:color w:val="auto"/>
        </w:rPr>
      </w:pPr>
      <w:r>
        <w:rPr>
          <w:rFonts w:ascii="Arial" w:cs="Arial" w:eastAsia="Arial" w:hAnsi="Arial"/>
          <w:sz w:val="18"/>
          <w:szCs w:val="18"/>
          <w:color w:val="auto"/>
        </w:rPr>
        <w:t>WHEREAS, the Parties entered into that certain API Supply Agreement as of May 25, 2011 (the “Agreement”); and WHEREAS, the Parties wish to amend the Agreement as set forth herein.</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32" w:lineRule="exact"/>
        <w:rPr>
          <w:sz w:val="20"/>
          <w:szCs w:val="20"/>
          <w:color w:val="auto"/>
        </w:rPr>
      </w:pPr>
    </w:p>
    <w:p>
      <w:pPr>
        <w:ind w:left="640" w:hanging="17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Section 4.1(a) of the Agreement is deleted in its entirety and replaced with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91"/>
        </w:numPr>
        <w:rPr>
          <w:rFonts w:ascii="Arial" w:cs="Arial" w:eastAsia="Arial" w:hAnsi="Arial"/>
          <w:sz w:val="16"/>
          <w:szCs w:val="16"/>
          <w:color w:val="auto"/>
        </w:rPr>
      </w:pPr>
      <w:r>
        <w:rPr>
          <w:rFonts w:ascii="Arial" w:cs="Arial" w:eastAsia="Arial" w:hAnsi="Arial"/>
          <w:sz w:val="16"/>
          <w:szCs w:val="16"/>
          <w:color w:val="auto"/>
        </w:rPr>
        <w:t>Amarin shall make a one time payment to Equateq of one million dollars ($1,000,000) (the “Upfront Commitment Payment”) within five</w:t>
      </w:r>
    </w:p>
    <w:p>
      <w:pPr>
        <w:spacing w:after="0" w:line="38" w:lineRule="exact"/>
        <w:rPr>
          <w:rFonts w:ascii="Arial" w:cs="Arial" w:eastAsia="Arial" w:hAnsi="Arial"/>
          <w:sz w:val="16"/>
          <w:szCs w:val="16"/>
          <w:color w:val="auto"/>
        </w:rPr>
      </w:pPr>
    </w:p>
    <w:p>
      <w:pPr>
        <w:ind w:left="920" w:right="40" w:firstLine="1"/>
        <w:spacing w:after="0" w:line="290" w:lineRule="auto"/>
        <w:tabs>
          <w:tab w:leader="none" w:pos="1169" w:val="left"/>
        </w:tabs>
        <w:numPr>
          <w:ilvl w:val="1"/>
          <w:numId w:val="91"/>
        </w:numPr>
        <w:rPr>
          <w:rFonts w:ascii="Arial" w:cs="Arial" w:eastAsia="Arial" w:hAnsi="Arial"/>
          <w:sz w:val="16"/>
          <w:szCs w:val="16"/>
          <w:color w:val="auto"/>
        </w:rPr>
      </w:pPr>
      <w:r>
        <w:rPr>
          <w:rFonts w:ascii="Arial" w:cs="Arial" w:eastAsia="Arial" w:hAnsi="Arial"/>
          <w:sz w:val="16"/>
          <w:szCs w:val="16"/>
          <w:color w:val="auto"/>
        </w:rPr>
        <w:t>Days of the Effective Date. Equateq shall notify Amarin when the financing to perform its obligations under this Agreement is in place, which notification shall describe the financing terms with a reasonable level of detail and in the absence of notice of objection from Amarin within [***] of Equateq’s notification it shall be deemed accepted by Amarin. In the event Equateq has not, in Amarin’s reasonable determination after good faith consultation with Equateq, raised sufficient capital to perform its obligations under this Agreement within [***] after the Effective Date, Amarin may give notice of that determination to Equateq at any time prior to Equateq raising such sufficient capital, and Equateq shall refund the Upfront Commitment Payment to Amarin and whereupon this Agreement shall terminate automatically.</w:t>
      </w:r>
    </w:p>
    <w:p>
      <w:pPr>
        <w:sectPr>
          <w:pgSz w:w="11900" w:h="16838" w:orient="portrait"/>
          <w:cols w:equalWidth="0" w:num="1">
            <w:col w:w="11420"/>
          </w:cols>
          <w:pgMar w:left="240" w:top="125" w:right="239" w:bottom="1440" w:gutter="0" w:footer="0" w:header="0"/>
        </w:sectPr>
      </w:pPr>
    </w:p>
    <w:bookmarkStart w:id="184" w:name="page185"/>
    <w:bookmarkEnd w:id="184"/>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acknowledge that Amarin has paid the Upfront Commmittment Payment to Equateq.</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following is hereby added to the end of Section 4.1(b):</w:t>
      </w:r>
    </w:p>
    <w:p>
      <w:pPr>
        <w:spacing w:after="0" w:line="90" w:lineRule="exact"/>
        <w:rPr>
          <w:sz w:val="20"/>
          <w:szCs w:val="20"/>
          <w:color w:val="auto"/>
        </w:rPr>
      </w:pPr>
    </w:p>
    <w:p>
      <w:pPr>
        <w:ind w:left="920"/>
        <w:spacing w:after="0" w:line="252" w:lineRule="auto"/>
        <w:rPr>
          <w:sz w:val="20"/>
          <w:szCs w:val="20"/>
          <w:color w:val="auto"/>
        </w:rPr>
      </w:pPr>
      <w:r>
        <w:rPr>
          <w:rFonts w:ascii="Arial" w:cs="Arial" w:eastAsia="Arial" w:hAnsi="Arial"/>
          <w:sz w:val="18"/>
          <w:szCs w:val="18"/>
          <w:color w:val="auto"/>
        </w:rPr>
        <w:t>“Notwithstanding the foregoing, until Equateq has, in Amarin’s reasonable determination after good faith consultation with Equateq, raised sufficient capital to perform its obligations under this Agreement, Amarin shall not be required to pay any Development Fees (the “Deferred Development Fees”); provided, however, that Amarin’s right to withhold payment of Deferred Development Fees shall not relieve Equateq of its obligation to timely perform the Development Plan. Amarin shall have no obligation to pay the Deferred Development Fees at all if the Agreement is terminated pursuant to</w:t>
      </w:r>
    </w:p>
    <w:p>
      <w:pPr>
        <w:ind w:left="920" w:right="200"/>
        <w:spacing w:after="0" w:line="255" w:lineRule="auto"/>
        <w:rPr>
          <w:sz w:val="20"/>
          <w:szCs w:val="20"/>
          <w:color w:val="auto"/>
        </w:rPr>
      </w:pPr>
      <w:r>
        <w:rPr>
          <w:rFonts w:ascii="Arial" w:cs="Arial" w:eastAsia="Arial" w:hAnsi="Arial"/>
          <w:sz w:val="18"/>
          <w:szCs w:val="18"/>
          <w:color w:val="auto"/>
        </w:rPr>
        <w:t xml:space="preserve">Section 4.1(a). Amarin shall pay the Deferred Development Fees incurred in accordance with this Section 4.1(b)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after Equateq has, in Amarin’s reasonable determination after good faith consultation with Equateq, raised sufficient capital to perform its obligations under this Agreement prior to termination.”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The following is hereby added to the end of Section 4.1(c) of the Agreement:</w:t>
      </w:r>
    </w:p>
    <w:p>
      <w:pPr>
        <w:spacing w:after="0" w:line="90"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Nothwithstanding anything in this Agreement to the contrary, in no event shall Amarin be required to pay any portion of the Third Party Materials Payment unless and until Equateq has in Amarin’s reasonable determination after good faith consultation with Equateq and in writing, raised sufficient capital to perform its obligations under this Agreement.</w:t>
      </w:r>
    </w:p>
    <w:p>
      <w:pPr>
        <w:spacing w:after="0" w:line="140" w:lineRule="exact"/>
        <w:rPr>
          <w:sz w:val="20"/>
          <w:szCs w:val="20"/>
          <w:color w:val="auto"/>
        </w:rPr>
      </w:pPr>
    </w:p>
    <w:p>
      <w:pPr>
        <w:ind w:firstLine="464"/>
        <w:spacing w:after="0" w:line="294"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Amendment and any other future amendment of the Agreement may be executed in two (2) or more counterparts, each of which shall be an original, but all of which together shall constitute one and the same instrument. To evidence the fact that it has executed this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as expressly provided in this Amendment, all other provisions of the Agreement shall remain unmodified and in full force and effect.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Amendment to API Supply Agreement]</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WITNESS WHEREOF, the Parties have caused their duly authorized representative to execute this Amendment effective as of the Amendment Effective Date.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PHARMACEUTICALS IRELAND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F. Thero</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EQUATEQ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Kelliher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Adam Kelliher</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420"/>
          </w:cols>
          <w:pgMar w:left="240" w:top="2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10.61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w:t>
      </w:r>
    </w:p>
    <w:p>
      <w:pPr>
        <w:spacing w:after="0" w:line="17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THIS LEASE </w:t>
      </w:r>
      <w:r>
        <w:rPr>
          <w:rFonts w:ascii="Arial" w:cs="Arial" w:eastAsia="Arial" w:hAnsi="Arial"/>
          <w:sz w:val="18"/>
          <w:szCs w:val="18"/>
          <w:color w:val="auto"/>
        </w:rPr>
        <w:t>made as of November 28, 2011 by and between</w:t>
      </w:r>
      <w:r>
        <w:rPr>
          <w:rFonts w:ascii="Arial" w:cs="Arial" w:eastAsia="Arial" w:hAnsi="Arial"/>
          <w:sz w:val="18"/>
          <w:szCs w:val="18"/>
          <w:b w:val="1"/>
          <w:bCs w:val="1"/>
          <w:color w:val="auto"/>
        </w:rPr>
        <w:t xml:space="preserve"> 534 EAST MIDDLE TURNPIKE, LLC </w:t>
      </w:r>
      <w:r>
        <w:rPr>
          <w:rFonts w:ascii="Arial" w:cs="Arial" w:eastAsia="Arial" w:hAnsi="Arial"/>
          <w:sz w:val="18"/>
          <w:szCs w:val="18"/>
          <w:color w:val="auto"/>
        </w:rPr>
        <w:t>a Connecticut limited liability company,</w:t>
      </w:r>
      <w:r>
        <w:rPr>
          <w:rFonts w:ascii="Arial" w:cs="Arial" w:eastAsia="Arial" w:hAnsi="Arial"/>
          <w:sz w:val="18"/>
          <w:szCs w:val="18"/>
          <w:b w:val="1"/>
          <w:bCs w:val="1"/>
          <w:color w:val="auto"/>
        </w:rPr>
        <w:t xml:space="preserve"> PETER JAY ALTER, TRUSTEE of the LEON C. LECH IRREVOCABLE TRUST under Declaration of Trust dated October 14, 1980 </w:t>
      </w:r>
      <w:r>
        <w:rPr>
          <w:rFonts w:ascii="Arial" w:cs="Arial" w:eastAsia="Arial" w:hAnsi="Arial"/>
          <w:sz w:val="18"/>
          <w:szCs w:val="18"/>
          <w:color w:val="auto"/>
        </w:rPr>
        <w:t>and</w:t>
      </w:r>
      <w:r>
        <w:rPr>
          <w:rFonts w:ascii="Arial" w:cs="Arial" w:eastAsia="Arial" w:hAnsi="Arial"/>
          <w:sz w:val="18"/>
          <w:szCs w:val="18"/>
          <w:b w:val="1"/>
          <w:bCs w:val="1"/>
          <w:color w:val="auto"/>
        </w:rPr>
        <w:t xml:space="preserve"> FERNDALE REALTY, LLC</w:t>
      </w:r>
      <w:r>
        <w:rPr>
          <w:rFonts w:ascii="Arial" w:cs="Arial" w:eastAsia="Arial" w:hAnsi="Arial"/>
          <w:sz w:val="18"/>
          <w:szCs w:val="18"/>
          <w:color w:val="auto"/>
        </w:rPr>
        <w:t>, a Connecticut limited liability company, all having an address at c/o Readco; 6 Vista Drive; Suite 200; Old Lyme, CT 06371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Amarin Pharma,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171" w:lineRule="exact"/>
        <w:rPr>
          <w:sz w:val="20"/>
          <w:szCs w:val="20"/>
          <w:color w:val="auto"/>
        </w:rPr>
      </w:pPr>
    </w:p>
    <w:p>
      <w:pPr>
        <w:jc w:val="both"/>
        <w:ind w:right="80" w:firstLine="464"/>
        <w:spacing w:after="0" w:line="301"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PREMISES</w:t>
      </w:r>
      <w:r>
        <w:rPr>
          <w:rFonts w:ascii="Arial" w:cs="Arial" w:eastAsia="Arial" w:hAnsi="Arial"/>
          <w:sz w:val="16"/>
          <w:szCs w:val="16"/>
          <w:color w:val="auto"/>
        </w:rPr>
        <w:t>. Landlord leases to Tenant and Tenant rents from Landlord those certain premises comprising approximately 5,162 rentable square feet</w:t>
      </w:r>
      <w:r>
        <w:rPr>
          <w:rFonts w:ascii="Arial" w:cs="Arial" w:eastAsia="Arial" w:hAnsi="Arial"/>
          <w:sz w:val="16"/>
          <w:szCs w:val="16"/>
          <w:b w:val="1"/>
          <w:bCs w:val="1"/>
          <w:color w:val="auto"/>
        </w:rPr>
        <w:t xml:space="preserve"> </w:t>
      </w:r>
      <w:r>
        <w:rPr>
          <w:rFonts w:ascii="Arial" w:cs="Arial" w:eastAsia="Arial" w:hAnsi="Arial"/>
          <w:sz w:val="16"/>
          <w:szCs w:val="16"/>
          <w:color w:val="auto"/>
        </w:rPr>
        <w:t>(4,327 usable square feet) on the Second (2nd) floor of the building (the “</w:t>
      </w:r>
      <w:r>
        <w:rPr>
          <w:rFonts w:ascii="Arial" w:cs="Arial" w:eastAsia="Arial" w:hAnsi="Arial"/>
          <w:sz w:val="16"/>
          <w:szCs w:val="16"/>
          <w:b w:val="1"/>
          <w:bCs w:val="1"/>
          <w:color w:val="auto"/>
        </w:rPr>
        <w:t>Building</w:t>
      </w:r>
      <w:r>
        <w:rPr>
          <w:rFonts w:ascii="Arial" w:cs="Arial" w:eastAsia="Arial" w:hAnsi="Arial"/>
          <w:sz w:val="16"/>
          <w:szCs w:val="16"/>
          <w:color w:val="auto"/>
        </w:rPr>
        <w:t>”), which is located on and a part of the property commonly known as 475 Bridge Street, Groton, Connecticut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which premises are depicted as “Lease Area”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Lease (the “</w:t>
      </w:r>
      <w:r>
        <w:rPr>
          <w:rFonts w:ascii="Arial" w:cs="Arial" w:eastAsia="Arial" w:hAnsi="Arial"/>
          <w:sz w:val="16"/>
          <w:szCs w:val="16"/>
          <w:b w:val="1"/>
          <w:bCs w:val="1"/>
          <w:color w:val="auto"/>
        </w:rPr>
        <w:t>Premises</w:t>
      </w:r>
      <w:r>
        <w:rPr>
          <w:rFonts w:ascii="Arial" w:cs="Arial" w:eastAsia="Arial" w:hAnsi="Arial"/>
          <w:sz w:val="16"/>
          <w:szCs w:val="16"/>
          <w:color w:val="auto"/>
        </w:rPr>
        <w:t>”) together with the reasonable use in common with others of the common areas and facilities of the Property.</w:t>
      </w:r>
    </w:p>
    <w:p>
      <w:pPr>
        <w:spacing w:after="0" w:line="103" w:lineRule="exact"/>
        <w:rPr>
          <w:rFonts w:ascii="Arial" w:cs="Arial" w:eastAsia="Arial" w:hAnsi="Arial"/>
          <w:sz w:val="16"/>
          <w:szCs w:val="16"/>
          <w:color w:val="auto"/>
        </w:rPr>
      </w:pPr>
    </w:p>
    <w:p>
      <w:pPr>
        <w:ind w:right="80" w:firstLine="464"/>
        <w:spacing w:after="0" w:line="290"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term of this Lease (the “</w:t>
      </w:r>
      <w:r>
        <w:rPr>
          <w:rFonts w:ascii="Arial" w:cs="Arial" w:eastAsia="Arial" w:hAnsi="Arial"/>
          <w:sz w:val="16"/>
          <w:szCs w:val="16"/>
          <w:b w:val="1"/>
          <w:bCs w:val="1"/>
          <w:color w:val="auto"/>
        </w:rPr>
        <w:t>Term</w:t>
      </w:r>
      <w:r>
        <w:rPr>
          <w:rFonts w:ascii="Arial" w:cs="Arial" w:eastAsia="Arial" w:hAnsi="Arial"/>
          <w:sz w:val="16"/>
          <w:szCs w:val="16"/>
          <w:color w:val="auto"/>
        </w:rPr>
        <w:t>”) shall commence upon the full execution and delivery of this Lease (the “Commencement Date”)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Expiration Date, as such term is defined below. The payment of all Rent, as defined herein, shall commence on the later to occur of January 15, 2012 or that date that the Pre Commencement Improvements (as defined in Section 12(e)) are completed (the “</w:t>
      </w:r>
      <w:r>
        <w:rPr>
          <w:rFonts w:ascii="Arial" w:cs="Arial" w:eastAsia="Arial" w:hAnsi="Arial"/>
          <w:sz w:val="16"/>
          <w:szCs w:val="16"/>
          <w:b w:val="1"/>
          <w:bCs w:val="1"/>
          <w:color w:val="auto"/>
        </w:rPr>
        <w:t>Rent Commencement Date</w:t>
      </w:r>
      <w:r>
        <w:rPr>
          <w:rFonts w:ascii="Arial" w:cs="Arial" w:eastAsia="Arial" w:hAnsi="Arial"/>
          <w:sz w:val="16"/>
          <w:szCs w:val="16"/>
          <w:color w:val="auto"/>
        </w:rPr>
        <w:t>”) and shall expire on the last day of the month in which occurs the third (3rd) anniversary of the Rent Commencement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unless sooner terminated in accordance with the terms of this Lease. If Landlord requests, Tenant shall offer proof to Landlord that the labor force employed by Tenant is adequately covered by worker’s compensation insurance. Landlord shall not be liable for any loss or damage to property installed in the Premises by the Tenant, or for injuries to persons arising out of work performed thereon by or for Tenant, and Tenant hereby agrees to indemnify Landlord and hold Landlord harmless from and against any such loss, damage, or injury.</w:t>
      </w:r>
    </w:p>
    <w:p>
      <w:pPr>
        <w:spacing w:after="0" w:line="112" w:lineRule="exact"/>
        <w:rPr>
          <w:rFonts w:ascii="Arial" w:cs="Arial" w:eastAsia="Arial" w:hAnsi="Arial"/>
          <w:sz w:val="16"/>
          <w:szCs w:val="16"/>
          <w:color w:val="auto"/>
        </w:rPr>
      </w:pPr>
    </w:p>
    <w:p>
      <w:pPr>
        <w:jc w:val="both"/>
        <w:ind w:right="320" w:firstLine="464"/>
        <w:spacing w:after="0" w:line="262"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Tenant shall use the Premises for the general office use and otherwise in accordance with, all applicable laws. Tenant shall not use or permit or</w:t>
      </w:r>
      <w:r>
        <w:rPr>
          <w:rFonts w:ascii="Arial" w:cs="Arial" w:eastAsia="Arial" w:hAnsi="Arial"/>
          <w:sz w:val="18"/>
          <w:szCs w:val="18"/>
          <w:b w:val="1"/>
          <w:bCs w:val="1"/>
          <w:color w:val="auto"/>
        </w:rPr>
        <w:t xml:space="preserve"> </w:t>
      </w:r>
      <w:r>
        <w:rPr>
          <w:rFonts w:ascii="Arial" w:cs="Arial" w:eastAsia="Arial" w:hAnsi="Arial"/>
          <w:sz w:val="18"/>
          <w:szCs w:val="18"/>
          <w:color w:val="auto"/>
        </w:rPr>
        <w:t>suffer the use of the Premises for any other business or purpose. Tenant acknowledges that the same or similar businesses may be operated by other tenants or occupants of the Property.</w:t>
      </w:r>
    </w:p>
    <w:p>
      <w:pPr>
        <w:spacing w:after="0" w:line="132" w:lineRule="exact"/>
        <w:rPr>
          <w:rFonts w:ascii="Arial" w:cs="Arial" w:eastAsia="Arial" w:hAnsi="Arial"/>
          <w:sz w:val="18"/>
          <w:szCs w:val="18"/>
          <w:color w:val="auto"/>
        </w:rPr>
      </w:pPr>
    </w:p>
    <w:p>
      <w:pPr>
        <w:ind w:right="260" w:firstLine="464"/>
        <w:spacing w:after="0" w:line="256"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MINIMUM RENT</w:t>
      </w:r>
      <w:r>
        <w:rPr>
          <w:rFonts w:ascii="Arial" w:cs="Arial" w:eastAsia="Arial" w:hAnsi="Arial"/>
          <w:sz w:val="18"/>
          <w:szCs w:val="18"/>
          <w:color w:val="auto"/>
        </w:rPr>
        <w:t>. The term “</w:t>
      </w:r>
      <w:r>
        <w:rPr>
          <w:rFonts w:ascii="Arial" w:cs="Arial" w:eastAsia="Arial" w:hAnsi="Arial"/>
          <w:sz w:val="18"/>
          <w:szCs w:val="18"/>
          <w:b w:val="1"/>
          <w:bCs w:val="1"/>
          <w:color w:val="auto"/>
        </w:rPr>
        <w:t>Lease Year</w:t>
      </w:r>
      <w:r>
        <w:rPr>
          <w:rFonts w:ascii="Arial" w:cs="Arial" w:eastAsia="Arial" w:hAnsi="Arial"/>
          <w:sz w:val="18"/>
          <w:szCs w:val="18"/>
          <w:color w:val="auto"/>
        </w:rPr>
        <w:t>” shall mean the twelve (12) month period commencing on the Rent Commencement Date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twelve (12) month period. The term “</w:t>
      </w:r>
      <w:r>
        <w:rPr>
          <w:rFonts w:ascii="Arial" w:cs="Arial" w:eastAsia="Arial" w:hAnsi="Arial"/>
          <w:sz w:val="18"/>
          <w:szCs w:val="18"/>
          <w:b w:val="1"/>
          <w:bCs w:val="1"/>
          <w:color w:val="auto"/>
        </w:rPr>
        <w:t>Calendar Year</w:t>
      </w:r>
      <w:r>
        <w:rPr>
          <w:rFonts w:ascii="Arial" w:cs="Arial" w:eastAsia="Arial" w:hAnsi="Arial"/>
          <w:sz w:val="18"/>
          <w:szCs w:val="18"/>
          <w:color w:val="auto"/>
        </w:rPr>
        <w:t>” shall mean each calendar year in which any part of the Term falls, through and including the year in which the Term expires. Fixed minimum rent (the “</w:t>
      </w:r>
      <w:r>
        <w:rPr>
          <w:rFonts w:ascii="Arial" w:cs="Arial" w:eastAsia="Arial" w:hAnsi="Arial"/>
          <w:sz w:val="18"/>
          <w:szCs w:val="18"/>
          <w:b w:val="1"/>
          <w:bCs w:val="1"/>
          <w:color w:val="auto"/>
        </w:rPr>
        <w:t>Base Rent</w:t>
      </w:r>
      <w:r>
        <w:rPr>
          <w:rFonts w:ascii="Arial" w:cs="Arial" w:eastAsia="Arial" w:hAnsi="Arial"/>
          <w:sz w:val="18"/>
          <w:szCs w:val="18"/>
          <w:color w:val="auto"/>
        </w:rPr>
        <w:t>”) during the term of this Lease shall be payable by Tenant beginning on the Rent Commencement Date in monthly installments in advance on the first (1st) day of each month without demand, offset or deduction of any kind in the following amounts: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25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Annual Rent</w:t>
            </w:r>
          </w:p>
        </w:tc>
        <w:tc>
          <w:tcPr>
            <w:tcW w:w="2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Monthly Rent</w:t>
            </w:r>
          </w:p>
        </w:tc>
        <w:tc>
          <w:tcPr>
            <w:tcW w:w="2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Rate/Sq. Ft.</w:t>
            </w:r>
          </w:p>
        </w:tc>
      </w:tr>
      <w:tr>
        <w:trPr>
          <w:trHeight w:val="203"/>
        </w:trPr>
        <w:tc>
          <w:tcPr>
            <w:tcW w:w="2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Lease Year 1-3</w:t>
            </w:r>
          </w:p>
        </w:tc>
        <w:tc>
          <w:tcPr>
            <w:tcW w:w="30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$102,465.70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8,538.81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2980" w:type="dxa"/>
            <w:vAlign w:val="bottom"/>
            <w:gridSpan w:val="2"/>
          </w:tcPr>
          <w:p>
            <w:pPr>
              <w:spacing w:after="0"/>
              <w:rPr>
                <w:sz w:val="20"/>
                <w:szCs w:val="20"/>
                <w:color w:val="auto"/>
              </w:rPr>
            </w:pPr>
            <w:r>
              <w:rPr>
                <w:rFonts w:ascii="Arial" w:cs="Arial" w:eastAsia="Arial" w:hAnsi="Arial"/>
                <w:sz w:val="18"/>
                <w:szCs w:val="18"/>
                <w:color w:val="auto"/>
              </w:rPr>
              <w:t>Lease Year 4</w:t>
            </w: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gridSpan w:val="2"/>
          </w:tcPr>
          <w:p>
            <w:pPr>
              <w:spacing w:after="0"/>
              <w:rPr>
                <w:sz w:val="20"/>
                <w:szCs w:val="20"/>
                <w:color w:val="auto"/>
              </w:rPr>
            </w:pPr>
            <w:r>
              <w:rPr>
                <w:rFonts w:ascii="Arial" w:cs="Arial" w:eastAsia="Arial" w:hAnsi="Arial"/>
                <w:sz w:val="18"/>
                <w:szCs w:val="18"/>
                <w:color w:val="auto"/>
              </w:rPr>
              <w:t>(Extended Term)</w:t>
            </w:r>
          </w:p>
        </w:tc>
        <w:tc>
          <w:tcPr>
            <w:tcW w:w="4220" w:type="dxa"/>
            <w:vAlign w:val="bottom"/>
            <w:gridSpan w:val="3"/>
          </w:tcPr>
          <w:p>
            <w:pPr>
              <w:jc w:val="center"/>
              <w:ind w:left="2712"/>
              <w:spacing w:after="0"/>
              <w:rPr>
                <w:sz w:val="20"/>
                <w:szCs w:val="20"/>
                <w:color w:val="auto"/>
              </w:rPr>
            </w:pPr>
            <w:r>
              <w:rPr>
                <w:rFonts w:ascii="Arial" w:cs="Arial" w:eastAsia="Arial" w:hAnsi="Arial"/>
                <w:sz w:val="18"/>
                <w:szCs w:val="18"/>
                <w:color w:val="auto"/>
                <w:w w:val="89"/>
              </w:rPr>
              <w:t>$105,562.90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8,796.91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p>
        </w:tc>
      </w:tr>
      <w:tr>
        <w:trPr>
          <w:trHeight w:val="217"/>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Year 5</w:t>
            </w:r>
          </w:p>
        </w:tc>
        <w:tc>
          <w:tcPr>
            <w:tcW w:w="4220" w:type="dxa"/>
            <w:vAlign w:val="bottom"/>
            <w:gridSpan w:val="3"/>
            <w:shd w:val="clear" w:color="auto" w:fill="CCEEFF"/>
          </w:tcPr>
          <w:p>
            <w:pPr>
              <w:jc w:val="center"/>
              <w:ind w:left="2712"/>
              <w:spacing w:after="0"/>
              <w:rPr>
                <w:sz w:val="20"/>
                <w:szCs w:val="20"/>
                <w:color w:val="auto"/>
              </w:rPr>
            </w:pPr>
            <w:r>
              <w:rPr>
                <w:rFonts w:ascii="Arial" w:cs="Arial" w:eastAsia="Arial" w:hAnsi="Arial"/>
                <w:sz w:val="18"/>
                <w:szCs w:val="18"/>
                <w:color w:val="auto"/>
                <w:w w:val="85"/>
              </w:rPr>
              <w:t>$ 108,711.72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9,059.31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Lease Year 6</w:t>
            </w:r>
          </w:p>
        </w:tc>
        <w:tc>
          <w:tcPr>
            <w:tcW w:w="4220" w:type="dxa"/>
            <w:vAlign w:val="bottom"/>
            <w:gridSpan w:val="3"/>
          </w:tcPr>
          <w:p>
            <w:pPr>
              <w:jc w:val="center"/>
              <w:ind w:left="2712"/>
              <w:spacing w:after="0"/>
              <w:rPr>
                <w:sz w:val="20"/>
                <w:szCs w:val="20"/>
                <w:color w:val="auto"/>
              </w:rPr>
            </w:pPr>
            <w:r>
              <w:rPr>
                <w:rFonts w:ascii="Arial" w:cs="Arial" w:eastAsia="Arial" w:hAnsi="Arial"/>
                <w:sz w:val="18"/>
                <w:szCs w:val="18"/>
                <w:color w:val="auto"/>
                <w:w w:val="85"/>
              </w:rPr>
              <w:t>$ 111,963.78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9,330.32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r>
      <w:tr>
        <w:trPr>
          <w:trHeight w:val="356"/>
        </w:trPr>
        <w:tc>
          <w:tcPr>
            <w:tcW w:w="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60" w:type="dxa"/>
            <w:vAlign w:val="bottom"/>
          </w:tcPr>
          <w:p>
            <w:pPr>
              <w:jc w:val="right"/>
              <w:ind w:right="1112"/>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7" w:name="page188"/>
    <w:bookmarkEnd w:id="18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 </w:t>
      </w: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at the time of the execution of this Lease the sum of Ten Thousand and 00/100 Dollars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($10,000.00) in, as security for the faithful performance by Tenant of its obligations pursuant to this Lease. In the event that Tenant shall default pursuant to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Lease, Landlord may apply such amount toward any and all amounts, expenses and other damages owed to, or incurred by, Landlord as a result of such default.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event that Landlord so applies any portion of the deposit, Tenant shall immediately deposit with Landlord the amount necessary to restore the deposit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existing prior to such application. Landlord agrees to return any remaining deposit within thirty (30) days after the expiration of the Term as the same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extended, after first applying the deposit to any outstanding defaults at such time. Landlord shall not be obligated to place the deposit in an interest bearing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and may commingle the deposit with Landlord’s other funds and Tenant shall not be entitled to any interest on the deposit, unless required by law.</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Landlord may deliver the funds deposited by Tenant to any purchaser of Landlord’s interest in the Premises in the event that such interest is sold and in such event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be discharged from any further liability with respect to the deposit.</w:t>
      </w:r>
    </w:p>
    <w:p>
      <w:pPr>
        <w:spacing w:after="0" w:line="159" w:lineRule="exact"/>
        <w:rPr>
          <w:sz w:val="20"/>
          <w:szCs w:val="20"/>
          <w:color w:val="auto"/>
        </w:rPr>
      </w:pPr>
    </w:p>
    <w:p>
      <w:pPr>
        <w:ind w:right="20" w:firstLine="464"/>
        <w:spacing w:after="0" w:line="284" w:lineRule="auto"/>
        <w:tabs>
          <w:tab w:leader="none" w:pos="632"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UTILITIES</w:t>
      </w:r>
      <w:r>
        <w:rPr>
          <w:rFonts w:ascii="Arial" w:cs="Arial" w:eastAsia="Arial" w:hAnsi="Arial"/>
          <w:sz w:val="16"/>
          <w:szCs w:val="16"/>
          <w:color w:val="auto"/>
        </w:rPr>
        <w:t>. Landlord shall provide electricity for normal office use and water service for purposes incidental to normal office use, the costs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included in the Operating Expenses. Tenant agrees that it will not install any equipment, which may exceed or overload the capacity of any utility facilities. If Tenant shall use electricity in amounts in excess of that commonly consumed for office use or if Tenant shall consistently and regularly use electricity outside of Building Operating Hours, Landlord shall have the right to require such electrical service to be separately submetered to the Premises, which work shall be performed at Tenant’s sole cost. If submetered electricity is billed separately by the utility provider, Tenant shall pay the amount of such invoice to Landlord. If submetered electricity is not billed separately by the utility provider, Tenant shall pay to Landlord a monthly amount equal to the units of electricity consumed at the Premises for such period, multiplied by the average per unit cost charged to Landlord by the utility company, which amount shall be due, in either of the foregoing cases, within ten (10) days of presentation of an invoice therefor. In the event that electricity service cannot be separately metered, Tenant shall pay to Landlord an amount equal to Landlord’s reasonable estimate of Tenant’s usage thereof. If Tenant is separately billed for all electricity usage, Operating Expenses shall be equitably adjusted to account for Tenant’s direct payment of such utilities. Landlord shall not be liable for any discontinuance of utility services to the Premises and the same shall not constitute a termination of this Lease or an eviction of Tenant. Landlord shall not be liable to Tenant in damages or otherwise (a) if any utility shall become unavailable, or (b) for any interruption in any service caused by the making of any necessary repairs or improvements or by any cause beyond Landlord’s reasonable control, and the same shall not constitute a termination of this Lease or an eviction of Tenant, constructive or otherwise. Notwithstanding anything to the contrary contained in this Section 6, if: (i) Landlord ceases to furnish any service in the Premises for a period in excess of five (5) consecutive days after Tenant notifies Landlord of such cessation (the “Interruption Notice”); (ii) such cessation does not arise as a result of an act or omission of Tenant; (iii) such cessation is not caused by fire or other casualty (in which case Section 20 shall control); (iv) the restoration of such service is reasonably within the control of Landlord; and (v) as a result of such cessation, the Premises or a material portion thereof, is rendered untenantable (meaning that Tenant is unable to use the Premises in the normal course of its business) and Tenant in fact ceases to use the Premises, or material portion thereof, then Tenant, as its sole remedy, shall be entitled to receive an abatement of all Base Rent, Additional Rent and other sums payable hereunder during the period beginning on the sixth (6</w:t>
      </w:r>
      <w:r>
        <w:rPr>
          <w:rFonts w:ascii="Arial" w:cs="Arial" w:eastAsia="Arial" w:hAnsi="Arial"/>
          <w:sz w:val="10"/>
          <w:szCs w:val="10"/>
          <w:color w:val="auto"/>
        </w:rPr>
        <w:t>th</w:t>
      </w:r>
      <w:r>
        <w:rPr>
          <w:rFonts w:ascii="Arial" w:cs="Arial" w:eastAsia="Arial" w:hAnsi="Arial"/>
          <w:sz w:val="16"/>
          <w:szCs w:val="16"/>
          <w:color w:val="auto"/>
        </w:rPr>
        <w:t>) consecutive day of such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88" w:name="page189"/>
    <w:bookmarkEnd w:id="188"/>
    <w:p>
      <w:pPr>
        <w:ind w:right="4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cessation and ending on the day when the service in question has been restored. In the event the entire Premises has not been rendered untenantable by the cessation of service, the amount of abatement shall be prorated based upon the percentage of the Premises so rendered untenantable and not used by Tenant.</w:t>
      </w:r>
    </w:p>
    <w:p>
      <w:pPr>
        <w:spacing w:after="0" w:line="56" w:lineRule="exact"/>
        <w:rPr>
          <w:sz w:val="20"/>
          <w:szCs w:val="20"/>
          <w:color w:val="auto"/>
        </w:rPr>
      </w:pPr>
    </w:p>
    <w:p>
      <w:pPr>
        <w:ind w:right="60" w:firstLine="464"/>
        <w:spacing w:after="0" w:line="289"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In addition to the Base Rent, Tenant shall pay, pursuant to Sections 8 and 9 below, its share of the increases in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expenses of the Property. The term “</w:t>
      </w:r>
      <w:r>
        <w:rPr>
          <w:rFonts w:ascii="Arial" w:cs="Arial" w:eastAsia="Arial" w:hAnsi="Arial"/>
          <w:sz w:val="16"/>
          <w:szCs w:val="16"/>
          <w:b w:val="1"/>
          <w:bCs w:val="1"/>
          <w:color w:val="auto"/>
        </w:rPr>
        <w:t>Base Year</w:t>
      </w:r>
      <w:r>
        <w:rPr>
          <w:rFonts w:ascii="Arial" w:cs="Arial" w:eastAsia="Arial" w:hAnsi="Arial"/>
          <w:sz w:val="16"/>
          <w:szCs w:val="16"/>
          <w:color w:val="auto"/>
        </w:rPr>
        <w:t>” shall mean Calendar Year 2012. The term “</w:t>
      </w:r>
      <w:r>
        <w:rPr>
          <w:rFonts w:ascii="Arial" w:cs="Arial" w:eastAsia="Arial" w:hAnsi="Arial"/>
          <w:sz w:val="16"/>
          <w:szCs w:val="16"/>
          <w:b w:val="1"/>
          <w:bCs w:val="1"/>
          <w:color w:val="auto"/>
        </w:rPr>
        <w:t>Tenant’s Proportionate Share</w:t>
      </w:r>
      <w:r>
        <w:rPr>
          <w:rFonts w:ascii="Arial" w:cs="Arial" w:eastAsia="Arial" w:hAnsi="Arial"/>
          <w:sz w:val="16"/>
          <w:szCs w:val="16"/>
          <w:color w:val="auto"/>
        </w:rPr>
        <w:t>” shall mean the percentage represented by a fraction having a numerator equal to the rentable square footage the Premises and the denominator of which is the total rentable square footage of the Building. Tenant’s Proportionate Share is presently 17.56%. Tenant’s Proportionate Share may be adjusted based upon future changes to the common areas of the building. All amounts due from Tenant to Landlord pursuant to Sections 8 and 9 below are collectively referred to as “</w:t>
      </w:r>
      <w:r>
        <w:rPr>
          <w:rFonts w:ascii="Arial" w:cs="Arial" w:eastAsia="Arial" w:hAnsi="Arial"/>
          <w:sz w:val="16"/>
          <w:szCs w:val="16"/>
          <w:b w:val="1"/>
          <w:bCs w:val="1"/>
          <w:color w:val="auto"/>
        </w:rPr>
        <w:t>Additional Rent</w:t>
      </w:r>
      <w:r>
        <w:rPr>
          <w:rFonts w:ascii="Arial" w:cs="Arial" w:eastAsia="Arial" w:hAnsi="Arial"/>
          <w:sz w:val="16"/>
          <w:szCs w:val="16"/>
          <w:color w:val="auto"/>
        </w:rPr>
        <w:t>”. Additional Rent shall be payable on a monthly basis in the same manner as Base Rent. Base Rent and Additional Rent are sometimes hereafter referred to collectively as “</w:t>
      </w:r>
      <w:r>
        <w:rPr>
          <w:rFonts w:ascii="Arial" w:cs="Arial" w:eastAsia="Arial" w:hAnsi="Arial"/>
          <w:sz w:val="16"/>
          <w:szCs w:val="16"/>
          <w:b w:val="1"/>
          <w:bCs w:val="1"/>
          <w:color w:val="auto"/>
        </w:rPr>
        <w:t>Rent</w:t>
      </w:r>
      <w:r>
        <w:rPr>
          <w:rFonts w:ascii="Arial" w:cs="Arial" w:eastAsia="Arial" w:hAnsi="Arial"/>
          <w:sz w:val="16"/>
          <w:szCs w:val="16"/>
          <w:color w:val="auto"/>
        </w:rPr>
        <w:t>”. Without limitation on other obligations of Tenant which shall survive the expiration of the Term, the obligations of Tenant to pay the Additional Rent shall survive the expiration of the Term. For any partial Calendar Year included in the Term, Tenant shall be obligated to pay only a pro rata share of the Additional Rent, based on the number of the days of the Term falling within such Calendar Year.</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303" w:lineRule="auto"/>
        <w:tabs>
          <w:tab w:leader="none" w:pos="695" w:val="left"/>
        </w:tabs>
        <w:numPr>
          <w:ilvl w:val="1"/>
          <w:numId w:val="97"/>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 “</w:t>
      </w:r>
      <w:r>
        <w:rPr>
          <w:rFonts w:ascii="Arial" w:cs="Arial" w:eastAsia="Arial" w:hAnsi="Arial"/>
          <w:sz w:val="15"/>
          <w:szCs w:val="15"/>
          <w:b w:val="1"/>
          <w:bCs w:val="1"/>
          <w:color w:val="auto"/>
        </w:rPr>
        <w:t>Taxes</w:t>
      </w:r>
      <w:r>
        <w:rPr>
          <w:rFonts w:ascii="Arial" w:cs="Arial" w:eastAsia="Arial" w:hAnsi="Arial"/>
          <w:sz w:val="15"/>
          <w:szCs w:val="15"/>
          <w:color w:val="auto"/>
        </w:rPr>
        <w:t>” shall mean all real estate taxes and assessments, special or otherwise, and other impositions and charges of every kind, manner and nature, extraordinary as well as ordinary, foreseen and unforeseen (including without limitation payments to a special services or business improvements district or similar entity, and any licensing charges in the nature of a tax on the operation of the Property and the Building), and each and every installment thereof, levied or assessed upon or with respect to the Property and ad valorem taxes for any personal property used in connection therewith. Should the State of Connecticut, or any political subdivision thereof, or any other governmental authority having jurisdiction over the Property, (a) impose a tax, assessment, charge or fee, which Landlord shall be required to pay, either by way of substitution for or as a supplement to such real estate taxes and ad valorem personal property taxes, or</w:t>
      </w:r>
    </w:p>
    <w:p>
      <w:pPr>
        <w:spacing w:after="0" w:line="2" w:lineRule="exact"/>
        <w:rPr>
          <w:rFonts w:ascii="Arial" w:cs="Arial" w:eastAsia="Arial" w:hAnsi="Arial"/>
          <w:sz w:val="15"/>
          <w:szCs w:val="15"/>
          <w:color w:val="auto"/>
        </w:rPr>
      </w:pPr>
    </w:p>
    <w:p>
      <w:pPr>
        <w:ind w:right="40" w:firstLine="8"/>
        <w:spacing w:after="0" w:line="292" w:lineRule="auto"/>
        <w:tabs>
          <w:tab w:leader="none" w:pos="249" w:val="left"/>
        </w:tabs>
        <w:numPr>
          <w:ilvl w:val="0"/>
          <w:numId w:val="98"/>
        </w:numPr>
        <w:rPr>
          <w:rFonts w:ascii="Arial" w:cs="Arial" w:eastAsia="Arial" w:hAnsi="Arial"/>
          <w:sz w:val="16"/>
          <w:szCs w:val="16"/>
          <w:color w:val="auto"/>
        </w:rPr>
      </w:pPr>
      <w:r>
        <w:rPr>
          <w:rFonts w:ascii="Arial" w:cs="Arial" w:eastAsia="Arial" w:hAnsi="Arial"/>
          <w:sz w:val="16"/>
          <w:szCs w:val="16"/>
          <w:color w:val="auto"/>
        </w:rPr>
        <w:t>impose an income or franchise tax or a tax on rents in substitution for or as a supplement to a tax levied against the Property and/or the personal property used in connection with the Property, all such taxes, assessments, fees or charges (hereinafter defined as “</w:t>
      </w:r>
      <w:r>
        <w:rPr>
          <w:rFonts w:ascii="Arial" w:cs="Arial" w:eastAsia="Arial" w:hAnsi="Arial"/>
          <w:sz w:val="16"/>
          <w:szCs w:val="16"/>
          <w:b w:val="1"/>
          <w:bCs w:val="1"/>
          <w:color w:val="auto"/>
        </w:rPr>
        <w:t>in lieu of taxes</w:t>
      </w:r>
      <w:r>
        <w:rPr>
          <w:rFonts w:ascii="Arial" w:cs="Arial" w:eastAsia="Arial" w:hAnsi="Arial"/>
          <w:sz w:val="16"/>
          <w:szCs w:val="16"/>
          <w:color w:val="auto"/>
        </w:rPr>
        <w:t>”) shall be deemed to constitute Taxes hereunder. “Taxes” shall also include all legal fees and other costs incurred by Landlord in seeking to obtain a reduction of, or a limit on the increase in, any Taxes, regardless of whether any reduction or limitation is obtained. Except as hereinabove provided with regard to “in lieu of taxes”, Taxes shall not include any inheritance, estate, succession, transfer, gift, franchise, net income or capital stock tax.</w:t>
      </w:r>
    </w:p>
    <w:p>
      <w:pPr>
        <w:spacing w:after="0" w:line="116" w:lineRule="exact"/>
        <w:rPr>
          <w:rFonts w:ascii="Arial" w:cs="Arial" w:eastAsia="Arial" w:hAnsi="Arial"/>
          <w:sz w:val="16"/>
          <w:szCs w:val="16"/>
          <w:color w:val="auto"/>
        </w:rPr>
      </w:pPr>
    </w:p>
    <w:p>
      <w:pPr>
        <w:ind w:left="720" w:hanging="256"/>
        <w:spacing w:after="0"/>
        <w:tabs>
          <w:tab w:leader="none" w:pos="72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Payment of Tenant’s Share of Taxes</w:t>
      </w:r>
      <w:r>
        <w:rPr>
          <w:rFonts w:ascii="Arial" w:cs="Arial" w:eastAsia="Arial" w:hAnsi="Arial"/>
          <w:sz w:val="16"/>
          <w:szCs w:val="16"/>
          <w:color w:val="auto"/>
        </w:rPr>
        <w:t>. Throughout the Term, Tenant shall pay to Landlord, as Additional Rent, an amount equal to the Tenant’s</w:t>
      </w:r>
    </w:p>
    <w:p>
      <w:pPr>
        <w:spacing w:after="0" w:line="38"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Proportionate Share of the amount by which Taxes with respect to each Calendar Year exceed the Taxes incurred with respect to the Base Year. Such amount shall be paid in monthly installments, as estimated from time to time by Landlord. Following the close of each Calendar Year, Landlord shall deliver to Tenant a statement of the estimated payments made by Tenant, the actual amount of Taxes incurred for such Calendar Year and the difference between such Taxes and the Taxes incurred with respect to the Base Year. Tenant shall pay any deficiency on account of its estimated payment of Taxes to Landlord as shown by such statement within thirty (30) days after receipt of such statement and any excess shall be refunded by Landlord, provided Tenant is not then in default hereunder, or credited against payments next due hereunder at Landlord’s sole election. Tenant shall receive a credit for the amount by which Taxes with respect to a Calendar Year are less than the Taxes incurred with respect to the Base Year.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9" w:name="page190"/>
    <w:bookmarkEnd w:id="189"/>
    <w:p>
      <w:pPr>
        <w:ind w:firstLine="464"/>
        <w:spacing w:after="0" w:line="254" w:lineRule="auto"/>
        <w:tabs>
          <w:tab w:leader="none" w:pos="695" w:val="left"/>
        </w:tabs>
        <w:numPr>
          <w:ilvl w:val="2"/>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Appeals.</w:t>
      </w:r>
      <w:r>
        <w:rPr>
          <w:rFonts w:ascii="Arial" w:cs="Arial" w:eastAsia="Arial" w:hAnsi="Arial"/>
          <w:sz w:val="18"/>
          <w:szCs w:val="18"/>
          <w:color w:val="auto"/>
        </w:rPr>
        <w:t xml:space="preserve"> Tenant acknowledges and agrees that Landlord shall have the exclusive right to appeal or contest any Taxes assessed or imposed with respect to the Property, any such determination being made by Landlord in its sole discretion; provided, however, that if Landlord elects not to appeal or contest any Taxes, it shall notify Tenant in a timely fashion and Tenant may appeal or contest such Taxes in Landlord’s name provided that Tenant shall indemnify, defend and hold Landlord harmless from all claims, loss, cost, expenses and damages incurred or suffered by Landlord on account of Tenant’s appeal or contest of such taxes. The foregoing shall not relieve Tenant from its obligation to pay its share of Taxes in accordance with this Section 8, notwithstanding any pending appeal.</w:t>
      </w:r>
    </w:p>
    <w:p>
      <w:pPr>
        <w:spacing w:after="0" w:line="144" w:lineRule="exact"/>
        <w:rPr>
          <w:rFonts w:ascii="Arial" w:cs="Arial" w:eastAsia="Arial" w:hAnsi="Arial"/>
          <w:sz w:val="18"/>
          <w:szCs w:val="18"/>
          <w:color w:val="auto"/>
        </w:rPr>
      </w:pPr>
    </w:p>
    <w:p>
      <w:pPr>
        <w:ind w:right="240" w:firstLine="464"/>
        <w:spacing w:after="0" w:line="294" w:lineRule="auto"/>
        <w:tabs>
          <w:tab w:leader="none" w:pos="705" w:val="left"/>
        </w:tabs>
        <w:numPr>
          <w:ilvl w:val="2"/>
          <w:numId w:val="99"/>
        </w:numPr>
        <w:rPr>
          <w:rFonts w:ascii="Arial" w:cs="Arial" w:eastAsia="Arial" w:hAnsi="Arial"/>
          <w:sz w:val="16"/>
          <w:szCs w:val="16"/>
          <w:color w:val="auto"/>
        </w:rPr>
      </w:pPr>
      <w:r>
        <w:rPr>
          <w:rFonts w:ascii="Arial" w:cs="Arial" w:eastAsia="Arial" w:hAnsi="Arial"/>
          <w:sz w:val="16"/>
          <w:szCs w:val="16"/>
          <w:u w:val="single" w:color="auto"/>
          <w:color w:val="auto"/>
        </w:rPr>
        <w:t>Personal Property and Leasehold Taxes</w:t>
      </w:r>
      <w:r>
        <w:rPr>
          <w:rFonts w:ascii="Arial" w:cs="Arial" w:eastAsia="Arial" w:hAnsi="Arial"/>
          <w:sz w:val="16"/>
          <w:szCs w:val="16"/>
          <w:color w:val="auto"/>
        </w:rPr>
        <w:t>. Tenant shall be solely responsible for and agrees to pay, prior to delinquency, any and all taxes, assessments, levies, fees or other governmental charges of whatever kind or nature levied or assessed upon, against or with respect to (i) the Premises or Tenant’s leasehold interest in the Premises; (ii) all furniture, fixtures, equipment and other personal property of any kind owned by Tenant or located at the Premises; (iii) all alterations, additions or improvements of whatever kind or nature made to the Premises by Tenant. Landlord may, but shall not be obligated to, pay any such amounts, in which case Tenant shall reimburse Landlord for such amount within five (5) days of Landlord’s demand therefore.</w:t>
      </w:r>
    </w:p>
    <w:p>
      <w:pPr>
        <w:spacing w:after="0" w:line="109" w:lineRule="exact"/>
        <w:rPr>
          <w:rFonts w:ascii="Arial" w:cs="Arial" w:eastAsia="Arial" w:hAnsi="Arial"/>
          <w:sz w:val="16"/>
          <w:szCs w:val="16"/>
          <w:color w:val="auto"/>
        </w:rPr>
      </w:pPr>
    </w:p>
    <w:p>
      <w:pPr>
        <w:ind w:left="420" w:hanging="184"/>
        <w:spacing w:after="0"/>
        <w:tabs>
          <w:tab w:leader="none" w:pos="42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2"/>
          <w:numId w:val="100"/>
        </w:numPr>
        <w:rPr>
          <w:rFonts w:ascii="Arial" w:cs="Arial" w:eastAsia="Arial" w:hAnsi="Arial"/>
          <w:sz w:val="16"/>
          <w:szCs w:val="16"/>
          <w:color w:val="auto"/>
        </w:rPr>
      </w:pPr>
      <w:r>
        <w:rPr>
          <w:rFonts w:ascii="Arial" w:cs="Arial" w:eastAsia="Arial" w:hAnsi="Arial"/>
          <w:sz w:val="16"/>
          <w:szCs w:val="16"/>
          <w:u w:val="single" w:color="auto"/>
          <w:color w:val="auto"/>
        </w:rPr>
        <w:t>Operating Expenses.</w:t>
      </w:r>
      <w:r>
        <w:rPr>
          <w:rFonts w:ascii="Arial" w:cs="Arial" w:eastAsia="Arial" w:hAnsi="Arial"/>
          <w:sz w:val="16"/>
          <w:szCs w:val="16"/>
          <w:color w:val="auto"/>
        </w:rPr>
        <w:t xml:space="preserve"> 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means all costs and expenses of every kind and nature paid or incurred by Landlord in</w:t>
      </w:r>
    </w:p>
    <w:p>
      <w:pPr>
        <w:spacing w:after="0" w:line="44" w:lineRule="exact"/>
        <w:rPr>
          <w:rFonts w:ascii="Arial" w:cs="Arial" w:eastAsia="Arial" w:hAnsi="Arial"/>
          <w:sz w:val="16"/>
          <w:szCs w:val="16"/>
          <w:color w:val="auto"/>
        </w:rPr>
      </w:pPr>
    </w:p>
    <w:p>
      <w:pPr>
        <w:spacing w:after="0" w:line="300" w:lineRule="auto"/>
        <w:rPr>
          <w:rFonts w:ascii="Arial" w:cs="Arial" w:eastAsia="Arial" w:hAnsi="Arial"/>
          <w:sz w:val="16"/>
          <w:szCs w:val="16"/>
          <w:color w:val="auto"/>
        </w:rPr>
      </w:pPr>
      <w:r>
        <w:rPr>
          <w:rFonts w:ascii="Arial" w:cs="Arial" w:eastAsia="Arial" w:hAnsi="Arial"/>
          <w:sz w:val="15"/>
          <w:szCs w:val="15"/>
          <w:color w:val="auto"/>
        </w:rPr>
        <w:t>connection with the management, ownership and operation of the Property, including, without limitation, property management fees, snow removal, landscaping, insurance previsions and deductibles, maintenance, repair, refurbishing of any portion of the common areas of the Property or any fixtures or personal property located in or on the Property, utilities and other services (including the repair of all utility and sewer lines, whether above or below ground, and the repair and maintenance of any sprinkler system), insurance and all other costs and expenses of every kind and nature, foreseeable or unforeseeable, required or desired, suggested or recommended for the operation, maintenance or otherwise with respect to the Property in a manner reasonably deemed by Landlord to be appropriate for the best interests of the Property in accordance with Landlord’s method of accounting. Operating Expenses shall not include: (i) depreciation or debt service, (ii) any fees paid to affiliates of Landlord in excess of market rates, (iii) any expenses for which Landlord has been reimbursed directly by a Tenant of the Building, (iv) brokerage expenses and expenses incurred to prepare space for a prospective tenant of the Building, (v) any expenses incurred by Landlord to prepare leaseable space for occupancy by any person, (vi) capital expenses, except that Operating Expenses shall include the amortized portion on an annual basis (amortized over such improvement’s useful life with interest at the rate of ten percent (10%) per annum, whether or not such expense is financed by Landlord),</w:t>
      </w:r>
    </w:p>
    <w:p>
      <w:pPr>
        <w:spacing w:after="0" w:line="4" w:lineRule="exact"/>
        <w:rPr>
          <w:rFonts w:ascii="Arial" w:cs="Arial" w:eastAsia="Arial" w:hAnsi="Arial"/>
          <w:sz w:val="16"/>
          <w:szCs w:val="16"/>
          <w:color w:val="auto"/>
        </w:rPr>
      </w:pPr>
    </w:p>
    <w:p>
      <w:pPr>
        <w:ind w:right="60" w:firstLine="8"/>
        <w:spacing w:after="0" w:line="290" w:lineRule="auto"/>
        <w:tabs>
          <w:tab w:leader="none" w:pos="34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payments of principal, interest and other charges on mortgages; (viii) costs for categories of services provided to other tenants but not to Tenant; (ix) salaries of executives or principals of Landlord; (x) interest or penalties for any failed payments by Landlord under any contract or agreement (except if such failed payment is a result of Tenant’s failure to pay rent in which case they may be included); (xi) costs incurred in connection with any judgment, settlement or arbitration award resulting from any negligence or willful misconduct of Landlord or its agents; (xii) costs of repairs, restoration or replacements occasioned by fire or other casualty in excess of reasonable insurance deductible amounts, or caused by the exercise of the right of eminent domain; (xiii) the cost to make improvements, alterations and additions to the common areas which are required in order to render the same in compliance with laws,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0" w:name="page191"/>
    <w:bookmarkEnd w:id="190"/>
    <w:p>
      <w:pPr>
        <w:ind w:right="1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orders, regulations and/or directives as in effect and generally enforced as of the date of this Lease; (xiv) depreciation; (xi) investigation, remediation, abatement or cleanup of Hazardous Materials. If at any time the Building is less than ninety-five (95%) occupied, the components of Operating Expenses that vary based upon the occupancy of the Building, including management fees, shall be increased to the amount that would have been incurred by Landlord if the Building were ninety-five (95%) occupied. Landlord shall be entitled to make an equitable adjustment of Operating Expenses payable by Tenant in order to allocate the cost of any service provided for the exclusive benefit of Tenant and/or other tenants of the Building to those persons who benefit from such services.</w:t>
      </w:r>
    </w:p>
    <w:p>
      <w:pPr>
        <w:spacing w:after="0" w:line="100" w:lineRule="exact"/>
        <w:rPr>
          <w:sz w:val="20"/>
          <w:szCs w:val="20"/>
          <w:color w:val="auto"/>
        </w:rPr>
      </w:pPr>
    </w:p>
    <w:p>
      <w:pPr>
        <w:ind w:firstLine="464"/>
        <w:spacing w:after="0" w:line="312" w:lineRule="auto"/>
        <w:tabs>
          <w:tab w:leader="none" w:pos="705"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Payment of Tenant’s Share of Operating Expenses</w:t>
      </w:r>
      <w:r>
        <w:rPr>
          <w:rFonts w:ascii="Arial" w:cs="Arial" w:eastAsia="Arial" w:hAnsi="Arial"/>
          <w:sz w:val="15"/>
          <w:szCs w:val="15"/>
          <w:color w:val="auto"/>
        </w:rPr>
        <w:t>. Throughout the Term Tenant agrees to pay to Landlord, as Additional Rent, an amount equal to Tenant’s Proportionate Share of the amount by which Operating Expenses with respect to each Calendar Year exceed the Operating Expenses incurred with respect to the Base Year. Such amount shall be paid in monthly installments as estimated by Landlord from time to time. Following the close of each Calendar Year, Landlord shall deliver to Tenant a statement of the estimated payments made by Tenant, the actual amount of Operating Expenses incurred for such Calendar Year and the difference between such Operating Expenses and the Operating Expenses for the Base Year. Tenant shall pay any deficiency on account of Tenant’s estimated payments of Operating Expenses to Landlord as shown by such statement within thirty (30) days after receipt of such statement and any excess shall be refunded by Landlord, provided Tenant is not then in default hereunder, or credited against payments next due hereunder at Landlord’s sole election.</w:t>
      </w:r>
    </w:p>
    <w:p>
      <w:pPr>
        <w:spacing w:after="0" w:line="105" w:lineRule="exact"/>
        <w:rPr>
          <w:rFonts w:ascii="Arial" w:cs="Arial" w:eastAsia="Arial" w:hAnsi="Arial"/>
          <w:sz w:val="15"/>
          <w:szCs w:val="15"/>
          <w:color w:val="auto"/>
        </w:rPr>
      </w:pPr>
    </w:p>
    <w:p>
      <w:pPr>
        <w:ind w:right="100" w:firstLine="464"/>
        <w:spacing w:after="0" w:line="286"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Audit Rights</w:t>
      </w:r>
      <w:r>
        <w:rPr>
          <w:rFonts w:ascii="Arial" w:cs="Arial" w:eastAsia="Arial" w:hAnsi="Arial"/>
          <w:sz w:val="16"/>
          <w:szCs w:val="16"/>
          <w:color w:val="auto"/>
        </w:rPr>
        <w:t xml:space="preserve">. Tenant and its agents will have the right to examine and copy Landlord’s books and records relating to Operating Expenses according to this section so long as (a) there is no Event of Default under the Lease at the time that the Tenant examines Landlord’s books and records; (b) Tenant’s has fully and promptly paid its Base Rent, Additional Rent and all sums due herein; (c) Tenant, its agents and contractors agree that they will not divulge the contents of Landlord’s books and records, or the result of their examination; (d) </w:t>
      </w:r>
      <w:r>
        <w:rPr>
          <w:rFonts w:ascii="Arial" w:cs="Arial" w:eastAsia="Arial" w:hAnsi="Arial"/>
          <w:sz w:val="16"/>
          <w:szCs w:val="16"/>
          <w:i w:val="1"/>
          <w:iCs w:val="1"/>
          <w:color w:val="auto"/>
        </w:rPr>
        <w:t>intentionally deleted</w:t>
      </w:r>
      <w:r>
        <w:rPr>
          <w:rFonts w:ascii="Arial" w:cs="Arial" w:eastAsia="Arial" w:hAnsi="Arial"/>
          <w:sz w:val="16"/>
          <w:szCs w:val="16"/>
          <w:color w:val="auto"/>
        </w:rPr>
        <w:t xml:space="preserve">; (e) Tenant requests the examination of Landlord’s books and records within one hundred twenty (120) days after receipt of the statement of Operating Expenses with regard to which Tenant wishes to examine Landlord’s books and records; and (f) </w:t>
      </w:r>
      <w:r>
        <w:rPr>
          <w:rFonts w:ascii="Arial" w:cs="Arial" w:eastAsia="Arial" w:hAnsi="Arial"/>
          <w:sz w:val="16"/>
          <w:szCs w:val="16"/>
          <w:i w:val="1"/>
          <w:iCs w:val="1"/>
          <w:color w:val="auto"/>
        </w:rPr>
        <w:t>intentionally deleted</w:t>
      </w:r>
      <w:r>
        <w:rPr>
          <w:rFonts w:ascii="Arial" w:cs="Arial" w:eastAsia="Arial" w:hAnsi="Arial"/>
          <w:sz w:val="16"/>
          <w:szCs w:val="16"/>
          <w:color w:val="auto"/>
        </w:rPr>
        <w:t>. If Tenant’s examination reveals that it has overpaid its proportionate share of Operating Expenses, then the overpayment will be applied to the next accruing Bases Rent and Additional Rent due under the Lease. If the overpayment exceeds the amount that should have been charged by more than 15%, then Landlord will pay Tenant’s reasonable out-of-pocket costs incurred in connection with the examination (not to exceed $2,500). Tenant’s sole remedy in the event of an overpayment will be the credit against its rent or, if Landlord fails to do so, an offset against its rent. Tenant will not have the right to terminate the Lease on account of an overpayment. Tenant will not have the right to challenge Landlord’s methodology in any examination if it has not previously challenged that methodology.</w:t>
      </w:r>
    </w:p>
    <w:p>
      <w:pPr>
        <w:spacing w:after="0" w:line="121" w:lineRule="exact"/>
        <w:rPr>
          <w:sz w:val="20"/>
          <w:szCs w:val="20"/>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CERTAIN RIGHTS RESERVED BY LANDLORD.</w:t>
      </w:r>
    </w:p>
    <w:p>
      <w:pPr>
        <w:spacing w:after="0" w:line="17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Landlord shall have the following rights, each of which Landlord may exercise without notice to Tenant and without liability to Tenant for damage or injury to property, person or business on account of the exercise thereof, and the exercise of any such rights shall not be deemed to constitute an eviction or disturbance of Tenant’s use or possession of the Premises and shall not give rise to any claim for set-off or abatement of rent: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 change the Building’s name or street address.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91" w:name="page192"/>
    <w:bookmarkEnd w:id="191"/>
    <w:p>
      <w:pPr>
        <w:ind w:left="-60" w:right="140" w:firstLine="464"/>
        <w:spacing w:after="0" w:line="268" w:lineRule="auto"/>
        <w:tabs>
          <w:tab w:leader="none" w:pos="6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install, affix and maintain any and all signs on the exterior and on the interior of the Building and to approve the design, location, number, size and color of all signs or lettering on the Premises that are visible from the exterior of the Premises.</w:t>
      </w:r>
    </w:p>
    <w:p>
      <w:pPr>
        <w:spacing w:after="0" w:line="131" w:lineRule="exact"/>
        <w:rPr>
          <w:rFonts w:ascii="Arial" w:cs="Arial" w:eastAsia="Arial" w:hAnsi="Arial"/>
          <w:sz w:val="18"/>
          <w:szCs w:val="18"/>
          <w:color w:val="auto"/>
        </w:rPr>
      </w:pPr>
    </w:p>
    <w:p>
      <w:pPr>
        <w:ind w:left="-60" w:right="120" w:firstLine="464"/>
        <w:spacing w:after="0" w:line="298" w:lineRule="auto"/>
        <w:tabs>
          <w:tab w:leader="none" w:pos="6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decorate or to make repairs, alterations, additions, or improvements, whether structural or otherwise, in and about the Building, or any part thereof, and for such purposes to enter upon the Premises, and during the continuance of any of said work, to temporarily close doors, entryways, public space and corridors in the Building and to interrupt or temporarily suspend services or use of facilities, all without affecting any of Tenant’s obligations hereunder, so long as the Premises are reasonably accessible and Tenant’s operations are not materially adversely affected.</w:t>
      </w:r>
    </w:p>
    <w:p>
      <w:pPr>
        <w:spacing w:after="0" w:line="112" w:lineRule="exact"/>
        <w:rPr>
          <w:rFonts w:ascii="Arial" w:cs="Arial" w:eastAsia="Arial" w:hAnsi="Arial"/>
          <w:sz w:val="16"/>
          <w:szCs w:val="16"/>
          <w:color w:val="auto"/>
        </w:rPr>
      </w:pPr>
    </w:p>
    <w:p>
      <w:pPr>
        <w:ind w:left="-60" w:right="80" w:firstLine="464"/>
        <w:spacing w:after="0" w:line="291" w:lineRule="auto"/>
        <w:tabs>
          <w:tab w:leader="none" w:pos="6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furnish door keys for doors in the Premises at the commencement of the Lease and to retain at all times, and to use in appropriate instances, keys to all doors within and into the Premises. Tenant agrees to purchase only from Landlord additional duplicate keys as required, to change no locks, and not to affix locks on doors without the prior written consent of the Landlord. Notwithstanding the provisions for Landlord’s access to Premises, Tenant relieves and releases the Landlord of all responsibility arising out of theft, robbery, pilferage and personal assault, unless caused by Landlord’s gross negligence. Upon the expiration of the Term or of Tenant’s right to possession, Tenant shall return all keys to Landlord and shall disclose to Landlord the combination of any safes, cabinets or vaults left in the Premises.</w:t>
      </w:r>
    </w:p>
    <w:p>
      <w:pPr>
        <w:spacing w:after="0" w:line="120" w:lineRule="exact"/>
        <w:rPr>
          <w:rFonts w:ascii="Arial" w:cs="Arial" w:eastAsia="Arial" w:hAnsi="Arial"/>
          <w:sz w:val="16"/>
          <w:szCs w:val="16"/>
          <w:color w:val="auto"/>
        </w:rPr>
      </w:pPr>
    </w:p>
    <w:p>
      <w:pPr>
        <w:ind w:left="-60" w:right="220" w:firstLine="464"/>
        <w:spacing w:after="0" w:line="268"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install a security card access and other security systems, procedures and equipment for the Building. The cost of installing and operating the same shall be included in Operating Expenses.</w:t>
      </w:r>
    </w:p>
    <w:p>
      <w:pPr>
        <w:spacing w:after="0" w:line="131" w:lineRule="exact"/>
        <w:rPr>
          <w:rFonts w:ascii="Arial" w:cs="Arial" w:eastAsia="Arial" w:hAnsi="Arial"/>
          <w:sz w:val="18"/>
          <w:szCs w:val="18"/>
          <w:color w:val="auto"/>
        </w:rPr>
      </w:pPr>
    </w:p>
    <w:p>
      <w:pPr>
        <w:ind w:left="620" w:hanging="216"/>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purchase and install, at Tenant’s sole expense, all lamps and bulbs used in the Premises.</w:t>
      </w:r>
    </w:p>
    <w:p>
      <w:pPr>
        <w:spacing w:after="0" w:line="171" w:lineRule="exact"/>
        <w:rPr>
          <w:rFonts w:ascii="Arial" w:cs="Arial" w:eastAsia="Arial" w:hAnsi="Arial"/>
          <w:sz w:val="18"/>
          <w:szCs w:val="18"/>
          <w:color w:val="auto"/>
        </w:rPr>
      </w:pPr>
    </w:p>
    <w:p>
      <w:pPr>
        <w:ind w:left="-60" w:right="140" w:firstLine="464"/>
        <w:spacing w:after="0" w:line="268" w:lineRule="auto"/>
        <w:tabs>
          <w:tab w:leader="none" w:pos="6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designate that window treatment shall be Building Standard venetian blinds or curtains and to designate and approve, prior to installation, all types of additional window shades, blinds or draperies.</w:t>
      </w:r>
    </w:p>
    <w:p>
      <w:pPr>
        <w:spacing w:after="0" w:line="131" w:lineRule="exact"/>
        <w:rPr>
          <w:rFonts w:ascii="Arial" w:cs="Arial" w:eastAsia="Arial" w:hAnsi="Arial"/>
          <w:sz w:val="18"/>
          <w:szCs w:val="18"/>
          <w:color w:val="auto"/>
        </w:rPr>
      </w:pPr>
    </w:p>
    <w:p>
      <w:pPr>
        <w:ind w:left="-60" w:firstLine="464"/>
        <w:spacing w:after="0" w:line="291" w:lineRule="auto"/>
        <w:tabs>
          <w:tab w:leader="none" w:pos="6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approve the weight, size and location of safes, vaults and other heavy equipment and articles in and about the Premises and the Building so as not to exceed the legal live load per square foot designated by the structural engineers for the Building, and to require all such items and furniture and similar items to be moved into or out of the Building and Premises only at such times and in such manner as Landlord shall direct in writing. Tenant shall not install or operate machinery or any mechanical devices of a nature not directly related to Tenant’s ordinary use of the Premises without the prior written consent of Landlord. Movements of Tenant’s property into or out of the Building and within the Building are entirely at the risk and responsibility of Tenant, and Landlord reserves the right to require permits before allowing any property to be moved into or out of the Building.</w:t>
      </w:r>
    </w:p>
    <w:p>
      <w:pPr>
        <w:spacing w:after="0" w:line="120" w:lineRule="exact"/>
        <w:rPr>
          <w:rFonts w:ascii="Arial" w:cs="Arial" w:eastAsia="Arial" w:hAnsi="Arial"/>
          <w:sz w:val="16"/>
          <w:szCs w:val="16"/>
          <w:color w:val="auto"/>
        </w:rPr>
      </w:pPr>
    </w:p>
    <w:p>
      <w:pPr>
        <w:ind w:left="-60" w:right="160" w:firstLine="464"/>
        <w:spacing w:after="0" w:line="268" w:lineRule="auto"/>
        <w:tabs>
          <w:tab w:leader="none" w:pos="6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establish controls for the purpose of regulating all property and packages, both personal and otherwise, to be moved into or out of the Building and Premises.</w:t>
      </w:r>
    </w:p>
    <w:p>
      <w:pPr>
        <w:spacing w:after="0" w:line="131" w:lineRule="exact"/>
        <w:rPr>
          <w:rFonts w:ascii="Arial" w:cs="Arial" w:eastAsia="Arial" w:hAnsi="Arial"/>
          <w:sz w:val="18"/>
          <w:szCs w:val="18"/>
          <w:color w:val="auto"/>
        </w:rPr>
      </w:pPr>
    </w:p>
    <w:p>
      <w:pPr>
        <w:ind w:left="-60" w:right="60" w:firstLine="464"/>
        <w:spacing w:after="0" w:line="268" w:lineRule="auto"/>
        <w:tabs>
          <w:tab w:leader="none" w:pos="60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regulate delivery and service of supplies in order to insure the cleanliness and security of the Premises and to avoid congestion of the loading docks, receiving areas and freight elevators.</w:t>
      </w:r>
    </w:p>
    <w:p>
      <w:pPr>
        <w:spacing w:after="0" w:line="131" w:lineRule="exact"/>
        <w:rPr>
          <w:rFonts w:ascii="Arial" w:cs="Arial" w:eastAsia="Arial" w:hAnsi="Arial"/>
          <w:sz w:val="18"/>
          <w:szCs w:val="18"/>
          <w:color w:val="auto"/>
        </w:rPr>
      </w:pPr>
    </w:p>
    <w:p>
      <w:pPr>
        <w:ind w:left="-60" w:right="60" w:firstLine="464"/>
        <w:spacing w:after="0" w:line="268" w:lineRule="auto"/>
        <w:tabs>
          <w:tab w:leader="none" w:pos="6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erect, use and maintain pipes, ducts, wiring and conduits, and appurtenances thereto, in and through the Premises at reasonable locations that do not reduce the usable area of the Premises.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00" w:top="280" w:right="279" w:bottom="1440" w:gutter="0" w:footer="0" w:header="0"/>
        </w:sectPr>
      </w:pPr>
    </w:p>
    <w:bookmarkStart w:id="192" w:name="page193"/>
    <w:bookmarkEnd w:id="192"/>
    <w:p>
      <w:pPr>
        <w:ind w:left="660" w:hanging="21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enter the Premises upon reasonable notice during business hours to inspect the Premises.</w:t>
      </w:r>
    </w:p>
    <w:p>
      <w:pPr>
        <w:spacing w:after="0" w:line="171" w:lineRule="exact"/>
        <w:rPr>
          <w:rFonts w:ascii="Arial" w:cs="Arial" w:eastAsia="Arial" w:hAnsi="Arial"/>
          <w:sz w:val="18"/>
          <w:szCs w:val="18"/>
          <w:color w:val="auto"/>
        </w:rPr>
      </w:pPr>
    </w:p>
    <w:p>
      <w:pPr>
        <w:ind w:left="-20" w:firstLine="464"/>
        <w:spacing w:after="0" w:line="294" w:lineRule="auto"/>
        <w:tabs>
          <w:tab w:leader="none" w:pos="73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require reasonable security procedures for Tenant’s employees and visitors during normal business hours, and to close the Building after regular working hours and on Saturdays, Sundays and legal holidays subject, however, to Tenant’s right to admittance to the Premises under such regulations as Landlord may reasonably prescribe from time to time, which may include, but shall not be limited to, a requirement that persons entering or leaving the Building identify themselves to security personnel by registration or otherwise and establish their right to enter or leave the Building. Such regulations may include, but shall not be limited to, the requiring of identification from Tenant’s employees, agents, clients, customers, invitees, visitors and guests.</w:t>
      </w:r>
    </w:p>
    <w:p>
      <w:pPr>
        <w:spacing w:after="0" w:line="110" w:lineRule="exact"/>
        <w:rPr>
          <w:sz w:val="20"/>
          <w:szCs w:val="20"/>
          <w:color w:val="auto"/>
        </w:rPr>
      </w:pPr>
    </w:p>
    <w:p>
      <w:pPr>
        <w:ind w:left="700" w:hanging="256"/>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TELECOMMUNICATION SERVICES.</w:t>
      </w:r>
    </w:p>
    <w:p>
      <w:pPr>
        <w:spacing w:after="0" w:line="177" w:lineRule="exact"/>
        <w:rPr>
          <w:sz w:val="20"/>
          <w:szCs w:val="20"/>
          <w:color w:val="auto"/>
        </w:rPr>
      </w:pPr>
    </w:p>
    <w:p>
      <w:pPr>
        <w:ind w:left="-20" w:right="280" w:firstLine="464"/>
        <w:spacing w:after="0" w:line="268" w:lineRule="auto"/>
        <w:tabs>
          <w:tab w:leader="none" w:pos="67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Tenant will contract directly with third party providers and will be solely responsible for paying for all telephone, data transmission, video and other telecommunication services (“</w:t>
      </w:r>
      <w:r>
        <w:rPr>
          <w:rFonts w:ascii="Arial" w:cs="Arial" w:eastAsia="Arial" w:hAnsi="Arial"/>
          <w:sz w:val="18"/>
          <w:szCs w:val="18"/>
          <w:b w:val="1"/>
          <w:bCs w:val="1"/>
          <w:color w:val="auto"/>
        </w:rPr>
        <w:t>Telecommunication Services</w:t>
      </w:r>
      <w:r>
        <w:rPr>
          <w:rFonts w:ascii="Arial" w:cs="Arial" w:eastAsia="Arial" w:hAnsi="Arial"/>
          <w:sz w:val="18"/>
          <w:szCs w:val="18"/>
          <w:color w:val="auto"/>
        </w:rPr>
        <w:t>”) subject to the following:</w:t>
      </w:r>
    </w:p>
    <w:p>
      <w:pPr>
        <w:spacing w:after="0" w:line="131" w:lineRule="exact"/>
        <w:rPr>
          <w:rFonts w:ascii="Arial" w:cs="Arial" w:eastAsia="Arial" w:hAnsi="Arial"/>
          <w:sz w:val="18"/>
          <w:szCs w:val="18"/>
          <w:color w:val="auto"/>
        </w:rPr>
      </w:pPr>
    </w:p>
    <w:p>
      <w:pPr>
        <w:jc w:val="both"/>
        <w:ind w:left="-20" w:right="280" w:firstLine="464"/>
        <w:spacing w:after="0" w:line="306"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Providers</w:t>
      </w:r>
      <w:r>
        <w:rPr>
          <w:rFonts w:ascii="Arial" w:cs="Arial" w:eastAsia="Arial" w:hAnsi="Arial"/>
          <w:sz w:val="16"/>
          <w:szCs w:val="16"/>
          <w:color w:val="auto"/>
        </w:rPr>
        <w:t>. Each Telecommunication Services provider that does not already provide service to the Building shall be subject to Landlord’s approval, which Landlord may withhold in Landlord’s sole discretion. Without liability to Tenant, the license of any Telecommunications Service provider servicing the Building may be terminated under the terms of the license, or not renewed upon the expiration of the license.</w:t>
      </w:r>
    </w:p>
    <w:p>
      <w:pPr>
        <w:spacing w:after="0" w:line="106" w:lineRule="exact"/>
        <w:rPr>
          <w:rFonts w:ascii="Arial" w:cs="Arial" w:eastAsia="Arial" w:hAnsi="Arial"/>
          <w:sz w:val="16"/>
          <w:szCs w:val="16"/>
          <w:color w:val="auto"/>
        </w:rPr>
      </w:pPr>
    </w:p>
    <w:p>
      <w:pPr>
        <w:ind w:left="-20" w:firstLine="464"/>
        <w:spacing w:after="0" w:line="290" w:lineRule="auto"/>
        <w:tabs>
          <w:tab w:leader="none" w:pos="67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Tenant’s Wiring</w:t>
      </w:r>
      <w:r>
        <w:rPr>
          <w:rFonts w:ascii="Arial" w:cs="Arial" w:eastAsia="Arial" w:hAnsi="Arial"/>
          <w:sz w:val="16"/>
          <w:szCs w:val="16"/>
          <w:color w:val="auto"/>
        </w:rPr>
        <w:t>. Landlord may, in it sole discretion, designate the location of all wires, cables, fibers, equipment, and connections for Tenant’s Telecommunication Services (“</w:t>
      </w:r>
      <w:r>
        <w:rPr>
          <w:rFonts w:ascii="Arial" w:cs="Arial" w:eastAsia="Arial" w:hAnsi="Arial"/>
          <w:sz w:val="16"/>
          <w:szCs w:val="16"/>
          <w:b w:val="1"/>
          <w:bCs w:val="1"/>
          <w:color w:val="auto"/>
        </w:rPr>
        <w:t>Tenant’s Wiring</w:t>
      </w:r>
      <w:r>
        <w:rPr>
          <w:rFonts w:ascii="Arial" w:cs="Arial" w:eastAsia="Arial" w:hAnsi="Arial"/>
          <w:sz w:val="16"/>
          <w:szCs w:val="16"/>
          <w:color w:val="auto"/>
        </w:rPr>
        <w:t>”) and restrict and control access to telephone cabinets and rooms. Tenant may not use or access any portion of the Building, including the common areas or roof, for Tenant’s Wiring without Landlord’s prior written consent, which Landlord may withhold in Landlord’s sole discretion or for which Landlord may charge a reasonable fee. Notwithstanding anything to the contrary and without limiting Tenant’s obligations hereunder upon the expiration or termination of the Term of this Lease, at Tenant’s expense and subject to the provisions of Section 12, Tenant shall remove Tenant’s Wiring from the Premises and the Building and restore any damage done as a result of such removal, provided that Landlord may, but shall not be obligated to, remove Tenant’s Wiring and, in such event, Tenant shall pay Landlord, as Additional Rent, the cost of such removal, upon receipt of an invoice therefor from Landlord.</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This Section is solely for Tenant’s benefit, and no one else shall be considered a third party beneficiary of these provisions.</w:t>
      </w:r>
    </w:p>
    <w:p>
      <w:pPr>
        <w:spacing w:after="0" w:line="165" w:lineRule="exact"/>
        <w:rPr>
          <w:sz w:val="20"/>
          <w:szCs w:val="20"/>
          <w:color w:val="auto"/>
        </w:rPr>
      </w:pPr>
    </w:p>
    <w:p>
      <w:pPr>
        <w:ind w:left="700" w:hanging="25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AS-IS, ALTERATIONS &amp; IMPROVEMENTS</w:t>
      </w:r>
      <w:r>
        <w:rPr>
          <w:rFonts w:ascii="Arial" w:cs="Arial" w:eastAsia="Arial" w:hAnsi="Arial"/>
          <w:sz w:val="18"/>
          <w:szCs w:val="18"/>
          <w:color w:val="auto"/>
        </w:rPr>
        <w:t>.</w:t>
      </w:r>
    </w:p>
    <w:p>
      <w:pPr>
        <w:spacing w:after="0" w:line="177" w:lineRule="exact"/>
        <w:rPr>
          <w:sz w:val="20"/>
          <w:szCs w:val="20"/>
          <w:color w:val="auto"/>
        </w:rPr>
      </w:pPr>
    </w:p>
    <w:p>
      <w:pPr>
        <w:jc w:val="both"/>
        <w:ind w:left="-20" w:right="240" w:firstLine="464"/>
        <w:spacing w:after="0" w:line="298" w:lineRule="auto"/>
        <w:tabs>
          <w:tab w:leader="none" w:pos="67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Tenant has inspected the Premises and, except as expressly set forth below, agrees to accept them in their present, “as is” condition. Tenant shall be responsible for all work necessary or desirable to prepare the Premises for the opening of Tenant’s business, in accordance with plans and specifications to be approved by Landlord and Tenant in writing (collectively, the “</w:t>
      </w:r>
      <w:r>
        <w:rPr>
          <w:rFonts w:ascii="Arial" w:cs="Arial" w:eastAsia="Arial" w:hAnsi="Arial"/>
          <w:sz w:val="16"/>
          <w:szCs w:val="16"/>
          <w:b w:val="1"/>
          <w:bCs w:val="1"/>
          <w:color w:val="auto"/>
        </w:rPr>
        <w:t>Tenant’s Work</w:t>
      </w:r>
      <w:r>
        <w:rPr>
          <w:rFonts w:ascii="Arial" w:cs="Arial" w:eastAsia="Arial" w:hAnsi="Arial"/>
          <w:sz w:val="16"/>
          <w:szCs w:val="16"/>
          <w:color w:val="auto"/>
        </w:rPr>
        <w:t>”). The Tenant’s Work shall be completed by Tenant at its sole cost and expense (subject to the payment of the allowance set forth in subsection (g) below) in accordance with all provisions of this Section 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93" w:name="page194"/>
    <w:bookmarkEnd w:id="193"/>
    <w:p>
      <w:pPr>
        <w:ind w:left="-20" w:right="580" w:firstLine="464"/>
        <w:spacing w:after="0" w:line="306"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expiration of the Term or earlier termination of this Lease, all improvements to the Premises made or performed by Tenant shall be surrendered to Landlord, except those which Landlord, by written notice to Tenant may direct Tenant to remove. Tenant shall promptly repair any damage occasioned by removal of any improvements and wiring and cabling, which obligation shall survive the end of the term of this Lease.</w:t>
      </w:r>
    </w:p>
    <w:p>
      <w:pPr>
        <w:spacing w:after="0" w:line="106" w:lineRule="exact"/>
        <w:rPr>
          <w:rFonts w:ascii="Arial" w:cs="Arial" w:eastAsia="Arial" w:hAnsi="Arial"/>
          <w:sz w:val="16"/>
          <w:szCs w:val="16"/>
          <w:color w:val="auto"/>
        </w:rPr>
      </w:pPr>
    </w:p>
    <w:p>
      <w:pPr>
        <w:ind w:left="-20" w:right="40" w:firstLine="464"/>
        <w:spacing w:after="0" w:line="256"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work which Landlord permits Tenant to do or which Tenant is obligated to perform pursuant to this Lease, whether in the nature of construction, alteration or repair, shall be deemed to be for the immediate use and benefit of Landlord so that no mechanic’s or other lien shall be allowed against the estate of Landlord by reason of any consent given by Landlord to Tenant to improve the Premises. Tenant shall pay promptly all persons furnishing labor or materials with respect to any work performed by Tenant or its contractor on or about the Premises.</w:t>
      </w:r>
    </w:p>
    <w:p>
      <w:pPr>
        <w:spacing w:after="0" w:line="143" w:lineRule="exact"/>
        <w:rPr>
          <w:rFonts w:ascii="Arial" w:cs="Arial" w:eastAsia="Arial" w:hAnsi="Arial"/>
          <w:sz w:val="18"/>
          <w:szCs w:val="18"/>
          <w:color w:val="auto"/>
        </w:rPr>
      </w:pPr>
    </w:p>
    <w:p>
      <w:pPr>
        <w:ind w:left="-20" w:firstLine="464"/>
        <w:spacing w:after="0" w:line="286"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Tenant shall not do any construction work or alteration, including the Tenant’s Work, nor shall Tenant install any equipment having a cost or value in excess of Five Thousand and 00/100 Dollars ($5,000.00) in any one instance or series of related projects, without first obtaining Landlord’s written approval and consent, which shall not be unreasonably withheld or delayed. If requested by Landlord, Tenant shall present to Landlord plans and specifications for such work (the “</w:t>
      </w:r>
      <w:r>
        <w:rPr>
          <w:rFonts w:ascii="Arial" w:cs="Arial" w:eastAsia="Arial" w:hAnsi="Arial"/>
          <w:sz w:val="16"/>
          <w:szCs w:val="16"/>
          <w:b w:val="1"/>
          <w:bCs w:val="1"/>
          <w:color w:val="auto"/>
        </w:rPr>
        <w:t>Plans</w:t>
      </w:r>
      <w:r>
        <w:rPr>
          <w:rFonts w:ascii="Arial" w:cs="Arial" w:eastAsia="Arial" w:hAnsi="Arial"/>
          <w:sz w:val="16"/>
          <w:szCs w:val="16"/>
          <w:color w:val="auto"/>
        </w:rPr>
        <w:t>”) at the time approval is sought. Any permitted alteration shall be constructed by Tenant, at Tenant’s sole cost, in a good, lien-free and workman-like manner in accordance with the Plans, all applicable laws and building standards. Tenant shall not commence any such work without first delivering to Landlord a policy or policies of liability and property damage insurance, naming Landlord as additional insured, in limits and with companies acceptable to Landlord, as well as a completion bond in a form and issued by a surety company acceptable to Landlord. Upon completion of such work, Tenant shall deliver to Landlord as-built drawing and diagrams of all alterations and improvements to the Premises. Any alterations, additions, improvements and fixtures installed or paid for by Tenant upon the interior or exterior of the Premises, other than unattached moveable trade fixtures and decorations, shall upon the expiration or earlier termination of this Lease become the property of Landlord unless Landlord elects, by delivering written notice to Tenant at the time of Landlord’s approval to require Tenant to remove such alterations, improvements or fixtures.</w:t>
      </w:r>
    </w:p>
    <w:p>
      <w:pPr>
        <w:spacing w:after="0" w:line="127" w:lineRule="exact"/>
        <w:rPr>
          <w:rFonts w:ascii="Arial" w:cs="Arial" w:eastAsia="Arial" w:hAnsi="Arial"/>
          <w:sz w:val="16"/>
          <w:szCs w:val="16"/>
          <w:color w:val="auto"/>
        </w:rPr>
      </w:pPr>
    </w:p>
    <w:p>
      <w:pPr>
        <w:ind w:left="-20" w:right="620" w:firstLine="464"/>
        <w:spacing w:after="0" w:line="268"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Landlord agrees to perform the following improvements to the common areas of the Building and property prior to the Commencement Date at Landlord’s expense (referred to herein as the Pre Commencement Improvements)</w:t>
      </w:r>
      <w:r>
        <w:rPr>
          <w:rFonts w:ascii="Arial" w:cs="Arial" w:eastAsia="Arial" w:hAnsi="Arial"/>
          <w:sz w:val="18"/>
          <w:szCs w:val="18"/>
          <w:b w:val="1"/>
          <w:bCs w:val="1"/>
          <w:color w:val="auto"/>
        </w:rPr>
        <w:t>:</w:t>
      </w:r>
    </w:p>
    <w:p>
      <w:pPr>
        <w:spacing w:after="0" w:line="50" w:lineRule="exact"/>
        <w:rPr>
          <w:rFonts w:ascii="Arial" w:cs="Arial" w:eastAsia="Arial" w:hAnsi="Arial"/>
          <w:sz w:val="18"/>
          <w:szCs w:val="18"/>
          <w:color w:val="auto"/>
        </w:rPr>
      </w:pPr>
    </w:p>
    <w:p>
      <w:pPr>
        <w:ind w:left="440" w:right="160" w:firstLine="443"/>
        <w:spacing w:after="0" w:line="259" w:lineRule="auto"/>
        <w:tabs>
          <w:tab w:leader="none" w:pos="10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Demise 2</w:t>
      </w:r>
      <w:r>
        <w:rPr>
          <w:rFonts w:ascii="Arial" w:cs="Arial" w:eastAsia="Arial" w:hAnsi="Arial"/>
          <w:sz w:val="11"/>
          <w:szCs w:val="11"/>
          <w:color w:val="auto"/>
        </w:rPr>
        <w:t>nd</w:t>
      </w:r>
      <w:r>
        <w:rPr>
          <w:rFonts w:ascii="Arial" w:cs="Arial" w:eastAsia="Arial" w:hAnsi="Arial"/>
          <w:sz w:val="18"/>
          <w:szCs w:val="18"/>
          <w:color w:val="auto"/>
        </w:rPr>
        <w:t xml:space="preserve"> Floor Corridors. Landlord shall demise the second floor common corridors in accordance with the demising plan attached as Exhibit A-1 hereto, and properly finish the walls, floor and ceiling. In addition, the common area bathrooms shown on the plan shall be refurbished with new neutral colored paint, fixtures and flooring.</w:t>
      </w:r>
    </w:p>
    <w:p>
      <w:pPr>
        <w:spacing w:after="0" w:line="140" w:lineRule="exact"/>
        <w:rPr>
          <w:rFonts w:ascii="Arial" w:cs="Arial" w:eastAsia="Arial" w:hAnsi="Arial"/>
          <w:sz w:val="18"/>
          <w:szCs w:val="18"/>
          <w:color w:val="auto"/>
        </w:rPr>
      </w:pPr>
    </w:p>
    <w:p>
      <w:pPr>
        <w:ind w:left="-20" w:right="180" w:firstLine="464"/>
        <w:spacing w:after="0" w:line="268" w:lineRule="auto"/>
        <w:tabs>
          <w:tab w:leader="none" w:pos="6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Landlord agrees to perform the following improvements/repairs to the common areas of the Building and property as soon as the weather permits, but not later than June 30, 2012:</w:t>
      </w:r>
    </w:p>
    <w:p>
      <w:pPr>
        <w:spacing w:after="0" w:line="44" w:lineRule="exact"/>
        <w:rPr>
          <w:rFonts w:ascii="Arial" w:cs="Arial" w:eastAsia="Arial" w:hAnsi="Arial"/>
          <w:sz w:val="18"/>
          <w:szCs w:val="18"/>
          <w:color w:val="auto"/>
        </w:rPr>
      </w:pPr>
    </w:p>
    <w:p>
      <w:pPr>
        <w:ind w:left="440" w:right="380" w:firstLine="443"/>
        <w:spacing w:after="0" w:line="275" w:lineRule="auto"/>
        <w:tabs>
          <w:tab w:leader="none" w:pos="1088"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Front Entrance Repairs: </w:t>
      </w:r>
      <w:r>
        <w:rPr>
          <w:rFonts w:ascii="Arial" w:cs="Arial" w:eastAsia="Arial" w:hAnsi="Arial"/>
          <w:sz w:val="18"/>
          <w:szCs w:val="18"/>
          <w:color w:val="auto"/>
        </w:rPr>
        <w:t>Landlord to address the wear and tear on the front entry patio/walkway and the concrete support column, repair or</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with the goal of safety and aesthetics.</w:t>
      </w:r>
    </w:p>
    <w:p>
      <w:pPr>
        <w:spacing w:after="0" w:line="38" w:lineRule="exact"/>
        <w:rPr>
          <w:rFonts w:ascii="Arial" w:cs="Arial" w:eastAsia="Arial" w:hAnsi="Arial"/>
          <w:sz w:val="18"/>
          <w:szCs w:val="18"/>
          <w:color w:val="auto"/>
        </w:rPr>
      </w:pPr>
    </w:p>
    <w:p>
      <w:pPr>
        <w:ind w:left="1140" w:hanging="257"/>
        <w:spacing w:after="0"/>
        <w:tabs>
          <w:tab w:leader="none" w:pos="1140" w:val="left"/>
        </w:tabs>
        <w:numPr>
          <w:ilvl w:val="1"/>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Front Vestibule: </w:t>
      </w:r>
      <w:r>
        <w:rPr>
          <w:rFonts w:ascii="Arial" w:cs="Arial" w:eastAsia="Arial" w:hAnsi="Arial"/>
          <w:sz w:val="16"/>
          <w:szCs w:val="16"/>
          <w:color w:val="auto"/>
        </w:rPr>
        <w:t>Landlord to address the front patio grading and drainage in an effort to eliminate water infiltration into the front vestibule.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94" w:name="page195"/>
    <w:bookmarkEnd w:id="194"/>
    <w:p>
      <w:pPr>
        <w:ind w:right="40" w:firstLine="464"/>
        <w:spacing w:after="0" w:line="256"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shall provide Tenant an allowance of $50,000 to complete improvements to the Premises. Tenant’s anticipated improvements are set forth in Exhibit B attached hereto. Landlord shall pay $50,000 to Tenant promptly upon (i) receipt of satisfactory evidence from Tenant that it has installed improvements within the Premises of equal or greater value, and (ii) providing Landlord with a final lien waiver from its general contractor with respect to the completion of such improvements.</w:t>
      </w:r>
    </w:p>
    <w:p>
      <w:pPr>
        <w:spacing w:after="0" w:line="137" w:lineRule="exact"/>
        <w:rPr>
          <w:rFonts w:ascii="Arial" w:cs="Arial" w:eastAsia="Arial" w:hAnsi="Arial"/>
          <w:sz w:val="18"/>
          <w:szCs w:val="18"/>
          <w:color w:val="auto"/>
        </w:rPr>
      </w:pPr>
    </w:p>
    <w:p>
      <w:pPr>
        <w:ind w:right="100" w:firstLine="236"/>
        <w:spacing w:after="0" w:line="293" w:lineRule="auto"/>
        <w:tabs>
          <w:tab w:leader="none" w:pos="492"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OPERATION OF BUSINESS</w:t>
      </w:r>
      <w:r>
        <w:rPr>
          <w:rFonts w:ascii="Arial" w:cs="Arial" w:eastAsia="Arial" w:hAnsi="Arial"/>
          <w:sz w:val="16"/>
          <w:szCs w:val="16"/>
          <w:color w:val="auto"/>
        </w:rPr>
        <w:t>. In regard to the use and occupancy of the Premises, Tenant will at its expense (a) keep all mechanical apparatus free of</w:t>
      </w:r>
      <w:r>
        <w:rPr>
          <w:rFonts w:ascii="Arial" w:cs="Arial" w:eastAsia="Arial" w:hAnsi="Arial"/>
          <w:sz w:val="16"/>
          <w:szCs w:val="16"/>
          <w:b w:val="1"/>
          <w:bCs w:val="1"/>
          <w:color w:val="auto"/>
        </w:rPr>
        <w:t xml:space="preserve"> </w:t>
      </w:r>
      <w:r>
        <w:rPr>
          <w:rFonts w:ascii="Arial" w:cs="Arial" w:eastAsia="Arial" w:hAnsi="Arial"/>
          <w:sz w:val="16"/>
          <w:szCs w:val="16"/>
          <w:color w:val="auto"/>
        </w:rPr>
        <w:t>vibration and noise which may be transmitted beyond the Premises or which may cause any damage to the Premises; (b) conduct its business in all respects in a dignified manner in accordance with high standards of store operation consistent with the quality and operation of the Property; (c) neither solicit business nor distribute advertising matter in the common areas; (d) not cause or permit objectionable odors to emanate or to be dispelled from the Premises; and (e) not commit, or suffer to be committed, any waste upon the Premises or any public or private nuisance or other act or thing which may disturb the quiet enjoyment of any other tenant or occupant of the Property, or use or permit the use of any portion of the Premises for any unlawful purpose.</w:t>
      </w:r>
    </w:p>
    <w:p>
      <w:pPr>
        <w:spacing w:after="0" w:line="110" w:lineRule="exact"/>
        <w:rPr>
          <w:rFonts w:ascii="Arial" w:cs="Arial" w:eastAsia="Arial" w:hAnsi="Arial"/>
          <w:sz w:val="16"/>
          <w:szCs w:val="16"/>
          <w:color w:val="auto"/>
        </w:rPr>
      </w:pPr>
    </w:p>
    <w:p>
      <w:pPr>
        <w:ind w:firstLine="236"/>
        <w:spacing w:after="0" w:line="287" w:lineRule="auto"/>
        <w:tabs>
          <w:tab w:leader="none" w:pos="492"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COMPLIANCE WITH LAWS</w:t>
      </w:r>
      <w:r>
        <w:rPr>
          <w:rFonts w:ascii="Arial" w:cs="Arial" w:eastAsia="Arial" w:hAnsi="Arial"/>
          <w:sz w:val="16"/>
          <w:szCs w:val="16"/>
          <w:color w:val="auto"/>
        </w:rPr>
        <w:t>. The term “</w:t>
      </w:r>
      <w:r>
        <w:rPr>
          <w:rFonts w:ascii="Arial" w:cs="Arial" w:eastAsia="Arial" w:hAnsi="Arial"/>
          <w:sz w:val="16"/>
          <w:szCs w:val="16"/>
          <w:b w:val="1"/>
          <w:bCs w:val="1"/>
          <w:color w:val="auto"/>
        </w:rPr>
        <w:t>Applicable Laws</w:t>
      </w:r>
      <w:r>
        <w:rPr>
          <w:rFonts w:ascii="Arial" w:cs="Arial" w:eastAsia="Arial" w:hAnsi="Arial"/>
          <w:sz w:val="16"/>
          <w:szCs w:val="16"/>
          <w:color w:val="auto"/>
        </w:rPr>
        <w:t>”, when used herein shall mean all laws, ordinances, regulations and directives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having jurisdiction including, without limitation, the Americans with Disabilities Act, Environmental Laws (as defined below) and all ordinance, regulation, covenant, condition or restriction affecting the Property or the Premises which in the future may become applicable to the Premises and any current or future order, rule, regulation or requirement of the local Board of Fire Underwriters and the New England Fire Insurance Rating Association or any other body having similar function and exercising jurisdiction over the Premises. Tenant shall not use the Premises, or permit the Premises to be used, in any manner which: (a) violates any Applicable Laws; (b) causes or is reasonably likely to cause damage to the Property or the Premises; (c) violates a requirement or condition of any fire and extended insurance policy covering the Property and/or the Premises, or increases the cost of such policy; (d) constitutes or is reasonably likely to constitute a nuisance, annoyance or inconvenience to other tenants or occupants of the Property or any equipment, facilities or systems located on the Property; (e) interferes with, or is reasonably likely to interfere with, the transmission or reception of microwave, television, radio, telephone or other communication signals by antennae or other facilities. Tenant shall, at Tenant’s sole cost and expense, be responsible for compliance with all Applicable Laws with respect to the Premises.</w:t>
      </w:r>
    </w:p>
    <w:p>
      <w:pPr>
        <w:spacing w:after="0" w:line="118" w:lineRule="exact"/>
        <w:rPr>
          <w:rFonts w:ascii="Arial" w:cs="Arial" w:eastAsia="Arial" w:hAnsi="Arial"/>
          <w:sz w:val="16"/>
          <w:szCs w:val="16"/>
          <w:color w:val="auto"/>
        </w:rPr>
      </w:pPr>
    </w:p>
    <w:p>
      <w:pPr>
        <w:ind w:left="500" w:hanging="264"/>
        <w:spacing w:after="0"/>
        <w:tabs>
          <w:tab w:leader="none" w:pos="500"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LANDLORD SERVICES</w:t>
      </w:r>
      <w:r>
        <w:rPr>
          <w:rFonts w:ascii="Arial" w:cs="Arial" w:eastAsia="Arial" w:hAnsi="Arial"/>
          <w:sz w:val="16"/>
          <w:szCs w:val="16"/>
          <w:color w:val="auto"/>
        </w:rPr>
        <w:t>. “</w:t>
      </w:r>
      <w:r>
        <w:rPr>
          <w:rFonts w:ascii="Arial" w:cs="Arial" w:eastAsia="Arial" w:hAnsi="Arial"/>
          <w:sz w:val="16"/>
          <w:szCs w:val="16"/>
          <w:b w:val="1"/>
          <w:bCs w:val="1"/>
          <w:color w:val="auto"/>
        </w:rPr>
        <w:t>Building Operating Hours</w:t>
      </w:r>
      <w:r>
        <w:rPr>
          <w:rFonts w:ascii="Arial" w:cs="Arial" w:eastAsia="Arial" w:hAnsi="Arial"/>
          <w:sz w:val="16"/>
          <w:szCs w:val="16"/>
          <w:color w:val="auto"/>
        </w:rPr>
        <w:t>” shall mean 7:00 am - 6:30 pm Monday through Friday and 9:00am-2:00pm on Saturday</w:t>
      </w:r>
    </w:p>
    <w:p>
      <w:pPr>
        <w:spacing w:after="0" w:line="44"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excluding state and federal holidays. In addition to the other services provided by Landlord under this Lease, Landlord shall provide the following services on all days included in Building Operating Hours except as otherwise stated:</w:t>
      </w:r>
    </w:p>
    <w:p>
      <w:pPr>
        <w:spacing w:after="0" w:line="137" w:lineRule="exact"/>
        <w:rPr>
          <w:rFonts w:ascii="Arial" w:cs="Arial" w:eastAsia="Arial" w:hAnsi="Arial"/>
          <w:sz w:val="16"/>
          <w:szCs w:val="16"/>
          <w:color w:val="auto"/>
        </w:rPr>
      </w:pPr>
    </w:p>
    <w:p>
      <w:pPr>
        <w:ind w:right="220" w:firstLine="464"/>
        <w:spacing w:after="0" w:line="306" w:lineRule="auto"/>
        <w:tabs>
          <w:tab w:leader="none" w:pos="69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HVAC service during Building Operating Hours sufficient for comfortable occupancy of the Premises. If Tenant desires HVAC service outside of the Building Operating Hours, Tenant shall request such service at least one day in advance and shall pay to Landlord upon presentation of an invoice, Landlord’s reasonable charge for such service according to the Building standard rates as the same may adjusted from time to time.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Passenger elevator service.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95" w:name="page196"/>
    <w:bookmarkEnd w:id="195"/>
    <w:p>
      <w:pPr>
        <w:ind w:left="500" w:hanging="264"/>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ASSIGNMENT/SUBLEASE</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firstLine="464"/>
        <w:spacing w:after="0" w:line="287" w:lineRule="auto"/>
        <w:tabs>
          <w:tab w:leader="none" w:pos="69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Notwithstanding any other provisions of this Lease, Tenant may not assign this Lease, in whole or in part, nor sublet all or any part of the Premises, nor otherwise permit any other person to occupy or use any portion of the Premises (collectively, a “</w:t>
      </w:r>
      <w:r>
        <w:rPr>
          <w:rFonts w:ascii="Arial" w:cs="Arial" w:eastAsia="Arial" w:hAnsi="Arial"/>
          <w:sz w:val="16"/>
          <w:szCs w:val="16"/>
          <w:b w:val="1"/>
          <w:bCs w:val="1"/>
          <w:color w:val="auto"/>
        </w:rPr>
        <w:t>Transfer</w:t>
      </w:r>
      <w:r>
        <w:rPr>
          <w:rFonts w:ascii="Arial" w:cs="Arial" w:eastAsia="Arial" w:hAnsi="Arial"/>
          <w:sz w:val="16"/>
          <w:szCs w:val="16"/>
          <w:color w:val="auto"/>
        </w:rPr>
        <w:t>”) without first obtaining the written consent of Landlord, which shall not be unreasonably withheld, conditioned or delayed. Consent by Landlord to any Transfer shall not constitute a waiver of the requirement for such consent to any subsequent assignment or subletting. Landlord may collect payments from any assignee, subtenant or other occupant and apply the net amount collected to the amounts required to be paid pursuant to this Lease, but no acceptance by Landlord of any payments shall be deemed a waiver of this covenant or the acceptance of such person as Tenant hereunder or a release of Tenant from the further performance by Tenant of its obligations under this Lease. Any Transfer effected or attempted to be effected other than in strict compliance with the terms of this Lease and with the prior consent of Landlord and, if required, any mortgagee of the Property shall be a Default (as defined below), and shall confer no rights whatsoever upon the transferee. All reasonable costs incurred by Landlord in connection with any request for consent to a Transfer, including the cost of investigation and the fees of Landlord’s counsel, shall be paid by Tenant on demand.</w:t>
      </w:r>
    </w:p>
    <w:p>
      <w:pPr>
        <w:spacing w:after="0" w:line="122" w:lineRule="exact"/>
        <w:rPr>
          <w:rFonts w:ascii="Arial" w:cs="Arial" w:eastAsia="Arial" w:hAnsi="Arial"/>
          <w:sz w:val="16"/>
          <w:szCs w:val="16"/>
          <w:color w:val="auto"/>
        </w:rPr>
      </w:pPr>
    </w:p>
    <w:p>
      <w:pPr>
        <w:ind w:right="40" w:firstLine="464"/>
        <w:spacing w:after="0" w:line="298" w:lineRule="auto"/>
        <w:tabs>
          <w:tab w:leader="none" w:pos="70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Tenant shall desire to assign this Lease or sublet the Premises the entire Premises for the remainder of the Term, Landlord shall have the option, to be exercised within thirty (30) days after written notice to Landlord of such proposed Transfer, of canceling this Lease. If Landlord elects to cancel this Lease, the rights and obligations of the parties shall cease as of a date set forth in a written notice from Landlord to Tenant, which date shall not be less than thirty (30) days after the date of such notice. In the event of any such termination, all rent shall be adjusted as of the date of such termination.</w:t>
      </w:r>
    </w:p>
    <w:p>
      <w:pPr>
        <w:spacing w:after="0" w:line="112" w:lineRule="exact"/>
        <w:rPr>
          <w:rFonts w:ascii="Arial" w:cs="Arial" w:eastAsia="Arial" w:hAnsi="Arial"/>
          <w:sz w:val="16"/>
          <w:szCs w:val="16"/>
          <w:color w:val="auto"/>
        </w:rPr>
      </w:pPr>
    </w:p>
    <w:p>
      <w:pPr>
        <w:ind w:right="60" w:firstLine="464"/>
        <w:spacing w:after="0" w:line="254" w:lineRule="auto"/>
        <w:tabs>
          <w:tab w:leader="none" w:pos="69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event of a permitted Transfer of the whole or any part of the Premises or this Lease where the rent and other payments provided for in or in connection with the Transfer (including any sums payable to Tenant on account of any of its property or interests or services to be provided by Tenant to Transferee in excess of the then fair market value thereof) exceed the rental and other payments to Landlord provided hereunder, or the pro rata portion of such rental and other payments, as the case may be, after first deducting all commercially reasonable, actual and verifiable costs and expenses incurred by Tenant with respect to such Transfer, Tenant shall pay to Landlord, as Additional Rent, fifty percent (50%) of the amount by which the rent and all other payments or consideration</w:t>
      </w:r>
    </w:p>
    <w:p>
      <w:pPr>
        <w:spacing w:after="0" w:line="14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provided for or furnished in connection with the Transfer exceeds the rent in this Lease for the applicable space. Such excess shall be payable as and when received by Tenant, and Tenant shall exercise best efforts to collect any and all sums due it in connection with any such permitted Transfer.</w:t>
      </w:r>
    </w:p>
    <w:p>
      <w:pPr>
        <w:spacing w:after="0" w:line="85" w:lineRule="exact"/>
        <w:rPr>
          <w:sz w:val="20"/>
          <w:szCs w:val="20"/>
          <w:color w:val="auto"/>
        </w:rPr>
      </w:pPr>
    </w:p>
    <w:p>
      <w:pPr>
        <w:ind w:left="720" w:hanging="256"/>
        <w:spacing w:after="0"/>
        <w:tabs>
          <w:tab w:leader="none" w:pos="72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Notwithstanding the foregoing, Landlord’s consent shall not be required and the provisions of this Section 16 shall not apply with respect to either</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transactions with an entity into or with which Tenant is merged or consolidated, or to which all or substantially all of Tenant’s assets are transferred, or</w:t>
      </w:r>
    </w:p>
    <w:p>
      <w:pPr>
        <w:spacing w:after="0" w:line="32" w:lineRule="exact"/>
        <w:rPr>
          <w:rFonts w:ascii="Arial" w:cs="Arial" w:eastAsia="Arial" w:hAnsi="Arial"/>
          <w:sz w:val="16"/>
          <w:szCs w:val="16"/>
          <w:color w:val="auto"/>
        </w:rPr>
      </w:pPr>
    </w:p>
    <w:p>
      <w:pPr>
        <w:ind w:right="200" w:firstLine="8"/>
        <w:spacing w:after="0" w:line="261" w:lineRule="auto"/>
        <w:tabs>
          <w:tab w:leader="none" w:pos="2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transactions with any entity which controls or is controlled by Tenant or is under common control with Tenant. No transfer or assignment of any underlying ownership interest in Tenant shall be deemed an assignment or subletting requiring Landlord’s consent.</w:t>
      </w:r>
    </w:p>
    <w:p>
      <w:pPr>
        <w:spacing w:after="0" w:line="131" w:lineRule="exact"/>
        <w:rPr>
          <w:rFonts w:ascii="Arial" w:cs="Arial" w:eastAsia="Arial" w:hAnsi="Arial"/>
          <w:sz w:val="18"/>
          <w:szCs w:val="18"/>
          <w:color w:val="auto"/>
        </w:rPr>
      </w:pPr>
    </w:p>
    <w:p>
      <w:pPr>
        <w:ind w:firstLine="236"/>
        <w:spacing w:after="0" w:line="339" w:lineRule="auto"/>
        <w:tabs>
          <w:tab w:leader="none" w:pos="49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REPAIRS TO BE MADE BY LANDLORD</w:t>
      </w:r>
      <w:r>
        <w:rPr>
          <w:rFonts w:ascii="Arial" w:cs="Arial" w:eastAsia="Arial" w:hAnsi="Arial"/>
          <w:sz w:val="16"/>
          <w:szCs w:val="16"/>
          <w:color w:val="auto"/>
        </w:rPr>
        <w:t>. Landlord’s sole repair obligations with respect to the Premises under this Lease are, at its expense,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or cause to be made, repairs to the roof, structural elements, building systems and the common areas and exterior of the Premises provided</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6" w:name="page197"/>
    <w:bookmarkEnd w:id="196"/>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cost of such repairs shall be included as Operating Expenses to the extent provided in Section 9 hereof. Tenant shall give Landlord prompt notice of the necessity for all such repairs. Tenant acknowledges and agrees that it shall have no right of self-help and waives any self-help rights granted by any law now or hereafter in effect.</w:t>
      </w:r>
    </w:p>
    <w:p>
      <w:pPr>
        <w:spacing w:after="0" w:line="134" w:lineRule="exact"/>
        <w:rPr>
          <w:sz w:val="20"/>
          <w:szCs w:val="20"/>
          <w:color w:val="auto"/>
        </w:rPr>
      </w:pPr>
    </w:p>
    <w:p>
      <w:pPr>
        <w:ind w:right="20" w:firstLine="236"/>
        <w:spacing w:after="0" w:line="290" w:lineRule="auto"/>
        <w:tabs>
          <w:tab w:leader="none" w:pos="492"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REPAIRS TO BE MADE BY TENANT</w:t>
      </w:r>
      <w:r>
        <w:rPr>
          <w:rFonts w:ascii="Arial" w:cs="Arial" w:eastAsia="Arial" w:hAnsi="Arial"/>
          <w:sz w:val="16"/>
          <w:szCs w:val="16"/>
          <w:color w:val="auto"/>
        </w:rPr>
        <w:t>. All repairs to the Premises or any installations, equipment or facilities therein, ordinary or extraordinary,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excepting only those repairs specifically required to be made by Landlord pursuant to Section 17 above, shall be made by Tenant at its sole expense. Except as otherwise provided in Section 20 below, all repairs which (i) arise from or are caused directly or indirectly by Tenant’s breach of this Lease or by the negligence or willful act of Tenant, its agents, officers, employees, licensees, invitees or contractors; or (ii) arise from Tenant’s use of the Premises; or (iii) relate to any work done by Tenant pursuant to this Lease, shall also be made by Tenant at its expense. Without limiting the generality of the foregoing, Tenant will keep the interior of the Premises, in good order and repair and will make all replacements thereto from time to time required at its expense; and will surrender the Premises at the expiration of the Term or at such other time as it may vacate the Premises in as good condition as when received, excepting only ordinary wear and tear and damage by casualty.</w:t>
      </w:r>
    </w:p>
    <w:p>
      <w:pPr>
        <w:spacing w:after="0" w:line="112" w:lineRule="exact"/>
        <w:rPr>
          <w:rFonts w:ascii="Arial" w:cs="Arial" w:eastAsia="Arial" w:hAnsi="Arial"/>
          <w:sz w:val="16"/>
          <w:szCs w:val="16"/>
          <w:color w:val="auto"/>
        </w:rPr>
      </w:pPr>
    </w:p>
    <w:p>
      <w:pPr>
        <w:ind w:left="500" w:hanging="264"/>
        <w:spacing w:after="0"/>
        <w:tabs>
          <w:tab w:leader="none" w:pos="500"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LIENS</w:t>
      </w:r>
      <w:r>
        <w:rPr>
          <w:rFonts w:ascii="Arial" w:cs="Arial" w:eastAsia="Arial" w:hAnsi="Arial"/>
          <w:sz w:val="16"/>
          <w:szCs w:val="16"/>
          <w:color w:val="auto"/>
        </w:rPr>
        <w:t>. Should any mechanic’s or other lien be filed against the Premises, the Property, or any part thereof for any reason whatsoever by reason of</w:t>
      </w:r>
    </w:p>
    <w:p>
      <w:pPr>
        <w:spacing w:after="0" w:line="44"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Tenant’s acts or omissions or because of a claim against Tenant, Tenant shall cause the same to be canceled and discharged of record by bond or otherwise within sixty (60) days after notice by Landlord. Tenant’s failure to do so shall constitute a material default under this Lease, without the necessity for any further notice by Landlord to Tenant. If Tenant shall fail to cause the same to be bonded, Landlord may pay the full amount of such lien or bond against the same without notice or liability to Tenant of any kind and the amount so paid by Landlord including reasonable attorney’s fees incurred by Landlord in either defending against such lien or procuring the discharge or bonding of such lien, together with interest thereon at the Default Rate (as defined below), shall be due and payable by Tenant to Landlord.</w:t>
      </w:r>
    </w:p>
    <w:p>
      <w:pPr>
        <w:spacing w:after="0" w:line="142" w:lineRule="exact"/>
        <w:rPr>
          <w:rFonts w:ascii="Arial" w:cs="Arial" w:eastAsia="Arial" w:hAnsi="Arial"/>
          <w:sz w:val="16"/>
          <w:szCs w:val="16"/>
          <w:color w:val="auto"/>
        </w:rPr>
      </w:pPr>
    </w:p>
    <w:p>
      <w:pPr>
        <w:ind w:right="160" w:firstLine="236"/>
        <w:spacing w:after="0" w:line="302" w:lineRule="auto"/>
        <w:tabs>
          <w:tab w:leader="none" w:pos="492" w:val="left"/>
        </w:tabs>
        <w:numPr>
          <w:ilvl w:val="1"/>
          <w:numId w:val="116"/>
        </w:numPr>
        <w:rPr>
          <w:rFonts w:ascii="Arial" w:cs="Arial" w:eastAsia="Arial" w:hAnsi="Arial"/>
          <w:sz w:val="15"/>
          <w:szCs w:val="15"/>
          <w:color w:val="auto"/>
        </w:rPr>
      </w:pPr>
      <w:r>
        <w:rPr>
          <w:rFonts w:ascii="Arial" w:cs="Arial" w:eastAsia="Arial" w:hAnsi="Arial"/>
          <w:sz w:val="15"/>
          <w:szCs w:val="15"/>
          <w:b w:val="1"/>
          <w:bCs w:val="1"/>
          <w:color w:val="auto"/>
        </w:rPr>
        <w:t>LIABILITY/INDEMNITY</w:t>
      </w:r>
      <w:r>
        <w:rPr>
          <w:rFonts w:ascii="Arial" w:cs="Arial" w:eastAsia="Arial" w:hAnsi="Arial"/>
          <w:sz w:val="15"/>
          <w:szCs w:val="15"/>
          <w:color w:val="auto"/>
        </w:rPr>
        <w:t>. To the maximum extent permitted by law, Tenant shall indemnify and save harmless Landlord, the partners, members,</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officers, agents and employees of Landlord and those in privity of estate with Landlord, from and against all claims, expenses or liability of whatever nature: (i) arising from any default, act, omission or negligence of Tenant, or Tenant’s contractors, licensees, agents, suppliers, servants, employees, invitees, or customers, or the failure of Tenant or of any such persons to comply with any rule, order, regulation or lawful direction now or hereafter in force of any public authority, in each case to the extent the same are related, directly or indirectly, to the Premises or Tenant’s use thereof; or (ii) arising, directly or indirectly, from any accident, injury or damage, however caused (but excluding accident, injury or damage caused by Landlord’s own default or negligence), to any person or property on or about the Premises; or (iii) arising, directly or indirectly, out of any default by Tenant under any of the terms or covenants of this Lease, or in connection with any mechanical, electrical, plumbing, or any other systems, equipment or installations that are to be maintained or repaired by Tenant; or</w:t>
      </w:r>
    </w:p>
    <w:p>
      <w:pPr>
        <w:spacing w:after="0" w:line="4" w:lineRule="exact"/>
        <w:rPr>
          <w:rFonts w:ascii="Arial" w:cs="Arial" w:eastAsia="Arial" w:hAnsi="Arial"/>
          <w:sz w:val="15"/>
          <w:szCs w:val="15"/>
          <w:color w:val="auto"/>
        </w:rPr>
      </w:pPr>
    </w:p>
    <w:p>
      <w:pPr>
        <w:ind w:right="80" w:firstLine="8"/>
        <w:spacing w:after="0" w:line="255" w:lineRule="auto"/>
        <w:tabs>
          <w:tab w:leader="none" w:pos="29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arising from any accident, injury or damage to any person or property occurring outside of the Premises, where such accident, injury or damage results, or is claimed to have resulted from, any act, default, omission or negligence on the part of Tenant, or Tenant’s contractors, licensees, agents, suppliers, servants employees or customers, or anyone claiming by, through or under Tenant.</w:t>
      </w:r>
    </w:p>
    <w:p>
      <w:pPr>
        <w:spacing w:after="0" w:line="138" w:lineRule="exact"/>
        <w:rPr>
          <w:rFonts w:ascii="Arial" w:cs="Arial" w:eastAsia="Arial" w:hAnsi="Arial"/>
          <w:sz w:val="18"/>
          <w:szCs w:val="18"/>
          <w:color w:val="auto"/>
        </w:rPr>
      </w:pPr>
    </w:p>
    <w:p>
      <w:pPr>
        <w:ind w:right="560" w:firstLine="236"/>
        <w:spacing w:after="0" w:line="275" w:lineRule="auto"/>
        <w:tabs>
          <w:tab w:leader="none" w:pos="492"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WAIVER OF SUBROGATION</w:t>
      </w:r>
      <w:r>
        <w:rPr>
          <w:rFonts w:ascii="Arial" w:cs="Arial" w:eastAsia="Arial" w:hAnsi="Arial"/>
          <w:sz w:val="18"/>
          <w:szCs w:val="18"/>
          <w:color w:val="auto"/>
        </w:rPr>
        <w:t>. Landlord and Tenant hereby waive any rights each may have against the other on account of any loss or damage</w:t>
      </w:r>
      <w:r>
        <w:rPr>
          <w:rFonts w:ascii="Arial" w:cs="Arial" w:eastAsia="Arial" w:hAnsi="Arial"/>
          <w:sz w:val="18"/>
          <w:szCs w:val="18"/>
          <w:b w:val="1"/>
          <w:bCs w:val="1"/>
          <w:color w:val="auto"/>
        </w:rPr>
        <w:t xml:space="preserve"> </w:t>
      </w:r>
      <w:r>
        <w:rPr>
          <w:rFonts w:ascii="Arial" w:cs="Arial" w:eastAsia="Arial" w:hAnsi="Arial"/>
          <w:sz w:val="18"/>
          <w:szCs w:val="18"/>
          <w:color w:val="auto"/>
        </w:rPr>
        <w:t>occasioned to Landlord or Tenant, as the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97" w:name="page198"/>
    <w:bookmarkEnd w:id="19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may be, their respective property, the Premises, or its contents or to other portions of the Property, arising from any risk to the extent of the actual proceeds received from any applicable fire and extended coverage insurance and the parties each, on behalf of their respective insurance companies insuring the property of either Landlord or Tenant against any such loss, waive any right of subrogation that it may have against Landlord or Tenant, as the case may be. Landlord and Tenant shall obtain such endorsements to all policies of insurance as may be necessary to give full effect to the above waivers.</w:t>
      </w:r>
    </w:p>
    <w:p>
      <w:pPr>
        <w:spacing w:after="0" w:line="107" w:lineRule="exact"/>
        <w:rPr>
          <w:sz w:val="20"/>
          <w:szCs w:val="20"/>
          <w:color w:val="auto"/>
        </w:rPr>
      </w:pPr>
    </w:p>
    <w:p>
      <w:pPr>
        <w:ind w:firstLine="236"/>
        <w:spacing w:after="0" w:line="275" w:lineRule="auto"/>
        <w:tabs>
          <w:tab w:leader="none" w:pos="492"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TENANT’S INSURANCE</w:t>
      </w:r>
      <w:r>
        <w:rPr>
          <w:rFonts w:ascii="Arial" w:cs="Arial" w:eastAsia="Arial" w:hAnsi="Arial"/>
          <w:sz w:val="18"/>
          <w:szCs w:val="18"/>
          <w:color w:val="auto"/>
        </w:rPr>
        <w:t>. Tenant further covenants and agrees that throughout the Term, Tenant will carry and maintain, at its sole cost and expense,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types of insurance, in the amounts specified and in the form hereinafter provided for:</w:t>
      </w:r>
    </w:p>
    <w:p>
      <w:pPr>
        <w:spacing w:after="0" w:line="125" w:lineRule="exact"/>
        <w:rPr>
          <w:rFonts w:ascii="Arial" w:cs="Arial" w:eastAsia="Arial" w:hAnsi="Arial"/>
          <w:sz w:val="18"/>
          <w:szCs w:val="18"/>
          <w:color w:val="auto"/>
        </w:rPr>
      </w:pPr>
    </w:p>
    <w:p>
      <w:pPr>
        <w:ind w:right="20" w:firstLine="464"/>
        <w:spacing w:after="0" w:line="255" w:lineRule="auto"/>
        <w:tabs>
          <w:tab w:leader="none" w:pos="69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Public Liability And Property Damage.</w:t>
      </w:r>
      <w:r>
        <w:rPr>
          <w:rFonts w:ascii="Arial" w:cs="Arial" w:eastAsia="Arial" w:hAnsi="Arial"/>
          <w:sz w:val="18"/>
          <w:szCs w:val="18"/>
          <w:color w:val="auto"/>
        </w:rPr>
        <w:t xml:space="preserve"> Commercial general liability insurance with single limits of not less than Two Million Dollars ($2,000,000.00) insuring against any and all liability of the insured with respect to said Premises or arising out of the maintenance, use or occupancy thereof, and property damage liability insurance with a limit of not less than Five Hundred Thousand Dollars ($500,000) per accident or occurrence. All such bodily injury liability insurance and property damage liability insurance shall specifically insure the performance by Tenant of the indemnity agreement as to liability for injury to or death of persons and injury or damage to property set forth above.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Worker’s Compensation</w:t>
      </w:r>
      <w:r>
        <w:rPr>
          <w:rFonts w:ascii="Arial" w:cs="Arial" w:eastAsia="Arial" w:hAnsi="Arial"/>
          <w:sz w:val="18"/>
          <w:szCs w:val="18"/>
          <w:color w:val="auto"/>
        </w:rPr>
        <w:t>. Worker’s Compensation and disability insurance in the minimum amounts required by law.</w:t>
      </w:r>
    </w:p>
    <w:p>
      <w:pPr>
        <w:spacing w:after="0" w:line="171" w:lineRule="exact"/>
        <w:rPr>
          <w:rFonts w:ascii="Arial" w:cs="Arial" w:eastAsia="Arial" w:hAnsi="Arial"/>
          <w:sz w:val="18"/>
          <w:szCs w:val="18"/>
          <w:color w:val="auto"/>
        </w:rPr>
      </w:pPr>
    </w:p>
    <w:p>
      <w:pPr>
        <w:ind w:right="120" w:firstLine="464"/>
        <w:spacing w:after="0" w:line="323" w:lineRule="auto"/>
        <w:tabs>
          <w:tab w:leader="none" w:pos="695" w:val="left"/>
        </w:tabs>
        <w:numPr>
          <w:ilvl w:val="1"/>
          <w:numId w:val="118"/>
        </w:numPr>
        <w:rPr>
          <w:rFonts w:ascii="Arial" w:cs="Arial" w:eastAsia="Arial" w:hAnsi="Arial"/>
          <w:sz w:val="15"/>
          <w:szCs w:val="15"/>
          <w:color w:val="auto"/>
        </w:rPr>
      </w:pPr>
      <w:r>
        <w:rPr>
          <w:rFonts w:ascii="Arial" w:cs="Arial" w:eastAsia="Arial" w:hAnsi="Arial"/>
          <w:sz w:val="15"/>
          <w:szCs w:val="15"/>
          <w:u w:val="single" w:color="auto"/>
          <w:color w:val="auto"/>
        </w:rPr>
        <w:t>Leasehold Improvements</w:t>
      </w:r>
      <w:r>
        <w:rPr>
          <w:rFonts w:ascii="Arial" w:cs="Arial" w:eastAsia="Arial" w:hAnsi="Arial"/>
          <w:sz w:val="15"/>
          <w:szCs w:val="15"/>
          <w:color w:val="auto"/>
        </w:rPr>
        <w:t>. Insurance covering all leasehold improvements, alterations, additions or improvements, trade fixtures, merchandise and personal property from time to time in, on or upon the Premises, in an amount not less than eighty percent (80%) of their full replacement cost from time to time during the term of this Lease, on a special form (all risk) basis, together with insurance against sprinkler damage, vandalism and malicious mischief. Any policy proceeds shall be used for the repair or replacement of the property damaged or destroyed unless this Lease shall cease and terminate as a result of such damage.</w:t>
      </w:r>
    </w:p>
    <w:p>
      <w:pPr>
        <w:spacing w:after="0" w:line="97" w:lineRule="exact"/>
        <w:rPr>
          <w:rFonts w:ascii="Arial" w:cs="Arial" w:eastAsia="Arial" w:hAnsi="Arial"/>
          <w:sz w:val="15"/>
          <w:szCs w:val="15"/>
          <w:color w:val="auto"/>
        </w:rPr>
      </w:pPr>
    </w:p>
    <w:p>
      <w:pPr>
        <w:ind w:right="20" w:firstLine="464"/>
        <w:spacing w:after="0" w:line="287" w:lineRule="auto"/>
        <w:tabs>
          <w:tab w:leader="none" w:pos="70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Policy Form</w:t>
      </w:r>
      <w:r>
        <w:rPr>
          <w:rFonts w:ascii="Arial" w:cs="Arial" w:eastAsia="Arial" w:hAnsi="Arial"/>
          <w:sz w:val="16"/>
          <w:szCs w:val="16"/>
          <w:color w:val="auto"/>
        </w:rPr>
        <w:t>. All policies of insurance provided for herein shall be issued by insurance companies with general policy holder’s rating of not less than A-and a financial rating of not less than Class VIII as rated in the most current available “Best’s” Insurance Reports, qualified to do business in the State of Connecticut. Landlord, Landlord’s property manager and Landlord’s Lenders (as defined below) shall be named as additional insureds on all liability insurance policies. Complete certificates of such insurance shall be delivered to Landlord before the earlier of the Commencement Date or the commencement of any work in the Premises and thereafter, complete certificates thereof shall be delivered to Landlord within thirty (30) days prior to the expiration of the term of each such policy. All public liability and property damage policies shall contain a provision that Landlord shall be entitled to recovery under said policies for any loss occasioned to it, its servants, agents and employees by reason of the negligence of Tenant. All certificates or policies of insurance delivered to Landlord must contain a provision that the company writing said policy will give to Landlord twenty (20) days’ notice in writing in advance of any cancellation of insurance. All public liability, property damage and other casualty policies shall be written as primary policies, not contributing with and not in excess of coverage which Landlord may carry.</w:t>
      </w:r>
    </w:p>
    <w:p>
      <w:pPr>
        <w:spacing w:after="0" w:line="122" w:lineRule="exact"/>
        <w:rPr>
          <w:rFonts w:ascii="Arial" w:cs="Arial" w:eastAsia="Arial" w:hAnsi="Arial"/>
          <w:sz w:val="16"/>
          <w:szCs w:val="16"/>
          <w:color w:val="auto"/>
        </w:rPr>
      </w:pPr>
    </w:p>
    <w:p>
      <w:pPr>
        <w:ind w:right="500" w:firstLine="464"/>
        <w:spacing w:after="0" w:line="259" w:lineRule="auto"/>
        <w:tabs>
          <w:tab w:leader="none" w:pos="69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Coverage Revisions</w:t>
      </w:r>
      <w:r>
        <w:rPr>
          <w:rFonts w:ascii="Arial" w:cs="Arial" w:eastAsia="Arial" w:hAnsi="Arial"/>
          <w:sz w:val="18"/>
          <w:szCs w:val="18"/>
          <w:color w:val="auto"/>
        </w:rPr>
        <w:t>. The insurance required pursuant to this Section including, without limitation, the forms, types, amounts, insurance carrier qualifications and terms of such policies of insurance may be changed by Landlord from time to time as necessary or desirable according to sound property management and business practices and as may be required by Landlord’s Lenders.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98" w:name="page199"/>
    <w:bookmarkEnd w:id="198"/>
    <w:p>
      <w:pPr>
        <w:ind w:left="-20" w:right="60" w:firstLine="236"/>
        <w:spacing w:after="0" w:line="293" w:lineRule="auto"/>
        <w:tabs>
          <w:tab w:leader="none" w:pos="472"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INSURANCE</w:t>
      </w:r>
      <w:r>
        <w:rPr>
          <w:rFonts w:ascii="Arial" w:cs="Arial" w:eastAsia="Arial" w:hAnsi="Arial"/>
          <w:sz w:val="16"/>
          <w:szCs w:val="16"/>
          <w:color w:val="auto"/>
        </w:rPr>
        <w:t>. Landlord shall at all times from and after the commencement date of the term hereof maintain in effect a policy or</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of insurance covering the Property, in an amount not less than eighty percent (80%) of full replacement cost (exclusive of the cost of excavations, foundations and footings) from time to time during the term of this Lease, providing protection against any peril generally included within the classification “Fire and Extended Coverage” together with insurance against sprinkler damage, vandalism and malicious mischief. Landlord’s obligation to carry the insurance provided for herein may be satisfied within the coverage of any so-called blanket policy or policies of insurance carried and maintained by Landlord, provided that the coverage afforded will not be reduced or diminished by reason of the use of such blanket policy of insurance.</w:t>
      </w:r>
    </w:p>
    <w:p>
      <w:pPr>
        <w:spacing w:after="0" w:line="110" w:lineRule="exact"/>
        <w:rPr>
          <w:rFonts w:ascii="Arial" w:cs="Arial" w:eastAsia="Arial" w:hAnsi="Arial"/>
          <w:sz w:val="16"/>
          <w:szCs w:val="16"/>
          <w:color w:val="auto"/>
        </w:rPr>
      </w:pPr>
    </w:p>
    <w:p>
      <w:pPr>
        <w:ind w:left="480" w:hanging="264"/>
        <w:spacing w:after="0"/>
        <w:tabs>
          <w:tab w:leader="none" w:pos="4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FIRE OR CASUALTY</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20" w:firstLine="464"/>
        <w:spacing w:after="0" w:line="286" w:lineRule="auto"/>
        <w:tabs>
          <w:tab w:leader="none" w:pos="67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the Premises or the Building (including machinery or equipment used in its operation) shall be damaged by fire or other casualty (except fires or other casualties resulting from Tenant’s fault or neglect) and if such damage does not render all or a substantial portion of the Premises or Building untenantable, or in Landlord’s reasonable judgment require more than 180 days to complete, then Landlord shall repair and restore the same with reasonable promptness, subject to reasonable delays for insurance adjustments and delays caused by matters beyond Landlord’s reasonable control but shall not be obligated to expend therefor an amount in excess of the proceeds of insurance recovered with respect thereto. If any such damage renders all or a substantial portion of the Premises or Building untenantable, or in Landlord’s reasonable judgment requires more than 180 days to restore, either party shall have the right to terminate this Lease as of the date of such damage (with appropriate prorations of Rent being made for Tenant’s possession subsequent to the date of such damage of those tenantable portions of the Premises) upon giving written notice to the other party at any time within sixty (60) days after the date of such damage. Rent, however, shall abate on those portions of the Premises as are, from time to time, untenantable as a result of such damage. In the event that Landlord should fail to complete such repairs and rebuilding within one hundred eighty (180) days after the date upon which Landlord is notified by Tenant of such damage, Tenant may at its option terminate this Lease by delivering written notice of termination to Landlord as Tenant’s exclusive remedy, whereupon all rights and obligations hereunder shall cease and terminate.</w:t>
      </w:r>
    </w:p>
    <w:p>
      <w:pPr>
        <w:spacing w:after="0" w:line="124" w:lineRule="exact"/>
        <w:rPr>
          <w:rFonts w:ascii="Arial" w:cs="Arial" w:eastAsia="Arial" w:hAnsi="Arial"/>
          <w:sz w:val="16"/>
          <w:szCs w:val="16"/>
          <w:color w:val="auto"/>
        </w:rPr>
      </w:pPr>
    </w:p>
    <w:p>
      <w:pPr>
        <w:ind w:left="-20" w:right="80" w:firstLine="464"/>
        <w:spacing w:after="0" w:line="332" w:lineRule="auto"/>
        <w:tabs>
          <w:tab w:leader="none" w:pos="68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Tenant acknowledges that Landlord shall be entitled to the full proceeds of any insurance coverage, whether carried by Landlord or Tenant, for damage to alterations, additions, improvements or decorations provided by Landlord either directly or indirectly through an allowance to Tenant.</w:t>
      </w:r>
    </w:p>
    <w:p>
      <w:pPr>
        <w:spacing w:after="0" w:line="85" w:lineRule="exact"/>
        <w:rPr>
          <w:rFonts w:ascii="Arial" w:cs="Arial" w:eastAsia="Arial" w:hAnsi="Arial"/>
          <w:sz w:val="16"/>
          <w:szCs w:val="16"/>
          <w:color w:val="auto"/>
        </w:rPr>
      </w:pPr>
    </w:p>
    <w:p>
      <w:pPr>
        <w:ind w:left="-20" w:right="100" w:firstLine="464"/>
        <w:spacing w:after="0" w:line="298" w:lineRule="auto"/>
        <w:tabs>
          <w:tab w:leader="none" w:pos="67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Notwithstanding anything to the contrary herein set forth, Landlord shall not be obligated pursuant to this Section to repair or restore any portion of the alterations, additions or improvements in the Premises or the decorations thereto. In the event this Lease is terminated as a result of a casualty, Tenant acknowledges that Landlord shall be entitled to the full proceeds of any insurance coverage, whether carried by Landlord or Tenant, for damage to alterations, additions, improvements or decorations provided by Landlord either directly or through an allowance to Tenant.</w:t>
      </w:r>
    </w:p>
    <w:p>
      <w:pPr>
        <w:spacing w:after="0" w:line="106" w:lineRule="exact"/>
        <w:rPr>
          <w:rFonts w:ascii="Arial" w:cs="Arial" w:eastAsia="Arial" w:hAnsi="Arial"/>
          <w:sz w:val="16"/>
          <w:szCs w:val="16"/>
          <w:color w:val="auto"/>
        </w:rPr>
      </w:pPr>
    </w:p>
    <w:p>
      <w:pPr>
        <w:ind w:left="-20" w:right="40" w:firstLine="236"/>
        <w:spacing w:after="0" w:line="258" w:lineRule="auto"/>
        <w:tabs>
          <w:tab w:leader="none" w:pos="47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Land or the Building or any portion thereof shall be taken or condemned by any competent authority for any public or quasi-public use or purpose (a “</w:t>
      </w:r>
      <w:r>
        <w:rPr>
          <w:rFonts w:ascii="Arial" w:cs="Arial" w:eastAsia="Arial" w:hAnsi="Arial"/>
          <w:sz w:val="18"/>
          <w:szCs w:val="18"/>
          <w:b w:val="1"/>
          <w:bCs w:val="1"/>
          <w:color w:val="auto"/>
        </w:rPr>
        <w:t>taking</w:t>
      </w:r>
      <w:r>
        <w:rPr>
          <w:rFonts w:ascii="Arial" w:cs="Arial" w:eastAsia="Arial" w:hAnsi="Arial"/>
          <w:sz w:val="18"/>
          <w:szCs w:val="18"/>
          <w:color w:val="auto"/>
        </w:rPr>
        <w:t>”), or if the configuration of any street or alley adjacent to the Building is changed by any competent authority and such taking or change in configuration makes it necessary or desirable to remodel or reconstruct the Building, Landlord shall have the right, exercisable at its sole discretion by delivery of written notice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199" w:name="page200"/>
    <w:bookmarkEnd w:id="199"/>
    <w:p>
      <w:pPr>
        <w:ind w:right="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to cancel this Lease upon the earlier to occur of: (a) the ninetieth (90</w:t>
      </w:r>
      <w:r>
        <w:rPr>
          <w:rFonts w:ascii="Arial" w:cs="Arial" w:eastAsia="Arial" w:hAnsi="Arial"/>
          <w:sz w:val="10"/>
          <w:szCs w:val="10"/>
          <w:color w:val="auto"/>
        </w:rPr>
        <w:t>th</w:t>
      </w:r>
      <w:r>
        <w:rPr>
          <w:rFonts w:ascii="Arial" w:cs="Arial" w:eastAsia="Arial" w:hAnsi="Arial"/>
          <w:sz w:val="15"/>
          <w:szCs w:val="15"/>
          <w:color w:val="auto"/>
        </w:rPr>
        <w:t>) day following such notice; or (b) the day immediately prior to the date title is transferred to the condemning authority. No money or other consideration shall be payable by Landlord to Tenant for the right of cancellation. Tenant shall have no right to share in the condemnation award or in any judgment for damages caused by such taking or change in configuration and Tenant hereby waives any and all rights that it may have now or in the future to any condemnation award except that Tenant may pursue a claim against the condemning authority on account of any moving expenses incurred by Tenant, provided that such award does not reduce or otherwise impair any claim of Landlord on account of such condemnation.</w:t>
      </w:r>
    </w:p>
    <w:p>
      <w:pPr>
        <w:spacing w:after="0" w:line="94" w:lineRule="exact"/>
        <w:rPr>
          <w:sz w:val="20"/>
          <w:szCs w:val="20"/>
          <w:color w:val="auto"/>
        </w:rPr>
      </w:pPr>
    </w:p>
    <w:p>
      <w:pPr>
        <w:ind w:left="500" w:hanging="264"/>
        <w:spacing w:after="0"/>
        <w:tabs>
          <w:tab w:leader="none" w:pos="500" w:val="left"/>
        </w:tabs>
        <w:numPr>
          <w:ilvl w:val="1"/>
          <w:numId w:val="120"/>
        </w:numPr>
        <w:rPr>
          <w:rFonts w:ascii="Arial" w:cs="Arial" w:eastAsia="Arial" w:hAnsi="Arial"/>
          <w:sz w:val="16"/>
          <w:szCs w:val="16"/>
          <w:color w:val="auto"/>
        </w:rPr>
      </w:pPr>
      <w:r>
        <w:rPr>
          <w:rFonts w:ascii="Arial" w:cs="Arial" w:eastAsia="Arial" w:hAnsi="Arial"/>
          <w:sz w:val="16"/>
          <w:szCs w:val="16"/>
          <w:b w:val="1"/>
          <w:bCs w:val="1"/>
          <w:color w:val="auto"/>
        </w:rPr>
        <w:t>PAST-DUE RENT</w:t>
      </w:r>
      <w:r>
        <w:rPr>
          <w:rFonts w:ascii="Arial" w:cs="Arial" w:eastAsia="Arial" w:hAnsi="Arial"/>
          <w:sz w:val="16"/>
          <w:szCs w:val="16"/>
          <w:color w:val="auto"/>
        </w:rPr>
        <w:t>. Tenant shall pay on demand a late charge of five percent (5%) of the amount due when any installment of Rent is paid more than five</w:t>
      </w:r>
    </w:p>
    <w:p>
      <w:pPr>
        <w:spacing w:after="0" w:line="44" w:lineRule="exact"/>
        <w:rPr>
          <w:rFonts w:ascii="Arial" w:cs="Arial" w:eastAsia="Arial" w:hAnsi="Arial"/>
          <w:sz w:val="16"/>
          <w:szCs w:val="16"/>
          <w:color w:val="auto"/>
        </w:rPr>
      </w:pPr>
    </w:p>
    <w:p>
      <w:pPr>
        <w:ind w:right="120" w:firstLine="8"/>
        <w:spacing w:after="0" w:line="261"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days late, which shall be in addition to interest on such amount as provided below. Any failure of Landlord to insist upon the payment of the late charge shall not be deemed a waiver of Landlord’s right to impose such late charge for any future delinquent payment.</w:t>
      </w:r>
    </w:p>
    <w:p>
      <w:pPr>
        <w:spacing w:after="0" w:line="131" w:lineRule="exact"/>
        <w:rPr>
          <w:rFonts w:ascii="Arial" w:cs="Arial" w:eastAsia="Arial" w:hAnsi="Arial"/>
          <w:sz w:val="18"/>
          <w:szCs w:val="18"/>
          <w:color w:val="auto"/>
        </w:rPr>
      </w:pPr>
    </w:p>
    <w:p>
      <w:pPr>
        <w:ind w:left="500" w:hanging="264"/>
        <w:spacing w:after="0"/>
        <w:tabs>
          <w:tab w:leader="none" w:pos="500"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firstLine="464"/>
        <w:spacing w:after="0" w:line="285" w:lineRule="auto"/>
        <w:tabs>
          <w:tab w:leader="none" w:pos="695" w:val="left"/>
        </w:tabs>
        <w:numPr>
          <w:ilvl w:val="2"/>
          <w:numId w:val="121"/>
        </w:numPr>
        <w:rPr>
          <w:rFonts w:ascii="Arial" w:cs="Arial" w:eastAsia="Arial" w:hAnsi="Arial"/>
          <w:sz w:val="16"/>
          <w:szCs w:val="16"/>
          <w:color w:val="auto"/>
        </w:rPr>
      </w:pPr>
      <w:r>
        <w:rPr>
          <w:rFonts w:ascii="Arial" w:cs="Arial" w:eastAsia="Arial" w:hAnsi="Arial"/>
          <w:sz w:val="16"/>
          <w:szCs w:val="16"/>
          <w:color w:val="auto"/>
        </w:rPr>
        <w:t>If default shall be made in the payment of the Rent or any installment thereof or in the payment of any other sum required to be paid by Tenant under this Lease and such default shall continue for ten (10) days after written notice to Tenant (provided that such notice and cure period shall only apply to the first such late payment in each calendar year), or under the terms of any other agreement between Landlord and Tenant or if default shall be made in the observance or performance of any of the other covenants or conditions in this Lease which Tenant is required to observe and perform and such other default shall continue for thirty (30) days after written notice to Tenant (provided that if such cure cannot be reasonably completed in thirty (30) days, such additional time as is necessary to cure such default provided Tenant has commenced to cure such default within thirty (30) days following Landlord’s written notice and is diligently prosecuting such cure to completion), or if a default involves a hazardous condition and is not cured by Tenant promptly upon written notice to Tenant, or if Tenant shall be in default under the Existing Lease, or if the interest of Tenant in this Lease shall be levied on under execution or other legal process, or if any voluntary petition in bankruptcy or for corporate reorganization or any similar relief shall be filed by Tenant, or if any involuntary petition in bankruptcy shall be filed against Tenant under any federal or state bankruptcy or insolvency act and shall not have been dismissed within sixty (60) days from the filing thereof, or if a receiver shall be appointed for Tenant or any of the property of Tenant by any court and such receiver shall not have been dismissed within sixty (60) days from the date of his appointment, or if Tenant shall make an assignment for the benefit of creditors, or if Tenant shall admit in writing Tenant’s inability to meet Tenant’s debts as they mature, or if Tenant shall abandon or vacate the Premises during the Term, then Landlord may treat the occurrence of any one or more of the foregoing events as a breach of this Lease, and thereupon at its option may, with or without notice or demand of any kind to Tenant or any other person, have any one or more of the following described remedies in addition to all other rights and remedies provided at law or in equity or elsewhere herein:</w:t>
      </w:r>
    </w:p>
    <w:p>
      <w:pPr>
        <w:spacing w:after="0" w:line="45" w:lineRule="exact"/>
        <w:rPr>
          <w:rFonts w:ascii="Arial" w:cs="Arial" w:eastAsia="Arial" w:hAnsi="Arial"/>
          <w:sz w:val="16"/>
          <w:szCs w:val="16"/>
          <w:color w:val="auto"/>
        </w:rPr>
      </w:pPr>
    </w:p>
    <w:p>
      <w:pPr>
        <w:jc w:val="both"/>
        <w:ind w:left="460" w:right="100" w:firstLine="443"/>
        <w:spacing w:after="0" w:line="303" w:lineRule="auto"/>
        <w:tabs>
          <w:tab w:leader="none" w:pos="1108" w:val="left"/>
        </w:tabs>
        <w:numPr>
          <w:ilvl w:val="3"/>
          <w:numId w:val="121"/>
        </w:numPr>
        <w:rPr>
          <w:rFonts w:ascii="Arial" w:cs="Arial" w:eastAsia="Arial" w:hAnsi="Arial"/>
          <w:sz w:val="15"/>
          <w:szCs w:val="15"/>
          <w:color w:val="auto"/>
        </w:rPr>
      </w:pPr>
      <w:r>
        <w:rPr>
          <w:rFonts w:ascii="Arial" w:cs="Arial" w:eastAsia="Arial" w:hAnsi="Arial"/>
          <w:sz w:val="15"/>
          <w:szCs w:val="15"/>
          <w:color w:val="auto"/>
        </w:rPr>
        <w:t>Landlord may terminate Tenant’s tenancy and right of possession and may repossess the Premises by summary process action, by taking peaceful possession or otherwise, in which event Landlord may, but shall be under no obligation to re-let the Premises for such rent and upon such terms as shall be satisfactory to Landlord. For the purpose of such re-letting or otherwise, Landlord is authorized to decorate, repair, remodel or alter the Premises.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Following such termination of Tenant’s tenancy and right of possession, Landlord may either:</w:t>
      </w:r>
    </w:p>
    <w:p>
      <w:pPr>
        <w:spacing w:after="0" w:line="83" w:lineRule="exact"/>
        <w:rPr>
          <w:rFonts w:ascii="Arial" w:cs="Arial" w:eastAsia="Arial" w:hAnsi="Arial"/>
          <w:sz w:val="15"/>
          <w:szCs w:val="15"/>
          <w:color w:val="auto"/>
        </w:rPr>
      </w:pPr>
    </w:p>
    <w:p>
      <w:pPr>
        <w:ind w:left="920" w:right="20" w:firstLine="421"/>
        <w:spacing w:after="0" w:line="290" w:lineRule="auto"/>
        <w:tabs>
          <w:tab w:leader="none" w:pos="1627" w:val="left"/>
        </w:tabs>
        <w:numPr>
          <w:ilvl w:val="4"/>
          <w:numId w:val="121"/>
        </w:numPr>
        <w:rPr>
          <w:rFonts w:ascii="Arial" w:cs="Arial" w:eastAsia="Arial" w:hAnsi="Arial"/>
          <w:sz w:val="16"/>
          <w:szCs w:val="16"/>
          <w:color w:val="auto"/>
        </w:rPr>
      </w:pPr>
      <w:r>
        <w:rPr>
          <w:rFonts w:ascii="Arial" w:cs="Arial" w:eastAsia="Arial" w:hAnsi="Arial"/>
          <w:sz w:val="16"/>
          <w:szCs w:val="16"/>
          <w:color w:val="auto"/>
        </w:rPr>
        <w:t>treat the Tenant’s payment obligations hereunder as accelerated, and may recover damages for Tenant’s breach of this Lease, which damages the parties stipulate are equal to: (i) the present value of all future Rent reserved under this Lease, together with any other amounts that may become due, for or during the balance of the Term, plus (ii) all reasonable costs and expenses that are actually incurred by Landlord, or that Landlord reasonably expects it will incur in connection with Landlord’s re-letting of the Premises, including, without limitation, costs of decoration, repairs, remodeling, alterations and additions, and brokers and attorney’s fees, less (iii) the amount of all rents received by Landlord through the date of judgment from a third party resulting from a re-letting of the Premises, and less (iv) the present value of the future rents that Landlord reasonably expects it will receive through the end of the Term of this Lease from any third party resulting from a re-letting of the Premises,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00" w:name="page201"/>
    <w:bookmarkEnd w:id="200"/>
    <w:p>
      <w:pPr>
        <w:ind w:left="912" w:right="40" w:firstLine="421"/>
        <w:spacing w:after="0" w:line="291" w:lineRule="auto"/>
        <w:tabs>
          <w:tab w:leader="none" w:pos="1610" w:val="left"/>
        </w:tabs>
        <w:numPr>
          <w:ilvl w:val="3"/>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treating Tenant’s payment obligations as accelerated, Landlord may from time to time recover damages for Tenant’s breach of this Lease, which damages the parties stipulate are equal to: (i) the amount of unpaid Rent reserved under this Lease, together with any other amounts that may become due, through the date of judgment, plus (ii) expenses of re-letting through the date of judgment, including, without limitation, costs of decoration, repairs, remodeling, alterations and additions, and brokers and attorney’s fees, less (iii) the amount of rents received by Landlord from a third party resulting from a re-letting of the Premises through the date of judgment. No suit, judgment or recovery under this provision shall be a defense to any subsequent action brought to recover any amount subsequently due, but not included in any prior judgment.</w:t>
      </w:r>
    </w:p>
    <w:p>
      <w:pPr>
        <w:spacing w:after="0" w:line="39" w:lineRule="exact"/>
        <w:rPr>
          <w:rFonts w:ascii="Arial" w:cs="Arial" w:eastAsia="Arial" w:hAnsi="Arial"/>
          <w:sz w:val="16"/>
          <w:szCs w:val="16"/>
          <w:color w:val="auto"/>
        </w:rPr>
      </w:pPr>
    </w:p>
    <w:p>
      <w:pPr>
        <w:ind w:left="452" w:right="80" w:firstLine="443"/>
        <w:spacing w:after="0" w:line="256" w:lineRule="auto"/>
        <w:tabs>
          <w:tab w:leader="none" w:pos="1149"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Without terminating Tenant’s tenancy or right of possession, Landlord may from time to time recover damages for nonpayment of any Rent or other sums that become due from Tenant under this Lease, and to enforce any other obligations owed by Tenant under this Lease, through the date of judgment. No suit, judgment or recovery under this provision shall be a defense to any subsequent action brought to recover any amount subsequently due, but not included in any prior judgment.</w:t>
      </w:r>
    </w:p>
    <w:p>
      <w:pPr>
        <w:spacing w:after="0" w:line="143" w:lineRule="exact"/>
        <w:rPr>
          <w:rFonts w:ascii="Arial" w:cs="Arial" w:eastAsia="Arial" w:hAnsi="Arial"/>
          <w:sz w:val="18"/>
          <w:szCs w:val="18"/>
          <w:color w:val="auto"/>
        </w:rPr>
      </w:pPr>
    </w:p>
    <w:p>
      <w:pPr>
        <w:ind w:left="-8" w:right="500" w:firstLine="464"/>
        <w:spacing w:after="0" w:line="268" w:lineRule="auto"/>
        <w:tabs>
          <w:tab w:leader="none" w:pos="69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making of any election as provided in this Section shall be revocable in Landlord’s sole discretion and at any time Landlord may rescind any election made hereunder and pursue any remedy provided hereunder or otherwise available by law or in equity.</w:t>
      </w:r>
    </w:p>
    <w:p>
      <w:pPr>
        <w:spacing w:after="0" w:line="131" w:lineRule="exact"/>
        <w:rPr>
          <w:rFonts w:ascii="Arial" w:cs="Arial" w:eastAsia="Arial" w:hAnsi="Arial"/>
          <w:sz w:val="18"/>
          <w:szCs w:val="18"/>
          <w:color w:val="auto"/>
        </w:rPr>
      </w:pPr>
    </w:p>
    <w:p>
      <w:pPr>
        <w:ind w:left="-8" w:firstLine="464"/>
        <w:spacing w:after="0" w:line="256" w:lineRule="auto"/>
        <w:tabs>
          <w:tab w:leader="none" w:pos="68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any action commenced to obtain possession of the Premises, including any such action pursuant to a right or remedy provided by law or in equity that is not expressly provided for herein, Tenant waives any right to assert any counterclaims or claims by way of recoupment or set-off. The foregoing shall not limit Tenant’s right to assert any counterclaims or claims by way of recoupment or set-off in any action by Landlord seeking collection of any amounts due to Landlord.</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For purposes of this Section: (i) the present value of any sums payable or to be incurred in the future shall be computed, at Landlord’s election, either</w:t>
      </w:r>
    </w:p>
    <w:p>
      <w:pPr>
        <w:spacing w:after="0" w:line="38" w:lineRule="exact"/>
        <w:rPr>
          <w:rFonts w:ascii="Arial" w:cs="Arial" w:eastAsia="Arial" w:hAnsi="Arial"/>
          <w:sz w:val="16"/>
          <w:szCs w:val="16"/>
          <w:color w:val="auto"/>
        </w:rPr>
      </w:pPr>
    </w:p>
    <w:p>
      <w:pPr>
        <w:ind w:left="-8" w:right="140" w:firstLine="8"/>
        <w:spacing w:after="0" w:line="253" w:lineRule="auto"/>
        <w:tabs>
          <w:tab w:leader="none" w:pos="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applying, as a discount rate, the interest rate payable on U.S. Treasuries maturing as of a date equal or near to the Termination Date as announced by the Wall Street Journal, or (B) by applying such other discount rate as is fair and equitable, and (ii) in determining the amount of Rent or other amounts that, under the Lease, would become due from Tenant in the future, any amounts that cannot be determined precisely as of the date of judgment shall be computed based on the average monthly amount accruing during the twelve (12) month period preceding the date of termination of Tenant’s tenancy, and (iii) notwithstanding anything herein to the</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80" w:right="239" w:bottom="1440" w:gutter="0" w:footer="0" w:header="0"/>
        </w:sectPr>
      </w:pPr>
    </w:p>
    <w:bookmarkStart w:id="201" w:name="page202"/>
    <w:bookmarkEnd w:id="20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contrary, Landlord shall not be required, in calculating damages, to reduce to present value any sums expected to be payable or incurred within two years of the date of judgment payable or to be incurred more than two years from the date of judgment.</w:t>
      </w:r>
    </w:p>
    <w:p>
      <w:pPr>
        <w:spacing w:after="0" w:line="132" w:lineRule="exact"/>
        <w:rPr>
          <w:sz w:val="20"/>
          <w:szCs w:val="20"/>
          <w:color w:val="auto"/>
        </w:rPr>
      </w:pPr>
    </w:p>
    <w:p>
      <w:pPr>
        <w:ind w:right="340" w:firstLine="464"/>
        <w:spacing w:after="0" w:line="306" w:lineRule="auto"/>
        <w:tabs>
          <w:tab w:leader="none" w:pos="69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Tenant shall pay upon demand all Landlord’s reasonable costs, charges and expenses including the fees and out-of-pocket expenses of counsel, agents and others retained by Landlord incurred in enforcing the Tenant’s obligations hereunder or incurred by the Landlord in any litigation, negotiation or transaction in which the Tenant causes the Landlord without the Landlord’s fault to become involved or concerned.</w:t>
      </w:r>
    </w:p>
    <w:p>
      <w:pPr>
        <w:spacing w:after="0" w:line="100" w:lineRule="exact"/>
        <w:rPr>
          <w:rFonts w:ascii="Arial" w:cs="Arial" w:eastAsia="Arial" w:hAnsi="Arial"/>
          <w:sz w:val="16"/>
          <w:szCs w:val="16"/>
          <w:color w:val="auto"/>
        </w:rPr>
      </w:pPr>
    </w:p>
    <w:p>
      <w:pPr>
        <w:ind w:right="120" w:firstLine="236"/>
        <w:spacing w:after="0" w:line="287" w:lineRule="auto"/>
        <w:tabs>
          <w:tab w:leader="none" w:pos="492"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ACCESS TO PREMISES</w:t>
      </w:r>
      <w:r>
        <w:rPr>
          <w:rFonts w:ascii="Arial" w:cs="Arial" w:eastAsia="Arial" w:hAnsi="Arial"/>
          <w:sz w:val="16"/>
          <w:szCs w:val="16"/>
          <w:color w:val="auto"/>
        </w:rPr>
        <w:t>. Upon reasonable notice at reasonable times, except in emergency situations, Landlord shall have the right to place,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and repair all utility equipment of any kind in, upon or under the Premises as may be necessary for the servicing of the Premises and other portions of the Property. Upon reasonable notice, except in emergency situations, Landlord shall also have the right to enter the Premises during business hours to inspect or to exhibit the same to prospective purchasers, mortgagees, and tenants and to make such repairs, additions, alterations or improvements as Landlord may deem desirable. Landlord shall be allowed to take all material upon the Premises that may be required therefor without the same constituting an eviction of Tenant in whole or in part and the rents reserved shall not abate in whole or in part, while said work is in progress by reason of loss or interruption of Tenant’s business or otherwise and Tenant shall have no claim for damages, provided that Tenant’s access to and use of the Premises is not materially adversely affected. If Tenant shall not be personally present to permit an entry into said premises when for any reason an entry therein shall be permissible, Landlord may enter the same by a master key or to the extent permissible by law, by the use of force without incurring liability and without in any manner affecting the obligations of this Lease. The provisions of this paragraph shall not be construed to impose upon Landlord any obligation whatsoever for the maintenance or repair of the Property or any party thereof except as otherwise herein specifically provided.</w:t>
      </w:r>
    </w:p>
    <w:p>
      <w:pPr>
        <w:spacing w:after="0" w:line="118" w:lineRule="exact"/>
        <w:rPr>
          <w:rFonts w:ascii="Arial" w:cs="Arial" w:eastAsia="Arial" w:hAnsi="Arial"/>
          <w:sz w:val="16"/>
          <w:szCs w:val="16"/>
          <w:color w:val="auto"/>
        </w:rPr>
      </w:pPr>
    </w:p>
    <w:p>
      <w:pPr>
        <w:jc w:val="both"/>
        <w:ind w:firstLine="236"/>
        <w:spacing w:after="0" w:line="301" w:lineRule="auto"/>
        <w:tabs>
          <w:tab w:leader="none" w:pos="492"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all rights of Tenant hereunder are subject and subordinate to any mortgage or mortgages, blanket or otherwise, which</w:t>
      </w:r>
      <w:r>
        <w:rPr>
          <w:rFonts w:ascii="Arial" w:cs="Arial" w:eastAsia="Arial" w:hAnsi="Arial"/>
          <w:sz w:val="16"/>
          <w:szCs w:val="16"/>
          <w:b w:val="1"/>
          <w:bCs w:val="1"/>
          <w:color w:val="auto"/>
        </w:rPr>
        <w:t xml:space="preserve"> </w:t>
      </w:r>
      <w:r>
        <w:rPr>
          <w:rFonts w:ascii="Arial" w:cs="Arial" w:eastAsia="Arial" w:hAnsi="Arial"/>
          <w:sz w:val="16"/>
          <w:szCs w:val="16"/>
          <w:color w:val="auto"/>
        </w:rPr>
        <w:t>do now or may hereafter affect the Property and to any and all renewals, modifications, consolidations, replacements and extensions thereof, and to any ground or other lease, or similar instrument now or hereafter placed against the Property, and to all other agreements and instruments affecting the Property in the land records in the jurisdiction where the Property is located (collectively, the “</w:t>
      </w:r>
      <w:r>
        <w:rPr>
          <w:rFonts w:ascii="Arial" w:cs="Arial" w:eastAsia="Arial" w:hAnsi="Arial"/>
          <w:sz w:val="16"/>
          <w:szCs w:val="16"/>
          <w:b w:val="1"/>
          <w:bCs w:val="1"/>
          <w:color w:val="auto"/>
        </w:rPr>
        <w:t>Superior Instruments</w:t>
      </w:r>
      <w:r>
        <w:rPr>
          <w:rFonts w:ascii="Arial" w:cs="Arial" w:eastAsia="Arial" w:hAnsi="Arial"/>
          <w:sz w:val="16"/>
          <w:szCs w:val="16"/>
          <w:color w:val="auto"/>
        </w:rPr>
        <w:t>”).</w:t>
      </w:r>
    </w:p>
    <w:p>
      <w:pPr>
        <w:spacing w:after="0" w:line="10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is the intention of the parties that this provision be self-operative and that no further instrument shall be required to effect such subordination of this Lease. Tenant shall, however, upon demand at any time or times execute, acknowledge and deliver to Landlord without expense to Landlord, any and all instruments that may be necessary or proper to subordinate this Lease and all rights of Tenant hereunder to any such mortgage or mortgages or to confirm or evidence such subordination, including any such form as may be reasonably required by Landlord’s lender or proposed lender. If a subordination, non-disturbance and attornment agreement is delivered to Tenant and Tenant fails or refuses to execute the same within twenty (20) business days following Tenant’s receipt thereof, Tenant shall be considered in default under this Lease and this Lease shall be deemed to be automatically subject and subordinate to such Superior Instrument. In the event of termination or expiration of this Lease by reason of the termination of any of the Superior Instruments, provided that the holder of any Superior Instruments assumes the obligations of the Landlord hereunder, subject to the qualifications in this section, and agrees not to disturb Tenant, Tenant shall attorn to and recognize the holder of any Superior Instruments as the landlord under this Lease, in which event this Lease shall be deemed to be reinstated in full force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2" w:name="page203"/>
    <w:bookmarkEnd w:id="20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as a direct lease between Tenant and the holder of such Superior Instruments, upon all of the same terms and conditions of this Lease. Any such attornment and/or reinstatement under this Lease shall be effective and self-operative as of the date of any such termination or expiration of this lease without the execution of any further instrument; provided, however, that Tenant agrees, upon the request of the holder of any Superior Instruments to execute and deliver any such instruments in recordable form as shall be reasonably satisfactory to such underlying landlord to evidence such attornment. Any such attornment under this Lease shall provide the holder of the Superior Instruments with all rights of the Landlord under this Lease and Tenant shall be obligated to the holder of the Superior Instruments to perform all of the obligations of the Tenant under this Lease. The holder of the Superior Instruments shall have no obligation to Tenant nor shall the performance by Tenant of its obligations under this Lease, whether prior to or after such attornment, be subject to any defense, counterclaim or setoff by reason of any default by Landlord in the performance of any obligation to be performed by Landlord under this Lease.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of (i) the termination of any ground or underlying lease of the Building or the Property, or both, or (ii) the purchase or other acquisition of the Building or Landlord’s interest therein in a foreclosure sale or by deed in lieu of foreclosure under any mortgage or deed of trust, or pursuant to a power of sale contained in any mortgage or deed or trust, then in any of such events Tenant shall, at the request of Landlord or Landlord’s successor in interest, attorn to and recognize the transferee or purchaser of Landlord’s interest as “Landlord” hereunder, provided that such transferee or purchaser shall not be (a) liable for any act or omission of Landlord before such person’s succession to title or (b) bound by any payment of Base Rent or Additional Rent before such person’s succession to title for more than one month in advance.</w:t>
      </w:r>
    </w:p>
    <w:p>
      <w:pPr>
        <w:spacing w:after="0" w:line="12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As a condition to the effectiveness of the subordination and attornment in this paragraph, Landlord will obtain a reasonably acceptable non-disturbance agreement from the holder of the first mortgage on the Property within sixty (60) days from the execution of this Lease. The non-disturbance agreement will provide that Tenant will not be disturbed by the holder of the first mortgage so long as Tenant is in compliance with the terms of this Lease.</w:t>
      </w:r>
    </w:p>
    <w:p>
      <w:pPr>
        <w:spacing w:after="0" w:line="101" w:lineRule="exact"/>
        <w:rPr>
          <w:sz w:val="20"/>
          <w:szCs w:val="20"/>
          <w:color w:val="auto"/>
        </w:rPr>
      </w:pPr>
    </w:p>
    <w:p>
      <w:pPr>
        <w:ind w:right="140" w:firstLine="236"/>
        <w:spacing w:after="0" w:line="339" w:lineRule="auto"/>
        <w:tabs>
          <w:tab w:leader="none" w:pos="492"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QUIET ENJOYMENT</w:t>
      </w:r>
      <w:r>
        <w:rPr>
          <w:rFonts w:ascii="Arial" w:cs="Arial" w:eastAsia="Arial" w:hAnsi="Arial"/>
          <w:sz w:val="16"/>
          <w:szCs w:val="16"/>
          <w:color w:val="auto"/>
        </w:rPr>
        <w:t>. Tenant, upon paying the rents and performing all of the terms on its part to be performed, shall peaceably and quietly enjoy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subject to the terms of this Lease and to any mortgage, ground lease or agreements to which this Lease is subordinated.</w:t>
      </w:r>
    </w:p>
    <w:p>
      <w:pPr>
        <w:spacing w:after="0" w:line="74" w:lineRule="exact"/>
        <w:rPr>
          <w:rFonts w:ascii="Arial" w:cs="Arial" w:eastAsia="Arial" w:hAnsi="Arial"/>
          <w:sz w:val="16"/>
          <w:szCs w:val="16"/>
          <w:color w:val="auto"/>
        </w:rPr>
      </w:pPr>
    </w:p>
    <w:p>
      <w:pPr>
        <w:ind w:right="40" w:firstLine="236"/>
        <w:spacing w:after="0" w:line="291" w:lineRule="auto"/>
        <w:tabs>
          <w:tab w:leader="none" w:pos="492"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END OF TERM</w:t>
      </w:r>
      <w:r>
        <w:rPr>
          <w:rFonts w:ascii="Arial" w:cs="Arial" w:eastAsia="Arial" w:hAnsi="Arial"/>
          <w:sz w:val="16"/>
          <w:szCs w:val="16"/>
          <w:color w:val="auto"/>
        </w:rPr>
        <w:t>. At the expiration of this Lease, Tenant shall surrender the Premises in the same condition as they were in upon delivery of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wear and tear excepted, and shall deliver all keys and combinations to locks, safes and vaults to Landlord. Before surrendering the Premises, Tenant shall remove all its personal property including all trade fixtures, and all improvements and/or alterations and all data, electrical and communication cabling and wiring (whether or not located in the Premises) installed by Tenant or on Tenant’s behalf to the extent required by Landlord to be removed as provided elsewhere in this Lease, and shall repair any damage caused by such removal. Tenant’s obligations to perform this section shall survive the end of the term of this Lease. If Tenant fails to remove its property upon the expiration of this Lease, the said property shall be deemed abandoned and shall become the property of Landlord, which Landlord may dispose of as it sees fit, at Tenant’s sole cost and expense, which Tenant shall pay to Landlord upon demand.</w:t>
      </w:r>
    </w:p>
    <w:p>
      <w:pPr>
        <w:spacing w:after="0" w:line="113" w:lineRule="exact"/>
        <w:rPr>
          <w:rFonts w:ascii="Arial" w:cs="Arial" w:eastAsia="Arial" w:hAnsi="Arial"/>
          <w:sz w:val="16"/>
          <w:szCs w:val="16"/>
          <w:color w:val="auto"/>
        </w:rPr>
      </w:pPr>
    </w:p>
    <w:p>
      <w:pPr>
        <w:ind w:right="20" w:firstLine="236"/>
        <w:spacing w:after="0" w:line="262" w:lineRule="auto"/>
        <w:tabs>
          <w:tab w:leader="none" w:pos="492"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Any holding over after the expiration of this Lease shall be construed to be a tenancy at will at one hundred fifty percent (150%)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 Rent payable immediately prior to such expiration (prorated on a daily basis) and shall otherwise be governed by the applicable terms of this Lease. The preceding sentence shall not be deemed to limit Landlord’s right 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03" w:name="page204"/>
    <w:bookmarkEnd w:id="203"/>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 other or further damages from Tenant in the event Tenant holds over after the expiration of the term. In addition to the foregoing, Tenant shall indemnify, defend and hold Landlord harmless from and against all loss, cost, expense and claims arising as a result of Tenant’s holding over.</w:t>
      </w:r>
    </w:p>
    <w:p>
      <w:pPr>
        <w:spacing w:after="0" w:line="79" w:lineRule="exact"/>
        <w:rPr>
          <w:sz w:val="20"/>
          <w:szCs w:val="20"/>
          <w:color w:val="auto"/>
        </w:rPr>
      </w:pPr>
    </w:p>
    <w:p>
      <w:pPr>
        <w:ind w:right="60" w:firstLine="236"/>
        <w:spacing w:after="0" w:line="290" w:lineRule="auto"/>
        <w:tabs>
          <w:tab w:leader="none" w:pos="492"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NO WAIVER</w:t>
      </w:r>
      <w:r>
        <w:rPr>
          <w:rFonts w:ascii="Arial" w:cs="Arial" w:eastAsia="Arial" w:hAnsi="Arial"/>
          <w:sz w:val="16"/>
          <w:szCs w:val="16"/>
          <w:color w:val="auto"/>
        </w:rPr>
        <w:t>. Failure of Landlord to insist upon the strict performance of any provision of this Lease or to exercise any option or any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herein contained shall not be construed as a waiver for the future of any such provision, rule or option. The receipt by Landlord of rent with knowledge of the breach of any provision of this Lease shall not be deemed a waiver of such breach. No provision of this Lease shall be deemed to have been waived unless such waiver be in writing signed by Landlord. No payment by Tenant or receipt by Landlord of a lesser amount than the monthly rent shall be deemed to be other than on account of the earliest rent then unpaid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 and no waiver by Landlord in respect to one Tenant shall constitute a waiver in favor of any other tenant in the Property.</w:t>
      </w:r>
    </w:p>
    <w:p>
      <w:pPr>
        <w:spacing w:after="0" w:line="112" w:lineRule="exact"/>
        <w:rPr>
          <w:rFonts w:ascii="Arial" w:cs="Arial" w:eastAsia="Arial" w:hAnsi="Arial"/>
          <w:sz w:val="16"/>
          <w:szCs w:val="16"/>
          <w:color w:val="auto"/>
        </w:rPr>
      </w:pPr>
    </w:p>
    <w:p>
      <w:pPr>
        <w:ind w:right="20" w:firstLine="236"/>
        <w:spacing w:after="0" w:line="339" w:lineRule="auto"/>
        <w:tabs>
          <w:tab w:leader="none" w:pos="492"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demand, request or other instrument which may be or are required to be given under this Lease shall be delivered in person or sent</w:t>
      </w:r>
      <w:r>
        <w:rPr>
          <w:rFonts w:ascii="Arial" w:cs="Arial" w:eastAsia="Arial" w:hAnsi="Arial"/>
          <w:sz w:val="16"/>
          <w:szCs w:val="16"/>
          <w:b w:val="1"/>
          <w:bCs w:val="1"/>
          <w:color w:val="auto"/>
        </w:rPr>
        <w:t xml:space="preserve"> </w:t>
      </w:r>
      <w:r>
        <w:rPr>
          <w:rFonts w:ascii="Arial" w:cs="Arial" w:eastAsia="Arial" w:hAnsi="Arial"/>
          <w:sz w:val="16"/>
          <w:szCs w:val="16"/>
          <w:color w:val="auto"/>
        </w:rPr>
        <w:t>by United States Certified or Registered Mail, postage prepaid or by trackable national overnight carrier, and shall be addressed as follows:</w:t>
      </w:r>
    </w:p>
    <w:p>
      <w:pPr>
        <w:sectPr>
          <w:pgSz w:w="11900" w:h="16838" w:orient="portrait"/>
          <w:cols w:equalWidth="0" w:num="1">
            <w:col w:w="11420"/>
          </w:cols>
          <w:pgMar w:left="240" w:top="280" w:right="239" w:bottom="1440" w:gutter="0" w:footer="0" w:header="0"/>
        </w:sectPr>
      </w:pP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Landlord: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c/o READCO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 Vista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Old Lyme, CT 06371</w:t>
      </w:r>
    </w:p>
    <w:p>
      <w:pPr>
        <w:spacing w:after="0" w:line="134" w:lineRule="exact"/>
        <w:rPr>
          <w:sz w:val="20"/>
          <w:szCs w:val="20"/>
          <w:color w:val="auto"/>
        </w:rPr>
      </w:pPr>
    </w:p>
    <w:p>
      <w:pPr>
        <w:sectPr>
          <w:pgSz w:w="11900" w:h="16838" w:orient="portrait"/>
          <w:cols w:equalWidth="0" w:num="2">
            <w:col w:w="1860" w:space="720"/>
            <w:col w:w="8840"/>
          </w:cols>
          <w:pgMar w:left="240" w:top="280"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Mayo Crowe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CityPlace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 Asylum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Hartford, CT 06103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Gregg T. Burton</w:t>
      </w:r>
    </w:p>
    <w:p>
      <w:pPr>
        <w:spacing w:after="0" w:line="134" w:lineRule="exact"/>
        <w:rPr>
          <w:sz w:val="20"/>
          <w:szCs w:val="20"/>
          <w:color w:val="auto"/>
        </w:rPr>
      </w:pPr>
    </w:p>
    <w:p>
      <w:pPr>
        <w:sectPr>
          <w:pgSz w:w="11900" w:h="16838" w:orient="portrait"/>
          <w:cols w:equalWidth="0" w:num="2">
            <w:col w:w="1940" w:space="640"/>
            <w:col w:w="884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if to Tenant:</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Amarin Pharma Inc.</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1430 Route 206, Suite 200</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Bedminster, NJ 07921</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Attn: Fred Ahlholm</w:t>
      </w:r>
    </w:p>
    <w:p>
      <w:pPr>
        <w:sectPr>
          <w:pgSz w:w="11900" w:h="16838" w:orient="portrait"/>
          <w:cols w:equalWidth="0" w:num="1">
            <w:col w:w="11420"/>
          </w:cols>
          <w:pgMar w:left="240" w:top="280" w:right="239" w:bottom="1440" w:gutter="0" w:footer="0" w:header="0"/>
          <w:type w:val="continuous"/>
        </w:sectPr>
      </w:pP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Either party may designate such other address as shall be given by written notice. Notices shall be deemed given upon receipt or refusal or three (3) days following the date sent if sent by Certified Mail.</w:t>
      </w:r>
    </w:p>
    <w:p>
      <w:pPr>
        <w:spacing w:after="0" w:line="126" w:lineRule="exact"/>
        <w:rPr>
          <w:sz w:val="20"/>
          <w:szCs w:val="20"/>
          <w:color w:val="auto"/>
        </w:rPr>
      </w:pPr>
    </w:p>
    <w:p>
      <w:pPr>
        <w:jc w:val="both"/>
        <w:ind w:right="240" w:firstLine="236"/>
        <w:spacing w:after="0" w:line="339" w:lineRule="auto"/>
        <w:tabs>
          <w:tab w:leader="none" w:pos="492"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RECORDING</w:t>
      </w:r>
      <w:r>
        <w:rPr>
          <w:rFonts w:ascii="Arial" w:cs="Arial" w:eastAsia="Arial" w:hAnsi="Arial"/>
          <w:sz w:val="15"/>
          <w:szCs w:val="15"/>
          <w:color w:val="auto"/>
        </w:rPr>
        <w:t>. This Lease shall not be recorded in the land records and if the Lease or any memorandum thereof shall be recorded in the land records,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execute and deliver a release thereof, which obligation shall survive the expiration or termination of this Lease and Tenant shall indemnify, defend and hold Landlord harmless from all claims, loss, cost and expense incurred or suffered by Landlord as a result of Tenant’s failure to timely deliver the same.</w:t>
      </w:r>
    </w:p>
    <w:p>
      <w:pPr>
        <w:spacing w:after="0" w:line="79" w:lineRule="exact"/>
        <w:rPr>
          <w:rFonts w:ascii="Arial" w:cs="Arial" w:eastAsia="Arial" w:hAnsi="Arial"/>
          <w:sz w:val="15"/>
          <w:szCs w:val="15"/>
          <w:color w:val="auto"/>
        </w:rPr>
      </w:pPr>
    </w:p>
    <w:p>
      <w:pPr>
        <w:ind w:firstLine="236"/>
        <w:spacing w:after="0" w:line="275" w:lineRule="auto"/>
        <w:tabs>
          <w:tab w:leader="none" w:pos="492"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PARTIAL INVALIDITY</w:t>
      </w:r>
      <w:r>
        <w:rPr>
          <w:rFonts w:ascii="Arial" w:cs="Arial" w:eastAsia="Arial" w:hAnsi="Arial"/>
          <w:sz w:val="18"/>
          <w:szCs w:val="18"/>
          <w:color w:val="auto"/>
        </w:rPr>
        <w:t>. If any provision of this Lease shall to any extent be invalid, the remainder of this Lease shall not be affected and each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valid and enforceable to the fullest extent permitted by law.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type w:val="continuous"/>
        </w:sectPr>
      </w:pPr>
    </w:p>
    <w:bookmarkStart w:id="204" w:name="page205"/>
    <w:bookmarkEnd w:id="204"/>
    <w:p>
      <w:pPr>
        <w:ind w:right="20" w:firstLine="236"/>
        <w:spacing w:after="0" w:line="301" w:lineRule="auto"/>
        <w:tabs>
          <w:tab w:leader="none" w:pos="49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BROKER’S COMMISSION</w:t>
      </w:r>
      <w:r>
        <w:rPr>
          <w:rFonts w:ascii="Arial" w:cs="Arial" w:eastAsia="Arial" w:hAnsi="Arial"/>
          <w:sz w:val="16"/>
          <w:szCs w:val="16"/>
          <w:color w:val="auto"/>
        </w:rPr>
        <w:t>. Landlord and Tenant each represent and warrant to the other that there are no claims for brokerage commissions or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fees in connection with the execution of this Lease except to Colliers International of Connecticut, Inc., and Londregan Commercial Real Estate Group, which commission is to be paid by Landlord pursuant to a separate written agreement, and each agrees to indemnify the other against and hold it harmless from all liabilities arising from any such claim, including cost of counsel fees, which are alleged to arise out of the acts or conduct of the indemnifying party.</w:t>
      </w:r>
    </w:p>
    <w:p>
      <w:pPr>
        <w:spacing w:after="0" w:line="103" w:lineRule="exact"/>
        <w:rPr>
          <w:rFonts w:ascii="Arial" w:cs="Arial" w:eastAsia="Arial" w:hAnsi="Arial"/>
          <w:sz w:val="16"/>
          <w:szCs w:val="16"/>
          <w:color w:val="auto"/>
        </w:rPr>
      </w:pPr>
    </w:p>
    <w:p>
      <w:pPr>
        <w:ind w:right="540" w:firstLine="236"/>
        <w:spacing w:after="0" w:line="275" w:lineRule="auto"/>
        <w:tabs>
          <w:tab w:leader="none" w:pos="492"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agrees to abide by and conform to any reasonable rules and regulations promulgated from time to time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w:t>
      </w:r>
    </w:p>
    <w:p>
      <w:pPr>
        <w:spacing w:after="0" w:line="119" w:lineRule="exact"/>
        <w:rPr>
          <w:rFonts w:ascii="Arial" w:cs="Arial" w:eastAsia="Arial" w:hAnsi="Arial"/>
          <w:sz w:val="18"/>
          <w:szCs w:val="18"/>
          <w:color w:val="auto"/>
        </w:rPr>
      </w:pPr>
    </w:p>
    <w:p>
      <w:pPr>
        <w:ind w:right="60" w:firstLine="236"/>
        <w:spacing w:after="0" w:line="310" w:lineRule="auto"/>
        <w:tabs>
          <w:tab w:leader="none" w:pos="49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LIMITATION OF LIABILITY</w:t>
      </w:r>
      <w:r>
        <w:rPr>
          <w:rFonts w:ascii="Arial" w:cs="Arial" w:eastAsia="Arial" w:hAnsi="Arial"/>
          <w:sz w:val="16"/>
          <w:szCs w:val="16"/>
          <w:color w:val="auto"/>
        </w:rPr>
        <w:t>. Anything in this Lease to the contrary notwithstanding, Tenant agrees that it shall look solely to the interest of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Property for the satisfaction of any claim against Landlord arising out of this Lease, the Premises or the Property, and no other assets of Landlord or its partners, members, agents or employees shall be subject to levy, execution or other procedures for the satisfaction of Tenant’s remedies.</w:t>
      </w:r>
    </w:p>
    <w:p>
      <w:pPr>
        <w:spacing w:after="0" w:line="97" w:lineRule="exact"/>
        <w:rPr>
          <w:rFonts w:ascii="Arial" w:cs="Arial" w:eastAsia="Arial" w:hAnsi="Arial"/>
          <w:sz w:val="16"/>
          <w:szCs w:val="16"/>
          <w:color w:val="auto"/>
        </w:rPr>
      </w:pPr>
    </w:p>
    <w:p>
      <w:pPr>
        <w:ind w:left="500" w:hanging="264"/>
        <w:spacing w:after="0"/>
        <w:tabs>
          <w:tab w:leader="none" w:pos="500"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ESTOPPEL CERTIFICATES</w:t>
      </w:r>
      <w:r>
        <w:rPr>
          <w:rFonts w:ascii="Arial" w:cs="Arial" w:eastAsia="Arial" w:hAnsi="Arial"/>
          <w:sz w:val="16"/>
          <w:szCs w:val="16"/>
          <w:color w:val="auto"/>
        </w:rPr>
        <w:t>. Tenant shall, upon request by Landlord and within ten (10) days of such request, execute and deliver to Landlord a</w:t>
      </w:r>
    </w:p>
    <w:p>
      <w:pPr>
        <w:spacing w:after="0" w:line="44"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written declaration in recordable form: (1) ratifying this Lease; (2) expressing the commencement and termination dates thereof; (3) certifying that this Lease is in full force and effect and has not been assigned, modified, supplemented or amended (except by such writings as shall be stated); (4) that all conditions under this Lease to be performed by Landlord have been satisfied or stating those claimed by Tenant not to have been performed; (5) that there are no defenses or offsets against the enforcement of this Lease by Landlord, or stating those claimed by Tenant; (6) the amount of advance rental, if any, (or none if such is the case) paid by Tenant; (7) the date to which rental has been paid; (8) the amount of security deposited with Landlord; and such other matters as Landlord may reasonably request. Landlord’s mortgage lenders and/or purchasers shall be entitled to rely upon same.</w:t>
      </w:r>
    </w:p>
    <w:p>
      <w:pPr>
        <w:spacing w:after="0" w:line="112" w:lineRule="exact"/>
        <w:rPr>
          <w:rFonts w:ascii="Arial" w:cs="Arial" w:eastAsia="Arial" w:hAnsi="Arial"/>
          <w:sz w:val="16"/>
          <w:szCs w:val="16"/>
          <w:color w:val="auto"/>
        </w:rPr>
      </w:pPr>
    </w:p>
    <w:p>
      <w:pPr>
        <w:ind w:right="20" w:firstLine="236"/>
        <w:spacing w:after="0" w:line="283" w:lineRule="auto"/>
        <w:tabs>
          <w:tab w:leader="none" w:pos="49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LAW. </w:t>
      </w:r>
      <w:r>
        <w:rPr>
          <w:rFonts w:ascii="Arial" w:cs="Arial" w:eastAsia="Arial" w:hAnsi="Arial"/>
          <w:sz w:val="16"/>
          <w:szCs w:val="16"/>
          <w:color w:val="auto"/>
        </w:rPr>
        <w:t>This Section shall not limit the generality of Section 14 hereof. As used in this Lease, the term “Hazardous Materials” shall</w:t>
      </w:r>
      <w:r>
        <w:rPr>
          <w:rFonts w:ascii="Arial" w:cs="Arial" w:eastAsia="Arial" w:hAnsi="Arial"/>
          <w:sz w:val="16"/>
          <w:szCs w:val="16"/>
          <w:b w:val="1"/>
          <w:bCs w:val="1"/>
          <w:color w:val="auto"/>
        </w:rPr>
        <w:t xml:space="preserve"> </w:t>
      </w:r>
      <w:r>
        <w:rPr>
          <w:rFonts w:ascii="Arial" w:cs="Arial" w:eastAsia="Arial" w:hAnsi="Arial"/>
          <w:sz w:val="16"/>
          <w:szCs w:val="16"/>
          <w:color w:val="auto"/>
        </w:rPr>
        <w:t>mean and include any substance that is or contains petroleum, asbestos, polychlorinated byphenyls, lead, or any other substance, material or waste which is now or is hereafter classified or considered to be hazardous or toxic under any federal, state or local law, rule, regulation or ordinance relating to pollution or the protection or regulation of human health, natural resources or the environment)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or poses or threatens to pose a hazard to the health or safety of persons on the Premises or any adjacent property. Tenant agrees that during its use and occupancy of the Premises it will not permit Hazardous Materials to be present on or about the Premises, the Building or the Land, except in a manner and quantity necessary for the ordinary performance of Tenant’s business and that it will comply with all Environmental Laws relating to the use, storage or disposal or any such Hazardous Materials. If Tenant’s use of Hazardous Materials on or about the Premises, the Building or the Land results in the Property being deemed to be an “establishment” under the Connecticut Transfer Act or in a release, discharge or disposal of Hazardous Materials on, in, at, under, or emanating from, the Premises, the Building or the Land, Tenant agrees to investigate, clean up, remove or remediate such Hazardous Materials in full compliance with (a) the requirements of (i) all Environmental Laws and</w:t>
      </w:r>
    </w:p>
    <w:p>
      <w:pPr>
        <w:spacing w:after="0" w:line="3" w:lineRule="exact"/>
        <w:rPr>
          <w:rFonts w:ascii="Arial" w:cs="Arial" w:eastAsia="Arial" w:hAnsi="Arial"/>
          <w:sz w:val="16"/>
          <w:szCs w:val="16"/>
          <w:color w:val="auto"/>
        </w:rPr>
      </w:pPr>
    </w:p>
    <w:p>
      <w:pPr>
        <w:ind w:right="140" w:firstLine="8"/>
        <w:spacing w:after="0" w:line="261" w:lineRule="auto"/>
        <w:tabs>
          <w:tab w:leader="none" w:pos="2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governmental agency or authority responsible for the enforcement of any Environmental Laws; and (b) any additional requirements of Landlord that are reasonably necessary to protect the value of the Premises. Landlord shall also have the right, but not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05" w:name="page206"/>
    <w:bookmarkEnd w:id="20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to take whatever action with respect to any such Hazardous Materials that it deems reasonably necessary to protect the value of the Premises, the Building or the Land. All costs and expenses paid or incurred by Landlord in the exercise of such right shall be payable by Tenant upon demand. Upon reasonable notice to Tenant, Landlord may inspect Premises for the purpose of determining whether there exists on the Premises any Hazardous Materials or other condition or activity that is in violation of the requirements of this Lease or of any Environmental Laws. The right granted to Landlord herein to perform inspections shall not create a duty on Landlord’s part to inspect the Premises, or liability on the part of Landlord for Tenant’s use, storage or disposal of Hazardous Materials, it being understood that Tenant shall be solely responsible for all liability in connection therewith. Tenant shall surrender the Premises to Landlord upon the expiration or earlier termination of this Lease free of debris, waste or Hazardous Materials placed on or about the Premises by Tenant or its agents, employees, contractors or invitees, and in a condition which complies with all Environmental Laws. Tenant agrees to indemnify and hold harmless Landlord from and against any and all claims, losses (including, without limitation, loss in value of the Leased Premises, the Building or the Land) liabilities and expenses (including reasonable attorney’s fees) sustained by Landlord attributable to (i) any Hazardous Materials placed on or about the Premises, the Building, or the Land by Tenant or its agents, employees, contractors or invitees or (ii) Tenant’s breach of any provision of this Section. The provisions of this Section shall survive the expiration or earlier termination of this Lease.</w:t>
      </w:r>
    </w:p>
    <w:p>
      <w:pPr>
        <w:spacing w:after="0" w:line="118" w:lineRule="exact"/>
        <w:rPr>
          <w:sz w:val="20"/>
          <w:szCs w:val="20"/>
          <w:color w:val="auto"/>
        </w:rPr>
      </w:pPr>
    </w:p>
    <w:p>
      <w:pPr>
        <w:ind w:right="260" w:firstLine="236"/>
        <w:spacing w:after="0" w:line="258" w:lineRule="auto"/>
        <w:tabs>
          <w:tab w:leader="none" w:pos="492"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If requested by Landlord, within sixty (60) days after the end of each calendar year, or at any time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sale or financing of the Property, Tenant and any guarantor of Tenant’s obligations pursuant to this Lease shall submit to Landlord a statement of a reasonable approximation of Tenant’s minimum net worth in form and detail reasonably satisfactory to Landlord, subject to Landlord’s execution of Tenant’s customary confidentiality agreement.</w:t>
      </w:r>
    </w:p>
    <w:p>
      <w:pPr>
        <w:spacing w:after="0" w:line="136" w:lineRule="exact"/>
        <w:rPr>
          <w:rFonts w:ascii="Arial" w:cs="Arial" w:eastAsia="Arial" w:hAnsi="Arial"/>
          <w:sz w:val="18"/>
          <w:szCs w:val="18"/>
          <w:color w:val="auto"/>
        </w:rPr>
      </w:pPr>
    </w:p>
    <w:p>
      <w:pPr>
        <w:ind w:left="500" w:hanging="264"/>
        <w:spacing w:after="0"/>
        <w:tabs>
          <w:tab w:leader="none" w:pos="5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400" w:firstLine="464"/>
        <w:spacing w:after="0" w:line="268" w:lineRule="auto"/>
        <w:tabs>
          <w:tab w:leader="none" w:pos="695" w:val="left"/>
        </w:tabs>
        <w:numPr>
          <w:ilvl w:val="2"/>
          <w:numId w:val="133"/>
        </w:numPr>
        <w:rPr>
          <w:rFonts w:ascii="Arial" w:cs="Arial" w:eastAsia="Arial" w:hAnsi="Arial"/>
          <w:sz w:val="18"/>
          <w:szCs w:val="18"/>
          <w:color w:val="auto"/>
        </w:rPr>
      </w:pPr>
      <w:r>
        <w:rPr>
          <w:rFonts w:ascii="Arial" w:cs="Arial" w:eastAsia="Arial" w:hAnsi="Arial"/>
          <w:sz w:val="18"/>
          <w:szCs w:val="18"/>
          <w:u w:val="single" w:color="auto"/>
          <w:color w:val="auto"/>
        </w:rPr>
        <w:t>Rights Cumulative</w:t>
      </w:r>
      <w:r>
        <w:rPr>
          <w:rFonts w:ascii="Arial" w:cs="Arial" w:eastAsia="Arial" w:hAnsi="Arial"/>
          <w:sz w:val="18"/>
          <w:szCs w:val="18"/>
          <w:color w:val="auto"/>
        </w:rPr>
        <w:t>. All rights and remedies of Landlord under this Lease shall be cumulative and none shall exclude any other rights and remedies allowed by law.</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2"/>
          <w:numId w:val="133"/>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All payments becoming due to Landlord under this Lease and remaining unpaid when due shall bear interest until paid at the lesser of</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twelve (12%) percent or (ii) the highest rate which is at the time lawful in the State of Connecticut.</w:t>
      </w:r>
    </w:p>
    <w:p>
      <w:pPr>
        <w:spacing w:after="0" w:line="164" w:lineRule="exact"/>
        <w:rPr>
          <w:rFonts w:ascii="Arial" w:cs="Arial" w:eastAsia="Arial" w:hAnsi="Arial"/>
          <w:sz w:val="18"/>
          <w:szCs w:val="18"/>
          <w:color w:val="auto"/>
        </w:rPr>
      </w:pPr>
    </w:p>
    <w:p>
      <w:pPr>
        <w:ind w:right="220" w:firstLine="464"/>
        <w:spacing w:after="0" w:line="268" w:lineRule="auto"/>
        <w:tabs>
          <w:tab w:leader="none" w:pos="695" w:val="left"/>
        </w:tabs>
        <w:numPr>
          <w:ilvl w:val="2"/>
          <w:numId w:val="134"/>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The necessary grammatical changes required to make the provisions hereof apply either to corporations or partnerships or individuals, men or women, as the case may require, shall in all cases be assumed as though in each case fully expressed.</w:t>
      </w:r>
    </w:p>
    <w:p>
      <w:pPr>
        <w:spacing w:after="0" w:line="131" w:lineRule="exact"/>
        <w:rPr>
          <w:rFonts w:ascii="Arial" w:cs="Arial" w:eastAsia="Arial" w:hAnsi="Arial"/>
          <w:sz w:val="18"/>
          <w:szCs w:val="18"/>
          <w:color w:val="auto"/>
        </w:rPr>
      </w:pPr>
    </w:p>
    <w:p>
      <w:pPr>
        <w:ind w:right="100" w:firstLine="464"/>
        <w:spacing w:after="0" w:line="259" w:lineRule="auto"/>
        <w:tabs>
          <w:tab w:leader="none" w:pos="705" w:val="left"/>
        </w:tabs>
        <w:numPr>
          <w:ilvl w:val="2"/>
          <w:numId w:val="13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Each of the provisions of this Lease shall extend to and shall, as the case may require, bind or inure to the benefit not only of the Landlord and of Tenant, but also their respective successors or assigns, provided this clause shall not permit any assignment by Tenant contrary to the provisions of Section this Lease.</w:t>
      </w:r>
    </w:p>
    <w:p>
      <w:pPr>
        <w:spacing w:after="0" w:line="140" w:lineRule="exact"/>
        <w:rPr>
          <w:rFonts w:ascii="Arial" w:cs="Arial" w:eastAsia="Arial" w:hAnsi="Arial"/>
          <w:sz w:val="18"/>
          <w:szCs w:val="18"/>
          <w:color w:val="auto"/>
        </w:rPr>
      </w:pPr>
    </w:p>
    <w:p>
      <w:pPr>
        <w:ind w:right="20" w:firstLine="464"/>
        <w:spacing w:after="0" w:line="259" w:lineRule="auto"/>
        <w:tabs>
          <w:tab w:leader="none" w:pos="695" w:val="left"/>
        </w:tabs>
        <w:numPr>
          <w:ilvl w:val="2"/>
          <w:numId w:val="134"/>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Tenant hereby represents and warrants to Landlord that Tenant is a validly created entity in good standing in its state of formation, that all management action necessary for the valid execution and deliver of this Lease has been performed and that the undersigned is authorized to execute this Lease on behalf of Tenant.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6" w:name="page207"/>
    <w:bookmarkEnd w:id="206"/>
    <w:p>
      <w:pPr>
        <w:ind w:left="-20" w:right="240" w:firstLine="464"/>
        <w:spacing w:after="0" w:line="259" w:lineRule="auto"/>
        <w:tabs>
          <w:tab w:leader="none" w:pos="65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Contains All Terms</w:t>
      </w:r>
      <w:r>
        <w:rPr>
          <w:rFonts w:ascii="Arial" w:cs="Arial" w:eastAsia="Arial" w:hAnsi="Arial"/>
          <w:sz w:val="18"/>
          <w:szCs w:val="18"/>
          <w:color w:val="auto"/>
        </w:rPr>
        <w:t>. All of the representations and obligations of Landlord are contained herein, and no modification, waiver or amendment of this Lease or of any of its conditions or provisions shall be binding upon the Landlord unless in writing signed by Landlord or by a duly authorized agent of Landlord empowered by a written authority signed by Landlord.</w:t>
      </w:r>
    </w:p>
    <w:p>
      <w:pPr>
        <w:spacing w:after="0" w:line="140" w:lineRule="exact"/>
        <w:rPr>
          <w:rFonts w:ascii="Arial" w:cs="Arial" w:eastAsia="Arial" w:hAnsi="Arial"/>
          <w:sz w:val="18"/>
          <w:szCs w:val="18"/>
          <w:color w:val="auto"/>
        </w:rPr>
      </w:pPr>
    </w:p>
    <w:p>
      <w:pPr>
        <w:ind w:left="-20" w:right="160" w:firstLine="464"/>
        <w:spacing w:after="0" w:line="259"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Delivery for Examination</w:t>
      </w:r>
      <w:r>
        <w:rPr>
          <w:rFonts w:ascii="Arial" w:cs="Arial" w:eastAsia="Arial" w:hAnsi="Arial"/>
          <w:sz w:val="18"/>
          <w:szCs w:val="18"/>
          <w:color w:val="auto"/>
        </w:rPr>
        <w:t>. Submission of the form of the Lease for examination or negotiation shall not constitute an offer to lease on the terms contained therein, nor shall such submission bind Landlord in any manner, and no Lease or obligations of the Landlord shall arise until this instrument is signed by both Landlord and Tenant and delivery is made to each.</w:t>
      </w:r>
    </w:p>
    <w:p>
      <w:pPr>
        <w:spacing w:after="0" w:line="140" w:lineRule="exact"/>
        <w:rPr>
          <w:rFonts w:ascii="Arial" w:cs="Arial" w:eastAsia="Arial" w:hAnsi="Arial"/>
          <w:sz w:val="18"/>
          <w:szCs w:val="18"/>
          <w:color w:val="auto"/>
        </w:rPr>
      </w:pPr>
    </w:p>
    <w:p>
      <w:pPr>
        <w:ind w:left="-20" w:right="180" w:firstLine="464"/>
        <w:spacing w:after="0" w:line="268"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w:t>
      </w:r>
    </w:p>
    <w:p>
      <w:pPr>
        <w:spacing w:after="0" w:line="131" w:lineRule="exact"/>
        <w:rPr>
          <w:rFonts w:ascii="Arial" w:cs="Arial" w:eastAsia="Arial" w:hAnsi="Arial"/>
          <w:sz w:val="18"/>
          <w:szCs w:val="18"/>
          <w:color w:val="auto"/>
        </w:rPr>
      </w:pPr>
    </w:p>
    <w:p>
      <w:pPr>
        <w:ind w:left="-20" w:right="80" w:firstLine="464"/>
        <w:spacing w:after="0" w:line="256" w:lineRule="auto"/>
        <w:tabs>
          <w:tab w:leader="none" w:pos="64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Modification of Lease</w:t>
      </w:r>
      <w:r>
        <w:rPr>
          <w:rFonts w:ascii="Arial" w:cs="Arial" w:eastAsia="Arial" w:hAnsi="Arial"/>
          <w:sz w:val="18"/>
          <w:szCs w:val="18"/>
          <w:color w:val="auto"/>
        </w:rPr>
        <w:t>. If any lender requires, as a condition to its lending funds the repayment of which is to be secured by a mortgage or trust deed on the Land and Building or either, that certain modifications be made to this Lease, which modifications will not require Tenant to pay any additional amounts or otherwise materially and adversely change the rights or obligations of Tenant hereunder, Tenant shall, upon Landlord’s request, execute appropriate instruments effecting such modifications.</w:t>
      </w:r>
    </w:p>
    <w:p>
      <w:pPr>
        <w:spacing w:after="0" w:line="143" w:lineRule="exact"/>
        <w:rPr>
          <w:sz w:val="20"/>
          <w:szCs w:val="20"/>
          <w:color w:val="auto"/>
        </w:rPr>
      </w:pPr>
    </w:p>
    <w:p>
      <w:pPr>
        <w:ind w:left="-20" w:firstLine="464"/>
        <w:spacing w:after="0" w:line="294"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Transfer of Landlord’s Interest</w:t>
      </w:r>
      <w:r>
        <w:rPr>
          <w:rFonts w:ascii="Arial" w:cs="Arial" w:eastAsia="Arial" w:hAnsi="Arial"/>
          <w:sz w:val="16"/>
          <w:szCs w:val="16"/>
          <w:color w:val="auto"/>
        </w:rPr>
        <w:t>. Tenant acknowledges that Landlord has the right to transfer its interest in the Land and Building and in this Lease, and Tenant agrees that in the event of any such transfer Landlord shall automatically be released from all liability thereafter arising under this Lease and Tenant agrees to look solely to such transferee for the performance of Landlord’s obligations hereunder.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115" w:lineRule="exact"/>
        <w:rPr>
          <w:rFonts w:ascii="Arial" w:cs="Arial" w:eastAsia="Arial" w:hAnsi="Arial"/>
          <w:sz w:val="16"/>
          <w:szCs w:val="16"/>
          <w:color w:val="auto"/>
        </w:rPr>
      </w:pPr>
    </w:p>
    <w:p>
      <w:pPr>
        <w:ind w:left="-20" w:right="180" w:firstLine="464"/>
        <w:spacing w:after="0" w:line="268" w:lineRule="auto"/>
        <w:tabs>
          <w:tab w:leader="none" w:pos="64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131" w:lineRule="exact"/>
        <w:rPr>
          <w:rFonts w:ascii="Arial" w:cs="Arial" w:eastAsia="Arial" w:hAnsi="Arial"/>
          <w:sz w:val="18"/>
          <w:szCs w:val="18"/>
          <w:color w:val="auto"/>
        </w:rPr>
      </w:pPr>
    </w:p>
    <w:p>
      <w:pPr>
        <w:ind w:left="-20" w:right="180" w:firstLine="464"/>
        <w:spacing w:after="0" w:line="268" w:lineRule="auto"/>
        <w:tabs>
          <w:tab w:leader="none" w:pos="734"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sections and subsections are for convenience only and shall not be deemed to limit, construe, or affect the meaning of such sections or subsections.</w:t>
      </w:r>
    </w:p>
    <w:p>
      <w:pPr>
        <w:spacing w:after="0" w:line="131" w:lineRule="exact"/>
        <w:rPr>
          <w:rFonts w:ascii="Arial" w:cs="Arial" w:eastAsia="Arial" w:hAnsi="Arial"/>
          <w:sz w:val="18"/>
          <w:szCs w:val="18"/>
          <w:color w:val="auto"/>
        </w:rPr>
      </w:pPr>
    </w:p>
    <w:p>
      <w:pPr>
        <w:ind w:left="-20" w:right="100" w:firstLine="464"/>
        <w:spacing w:after="0" w:line="298"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Consent of Landlord</w:t>
      </w:r>
      <w:r>
        <w:rPr>
          <w:rFonts w:ascii="Arial" w:cs="Arial" w:eastAsia="Arial" w:hAnsi="Arial"/>
          <w:sz w:val="16"/>
          <w:szCs w:val="16"/>
          <w:color w:val="auto"/>
        </w:rPr>
        <w:t>. Where, under the terms of this Lease, the consent or approval of Landlord shall be required, such consent or approval, unless otherwise expressly provided for herein to the contrary, may be arbitrarily withheld. Notwithstanding anything to the contrary, Tenant shall not be entitled to any claim for direct or consequential damages in the event Landlord is determined to have improperly withheld its consent hereunder, it being the intention of the parties that Tenant shall only be entitled to an order for specific performance or injunction in such event.</w:t>
      </w:r>
    </w:p>
    <w:p>
      <w:pPr>
        <w:spacing w:after="0" w:line="112" w:lineRule="exact"/>
        <w:rPr>
          <w:rFonts w:ascii="Arial" w:cs="Arial" w:eastAsia="Arial" w:hAnsi="Arial"/>
          <w:sz w:val="16"/>
          <w:szCs w:val="16"/>
          <w:color w:val="auto"/>
        </w:rPr>
      </w:pPr>
    </w:p>
    <w:p>
      <w:pPr>
        <w:ind w:left="-20" w:right="60" w:firstLine="464"/>
        <w:spacing w:after="0" w:line="332"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Covenants and Conditions</w:t>
      </w:r>
      <w:r>
        <w:rPr>
          <w:rFonts w:ascii="Arial" w:cs="Arial" w:eastAsia="Arial" w:hAnsi="Arial"/>
          <w:sz w:val="16"/>
          <w:szCs w:val="16"/>
          <w:color w:val="auto"/>
        </w:rPr>
        <w:t>. All of the covenants of Tenant hereunder shall be deemed and construed to be “conditions”, if Landlord so elects, as well as “covenants” as though the words specifically expressing or importing covenants and conditions were used in each separate instance.</w:t>
      </w:r>
    </w:p>
    <w:p>
      <w:pPr>
        <w:spacing w:after="0" w:line="85" w:lineRule="exact"/>
        <w:rPr>
          <w:rFonts w:ascii="Arial" w:cs="Arial" w:eastAsia="Arial" w:hAnsi="Arial"/>
          <w:sz w:val="16"/>
          <w:szCs w:val="16"/>
          <w:color w:val="auto"/>
        </w:rPr>
      </w:pPr>
    </w:p>
    <w:p>
      <w:pPr>
        <w:ind w:left="-20" w:right="180" w:firstLine="464"/>
        <w:spacing w:after="0" w:line="268"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Only Landlord/Tenant Relationship</w:t>
      </w:r>
      <w:r>
        <w:rPr>
          <w:rFonts w:ascii="Arial" w:cs="Arial" w:eastAsia="Arial" w:hAnsi="Arial"/>
          <w:sz w:val="18"/>
          <w:szCs w:val="18"/>
          <w:color w:val="auto"/>
        </w:rPr>
        <w:t>. Nothing contained in this Lease shall be deemed or construed by the parties hereto or by any third party to create the relationship of principal and agent,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207" w:name="page208"/>
    <w:bookmarkEnd w:id="207"/>
    <w:p>
      <w:pPr>
        <w:jc w:val="both"/>
        <w:ind w:right="1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partnership, joint venturer or any association between Landlord and Tenant, it being expressly understood and agreed that neither the method of computation of Rent nor any act of the parties hereto shall be deemed to create any relationship between Landlord and Tenant other than the relationship of landlord and tenant.</w:t>
      </w:r>
    </w:p>
    <w:p>
      <w:pPr>
        <w:spacing w:after="0" w:line="62" w:lineRule="exact"/>
        <w:rPr>
          <w:sz w:val="20"/>
          <w:szCs w:val="20"/>
          <w:color w:val="auto"/>
        </w:rPr>
      </w:pPr>
    </w:p>
    <w:p>
      <w:pPr>
        <w:ind w:right="680" w:firstLine="464"/>
        <w:spacing w:after="0" w:line="370" w:lineRule="auto"/>
        <w:tabs>
          <w:tab w:leader="none" w:pos="705"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Application of Payments</w:t>
      </w:r>
      <w:r>
        <w:rPr>
          <w:rFonts w:ascii="Arial" w:cs="Arial" w:eastAsia="Arial" w:hAnsi="Arial"/>
          <w:sz w:val="15"/>
          <w:szCs w:val="15"/>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62" w:lineRule="exact"/>
        <w:rPr>
          <w:rFonts w:ascii="Arial" w:cs="Arial" w:eastAsia="Arial" w:hAnsi="Arial"/>
          <w:sz w:val="15"/>
          <w:szCs w:val="15"/>
          <w:color w:val="auto"/>
        </w:rPr>
      </w:pPr>
    </w:p>
    <w:p>
      <w:pPr>
        <w:ind w:firstLine="464"/>
        <w:spacing w:after="0" w:line="259" w:lineRule="auto"/>
        <w:tabs>
          <w:tab w:leader="none" w:pos="67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Invalidity or Inapplicability</w:t>
      </w:r>
      <w:r>
        <w:rPr>
          <w:rFonts w:ascii="Arial" w:cs="Arial" w:eastAsia="Arial" w:hAnsi="Arial"/>
          <w:sz w:val="18"/>
          <w:szCs w:val="18"/>
          <w:color w:val="auto"/>
        </w:rPr>
        <w:t>. If any term or provision of this Lease or the application thereof to any person or circumstances shall, to any extent, be invalid or unenforceable, the remainder of this Lease shall not be affected thereby, and each term and provision of this Lease shall be valid and enforceable to the fullest extent permitted by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of this Lease and each of its provisions.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Interpretation of this Lease shall be governed by the law of the State of Connecticut.</w:t>
      </w:r>
    </w:p>
    <w:p>
      <w:pPr>
        <w:spacing w:after="0" w:line="171" w:lineRule="exact"/>
        <w:rPr>
          <w:rFonts w:ascii="Arial" w:cs="Arial" w:eastAsia="Arial" w:hAnsi="Arial"/>
          <w:sz w:val="18"/>
          <w:szCs w:val="18"/>
          <w:color w:val="auto"/>
        </w:rPr>
      </w:pPr>
    </w:p>
    <w:p>
      <w:pPr>
        <w:ind w:right="80" w:firstLine="464"/>
        <w:spacing w:after="0" w:line="294" w:lineRule="auto"/>
        <w:tabs>
          <w:tab w:leader="none" w:pos="70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Signage</w:t>
      </w:r>
      <w:r>
        <w:rPr>
          <w:rFonts w:ascii="Arial" w:cs="Arial" w:eastAsia="Arial" w:hAnsi="Arial"/>
          <w:sz w:val="16"/>
          <w:szCs w:val="16"/>
          <w:color w:val="auto"/>
        </w:rPr>
        <w:t>. Landlord shall provide Tenant with a sign on the directory in the lobby of the Building and entrance floor signage on any partial floor comprising a portion of the Premises, which signage shall conform to building standard and shall be subject to Landlord’s approval, which approval shall not be unreasonably withheld. Additionally, the anchor tenant (66% of the property) has secured exclusive rights to place its signage on the exterior of the Building. Landlord will permit building signage rights to Tenant subject to securing express consent from the existing anchor tenant. Any building signs that may be installed following receipt of such consent shall be at the sole expense of Tenant.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Intentionally Deleted.</w:t>
      </w:r>
    </w:p>
    <w:p>
      <w:pPr>
        <w:spacing w:after="0" w:line="165" w:lineRule="exact"/>
        <w:rPr>
          <w:rFonts w:ascii="Arial" w:cs="Arial" w:eastAsia="Arial" w:hAnsi="Arial"/>
          <w:sz w:val="18"/>
          <w:szCs w:val="18"/>
          <w:color w:val="auto"/>
        </w:rPr>
      </w:pPr>
    </w:p>
    <w:p>
      <w:pPr>
        <w:ind w:firstLine="464"/>
        <w:spacing w:after="0" w:line="301" w:lineRule="auto"/>
        <w:tabs>
          <w:tab w:leader="none" w:pos="744" w:val="left"/>
        </w:tabs>
        <w:numPr>
          <w:ilvl w:val="0"/>
          <w:numId w:val="137"/>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RIGHT TO JURY TRIAL.</w:t>
      </w:r>
      <w:r>
        <w:rPr>
          <w:rFonts w:ascii="Arial" w:cs="Arial" w:eastAsia="Arial" w:hAnsi="Arial"/>
          <w:sz w:val="16"/>
          <w:szCs w:val="16"/>
          <w:b w:val="1"/>
          <w:bCs w:val="1"/>
          <w:color w:val="auto"/>
        </w:rPr>
        <w:t xml:space="preserve"> TENANT HEREBY KNOWINGLY, VOLUNTARILY AND IRREVOCABLY WAIVES ANY RIGHT THE TENANT MAY HAVE TO TRIAL BY JURY IN ANY ACTION OR PROCEEDING OF ANY KIND OR NATURE, IN ANY COURT IN WHICH AN ACTION MAY BE COMMENCED, ARISING OUT OF OR IN CONNECTION WITH THE LEASE AND/OR THE PREMISES, OR BY REASON OF ANY OTHER CAUSE OR DISPUTE WHATSOEVER BETWEEN TENANT AND LANDLORD OF ANY KIND OR NATURE.</w:t>
      </w:r>
    </w:p>
    <w:p>
      <w:pPr>
        <w:spacing w:after="0" w:line="109" w:lineRule="exact"/>
        <w:rPr>
          <w:rFonts w:ascii="Arial" w:cs="Arial" w:eastAsia="Arial" w:hAnsi="Arial"/>
          <w:sz w:val="16"/>
          <w:szCs w:val="16"/>
          <w:color w:val="auto"/>
        </w:rPr>
      </w:pPr>
    </w:p>
    <w:p>
      <w:pPr>
        <w:ind w:right="640" w:firstLine="464"/>
        <w:spacing w:after="0" w:line="370" w:lineRule="auto"/>
        <w:tabs>
          <w:tab w:leader="none" w:pos="705"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Joint And Several Obligations of Tenant.</w:t>
      </w:r>
      <w:r>
        <w:rPr>
          <w:rFonts w:ascii="Arial" w:cs="Arial" w:eastAsia="Arial" w:hAnsi="Arial"/>
          <w:sz w:val="15"/>
          <w:szCs w:val="15"/>
          <w:color w:val="auto"/>
        </w:rPr>
        <w:t xml:space="preserve"> In the event that this Lease is executed by more than one person as Tenant hereunder, each person so executing this lease shall be jointly and severally liable with each such other person for the performance of all of the obligations of Tenant hereunder.</w:t>
      </w:r>
    </w:p>
    <w:p>
      <w:pPr>
        <w:spacing w:after="0" w:line="62" w:lineRule="exact"/>
        <w:rPr>
          <w:rFonts w:ascii="Arial" w:cs="Arial" w:eastAsia="Arial" w:hAnsi="Arial"/>
          <w:sz w:val="15"/>
          <w:szCs w:val="15"/>
          <w:color w:val="auto"/>
        </w:rPr>
      </w:pPr>
    </w:p>
    <w:p>
      <w:pPr>
        <w:ind w:right="840" w:firstLine="464"/>
        <w:spacing w:after="0" w:line="268"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Lease may be executed in several counterparts all of which shall constitute one instrument, binding on all parties hereto, notwithstanding that all the parties are not signatories to the same counterpart.</w:t>
      </w:r>
    </w:p>
    <w:p>
      <w:pPr>
        <w:spacing w:after="0" w:line="131"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In the event that Landlord or Tenant is prevented from performing any obligation hereunder by reason of: (1) unusually severe weather and natural phenomena, including without limitation, storms, floods, lightning, hurricanes, and earthquakes; (2) fires; (3) wars, civil</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08" w:name="page209"/>
    <w:bookmarkEnd w:id="20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disturbances, riots, acts of terrorism, insurrections and sabotage; (4) transportation disasters, whether by sea, rail, air or land; (5) strikes or other labor disputes that are not due to the breach of a labor agreement by the affected party; and (6) actions or failures to act of a governmental authority not reasonably foreseeable, including changes in laws or codes not reasonably foreseeable, that were not voluntarily induced or promoted by the affected party or brought about by the breach of its obligations, the period of time for the performance of such obligation (except the payment of Rent) shall be extended by the period of time during which such party is prevented from performing its obligation by reason of such occurrence.</w:t>
      </w:r>
    </w:p>
    <w:p>
      <w:pPr>
        <w:spacing w:after="0" w:line="116" w:lineRule="exact"/>
        <w:rPr>
          <w:sz w:val="20"/>
          <w:szCs w:val="20"/>
          <w:color w:val="auto"/>
        </w:rPr>
      </w:pPr>
    </w:p>
    <w:p>
      <w:pPr>
        <w:ind w:firstLine="464"/>
        <w:spacing w:after="0" w:line="290" w:lineRule="auto"/>
        <w:tabs>
          <w:tab w:leader="none" w:pos="773"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Tenant shall have the right, subject to the rights of any other tenants of the Property existing as of the date hereof, to reasonable parking area on the Property on a non-exclusive and non-reserved basis at no additional charge to Tenant. Tenant shall cause its employees, licensees, invitees and agents to comply with all reasonable rules and regulations promulgated by Landlord from time to time regarding the use of such parking areas. Landlord reserves the right to designate specific parking spaces for the parking of other tenants in the Building. Landlord shall provide Tenant four (4) expressly designated parking spaces in the covered parking area, as noted on the parking plan attached as Exhibit C. If Landlord shall be unable to provide the foregoing parking for reasons outside of Landlord’s control, including, without limitation, any condemnation or other taking, such failure shall not: (i) constitute a default hereunder, (ii) result in any reduction or abatement of Rent due hereunder, (iii) give rise to any right to terminate this Lease, (iv) give rise to any other claim of Tenant against Landlord.</w:t>
      </w:r>
    </w:p>
    <w:p>
      <w:pPr>
        <w:spacing w:after="0" w:line="112" w:lineRule="exact"/>
        <w:rPr>
          <w:rFonts w:ascii="Arial" w:cs="Arial" w:eastAsia="Arial" w:hAnsi="Arial"/>
          <w:sz w:val="16"/>
          <w:szCs w:val="16"/>
          <w:color w:val="auto"/>
        </w:rPr>
      </w:pPr>
    </w:p>
    <w:p>
      <w:pPr>
        <w:ind w:right="20" w:firstLine="236"/>
        <w:spacing w:after="0" w:line="256" w:lineRule="auto"/>
        <w:tabs>
          <w:tab w:leader="none" w:pos="492"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RENEWAL OPTION. </w:t>
      </w:r>
      <w:r>
        <w:rPr>
          <w:rFonts w:ascii="Arial" w:cs="Arial" w:eastAsia="Arial" w:hAnsi="Arial"/>
          <w:sz w:val="18"/>
          <w:szCs w:val="18"/>
          <w:color w:val="auto"/>
        </w:rPr>
        <w:t>Provided that Tenant has not defaulted in the performance of any of its obligations hereunder, Tenant shall have the right to extend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Lease for up to one (1) successive period(s) (each a “</w:t>
      </w:r>
      <w:r>
        <w:rPr>
          <w:rFonts w:ascii="Arial" w:cs="Arial" w:eastAsia="Arial" w:hAnsi="Arial"/>
          <w:sz w:val="18"/>
          <w:szCs w:val="18"/>
          <w:b w:val="1"/>
          <w:bCs w:val="1"/>
          <w:color w:val="auto"/>
        </w:rPr>
        <w:t>Renewal Term</w:t>
      </w:r>
      <w:r>
        <w:rPr>
          <w:rFonts w:ascii="Arial" w:cs="Arial" w:eastAsia="Arial" w:hAnsi="Arial"/>
          <w:sz w:val="18"/>
          <w:szCs w:val="18"/>
          <w:color w:val="auto"/>
        </w:rPr>
        <w:t>”) of three (3) years, exercisable by delivering written notice to Landlord no less than nine (9) months prior to the Expiration Date as the same may be extended by virtue of the exercise of Tenant’s right to extend the Lease for each Renewal Term. The Base Rent due during each of the Renewal Terms shall be as set forth in the table in Section 4, which reflects a 3% annual increase from the Base Rent during the Initial Term.</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Landlord and Tenant have executed this Lease as of the date first mentioned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534 EAST MIDDLE TURNPIKE,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Peter Jay Alter,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Peter Jay Alter, Trustee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Sole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FERNDALE REALTY,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READCO Holdings, LLC</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Member</w:t>
      </w:r>
    </w:p>
    <w:p>
      <w:pPr>
        <w:spacing w:after="0" w:line="21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By: /s/ Michael P. Lech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10795</wp:posOffset>
            </wp:positionV>
            <wp:extent cx="23412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Michael P. Lech</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Duly Authorized Member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Peter Jay Alter,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Peter Jay Alter, Trustee of the Leon C. Lech</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Irrevocable Trust under Declaration of Trust</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Dated October 14, 1980</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AMARIN PHARMA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President</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760"/>
          </w:cols>
          <w:pgMar w:left="700" w:top="280" w:right="14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b w:val="1"/>
                <w:bCs w:val="1"/>
                <w:color w:val="auto"/>
                <w:w w:val="86"/>
              </w:rPr>
              <w:t>Subsidiaries of the Registrant as of December 31, 2011</w:t>
            </w:r>
          </w:p>
        </w:tc>
      </w:tr>
      <w:tr>
        <w:trPr>
          <w:trHeight w:val="3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2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Jurisdiction</w:t>
            </w:r>
          </w:p>
        </w:tc>
        <w:tc>
          <w:tcPr>
            <w:tcW w:w="1020" w:type="dxa"/>
            <w:vAlign w:val="bottom"/>
          </w:tcPr>
          <w:p>
            <w:pPr>
              <w:spacing w:after="0"/>
              <w:rPr>
                <w:sz w:val="24"/>
                <w:szCs w:val="24"/>
                <w:color w:val="auto"/>
              </w:rPr>
            </w:pPr>
          </w:p>
        </w:tc>
      </w:tr>
      <w:tr>
        <w:trPr>
          <w:trHeight w:val="201"/>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Amarin Pharmaceuticals Ireland Limited</w:t>
            </w:r>
          </w:p>
        </w:tc>
        <w:tc>
          <w:tcPr>
            <w:tcW w:w="278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Ireland</w:t>
            </w:r>
          </w:p>
        </w:tc>
        <w:tc>
          <w:tcPr>
            <w:tcW w:w="102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Amarin Neuroscience Limited</w:t>
            </w:r>
          </w:p>
        </w:tc>
        <w:tc>
          <w:tcPr>
            <w:tcW w:w="27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Scotland</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Ester Neurosciences Limited</w:t>
            </w:r>
          </w:p>
        </w:tc>
        <w:tc>
          <w:tcPr>
            <w:tcW w:w="27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420"/>
          </w:cols>
          <w:pgMar w:left="240" w:top="125"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333-163704 and 333-170505 on Form F-3, Registration Statement No. 333-173132 on Form S-3, and Registration Statement Nos. 333-146839, 333-143358, 333-132520, 333-110704, 333-101775, 333-84152, 333-168054, 333-176877 and 333-168055 on Form S-8 of our reports dated February 29, 2012, relating to the consolidated financial statements of Amarin Corporation plc and subsidiaries and the effectiveness of Amarin Corporation plc’s internal control over financial reporting, appearing in this Annual Report on Form 10-K of Amarin Corporation plc for the year ended December 31, 2011.</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ectPr>
          <w:pgSz w:w="11900" w:h="16838" w:orient="portrait"/>
          <w:cols w:equalWidth="0" w:num="1">
            <w:col w:w="11420"/>
          </w:cols>
          <w:pgMar w:left="240" w:top="12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February 29, 2012</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Date: February 29, 2012</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6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2011, to which this Certification is attached as Exhibit 32.1 (the “Annual Report”) fully complies with the requirements of Section 13(a) or 15(d) of the Securities Exchange Act; and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29, 2012</w:t>
            </w:r>
          </w:p>
        </w:tc>
        <w:tc>
          <w:tcPr>
            <w:tcW w:w="560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29, 2012</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1)"/>
      <w:numFmt w:val="decimal"/>
      <w:start w:val="1"/>
    </w:lvl>
  </w:abstractNum>
  <w:abstractNum w:abstractNumId="17">
    <w:nsid w:val="68EB2F63"/>
    <w:multiLevelType w:val="hybridMultilevel"/>
    <w:lvl w:ilvl="0">
      <w:lvlJc w:val="left"/>
      <w:lvlText w:val="(%1)"/>
      <w:numFmt w:val="decimal"/>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1)"/>
      <w:numFmt w:val="decimal"/>
      <w:start w:val="2"/>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decimal"/>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decimal"/>
      <w:start w:val="101"/>
    </w:lvl>
  </w:abstractNum>
  <w:abstractNum w:abstractNumId="26">
    <w:nsid w:val="7FB7E0AA"/>
    <w:multiLevelType w:val="hybridMultilevel"/>
    <w:lvl w:ilvl="0">
      <w:lvlJc w:val="left"/>
      <w:lvlText w:val="%1"/>
      <w:numFmt w:val="decimal"/>
      <w:start w:val="101"/>
    </w:lvl>
  </w:abstractNum>
  <w:abstractNum w:abstractNumId="27">
    <w:nsid w:val="6EB5BD4"/>
    <w:multiLevelType w:val="hybridMultilevel"/>
    <w:lvl w:ilvl="0">
      <w:lvlJc w:val="left"/>
      <w:lvlText w:val="%1"/>
      <w:numFmt w:val="decimal"/>
      <w:start w:val="10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2"/>
    </w:lvl>
  </w:abstractNum>
  <w:abstractNum w:abstractNumId="31">
    <w:nsid w:val="76272110"/>
    <w:multiLevelType w:val="hybridMultilevel"/>
    <w:lvl w:ilvl="0">
      <w:lvlJc w:val="left"/>
      <w:lvlText w:val="(%1)"/>
      <w:numFmt w:val="lowerRoman"/>
      <w:start w:val="3"/>
    </w:lvl>
  </w:abstractNum>
  <w:abstractNum w:abstractNumId="32">
    <w:nsid w:val="4C04A8AF"/>
    <w:multiLevelType w:val="hybridMultilevel"/>
    <w:lvl w:ilvl="0">
      <w:lvlJc w:val="left"/>
      <w:lvlText w:val="(%1)"/>
      <w:numFmt w:val="lowerRoman"/>
      <w:start w:val="5"/>
    </w:lvl>
  </w:abstractNum>
  <w:abstractNum w:abstractNumId="33">
    <w:nsid w:val="1716703B"/>
    <w:multiLevelType w:val="hybridMultilevel"/>
    <w:lvl w:ilvl="0">
      <w:lvlJc w:val="left"/>
      <w:lvlText w:val="(%1)"/>
      <w:numFmt w:val="lowerRoman"/>
      <w:start w:val="4"/>
    </w:lvl>
  </w:abstractNum>
  <w:abstractNum w:abstractNumId="34">
    <w:nsid w:val="14E17E33"/>
    <w:multiLevelType w:val="hybridMultilevel"/>
    <w:lvl w:ilvl="0">
      <w:lvlJc w:val="left"/>
      <w:lvlText w:val="(%1)"/>
      <w:numFmt w:val="decimal"/>
      <w:start w:val="3"/>
    </w:lvl>
  </w:abstractNum>
  <w:abstractNum w:abstractNumId="35">
    <w:nsid w:val="3222E7CD"/>
    <w:multiLevelType w:val="hybridMultilevel"/>
    <w:lvl w:ilvl="0">
      <w:lvlJc w:val="left"/>
      <w:lvlText w:val="(%1)"/>
      <w:numFmt w:val="decimal"/>
      <w:start w:val="1"/>
    </w:lvl>
  </w:abstractNum>
  <w:abstractNum w:abstractNumId="36">
    <w:nsid w:val="74DE0EE3"/>
    <w:multiLevelType w:val="hybridMultilevel"/>
    <w:lvl w:ilvl="0">
      <w:lvlJc w:val="left"/>
      <w:lvlText w:val="(%1)"/>
      <w:numFmt w:val="decimal"/>
      <w:start w:val="4"/>
    </w:lvl>
  </w:abstractNum>
  <w:abstractNum w:abstractNumId="37">
    <w:nsid w:val="68EBC550"/>
    <w:multiLevelType w:val="hybridMultilevel"/>
    <w:lvl w:ilvl="0">
      <w:lvlJc w:val="left"/>
      <w:lvlText w:val="(%1)"/>
      <w:numFmt w:val="decimal"/>
      <w:start w:val="5"/>
    </w:lvl>
  </w:abstractNum>
  <w:abstractNum w:abstractNumId="38">
    <w:nsid w:val="2DF6D648"/>
    <w:multiLevelType w:val="hybridMultilevel"/>
    <w:lvl w:ilvl="0">
      <w:lvlJc w:val="left"/>
      <w:lvlText w:val="(%1)"/>
      <w:numFmt w:val="lowerRoman"/>
      <w:start w:val="2"/>
    </w:lvl>
  </w:abstractNum>
  <w:abstractNum w:abstractNumId="39">
    <w:nsid w:val="46B7D447"/>
    <w:multiLevelType w:val="hybridMultilevel"/>
    <w:lvl w:ilvl="0">
      <w:lvlJc w:val="left"/>
      <w:lvlText w:val="(%1)"/>
      <w:numFmt w:val="decimal"/>
      <w:start w:val="8"/>
    </w:lvl>
  </w:abstractNum>
  <w:abstractNum w:abstractNumId="40">
    <w:nsid w:val="4A2AC315"/>
    <w:multiLevelType w:val="hybridMultilevel"/>
    <w:lvl w:ilvl="0">
      <w:lvlJc w:val="left"/>
      <w:lvlText w:val="(%1)"/>
      <w:numFmt w:val="decimal"/>
      <w:start w:val="9"/>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1)"/>
      <w:numFmt w:val="decimal"/>
      <w:start w:val="10"/>
    </w:lvl>
  </w:abstractNum>
  <w:abstractNum w:abstractNumId="44">
    <w:nsid w:val="43F18422"/>
    <w:multiLevelType w:val="hybridMultilevel"/>
    <w:lvl w:ilvl="0">
      <w:lvlJc w:val="left"/>
      <w:lvlText w:val="(%1)"/>
      <w:numFmt w:val="decimal"/>
      <w:start w:val="11"/>
    </w:lvl>
  </w:abstractNum>
  <w:abstractNum w:abstractNumId="45">
    <w:nsid w:val="60EF0119"/>
    <w:multiLevelType w:val="hybridMultilevel"/>
    <w:lvl w:ilvl="0">
      <w:lvlJc w:val="left"/>
      <w:lvlText w:val="(%1)"/>
      <w:numFmt w:val="decimal"/>
      <w:start w:val="12"/>
    </w:lvl>
  </w:abstractNum>
  <w:abstractNum w:abstractNumId="46">
    <w:nsid w:val="26F324BA"/>
    <w:multiLevelType w:val="hybridMultilevel"/>
    <w:lvl w:ilvl="0">
      <w:lvlJc w:val="left"/>
      <w:lvlText w:val="(%1)"/>
      <w:numFmt w:val="decimal"/>
      <w:start w:val="13"/>
    </w:lvl>
  </w:abstractNum>
  <w:abstractNum w:abstractNumId="47">
    <w:nsid w:val="7F01579B"/>
    <w:multiLevelType w:val="hybridMultilevel"/>
    <w:lvl w:ilvl="0">
      <w:lvlJc w:val="left"/>
      <w:lvlText w:val="(%1)"/>
      <w:numFmt w:val="decimal"/>
      <w:start w:val="14"/>
    </w:lvl>
  </w:abstractNum>
  <w:abstractNum w:abstractNumId="48">
    <w:nsid w:val="49DA307D"/>
    <w:multiLevelType w:val="hybridMultilevel"/>
    <w:lvl w:ilvl="0">
      <w:lvlJc w:val="left"/>
      <w:lvlText w:val="(%1)"/>
      <w:numFmt w:val="lowerRoman"/>
      <w:start w:val="3"/>
    </w:lvl>
  </w:abstractNum>
  <w:abstractNum w:abstractNumId="49">
    <w:nsid w:val="7055A5F5"/>
    <w:multiLevelType w:val="hybridMultilevel"/>
    <w:lvl w:ilvl="0">
      <w:lvlJc w:val="left"/>
      <w:lvlText w:val="(%1)"/>
      <w:numFmt w:val="decimal"/>
      <w:start w:val="15"/>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decimal"/>
      <w:start w:val="16"/>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lowerLetter"/>
      <w:start w:val="2"/>
    </w:lvl>
  </w:abstractNum>
  <w:abstractNum w:abstractNumId="54">
    <w:nsid w:val="6AA78F7F"/>
    <w:multiLevelType w:val="hybridMultilevel"/>
    <w:lvl w:ilvl="0">
      <w:lvlJc w:val="left"/>
      <w:lvlText w:val="(%1)"/>
      <w:numFmt w:val="lowerLetter"/>
      <w:start w:val="4"/>
    </w:lvl>
  </w:abstractNum>
  <w:abstractNum w:abstractNumId="55">
    <w:nsid w:val="7672BD23"/>
    <w:multiLevelType w:val="hybridMultilevel"/>
    <w:lvl w:ilvl="0">
      <w:lvlJc w:val="left"/>
      <w:lvlText w:val="(%1)"/>
      <w:numFmt w:val="lowerRoman"/>
      <w:start w:val="3"/>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Letter"/>
      <w:start w:val="1"/>
    </w:lvl>
  </w:abstractNum>
  <w:abstractNum w:abstractNumId="58">
    <w:nsid w:val="7D5E18F8"/>
    <w:multiLevelType w:val="hybridMultilevel"/>
    <w:lvl w:ilvl="0">
      <w:lvlJc w:val="left"/>
      <w:lvlText w:val="(%1)"/>
      <w:numFmt w:val="lowerLetter"/>
      <w:start w:val="2"/>
    </w:lvl>
  </w:abstractNum>
  <w:abstractNum w:abstractNumId="59">
    <w:nsid w:val="5F3534A4"/>
    <w:multiLevelType w:val="hybridMultilevel"/>
    <w:lvl w:ilvl="0">
      <w:lvlJc w:val="left"/>
      <w:lvlText w:val="(%1)"/>
      <w:numFmt w:val="lowerRoman"/>
      <w:start w:val="2"/>
    </w:lvl>
  </w:abstractNum>
  <w:abstractNum w:abstractNumId="60">
    <w:nsid w:val="73A1821B"/>
    <w:multiLevelType w:val="hybridMultilevel"/>
    <w:lvl w:ilvl="0">
      <w:lvlJc w:val="left"/>
      <w:lvlText w:val="(%1)"/>
      <w:numFmt w:val="lowerLetter"/>
      <w:start w:val="1"/>
    </w:lvl>
  </w:abstractNum>
  <w:abstractNum w:abstractNumId="61">
    <w:nsid w:val="7DE67713"/>
    <w:multiLevelType w:val="hybridMultilevel"/>
    <w:lvl w:ilvl="0">
      <w:lvlJc w:val="left"/>
      <w:lvlText w:val="(%1)"/>
      <w:numFmt w:val="lowerLetter"/>
      <w:start w:val="1"/>
    </w:lvl>
  </w:abstractNum>
  <w:abstractNum w:abstractNumId="62">
    <w:nsid w:val="555C55B5"/>
    <w:multiLevelType w:val="hybridMultilevel"/>
    <w:lvl w:ilvl="0">
      <w:lvlJc w:val="left"/>
      <w:lvlText w:val="(%1)"/>
      <w:numFmt w:val="lowerLetter"/>
      <w:start w:val="2"/>
    </w:lvl>
  </w:abstractNum>
  <w:abstractNum w:abstractNumId="63">
    <w:nsid w:val="3FA62ACA"/>
    <w:multiLevelType w:val="hybridMultilevel"/>
    <w:lvl w:ilvl="0">
      <w:lvlJc w:val="left"/>
      <w:lvlText w:val="(%1)"/>
      <w:numFmt w:val="lowerLetter"/>
      <w:start w:val="1"/>
    </w:lvl>
  </w:abstractNum>
  <w:abstractNum w:abstractNumId="64">
    <w:nsid w:val="14FCE74E"/>
    <w:multiLevelType w:val="hybridMultilevel"/>
    <w:lvl w:ilvl="0">
      <w:lvlJc w:val="left"/>
      <w:lvlText w:val="(%1)"/>
      <w:numFmt w:val="lowerRoman"/>
      <w:start w:val="3"/>
    </w:lvl>
  </w:abstractNum>
  <w:abstractNum w:abstractNumId="65">
    <w:nsid w:val="6A3DD3E8"/>
    <w:multiLevelType w:val="hybridMultilevel"/>
    <w:lvl w:ilvl="0">
      <w:lvlJc w:val="left"/>
      <w:lvlText w:val="(%1)"/>
      <w:numFmt w:val="lowerRoman"/>
      <w:start w:val="2"/>
    </w:lvl>
  </w:abstractNum>
  <w:abstractNum w:abstractNumId="66">
    <w:nsid w:val="71C91298"/>
    <w:multiLevelType w:val="hybridMultilevel"/>
    <w:lvl w:ilvl="0">
      <w:lvlJc w:val="left"/>
      <w:lvlText w:val="(%1)"/>
      <w:numFmt w:val="lowerLetter"/>
      <w:start w:val="25"/>
    </w:lvl>
  </w:abstractNum>
  <w:abstractNum w:abstractNumId="67">
    <w:nsid w:val="9DAF632"/>
    <w:multiLevelType w:val="hybridMultilevel"/>
    <w:lvl w:ilvl="0">
      <w:lvlJc w:val="left"/>
      <w:lvlText w:val="(%1)"/>
      <w:numFmt w:val="lowerLetter"/>
      <w:start w:val="2"/>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upperLetter"/>
      <w:start w:val="9"/>
    </w:lvl>
  </w:abstractNum>
  <w:abstractNum w:abstractNumId="70">
    <w:nsid w:val="5092CA79"/>
    <w:multiLevelType w:val="hybridMultilevel"/>
    <w:lvl w:ilvl="0">
      <w:lvlJc w:val="left"/>
      <w:lvlText w:val="(%1)"/>
      <w:numFmt w:val="decimal"/>
      <w:start w:val="1"/>
    </w:lvl>
  </w:abstractNum>
  <w:abstractNum w:abstractNumId="71">
    <w:nsid w:val="1D545C4D"/>
    <w:multiLevelType w:val="hybridMultilevel"/>
    <w:lvl w:ilvl="0">
      <w:lvlJc w:val="left"/>
      <w:lvlText w:val="%1)"/>
      <w:numFmt w:val="decimal"/>
      <w:start w:val="6"/>
    </w:lvl>
  </w:abstractNum>
  <w:abstractNum w:abstractNumId="72">
    <w:nsid w:val="59ADEA3D"/>
    <w:multiLevelType w:val="hybridMultilevel"/>
    <w:lvl w:ilvl="0">
      <w:lvlJc w:val="left"/>
      <w:lvlText w:val="%1."/>
      <w:numFmt w:val="upperLetter"/>
      <w:start w:val="35"/>
    </w:lvl>
  </w:abstractNum>
  <w:abstractNum w:abstractNumId="73">
    <w:nsid w:val="288F1A34"/>
    <w:multiLevelType w:val="hybridMultilevel"/>
    <w:lvl w:ilvl="0">
      <w:lvlJc w:val="left"/>
      <w:lvlText w:val="(%1)"/>
      <w:numFmt w:val="lowerRoman"/>
      <w:start w:val="1"/>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Roman"/>
      <w:start w:val="4"/>
    </w:lvl>
  </w:abstractNum>
  <w:abstractNum w:abstractNumId="76">
    <w:nsid w:val="97E1B4E"/>
    <w:multiLevelType w:val="hybridMultilevel"/>
    <w:lvl w:ilvl="0">
      <w:lvlJc w:val="left"/>
      <w:lvlText w:val="(%1)"/>
      <w:numFmt w:val="lowerLetter"/>
      <w:start w:val="2"/>
    </w:lvl>
  </w:abstractNum>
  <w:abstractNum w:abstractNumId="77">
    <w:nsid w:val="51088277"/>
    <w:multiLevelType w:val="hybridMultilevel"/>
    <w:lvl w:ilvl="0">
      <w:lvlJc w:val="left"/>
      <w:lvlText w:val="(%1)"/>
      <w:numFmt w:val="lowerRoman"/>
      <w:start w:val="1"/>
    </w:lvl>
  </w:abstractNum>
  <w:abstractNum w:abstractNumId="78">
    <w:nsid w:val="1CA0C5FA"/>
    <w:multiLevelType w:val="hybridMultilevel"/>
    <w:lvl w:ilvl="0">
      <w:lvlJc w:val="left"/>
      <w:lvlText w:val="(%1)"/>
      <w:numFmt w:val="lowerRoman"/>
      <w:start w:val="3"/>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Roman"/>
      <w:start w:val="4"/>
    </w:lvl>
  </w:abstractNum>
  <w:abstractNum w:abstractNumId="81">
    <w:nsid w:val="7C58FD05"/>
    <w:multiLevelType w:val="hybridMultilevel"/>
    <w:lvl w:ilvl="0">
      <w:lvlJc w:val="left"/>
      <w:lvlText w:val="(%1)"/>
      <w:numFmt w:val="lowerRoman"/>
      <w:start w:val="2"/>
    </w:lvl>
  </w:abstractNum>
  <w:abstractNum w:abstractNumId="82">
    <w:nsid w:val="23D86AAC"/>
    <w:multiLevelType w:val="hybridMultilevel"/>
    <w:lvl w:ilvl="0">
      <w:lvlJc w:val="left"/>
      <w:lvlText w:val="(%1)"/>
      <w:numFmt w:val="lowerLetter"/>
      <w:start w:val="2"/>
    </w:lvl>
  </w:abstractNum>
  <w:abstractNum w:abstractNumId="83">
    <w:nsid w:val="45E6D486"/>
    <w:multiLevelType w:val="hybridMultilevel"/>
    <w:lvl w:ilvl="0">
      <w:lvlJc w:val="left"/>
      <w:lvlText w:val="%1."/>
      <w:numFmt w:val="decimal"/>
      <w:start w:val="4"/>
    </w:lvl>
  </w:abstractNum>
  <w:abstractNum w:abstractNumId="84">
    <w:nsid w:val="5C10FE21"/>
    <w:multiLevelType w:val="hybridMultilevel"/>
    <w:lvl w:ilvl="0">
      <w:lvlJc w:val="left"/>
      <w:lvlText w:val="%1."/>
      <w:numFmt w:val="decimal"/>
      <w:start w:val="6"/>
    </w:lvl>
  </w:abstractNum>
  <w:abstractNum w:abstractNumId="85">
    <w:nsid w:val="E7FFA2B"/>
    <w:multiLevelType w:val="hybridMultilevel"/>
    <w:lvl w:ilvl="0">
      <w:lvlJc w:val="left"/>
      <w:lvlText w:val="%1."/>
      <w:numFmt w:val="decimal"/>
      <w:start w:val="4"/>
    </w:lvl>
  </w:abstractNum>
  <w:abstractNum w:abstractNumId="86">
    <w:nsid w:val="3C5991AA"/>
    <w:multiLevelType w:val="hybridMultilevel"/>
    <w:lvl w:ilvl="0">
      <w:lvlJc w:val="left"/>
      <w:lvlText w:val="%1."/>
      <w:numFmt w:val="decimal"/>
      <w:start w:val="6"/>
    </w:lvl>
  </w:abstractNum>
  <w:abstractNum w:abstractNumId="87">
    <w:nsid w:val="4BD8591A"/>
    <w:multiLevelType w:val="hybridMultilevel"/>
    <w:lvl w:ilvl="0">
      <w:lvlJc w:val="left"/>
      <w:lvlText w:val="%1."/>
      <w:numFmt w:val="decimal"/>
      <w:start w:val="4"/>
    </w:lvl>
  </w:abstractNum>
  <w:abstractNum w:abstractNumId="88">
    <w:nsid w:val="78DF6A55"/>
    <w:multiLevelType w:val="hybridMultilevel"/>
    <w:lvl w:ilvl="0">
      <w:lvlJc w:val="left"/>
      <w:lvlText w:val="%1."/>
      <w:numFmt w:val="decimal"/>
      <w:start w:val="4"/>
    </w:lvl>
    <w:lvl w:ilvl="1">
      <w:lvlJc w:val="left"/>
      <w:lvlText w:val="["/>
      <w:numFmt w:val="bullet"/>
      <w:start w:val="1"/>
    </w:lvl>
  </w:abstractNum>
  <w:abstractNum w:abstractNumId="89">
    <w:nsid w:val="39B7AAA2"/>
    <w:multiLevelType w:val="hybridMultilevel"/>
    <w:lvl w:ilvl="0">
      <w:lvlJc w:val="left"/>
      <w:lvlText w:val="%1."/>
      <w:numFmt w:val="decimal"/>
      <w:start w:val="12"/>
    </w:lvl>
  </w:abstractNum>
  <w:abstractNum w:abstractNumId="90">
    <w:nsid w:val="2B0D8DB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1">
    <w:nsid w:val="6C80EC70"/>
    <w:multiLevelType w:val="hybridMultilevel"/>
    <w:lvl w:ilvl="0">
      <w:lvlJc w:val="left"/>
      <w:lvlText w:val="%1."/>
      <w:numFmt w:val="decimal"/>
      <w:start w:val="3"/>
    </w:lvl>
  </w:abstractNum>
  <w:abstractNum w:abstractNumId="92">
    <w:nsid w:val="379E21B5"/>
    <w:multiLevelType w:val="hybridMultilevel"/>
    <w:lvl w:ilvl="0">
      <w:lvlJc w:val="left"/>
      <w:lvlText w:val="%1."/>
      <w:numFmt w:val="decimal"/>
      <w:start w:val="6"/>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6"/>
    </w:lvl>
  </w:abstractNum>
  <w:abstractNum w:abstractNumId="95">
    <w:nsid w:val="4C9B0904"/>
    <w:multiLevelType w:val="hybridMultilevel"/>
    <w:lvl w:ilvl="0">
      <w:lvlJc w:val="left"/>
      <w:lvlText w:val="%1."/>
      <w:numFmt w:val="decimal"/>
      <w:start w:val="7"/>
    </w:lvl>
  </w:abstractNum>
  <w:abstractNum w:abstractNumId="96">
    <w:nsid w:val="6AA7B75C"/>
    <w:multiLevelType w:val="hybridMultilevel"/>
    <w:lvl w:ilvl="0">
      <w:lvlJc w:val="left"/>
      <w:lvlText w:val="%1"/>
      <w:numFmt w:val="lowerLetter"/>
      <w:start w:val="1"/>
    </w:lvl>
    <w:lvl w:ilvl="1">
      <w:lvlJc w:val="left"/>
      <w:lvlText w:val="(%2)"/>
      <w:numFmt w:val="lowerLetter"/>
      <w:start w:val="1"/>
    </w:lvl>
  </w:abstractNum>
  <w:abstractNum w:abstractNumId="97">
    <w:nsid w:val="1DF029D3"/>
    <w:multiLevelType w:val="hybridMultilevel"/>
    <w:lvl w:ilvl="0">
      <w:lvlJc w:val="left"/>
      <w:lvlText w:val="(%1)"/>
      <w:numFmt w:val="lowerLetter"/>
      <w:start w:val="2"/>
    </w:lvl>
    <w:lvl w:ilvl="1">
      <w:lvlJc w:val="left"/>
      <w:lvlText w:val="(%2)"/>
      <w:numFmt w:val="lowerLetter"/>
      <w:start w:val="2"/>
    </w:lvl>
  </w:abstractNum>
  <w:abstractNum w:abstractNumId="98">
    <w:nsid w:val="5675FF3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99">
    <w:nsid w:val="3DD15094"/>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00">
    <w:nsid w:val="3DB012B3"/>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abstractNum>
  <w:abstractNum w:abstractNumId="101">
    <w:nsid w:val="2708C9AF"/>
    <w:multiLevelType w:val="hybridMultilevel"/>
    <w:lvl w:ilvl="0">
      <w:lvlJc w:val="left"/>
      <w:lvlText w:val="(%1)"/>
      <w:numFmt w:val="lowerLetter"/>
      <w:start w:val="2"/>
    </w:lvl>
  </w:abstractNum>
  <w:abstractNum w:abstractNumId="102">
    <w:nsid w:val="5B25ACE2"/>
    <w:multiLevelType w:val="hybridMultilevel"/>
    <w:lvl w:ilvl="0">
      <w:lvlJc w:val="left"/>
      <w:lvlText w:val="%1."/>
      <w:numFmt w:val="decimal"/>
      <w:start w:val="10"/>
    </w:lvl>
  </w:abstractNum>
  <w:abstractNum w:abstractNumId="103">
    <w:nsid w:val="175DFCF0"/>
    <w:multiLevelType w:val="hybridMultilevel"/>
    <w:lvl w:ilvl="0">
      <w:lvlJc w:val="left"/>
      <w:lvlText w:val="(%1)"/>
      <w:numFmt w:val="lowerLetter"/>
      <w:start w:val="2"/>
    </w:lvl>
  </w:abstractNum>
  <w:abstractNum w:abstractNumId="104">
    <w:nsid w:val="4F97E3E4"/>
    <w:multiLevelType w:val="hybridMultilevel"/>
    <w:lvl w:ilvl="0">
      <w:lvlJc w:val="left"/>
      <w:lvlText w:val="(%1)"/>
      <w:numFmt w:val="lowerLetter"/>
      <w:start w:val="12"/>
    </w:lvl>
  </w:abstractNum>
  <w:abstractNum w:abstractNumId="105">
    <w:nsid w:val="53B0A9E"/>
    <w:multiLevelType w:val="hybridMultilevel"/>
    <w:lvl w:ilvl="0">
      <w:lvlJc w:val="left"/>
      <w:lvlText w:val="%1."/>
      <w:numFmt w:val="decimal"/>
      <w:start w:val="11"/>
    </w:lvl>
  </w:abstractNum>
  <w:abstractNum w:abstractNumId="106">
    <w:nsid w:val="34FD6B4F"/>
    <w:multiLevelType w:val="hybridMultilevel"/>
    <w:lvl w:ilvl="0">
      <w:lvlJc w:val="left"/>
      <w:lvlText w:val="(%1)"/>
      <w:numFmt w:val="lowerLetter"/>
      <w:start w:val="1"/>
    </w:lvl>
  </w:abstractNum>
  <w:abstractNum w:abstractNumId="107">
    <w:nsid w:val="5915FF32"/>
    <w:multiLevelType w:val="hybridMultilevel"/>
    <w:lvl w:ilvl="0">
      <w:lvlJc w:val="left"/>
      <w:lvlText w:val="%1."/>
      <w:numFmt w:val="decimal"/>
      <w:start w:val="12"/>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2"/>
    </w:lvl>
    <w:lvl w:ilvl="1">
      <w:lvlJc w:val="left"/>
      <w:lvlText w:val="(%2)"/>
      <w:numFmt w:val="lowerRoman"/>
      <w:start w:val="1"/>
    </w:lvl>
  </w:abstractNum>
  <w:abstractNum w:abstractNumId="110">
    <w:nsid w:val="2C6E4AFD"/>
    <w:multiLevelType w:val="hybridMultilevel"/>
    <w:lvl w:ilvl="0">
      <w:lvlJc w:val="left"/>
      <w:lvlText w:val="%1"/>
      <w:numFmt w:val="decimal"/>
      <w:start w:val="1"/>
    </w:lvl>
    <w:lvl w:ilvl="1">
      <w:lvlJc w:val="left"/>
      <w:lvlText w:val="(%2)"/>
      <w:numFmt w:val="lowerLetter"/>
      <w:start w:val="7"/>
    </w:lvl>
  </w:abstractNum>
  <w:abstractNum w:abstractNumId="111">
    <w:nsid w:val="17A1B582"/>
    <w:multiLevelType w:val="hybridMultilevel"/>
    <w:lvl w:ilvl="0">
      <w:lvlJc w:val="left"/>
      <w:lvlText w:val="%1."/>
      <w:numFmt w:val="decimal"/>
      <w:start w:val="13"/>
    </w:lvl>
    <w:lvl w:ilvl="1">
      <w:lvlJc w:val="left"/>
      <w:lvlText w:val="(%2)"/>
      <w:numFmt w:val="lowerLetter"/>
      <w:start w:val="1"/>
    </w:lvl>
  </w:abstractNum>
  <w:abstractNum w:abstractNumId="112">
    <w:nsid w:val="4DF72E4E"/>
    <w:multiLevelType w:val="hybridMultilevel"/>
    <w:lvl w:ilvl="0">
      <w:lvlJc w:val="left"/>
      <w:lvlText w:val="%1."/>
      <w:numFmt w:val="decimal"/>
      <w:start w:val="16"/>
    </w:lvl>
    <w:lvl w:ilvl="1">
      <w:lvlJc w:val="left"/>
      <w:lvlText w:val="(%2)"/>
      <w:numFmt w:val="lowerLetter"/>
      <w:start w:val="1"/>
    </w:lvl>
  </w:abstractNum>
  <w:abstractNum w:abstractNumId="113">
    <w:nsid w:val="5046B5A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14">
    <w:nsid w:val="5D888A08"/>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1"/>
    </w:lvl>
  </w:abstractNum>
  <w:abstractNum w:abstractNumId="115">
    <w:nsid w:val="2A082C70"/>
    <w:multiLevelType w:val="hybridMultilevel"/>
    <w:lvl w:ilvl="0">
      <w:lvlJc w:val="left"/>
      <w:lvlText w:val="%1"/>
      <w:numFmt w:val="lowerRoman"/>
      <w:start w:val="1"/>
    </w:lvl>
    <w:lvl w:ilvl="1">
      <w:lvlJc w:val="left"/>
      <w:lvlText w:val="%2."/>
      <w:numFmt w:val="decimal"/>
      <w:start w:val="18"/>
    </w:lvl>
  </w:abstractNum>
  <w:abstractNum w:abstractNumId="116">
    <w:nsid w:val="5EC6AFD4"/>
    <w:multiLevelType w:val="hybridMultilevel"/>
    <w:lvl w:ilvl="0">
      <w:lvlJc w:val="left"/>
      <w:lvlText w:val="(%1)"/>
      <w:numFmt w:val="lowerRoman"/>
      <w:start w:val="4"/>
    </w:lvl>
    <w:lvl w:ilvl="1">
      <w:lvlJc w:val="left"/>
      <w:lvlText w:val="%2."/>
      <w:numFmt w:val="decimal"/>
      <w:start w:val="21"/>
    </w:lvl>
  </w:abstractNum>
  <w:abstractNum w:abstractNumId="117">
    <w:nsid w:val="19E21BB2"/>
    <w:multiLevelType w:val="hybridMultilevel"/>
    <w:lvl w:ilvl="0">
      <w:lvlJc w:val="left"/>
      <w:lvlText w:val="%1."/>
      <w:numFmt w:val="decimal"/>
      <w:start w:val="22"/>
    </w:lvl>
    <w:lvl w:ilvl="1">
      <w:lvlJc w:val="left"/>
      <w:lvlText w:val="(%2)"/>
      <w:numFmt w:val="lowerLetter"/>
      <w:start w:val="1"/>
    </w:lvl>
  </w:abstractNum>
  <w:abstractNum w:abstractNumId="118">
    <w:nsid w:val="75E0858A"/>
    <w:multiLevelType w:val="hybridMultilevel"/>
    <w:lvl w:ilvl="0">
      <w:lvlJc w:val="left"/>
      <w:lvlText w:val="%1."/>
      <w:numFmt w:val="decimal"/>
      <w:start w:val="23"/>
    </w:lvl>
    <w:lvl w:ilvl="1">
      <w:lvlJc w:val="left"/>
      <w:lvlText w:val="(%2)"/>
      <w:numFmt w:val="lowerLetter"/>
      <w:start w:val="1"/>
    </w:lvl>
  </w:abstractNum>
  <w:abstractNum w:abstractNumId="119">
    <w:nsid w:val="57A61A29"/>
    <w:multiLevelType w:val="hybridMultilevel"/>
    <w:lvl w:ilvl="0">
      <w:lvlJc w:val="left"/>
      <w:lvlText w:val="%1"/>
      <w:numFmt w:val="decimal"/>
      <w:start w:val="1"/>
    </w:lvl>
    <w:lvl w:ilvl="1">
      <w:lvlJc w:val="left"/>
      <w:lvlText w:val="%2."/>
      <w:numFmt w:val="decimal"/>
      <w:start w:val="26"/>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20">
    <w:nsid w:val="5399C654"/>
    <w:multiLevelType w:val="hybridMultilevel"/>
    <w:lvl w:ilvl="0">
      <w:lvlJc w:val="left"/>
      <w:lvlText w:val="(%1)"/>
      <w:numFmt w:val="decimal"/>
      <w:start w:val="5"/>
    </w:lvl>
    <w:lvl w:ilvl="1">
      <w:lvlJc w:val="left"/>
      <w:lvlText w:val="%2."/>
      <w:numFmt w:val="decimal"/>
      <w:start w:val="2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21">
    <w:nsid w:val="20EE134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22">
    <w:nsid w:val="4427069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23">
    <w:nsid w:val="B37E80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124">
    <w:nsid w:val="2157F6B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25">
    <w:nsid w:val="704E1DD5"/>
    <w:multiLevelType w:val="hybridMultilevel"/>
    <w:lvl w:ilvl="0">
      <w:lvlJc w:val="left"/>
      <w:lvlText w:val="%1"/>
      <w:numFmt w:val="decimal"/>
      <w:start w:val="1"/>
    </w:lvl>
    <w:lvl w:ilvl="1">
      <w:lvlJc w:val="left"/>
      <w:lvlText w:val="(%2)"/>
      <w:numFmt w:val="lowerLetter"/>
      <w:start w:val="5"/>
    </w:lvl>
  </w:abstractNum>
  <w:abstractNum w:abstractNumId="126">
    <w:nsid w:val="57D2F10E"/>
    <w:multiLevelType w:val="hybridMultilevel"/>
    <w:lvl w:ilvl="0">
      <w:lvlJc w:val="left"/>
      <w:lvlText w:val="%1."/>
      <w:numFmt w:val="decimal"/>
      <w:start w:val="28"/>
    </w:lvl>
    <w:lvl w:ilvl="1">
      <w:lvlJc w:val="left"/>
      <w:lvlText w:val="%2"/>
      <w:numFmt w:val="lowerLetter"/>
      <w:start w:val="1"/>
    </w:lvl>
  </w:abstractNum>
  <w:abstractNum w:abstractNumId="127">
    <w:nsid w:val="BFFAE18"/>
    <w:multiLevelType w:val="hybridMultilevel"/>
    <w:lvl w:ilvl="0">
      <w:lvlJc w:val="left"/>
      <w:lvlText w:val="%1."/>
      <w:numFmt w:val="decimal"/>
      <w:start w:val="30"/>
    </w:lvl>
  </w:abstractNum>
  <w:abstractNum w:abstractNumId="128">
    <w:nsid w:val="E3E47A8"/>
    <w:multiLevelType w:val="hybridMultilevel"/>
    <w:lvl w:ilvl="0">
      <w:lvlJc w:val="left"/>
      <w:lvlText w:val="%1."/>
      <w:numFmt w:val="decimal"/>
      <w:start w:val="33"/>
    </w:lvl>
  </w:abstractNum>
  <w:abstractNum w:abstractNumId="129">
    <w:nsid w:val="2E48F044"/>
    <w:multiLevelType w:val="hybridMultilevel"/>
    <w:lvl w:ilvl="0">
      <w:lvlJc w:val="left"/>
      <w:lvlText w:val="%1."/>
      <w:numFmt w:val="decimal"/>
      <w:start w:val="35"/>
    </w:lvl>
  </w:abstractNum>
  <w:abstractNum w:abstractNumId="130">
    <w:nsid w:val="49D0FEAC"/>
    <w:multiLevelType w:val="hybridMultilevel"/>
    <w:lvl w:ilvl="0">
      <w:lvlJc w:val="left"/>
      <w:lvlText w:val="%1"/>
      <w:numFmt w:val="lowerRoman"/>
      <w:start w:val="1"/>
    </w:lvl>
    <w:lvl w:ilvl="1">
      <w:lvlJc w:val="left"/>
      <w:lvlText w:val="%2."/>
      <w:numFmt w:val="decimal"/>
      <w:start w:val="37"/>
    </w:lvl>
  </w:abstractNum>
  <w:abstractNum w:abstractNumId="131">
    <w:nsid w:val="4BEE5A5B"/>
    <w:multiLevelType w:val="hybridMultilevel"/>
    <w:lvl w:ilvl="0">
      <w:lvlJc w:val="left"/>
      <w:lvlText w:val="(%1)"/>
      <w:numFmt w:val="lowerRoman"/>
      <w:start w:val="2"/>
    </w:lvl>
    <w:lvl w:ilvl="1">
      <w:lvlJc w:val="left"/>
      <w:lvlText w:val="%2"/>
      <w:numFmt w:val="decimal"/>
      <w:start w:val="1"/>
    </w:lvl>
  </w:abstractNum>
  <w:abstractNum w:abstractNumId="132">
    <w:nsid w:val="5551B9F3"/>
    <w:multiLevelType w:val="hybridMultilevel"/>
    <w:lvl w:ilvl="0">
      <w:lvlJc w:val="left"/>
      <w:lvlText w:val="%1"/>
      <w:numFmt w:val="lowerLetter"/>
      <w:start w:val="1"/>
    </w:lvl>
    <w:lvl w:ilvl="1">
      <w:lvlJc w:val="left"/>
      <w:lvlText w:val="%2."/>
      <w:numFmt w:val="decimal"/>
      <w:start w:val="42"/>
    </w:lvl>
    <w:lvl w:ilvl="2">
      <w:lvlJc w:val="left"/>
      <w:lvlText w:val="(%3)"/>
      <w:numFmt w:val="lowerLetter"/>
      <w:start w:val="1"/>
    </w:lvl>
  </w:abstractNum>
  <w:abstractNum w:abstractNumId="133">
    <w:nsid w:val="24F6AB8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134">
    <w:nsid w:val="634C574C"/>
    <w:multiLevelType w:val="hybridMultilevel"/>
    <w:lvl w:ilvl="0">
      <w:lvlJc w:val="left"/>
      <w:lvlText w:val="(%1)"/>
      <w:numFmt w:val="lowerLetter"/>
      <w:start w:val="6"/>
    </w:lvl>
  </w:abstractNum>
  <w:abstractNum w:abstractNumId="135">
    <w:nsid w:val="24E99DD7"/>
    <w:multiLevelType w:val="hybridMultilevel"/>
    <w:lvl w:ilvl="0">
      <w:lvlJc w:val="left"/>
      <w:lvlText w:val="(%1)"/>
      <w:numFmt w:val="lowerLetter"/>
      <w:start w:val="11"/>
    </w:lvl>
  </w:abstractNum>
  <w:abstractNum w:abstractNumId="136">
    <w:nsid w:val="2A31B62D"/>
    <w:multiLevelType w:val="hybridMultilevel"/>
    <w:lvl w:ilvl="0">
      <w:lvlJc w:val="left"/>
      <w:lvlText w:val="(%1)"/>
      <w:numFmt w:val="lowerLetter"/>
      <w:start w:val="17"/>
    </w:lvl>
  </w:abstractNum>
  <w:abstractNum w:abstractNumId="137">
    <w:nsid w:val="1849C29B"/>
    <w:multiLevelType w:val="hybridMultilevel"/>
    <w:lvl w:ilvl="0">
      <w:lvlJc w:val="left"/>
      <w:lvlText w:val="%1"/>
      <w:numFmt w:val="decimal"/>
      <w:start w:val="1"/>
    </w:lvl>
    <w:lvl w:ilvl="1">
      <w:lvlJc w:val="left"/>
      <w:lvlText w:val="(%2)"/>
      <w:numFmt w:val="lowerLetter"/>
      <w:start w:val="27"/>
    </w:lvl>
  </w:abstractNum>
  <w:abstractNum w:abstractNumId="138">
    <w:nsid w:val="7DFF9D09"/>
    <w:multiLevelType w:val="hybridMultilevel"/>
    <w:lvl w:ilvl="0">
      <w:lvlJc w:val="left"/>
      <w:lvlText w:val="%1."/>
      <w:numFmt w:val="decimal"/>
      <w:start w:val="44"/>
    </w:lvl>
    <w:lvl w:ilvl="1">
      <w:lvlJc w:val="left"/>
      <w:lvlText w:val="%2"/>
      <w:numFmt w:val="lowerLetter"/>
      <w:start w:val="1"/>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2019-12-11T03:35:58Z</dcterms:created>
  <dcterms:modified xsi:type="dcterms:W3CDTF">2019-12-11T03:35:58Z</dcterms:modified>
</cp:coreProperties>
</file>