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8" w:lineRule="exact"/>
        <w:rPr>
          <w:sz w:val="24"/>
          <w:szCs w:val="24"/>
          <w:color w:val="auto"/>
        </w:rPr>
      </w:pPr>
    </w:p>
    <w:p>
      <w:pPr>
        <w:ind w:left="3660" w:right="1620" w:hanging="3652"/>
        <w:spacing w:after="0" w:line="262" w:lineRule="auto"/>
        <w:tabs>
          <w:tab w:leader="none" w:pos="44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-20320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8"/>
        </w:trPr>
        <w:tc>
          <w:tcPr>
            <w:tcW w:w="430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7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rPr>
              <w:t>8th Floor, One Central Plaza,</w:t>
            </w:r>
          </w:p>
        </w:tc>
        <w:tc>
          <w:tcPr>
            <w:tcW w:w="34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w w:val="99"/>
              </w:rPr>
              <w:t>Dublin 2, Co. Dublin,</w:t>
            </w:r>
          </w:p>
        </w:tc>
      </w:tr>
      <w:tr>
        <w:trPr>
          <w:trHeight w:val="214"/>
        </w:trPr>
        <w:tc>
          <w:tcPr>
            <w:tcW w:w="430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rPr>
              <w:t>Dame Street</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8"/>
                <w:szCs w:val="18"/>
                <w:b w:val="1"/>
                <w:bCs w:val="1"/>
                <w:color w:val="auto"/>
                <w:w w:val="98"/>
              </w:rPr>
              <w:t>D02 K7K5, Ireland</w:t>
            </w:r>
          </w:p>
        </w:tc>
      </w:tr>
      <w:tr>
        <w:trPr>
          <w:trHeight w:val="190"/>
        </w:trPr>
        <w:tc>
          <w:tcPr>
            <w:tcW w:w="430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7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5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r>
        <w:trPr>
          <w:trHeight w:val="212"/>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214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r>
      <w:tr>
        <w:trPr>
          <w:trHeight w:val="203"/>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representing the right to receive twenty (20) Ordinary Share of</w:t>
            </w:r>
          </w:p>
        </w:tc>
        <w:tc>
          <w:tcPr>
            <w:tcW w:w="214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r>
      <w:tr>
        <w:trPr>
          <w:trHeight w:val="210"/>
        </w:trPr>
        <w:tc>
          <w:tcPr>
            <w:tcW w:w="5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7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415,853,680 Ordinary Shares, 50 pence par value per share, were outstanding as of October 24, 2025, including 20,352,521 Ordinary Shares held as American Depositary Shares (ADSs), each representing 20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0"/>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6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20" w:type="dxa"/>
            <w:vAlign w:val="bottom"/>
          </w:tcPr>
          <w:p>
            <w:pPr>
              <w:spacing w:after="0"/>
              <w:rPr>
                <w:sz w:val="24"/>
                <w:szCs w:val="24"/>
                <w:color w:val="auto"/>
              </w:rPr>
            </w:pPr>
          </w:p>
        </w:tc>
      </w:tr>
      <w:tr>
        <w:trPr>
          <w:trHeight w:val="34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8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2025 and 2024</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nine months ended September 30, 2025</w:t>
            </w:r>
          </w:p>
        </w:tc>
        <w:tc>
          <w:tcPr>
            <w:tcW w:w="2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and 2024</w:t>
            </w:r>
          </w:p>
        </w:tc>
        <w:tc>
          <w:tcPr>
            <w:tcW w:w="20" w:type="dxa"/>
            <w:vAlign w:val="bottom"/>
            <w:tcBorders>
              <w:bottom w:val="single" w:sz="8" w:color="0000EE"/>
            </w:tcBorders>
          </w:tcPr>
          <w:p>
            <w:pPr>
              <w:spacing w:after="0"/>
              <w:rPr>
                <w:sz w:val="17"/>
                <w:szCs w:val="17"/>
                <w:color w:val="auto"/>
              </w:rPr>
            </w:pPr>
          </w:p>
        </w:tc>
        <w:tc>
          <w:tcPr>
            <w:tcW w:w="8000" w:type="dxa"/>
            <w:vAlign w:val="bottom"/>
            <w:gridSpan w:val="18"/>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2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6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2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5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318"/>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5740" w:type="dxa"/>
            <w:vAlign w:val="bottom"/>
            <w:gridSpan w:val="12"/>
          </w:tcPr>
          <w:p>
            <w:pPr>
              <w:jc w:val="center"/>
              <w:ind w:right="32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00" w:type="dxa"/>
            <w:vAlign w:val="bottom"/>
            <w:tcBorders>
              <w:top w:val="single" w:sz="8" w:color="0000FF"/>
            </w:tcBorders>
            <w:gridSpan w:val="4"/>
          </w:tcPr>
          <w:p>
            <w:pPr>
              <w:spacing w:after="0"/>
              <w:rPr>
                <w:sz w:val="24"/>
                <w:szCs w:val="24"/>
                <w:color w:val="auto"/>
              </w:rPr>
            </w:pPr>
          </w:p>
        </w:tc>
        <w:tc>
          <w:tcPr>
            <w:tcW w:w="334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56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58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3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669"/>
        </w:trPr>
        <w:tc>
          <w:tcPr>
            <w:tcW w:w="1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122,802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163,785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173,182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184,703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628,334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Long-term inventory</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659,814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36,712</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40,366</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145,521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182,233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179,949</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200,920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199,173</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Ordinary Shares, £0.50 par value per share, unlimited authorized; 429,597,419 shares issued,</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415,965,977 shares outstanding as of September 30, 2025; 422,256,900 shares issued,</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411,584,851 shares outstanding as of December 31, 2024</w:t>
            </w:r>
          </w:p>
        </w:tc>
        <w:tc>
          <w:tcPr>
            <w:tcW w:w="1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310,019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305,298</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1,922,351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1,914,750</w:t>
            </w: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Treasury stock; 13,631,442 shares as of September 30, 2025; 10,672,049 shares as of December</w:t>
            </w: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31, 2024</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(67,356)</w:t>
            </w: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(65,326)</w:t>
            </w:r>
          </w:p>
        </w:tc>
      </w:tr>
      <w:tr>
        <w:trPr>
          <w:trHeight w:val="216"/>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(1,706,120)</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(1,668,546)</w:t>
            </w:r>
          </w:p>
        </w:tc>
      </w:tr>
      <w:tr>
        <w:trPr>
          <w:trHeight w:val="210"/>
        </w:trPr>
        <w:tc>
          <w:tcPr>
            <w:tcW w:w="75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458,894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659,814</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685,349</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-3685540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-2845435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-2828290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-1704975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48,558</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136,210</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revenue, net</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97,699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(11,103)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(25,168)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(43,845)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(37,574)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per Ordinary Share:</w:t>
            </w: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(0.09)</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Ordinary Shares: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411,150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-2411095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-2411095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-2411095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-2411095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-1854200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-1854200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-1854200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-1854200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-1288415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-1288415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-1288415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-1288415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-1005205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-1005205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-1005205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-1005205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473075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422,256,900</w:t>
            </w:r>
          </w:p>
        </w:tc>
        <w:tc>
          <w:tcPr>
            <w:tcW w:w="158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(10,672,049)</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305,298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1,914,750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(65,326)</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(1,668,546)</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486,176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4,585,679</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(1,805,341)</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(15,697)</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426,842,579</w:t>
            </w:r>
          </w:p>
        </w:tc>
        <w:tc>
          <w:tcPr>
            <w:tcW w:w="2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(12,477,390)</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308,152</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1,916,223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(66,445)</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(1,684,243)</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473,687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84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under employee</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FF0FC"/>
            </w:tcBorders>
            <w:vMerge w:val="restart"/>
          </w:tcPr>
          <w:p>
            <w:pPr>
              <w:spacing w:after="0"/>
              <w:rPr>
                <w:sz w:val="9"/>
                <w:szCs w:val="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97,520</w:t>
            </w:r>
          </w:p>
        </w:tc>
        <w:tc>
          <w:tcPr>
            <w:tcW w:w="2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vMerge w:val="restart"/>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vMerge w:val="restart"/>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1,872,240</w:t>
            </w:r>
          </w:p>
        </w:tc>
        <w:tc>
          <w:tcPr>
            <w:tcW w:w="158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(933,452)</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(1,269)</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(14,139)</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428,714,819</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(13,313,322)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309,421</w:t>
            </w:r>
          </w:p>
        </w:tc>
        <w:tc>
          <w:tcPr>
            <w:tcW w:w="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1,920,993</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(67,108)</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(1,698,382)</w:t>
            </w: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464,924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882,600</w:t>
            </w:r>
          </w:p>
        </w:tc>
        <w:tc>
          <w:tcPr>
            <w:tcW w:w="1580" w:type="dxa"/>
            <w:vAlign w:val="bottom"/>
            <w:gridSpan w:val="3"/>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(318,120)</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(598)</w:t>
            </w: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(7,738)</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(7,738)</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429,597,419</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(13,631,442)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310,019</w:t>
            </w:r>
          </w:p>
        </w:tc>
        <w:tc>
          <w:tcPr>
            <w:tcW w:w="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1,922,351</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(67,356)</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(1,706,120)</w:t>
            </w: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458,894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78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Ordinary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418,141,295</w:t>
            </w:r>
          </w:p>
        </w:tc>
        <w:tc>
          <w:tcPr>
            <w:tcW w:w="1580" w:type="dxa"/>
            <w:vAlign w:val="bottom"/>
            <w:gridSpan w:val="3"/>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(9,317,202)</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302,756</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1,899,456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(63,752)</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(1,586,363)</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552,097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9,500</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3,119,637</w:t>
            </w:r>
          </w:p>
        </w:tc>
        <w:tc>
          <w:tcPr>
            <w:tcW w:w="158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(1,217,450)</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(9,953)</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(9,953)</w:t>
            </w:r>
          </w:p>
        </w:tc>
        <w:tc>
          <w:tcPr>
            <w:tcW w:w="0" w:type="dxa"/>
            <w:vAlign w:val="bottom"/>
          </w:tcPr>
          <w:p>
            <w:pPr>
              <w:spacing w:after="0"/>
              <w:rPr>
                <w:sz w:val="1"/>
                <w:szCs w:val="1"/>
                <w:color w:val="auto"/>
              </w:rPr>
            </w:pPr>
          </w:p>
        </w:tc>
      </w:tr>
      <w:tr>
        <w:trPr>
          <w:trHeight w:val="20"/>
        </w:trPr>
        <w:tc>
          <w:tcPr>
            <w:tcW w:w="2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421,270,432</w:t>
            </w: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(10,534,652)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304,742</w:t>
            </w:r>
          </w:p>
        </w:tc>
        <w:tc>
          <w:tcPr>
            <w:tcW w:w="3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1,902,698</w:t>
            </w:r>
          </w:p>
        </w:tc>
        <w:tc>
          <w:tcPr>
            <w:tcW w:w="2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(65,188)</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(1,596,316)</w:t>
            </w: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545,936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under employee</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139,982</w:t>
            </w:r>
          </w:p>
        </w:tc>
        <w:tc>
          <w:tcPr>
            <w:tcW w:w="260" w:type="dxa"/>
            <w:vAlign w:val="bottom"/>
            <w:shd w:val="clear" w:color="auto" w:fill="CFF0FC"/>
          </w:tcPr>
          <w:p>
            <w:pPr>
              <w:spacing w:after="0"/>
              <w:rPr>
                <w:sz w:val="9"/>
                <w:szCs w:val="9"/>
                <w:color w:val="auto"/>
              </w:rPr>
            </w:pPr>
          </w:p>
        </w:tc>
        <w:tc>
          <w:tcPr>
            <w:tcW w:w="13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11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340,936</w:t>
            </w:r>
          </w:p>
        </w:tc>
        <w:tc>
          <w:tcPr>
            <w:tcW w:w="15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(102,928)</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for the period</w:t>
            </w: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421,751,350</w:t>
            </w: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(10,637,580)</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305,046</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1,906,903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(65,276)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(1,594,794)</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551,879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243,081</w:t>
            </w:r>
          </w:p>
        </w:tc>
        <w:tc>
          <w:tcPr>
            <w:tcW w:w="260" w:type="dxa"/>
            <w:vAlign w:val="bottom"/>
          </w:tcPr>
          <w:p>
            <w:pPr>
              <w:spacing w:after="0"/>
              <w:rPr>
                <w:sz w:val="11"/>
                <w:szCs w:val="11"/>
                <w:color w:val="auto"/>
              </w:rPr>
            </w:pPr>
          </w:p>
        </w:tc>
        <w:tc>
          <w:tcPr>
            <w:tcW w:w="132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(95,173)</w:t>
            </w:r>
          </w:p>
        </w:tc>
        <w:tc>
          <w:tcPr>
            <w:tcW w:w="1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1"/>
                <w:szCs w:val="11"/>
                <w:color w:val="auto"/>
              </w:rPr>
            </w:pPr>
          </w:p>
        </w:tc>
        <w:tc>
          <w:tcPr>
            <w:tcW w:w="10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9"/>
        </w:trPr>
        <w:tc>
          <w:tcPr>
            <w:tcW w:w="28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(25,134)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(25,134)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421,994,431</w:t>
            </w:r>
          </w:p>
        </w:tc>
        <w:tc>
          <w:tcPr>
            <w:tcW w:w="2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(10,732,753)</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305,202</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1,911,445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(65,344)</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(1,619,928)</w:t>
            </w:r>
          </w:p>
        </w:tc>
        <w:tc>
          <w:tcPr>
            <w:tcW w:w="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531,375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-3076575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-3059430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-3076575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-3059430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-3076575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-3059430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-3076575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-3059430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-3076575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-3059430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-3076575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-3059430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-2579370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-2579370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-2579370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-2579370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-2579370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-2579370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-2167890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-2167890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-2167890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-2167890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-2167890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-2167890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-1139190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-1139190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-1139190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-1139190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-1139190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-1139190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-436245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-419100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-436245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-419100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-436245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-419100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-436245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-419100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-436245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-419100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-436245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-419100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(37,574)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(33,565)</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investments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(3,019)</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(5,030)</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(17,260)</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(55,382)</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(8,550)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(17,710)</w:t>
            </w: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Maturities of securities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securities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(149,955)</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(208,937)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(23,137)</w:t>
            </w:r>
          </w:p>
        </w:tc>
        <w:tc>
          <w:tcPr>
            <w:tcW w:w="0" w:type="dxa"/>
            <w:vAlign w:val="bottom"/>
          </w:tcPr>
          <w:p>
            <w:pPr>
              <w:spacing w:after="0"/>
              <w:rPr>
                <w:sz w:val="1"/>
                <w:szCs w:val="1"/>
                <w:color w:val="auto"/>
              </w:rPr>
            </w:pPr>
          </w:p>
        </w:tc>
      </w:tr>
      <w:tr>
        <w:trPr>
          <w:trHeight w:val="210"/>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(2,087)</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191"/>
        </w:trPr>
        <w:tc>
          <w:tcPr>
            <w:tcW w:w="70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AND CASH EQUIVALENTS AND</w:t>
            </w:r>
          </w:p>
        </w:tc>
        <w:tc>
          <w:tcPr>
            <w:tcW w:w="2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(42,307)</w:t>
            </w:r>
          </w:p>
        </w:tc>
        <w:tc>
          <w:tcPr>
            <w:tcW w:w="0" w:type="dxa"/>
            <w:vAlign w:val="bottom"/>
          </w:tcPr>
          <w:p>
            <w:pPr>
              <w:spacing w:after="0"/>
              <w:rPr>
                <w:sz w:val="1"/>
                <w:szCs w:val="1"/>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2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121,338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123,103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-2725420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-2725420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-2159635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-2159635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-1602105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-762000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-744855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-762000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-744855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The Company is commercialized in the United States, or the U.S., under the brand name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or VASCEPA. VASCEPA, under the brand name VAZKEPA, hereinafter along with VASCEPA, collectively referred to as VASCEPA is also commercialized in various European countries, including the United Kingdom, or the UK, and Spain. The Company’s operations outside of the U.S. are in varying stages of development and commercialization with reliance on third-party commercial partners in select geographies, including Europe, China, Australia and Canada.</w:t>
      </w:r>
    </w:p>
    <w:p>
      <w:pPr>
        <w:spacing w:after="0" w:line="9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VASCEPA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 or the REDUCE-IT indication.</w:t>
      </w:r>
    </w:p>
    <w:p>
      <w:pPr>
        <w:spacing w:after="0" w:line="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MARINE indication. The Company sought appeals of the Nevada Court judgment up to the U.S. Supreme Court, but the Company was unsuccessful. As a result, the following generic versions of icosapent ethyl have obtained U.S. FDA approval with labeling consistent with the MARINE indication of VASCEPA and have entered the U.S. market:</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2024</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3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020" w:hanging="26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60" w:hanging="3"/>
        <w:spacing w:after="0" w:line="282" w:lineRule="auto"/>
        <w:tabs>
          <w:tab w:leader="none" w:pos="10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June 24, 2025, the Company announced the execution of an exclusive long-term license and supply agreement with Recordati Industria Chimica e Farmaceutica S.p.A., or Recordati, to develop and commercialize VAZKEPA in 59 countries, focused in Europe.</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1, 2023, the Company announced that the National Medical Products Administration, or NMPA, granted approval for VASCEPA under the MARINE indication and the Company's partner, Eddingpharm (Asia) Macao Commercial Offshore Limited, or Edding, launched commercially in October 2023. On June 28, 2024, Edding received NMPA approval for VASCEPA in Mainland China for the REDUCE-IT indication. On February 23, 2022, the Hong Kong Department of Health concluded their evaluation and approved the use of VASCEPA under the REDUCE-IT indication.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20"/>
        <w:spacing w:after="0" w:line="266" w:lineRule="auto"/>
        <w:rPr>
          <w:sz w:val="20"/>
          <w:szCs w:val="20"/>
          <w:color w:val="auto"/>
        </w:rPr>
      </w:pPr>
      <w:r>
        <w:rPr>
          <w:rFonts w:ascii="Times New Roman" w:cs="Times New Roman" w:eastAsia="Times New Roman" w:hAnsi="Times New Roman"/>
          <w:sz w:val="18"/>
          <w:szCs w:val="18"/>
          <w:color w:val="auto"/>
        </w:rPr>
        <w:t>Amarin is responsible for supplying VASCEPA to all markets in which the branded product is sold, including countries where the drug is promoted and sold via collaboration with third-party partners that compensate Amarin for such supply. Amarin is not responsible for providing any generic company with drug product. The Company operates in one business segment.</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U.S. Generally Accepted Accounting Principles,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10-K for the fiscal year ended December 31, 2024, or the Form 10-K, filed with the SEC. The balance sheet amounts in this report were derived from the Company’s audited consolidated financial statements included in the Form 10-K.</w:t>
      </w:r>
    </w:p>
    <w:p>
      <w:pPr>
        <w:spacing w:after="0" w:line="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2025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Effective as of April 11, 2025, the Company implemented an adjustment to the ratio of its American Depository Shares, or ADSs, to Ordinary Shares from one ADS representing one Ordinary Share to one ADS representing 20 Ordinary Shares, or the ADS Ratio Change. The ADS Ratio Change does not change the Ordinary Shares outstanding. Holders of fractional ADSs resulting from the ADS Ratio Change received a cash payment in lieu of such fractional ADSs. The rate for the cash payment was set when the depositary bank aggregated the fractional ADSs and sold them in one or more market trades. All references to ADSs in the accompanying notes to the financial statements give retroactive effect to the per-share and share amounts for the ADS Ratio Change for all periods presented herein, unless otherwise specified. In addition, the exercise prices and the numbers of ADSs issuable upon the exercise of any outstanding options or restricted stock units, or RSUs, were proportionately adjusted.</w:t>
      </w:r>
    </w:p>
    <w:p>
      <w:pPr>
        <w:spacing w:after="0" w:line="8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total assets of $659.8 million, of which $286.6 million consisted of cash and short-term investments. More specifically, the Company had current assets of $628.3 million, including cash and cash equivalents of $122.8 million, short-term investments of $163.8 million, accounts receivable, net, of $127.3 million and current inventory of $184.7 million. In addition, as of September 30, 2025, the Company had long-term inventory of $9.1 million. As of September 30, 2025, the Company had no outstanding debt.</w:t>
      </w:r>
    </w:p>
    <w:p>
      <w:pPr>
        <w:spacing w:after="0" w:line="2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credit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0"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141,296</w:t>
            </w: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133,072</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(12,774)</w:t>
            </w:r>
          </w:p>
        </w:tc>
        <w:tc>
          <w:tcPr>
            <w:tcW w:w="4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(9,433)</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(1,213)</w:t>
            </w: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(1,360)</w:t>
            </w: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127,309</w:t>
            </w:r>
          </w:p>
        </w:tc>
        <w:tc>
          <w:tcPr>
            <w:tcW w:w="2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8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inventory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next 12 months. The Company classifies finished goods expected to be sold within the next 12 months,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benefit from (provision for) income taxes, as applicable.</w:t>
      </w:r>
    </w:p>
    <w:p>
      <w:pPr>
        <w:spacing w:after="0" w:line="7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Ordinary Shares from employees are classified as cash flows from financing activities.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number of Ordinary Shares outstanding during the period. Diluted net loss per share is determined by dividing net loss by diluted weighted average number of Ordinary Shares outstanding. Diluted weighted average shares reflects the dilutive effect, if any, of potentially dilutive Ordinary Shares, such as from the exercise of stock options and vesting of RSUs calculated using the treasury stock method. In periods with reported net losses, all stock options and RSUs outstanding are deemed anti-dilutive such that basic and diluted net loss per share are equal.</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Ordinary Shares and ADSs used to compute basic and diluted net loss per Ordinary Share and ADS for the three and nine months ended September 30, 2025 and 2024 are as follows: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80" w:type="dxa"/>
            <w:vAlign w:val="bottom"/>
          </w:tcPr>
          <w:p>
            <w:pPr>
              <w:spacing w:after="0"/>
              <w:rPr>
                <w:sz w:val="13"/>
                <w:szCs w:val="13"/>
                <w:color w:val="auto"/>
              </w:rPr>
            </w:pPr>
          </w:p>
        </w:tc>
        <w:tc>
          <w:tcPr>
            <w:tcW w:w="26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(7,738)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(25,134)</w:t>
            </w:r>
          </w:p>
        </w:tc>
        <w:tc>
          <w:tcPr>
            <w:tcW w:w="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(37,574)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(33,565)</w:t>
            </w:r>
          </w:p>
        </w:tc>
        <w:tc>
          <w:tcPr>
            <w:tcW w:w="0" w:type="dxa"/>
            <w:vAlign w:val="bottom"/>
          </w:tcPr>
          <w:p>
            <w:pPr>
              <w:spacing w:after="0"/>
              <w:rPr>
                <w:sz w:val="1"/>
                <w:szCs w:val="1"/>
                <w:color w:val="auto"/>
              </w:rPr>
            </w:pPr>
          </w:p>
        </w:tc>
      </w:tr>
      <w:tr>
        <w:trPr>
          <w:trHeight w:val="198"/>
        </w:trPr>
        <w:tc>
          <w:tcPr>
            <w:tcW w:w="4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Ordinary Shares outstanding—basic and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415,531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414,607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Loss per Ordinary Share—basic and diluted </w:t>
            </w:r>
            <w:r>
              <w:rPr>
                <w:rFonts w:ascii="Times New Roman" w:cs="Times New Roman" w:eastAsia="Times New Roman" w:hAnsi="Times New Roman"/>
                <w:sz w:val="24"/>
                <w:szCs w:val="24"/>
                <w:color w:val="auto"/>
                <w:vertAlign w:val="superscript"/>
              </w:rPr>
              <w:t>(1)</w:t>
            </w: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ADS outstanding—basic and diluted</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Loss per ADS—basic and diluted </w:t>
            </w:r>
            <w:r>
              <w:rPr>
                <w:rFonts w:ascii="Times New Roman" w:cs="Times New Roman" w:eastAsia="Times New Roman" w:hAnsi="Times New Roman"/>
                <w:sz w:val="24"/>
                <w:szCs w:val="24"/>
                <w:color w:val="auto"/>
                <w:vertAlign w:val="superscript"/>
              </w:rPr>
              <w:t>(1)</w:t>
            </w: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00" w:right="60" w:firstLine="7"/>
        <w:spacing w:after="0" w:line="267" w:lineRule="auto"/>
        <w:tabs>
          <w:tab w:leader="none" w:pos="8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Excluding the licensing revenue change in estimates, discussed in </w:t>
      </w:r>
      <w:r>
        <w:rPr>
          <w:rFonts w:ascii="Times New Roman" w:cs="Times New Roman" w:eastAsia="Times New Roman" w:hAnsi="Times New Roman"/>
          <w:sz w:val="18"/>
          <w:szCs w:val="18"/>
          <w:i w:val="1"/>
          <w:iCs w:val="1"/>
          <w:color w:val="auto"/>
        </w:rPr>
        <w:t>Note 7 – Revenue Recognition</w:t>
      </w:r>
      <w:r>
        <w:rPr>
          <w:rFonts w:ascii="Times New Roman" w:cs="Times New Roman" w:eastAsia="Times New Roman" w:hAnsi="Times New Roman"/>
          <w:sz w:val="18"/>
          <w:szCs w:val="18"/>
          <w:color w:val="auto"/>
        </w:rPr>
        <w:t>, net loss per ordinary share, basic and diluted, for the nine months ended September 30, 2024 would have been net loss per share of $(0.09) and net loss per ADS, basic and diluted for the nine months ended September 30, 2024 would have been net loss per share of $(1.84).</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following potentially dilutive securities were not included in the computation of net loss per share because the effect would be anti-dilutive or because performance criteria were not yet met for awards contingent upon such measures: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00" w:type="dxa"/>
            <w:vAlign w:val="bottom"/>
          </w:tcPr>
          <w:p>
            <w:pPr>
              <w:spacing w:after="0"/>
              <w:rPr>
                <w:sz w:val="13"/>
                <w:szCs w:val="13"/>
                <w:color w:val="auto"/>
              </w:rPr>
            </w:pPr>
          </w:p>
        </w:tc>
        <w:tc>
          <w:tcPr>
            <w:tcW w:w="2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126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securities on the last day of the reporting period. RSUs are anti-dilutive during periods of net earnings when underlying performance-based vesting requirements were not achieved as of the last day of the reporting period.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investments, and accounts receivable. The Company maintains substantially all of its cash and cash equivalents and short-term investments in financial institutions believed to be of high credit quality.</w:t>
      </w:r>
    </w:p>
    <w:p>
      <w:pPr>
        <w:spacing w:after="0" w:line="6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31%, 29%, and 28%, respectively, of gross product sales for the nine months ended September 30, 2025, and represented 40%, 23%, and 15%, respectively, of the gross accounts receivable balance as of September 30, 2025. Customers A, B, and C accounted for 29%, 34%, and 28%, respectively, of gross product sales for the nine months ended September 30, 2024, and represented 41%, 30%, and 17%, respectively, of the gross accounts receivable balance as of September 30, 2024. The Company has not experienced any significant write-offs of its accounts receivable. All customer accounts are actively managed and no losses in excess of amounts reserved are currently expected.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September 30, 2025 and December 31, 2024, and indicate the fair value hierarchy of the valuation techniques the Company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172,822</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172,822</w:t>
            </w: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38,765</w:t>
            </w:r>
          </w:p>
        </w:tc>
        <w:tc>
          <w:tcPr>
            <w:tcW w:w="1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38,765</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216,587</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211,587</w:t>
            </w: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1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174,722</w:t>
            </w:r>
          </w:p>
        </w:tc>
        <w:tc>
          <w:tcPr>
            <w:tcW w:w="12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7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67,456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247,178</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242,178</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-1859280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-1842135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-1859280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-1842135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-1859280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-1842135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-1859280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-1842135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-796925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-779780</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-796925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-779780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-796925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-779780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-796925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-779780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purchase of 90 days or less.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investments are stated at amortized cost, which approximates fair value. The Company does not intend to sell these investment securities and the contractual maturities are not greater than 12 months. Those with original maturities greater than 90 days and maturities less than 12 months are included in short-term investments on its condensed consolidated balance sheet.</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for both the nine months ended September 30, 2025 and 2024 were $0.1 million and $0.3 million, respectively. Interest on investments is reported in interest income in our condensed consolidated statement of operations. Interest receivable in investment securities is reported in prepaid and other current assets in our condensed consolidated balance sheet.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CODM, in deciding how to allocate resources to an individual segment and in assessing performance of the segment. The Company currently operates in two business segments, U.S. and Europe, which are aggregated into a single reportable segment, for the development and commercialization of VASCEPA. A single management team that reports to the Company’s CODM, who is the Chief Executive Officer, comprehensively manages the business on an integrated basis for the purpose of allocating resources. The Company’s CODM does not currently assess segment performance or allocate resources based on a measure of total assets nor is it practical for the Company to disaggregate assets based on geography. Accordingly, a total asset measure has not been provided for segment disclosure. Therefore, the Company does not have separate reportable segments.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is a summary of the reportable segment profit or loss, including significant reportable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32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product revenue,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40,866</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30,601</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Europe product revenue,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RoW product revenue, net</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Payroll and payroll related expense</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41,444</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(11,103)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(25,168)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(43,845)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(39,275)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(27,293)</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Segment &amp; consolidated 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(7,738)</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(25,134)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(37,574)</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(33,565)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-2699385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-2699385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-2699385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-2416810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-2416810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-2416810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-2133600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-2133600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-2133600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-1019175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-1019175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-1019175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-453390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-453390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-453390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-170815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identifies a restructuring event as a program that is planned and controlled by management, and materially changes either the scope of the Company's business or the manner in which that business is conducted. The accounting for involuntary</w:t>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termination benefits that are provided pursuant to a one-time benefit arrangement are accounted for under </w:t>
      </w:r>
      <w:r>
        <w:rPr>
          <w:rFonts w:ascii="Times New Roman" w:cs="Times New Roman" w:eastAsia="Times New Roman" w:hAnsi="Times New Roman"/>
          <w:sz w:val="18"/>
          <w:szCs w:val="18"/>
          <w:i w:val="1"/>
          <w:iCs w:val="1"/>
          <w:color w:val="auto"/>
        </w:rPr>
        <w:t>ASC 420 – Exit or Disposal Cost Obligations,</w:t>
      </w:r>
      <w:r>
        <w:rPr>
          <w:rFonts w:ascii="Times New Roman" w:cs="Times New Roman" w:eastAsia="Times New Roman" w:hAnsi="Times New Roman"/>
          <w:sz w:val="18"/>
          <w:szCs w:val="18"/>
          <w:color w:val="auto"/>
        </w:rPr>
        <w:t xml:space="preserve"> whereas involuntary termination benefits that are part of an ongoing written or substantive plan are accounted for under </w:t>
      </w:r>
      <w:r>
        <w:rPr>
          <w:rFonts w:ascii="Times New Roman" w:cs="Times New Roman" w:eastAsia="Times New Roman" w:hAnsi="Times New Roman"/>
          <w:sz w:val="18"/>
          <w:szCs w:val="18"/>
          <w:i w:val="1"/>
          <w:iCs w:val="1"/>
          <w:color w:val="auto"/>
        </w:rPr>
        <w:t>ASC 712 –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Nonretirement Postemployment Benefits. </w:t>
      </w:r>
      <w:r>
        <w:rPr>
          <w:rFonts w:ascii="Times New Roman" w:cs="Times New Roman" w:eastAsia="Times New Roman" w:hAnsi="Times New Roman"/>
          <w:sz w:val="18"/>
          <w:szCs w:val="18"/>
          <w:color w:val="auto"/>
        </w:rPr>
        <w:t>The Company accrues a liability for termination benefits under ASC 712 when it is probable that a liability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incurred and the amount can be reasonably estimated and under ASC 420 when the termination benefits are communicated.</w:t>
      </w:r>
    </w:p>
    <w:p>
      <w:pPr>
        <w:spacing w:after="0" w:line="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24, 2025, the Company announced a global restructuring plan, the Global Restructuring Plan, in connection with the execution of an exclusive long-term license and supply agreement with Recordati, with the vast majority of estimated cost savings to come from the elimination of commercial roles in the Company’s European operations. The Company anticipates that it will incur between approximately $30.0 million and $37.0 million in charges related to the Global Restructuring Plan, substantially all of which will be cash expenditures. During the three and nine months ended September 30, 2025, the Company recognized approximately $9.4 million and $32.2 million, respectively, of restructuring expense reflected on the condensed consolidated statement of operations related to the reduction in force, substantially all of which are cash expenditures.</w:t>
      </w:r>
    </w:p>
    <w:p>
      <w:pPr>
        <w:spacing w:after="0" w:line="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three and nine months ended September 30, 2025 (none in 2024):</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2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2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940" w:type="dxa"/>
            <w:vAlign w:val="bottom"/>
            <w:tcBorders>
              <w:top w:val="single" w:sz="8" w:color="auto"/>
              <w:bottom w:val="single" w:sz="8" w:color="auto"/>
            </w:tcBorders>
          </w:tcPr>
          <w:p>
            <w:pPr>
              <w:jc w:val="right"/>
              <w:ind w:right="1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760" w:type="dxa"/>
            <w:vAlign w:val="bottom"/>
            <w:tcBorders>
              <w:top w:val="single" w:sz="8" w:color="auto"/>
              <w:bottom w:val="single" w:sz="8" w:color="auto"/>
            </w:tcBorders>
          </w:tcPr>
          <w:p>
            <w:pPr>
              <w:jc w:val="right"/>
              <w:ind w:right="1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6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2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Forfeited (accelerated) stock vesting</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6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-333375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-316230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right"/>
              <w:ind w:right="1314"/>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c>
          <w:tcPr>
            <w:tcW w:w="100" w:type="dxa"/>
            <w:vAlign w:val="bottom"/>
          </w:tcPr>
          <w:p>
            <w:pPr>
              <w:spacing w:after="0"/>
              <w:rPr>
                <w:sz w:val="15"/>
                <w:szCs w:val="15"/>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incurred</w:t>
            </w:r>
          </w:p>
        </w:tc>
        <w:tc>
          <w:tcPr>
            <w:tcW w:w="74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(17,190)</w:t>
            </w:r>
          </w:p>
        </w:tc>
      </w:tr>
      <w:tr>
        <w:trPr>
          <w:trHeight w:val="209"/>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100" w:type="dxa"/>
            <w:vAlign w:val="bottom"/>
            <w:tcBorders>
              <w:top w:val="single" w:sz="8" w:color="CFF0FC"/>
            </w:tcBorders>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early by the Company or adopted as of the specified effective date.</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which provides more transparency about income tax information through improvements to income tax disclosures primarily related to the rate reconciliation and income taxes paid information. This change is effective for annual periods beginning after December 15, 2024. The Company expects adoption of this ASU will result in additional annual disclosures in line with the requirements of ASU 2023-09.</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which requires a public business entity to disclose specific information about certain costs and expenses in the notes to its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for interim and annual reporting periods beginning after December 15, 2026. The Company is currently evaluating the impact that the adoption of ASU 2024-03 will have on the Company’s consolidated financial statements.</w:t>
      </w:r>
    </w:p>
    <w:p>
      <w:pPr>
        <w:spacing w:after="0" w:line="7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Intangible asset consists of internal-use software, website development costs and milestone payments to the former shareholders of Laxdale related to the 2004 acquisition of the rights to VASCEPA, which is the result of VASCEPA receiving marketing approval in the U.S. for the MARINE indication in 2012, the REDUCE-IT indication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September 30, 2025, the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13" w:name="page14"/>
    <w:bookmarkEnd w:id="13"/>
    <w:p>
      <w:pPr>
        <w:ind w:right="260"/>
        <w:spacing w:after="0" w:line="282" w:lineRule="auto"/>
        <w:rPr>
          <w:sz w:val="20"/>
          <w:szCs w:val="20"/>
          <w:color w:val="auto"/>
        </w:rPr>
      </w:pPr>
      <w:r>
        <w:rPr>
          <w:rFonts w:ascii="Times New Roman" w:cs="Times New Roman" w:eastAsia="Times New Roman" w:hAnsi="Times New Roman"/>
          <w:sz w:val="18"/>
          <w:szCs w:val="18"/>
          <w:color w:val="auto"/>
        </w:rPr>
        <w:t>intangible assets have an estimated weighted-average remaining useful life of 5.4 years. The carrying value as of September 30, 2025 and December 31, 2024 is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8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(16,799)</w:t>
            </w: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80" w:type="dxa"/>
            <w:vAlign w:val="bottom"/>
            <w:shd w:val="clear" w:color="auto" w:fill="CFF0FC"/>
          </w:tcPr>
          <w:p>
            <w:pPr>
              <w:spacing w:after="0"/>
              <w:rPr>
                <w:sz w:val="19"/>
                <w:szCs w:val="19"/>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-25400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September 30, 2025 and December 31, 2024 consist of the following:</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96,154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91,421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88,444</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108,885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2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Total inventory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193,809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230,788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1360" w:right="1600" w:hanging="4"/>
        <w:spacing w:after="0" w:line="261" w:lineRule="auto"/>
        <w:tabs>
          <w:tab w:leader="none" w:pos="1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inventory consists of both current inventory and long-term inventory. During the nine months ended September 30, 2025, approximately $0.4 million of inventory was expensed through cost of goods sold for product dating inventory. During the nine months ended September 30, 2024, approximately $1.5 million of inventory was expensed through cost of goods sold for product dating inventory.</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$9.1 million and $64.7 million of long-term inventory, respectively, as consumption is expected beyond the Company's operating cycle of 12 months.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the Company provides disclosure of the possible loss or range of loss. If a reasonable estimate cannot be made, however, the Company will provide disclosure to that effect.</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Updates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such lawsuits or other proceedings described in the Company's Form 10-K. Except as described below, there have been no material updates to our litigation as reported in the Company’s Form 10-K.</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November 30, 2020, the Company filed a patent infringement lawsuit against Hikma for making, selling, offering to sell, and importing generic icosapent ethyl capsules in and into the U.S. in a manner that the Company alleges induced the infringement of patents covering the use of VASCEPA to reduce specified CV risk. On January 4, 2022, the district court for the District of Delaware granted a motion to dismiss the Company's lawsuit for failure to state a claim. Thereafter, the Company appealed to the Court of Appeals for the Federal Circuit. On June 25, 2024, the Federal Circuit issued a decision reversing the district court, finding that the Company's allegations against Hikma plausibly state a claim alleging Hikma actively induced infringement of the asserted patents. Hikma filed a petition for rehearing en banc on August 22, 2024, which was denied on October 17, 2024. On February 14, 2025, Hikma filed a petition for a writ of certiorari with the Supreme Court of the U.S. seeking review of the Federal Circuit decision reversing the district court. The infringement case continues to proceed within the district court during the pendency of the petition.</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Times New Roman" w:cs="Times New Roman" w:eastAsia="Times New Roman" w:hAnsi="Times New Roman"/>
          <w:sz w:val="18"/>
          <w:szCs w:val="18"/>
          <w:i w:val="1"/>
          <w:iCs w:val="1"/>
          <w:color w:val="auto"/>
        </w:rPr>
        <w:t>Mikhail v. Amarin Corporation, plc</w:t>
      </w:r>
      <w:r>
        <w:rPr>
          <w:rFonts w:ascii="Times New Roman" w:cs="Times New Roman" w:eastAsia="Times New Roman" w:hAnsi="Times New Roman"/>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U.S. District Court for</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120"/>
        <w:spacing w:after="0" w:line="258" w:lineRule="auto"/>
        <w:rPr>
          <w:sz w:val="20"/>
          <w:szCs w:val="20"/>
          <w:color w:val="auto"/>
        </w:rPr>
      </w:pPr>
      <w:r>
        <w:rPr>
          <w:rFonts w:ascii="Times New Roman" w:cs="Times New Roman" w:eastAsia="Times New Roman" w:hAnsi="Times New Roman"/>
          <w:sz w:val="18"/>
          <w:szCs w:val="18"/>
          <w:color w:val="auto"/>
        </w:rPr>
        <w:t>the District of New Jersey (Civ. No. 3:23-cv-01856). On June 30, 2023, all defendants moved to dismiss this case without prejudice due to lack of jurisdiction. On March 4, 2024, the District Court granted the motion in part and denied the motion in part, permitting the parties to pursue limited discovery on the issue of personal jurisdiction. On March 20, 2025, the Company filed a new motion to dismiss for failure of plaintiff to state a claim. The Company believes it has valid defenses and will vigorously defend against the claims but cannot predict the outcome. The Company is unable to reasonably estimate the loss exposure, if any, associated with these claims.</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continues to negotiate with contract suppliers to align its supply arrangements with current and future global demand, which may result in additional costs to the Company. As of the date of filing of this Quarterly Report, the Company has a total of approximately $190.8 million in future contractual purchase obligations without consideration to ongoing discussions with other suppliers.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Laxdale agreement, upon receipt of a marketing approval in Europe for a further indication of VASCEPA (or further indication of any other product acquired from Laxdale in 2004), the Company must make an aggregate stock or cash payment (at the sole option of each such former shareholder) of £5.0 million (approximately $6.7 million as of September 30,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these obligations since the amounts are either not paid or payable as of September 30, 2025.</w:t>
      </w:r>
    </w:p>
    <w:p>
      <w:pPr>
        <w:spacing w:after="0" w:line="3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ADSs</w:t>
      </w:r>
    </w:p>
    <w:p>
      <w:pPr>
        <w:spacing w:after="0" w:line="119" w:lineRule="exact"/>
        <w:rPr>
          <w:sz w:val="20"/>
          <w:szCs w:val="20"/>
          <w:color w:val="auto"/>
        </w:rPr>
      </w:pPr>
    </w:p>
    <w:p>
      <w:pPr>
        <w:ind w:right="20" w:firstLine="45"/>
        <w:spacing w:after="0" w:line="282" w:lineRule="auto"/>
        <w:rPr>
          <w:sz w:val="20"/>
          <w:szCs w:val="20"/>
          <w:color w:val="auto"/>
        </w:rPr>
      </w:pPr>
      <w:r>
        <w:rPr>
          <w:rFonts w:ascii="Times New Roman" w:cs="Times New Roman" w:eastAsia="Times New Roman" w:hAnsi="Times New Roman"/>
          <w:sz w:val="18"/>
          <w:szCs w:val="18"/>
          <w:color w:val="auto"/>
        </w:rPr>
        <w:t>On April 11, 2025, the Company effected its ADS Ratio Change on its ADSs from one ADS representing one Ordinary Share, to the new ratio of one ADS representing 20 Ordinary Shares.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2025 and 2024, except as described above, the Company did not engage in any transactions involving its ADSs. 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discussions of Ordinary Shares issued as a result of stock option exercises and vesting of RSUs.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Ordinary Share activity during the nine months ended September 30, 2025 and 2024,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number of Ordinary Shares underlying stock options and RSUs outstanding under the Amarin Corporation plc 2020 Stock Incentive Plan, as amended, or the 2020 Plan, as of September 30,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34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30,768,706</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3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14,726,029</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 of outstanding on a fully-diluted basis</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nine months ended September 30, 2025 and 2024:</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7620</wp:posOffset>
            </wp:positionV>
            <wp:extent cx="33604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49" w:lineRule="exact"/>
        <w:rPr>
          <w:sz w:val="20"/>
          <w:szCs w:val="20"/>
          <w:color w:val="auto"/>
        </w:rPr>
      </w:pPr>
    </w:p>
    <w:p>
      <w:pPr>
        <w:ind w:left="6920"/>
        <w:spacing w:after="0"/>
        <w:tabs>
          <w:tab w:leader="none" w:pos="9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7620</wp:posOffset>
            </wp:positionV>
            <wp:extent cx="15513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right="900"/>
        <w:spacing w:after="0" w:line="249" w:lineRule="auto"/>
        <w:rPr>
          <w:sz w:val="20"/>
          <w:szCs w:val="20"/>
          <w:color w:val="auto"/>
        </w:rPr>
      </w:pPr>
      <w:r>
        <w:rPr>
          <w:rFonts w:ascii="Times New Roman" w:cs="Times New Roman" w:eastAsia="Times New Roman" w:hAnsi="Times New Roman"/>
          <w:sz w:val="18"/>
          <w:szCs w:val="18"/>
          <w:color w:val="auto"/>
        </w:rPr>
        <w:t>Gross and net proceeds from stock option exercises $ Ordinary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300"/>
        <w:spacing w:after="0" w:line="231" w:lineRule="auto"/>
        <w:rPr>
          <w:sz w:val="20"/>
          <w:szCs w:val="20"/>
          <w:color w:val="auto"/>
        </w:rPr>
      </w:pPr>
      <w:r>
        <w:rPr>
          <w:rFonts w:ascii="Times New Roman" w:cs="Times New Roman" w:eastAsia="Times New Roman" w:hAnsi="Times New Roman"/>
          <w:sz w:val="18"/>
          <w:szCs w:val="18"/>
          <w:color w:val="auto"/>
        </w:rPr>
        <w:t xml:space="preserve">Ordinary 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 Ordinary Shares issued in settlement of vested Performance-based RSUs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Ordinary Shares retained for settlement of employee tax obligations ─ 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9,500</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7,083,019</w:t>
            </w:r>
          </w:p>
        </w:tc>
        <w:tc>
          <w:tcPr>
            <w:tcW w:w="9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3,218,757</w:t>
            </w:r>
          </w:p>
        </w:tc>
      </w:tr>
      <w:tr>
        <w:trPr>
          <w:trHeight w:val="216"/>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2,939,015</w:t>
            </w:r>
          </w:p>
        </w:tc>
        <w:tc>
          <w:tcPr>
            <w:tcW w:w="9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1,188,171</w:t>
            </w:r>
          </w:p>
        </w:tc>
      </w:tr>
      <w:tr>
        <w:trPr>
          <w:trHeight w:val="23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257,500</w:t>
            </w:r>
          </w:p>
        </w:tc>
        <w:tc>
          <w:tcPr>
            <w:tcW w:w="9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484,897</w:t>
            </w:r>
          </w:p>
        </w:tc>
      </w:tr>
      <w:tr>
        <w:trPr>
          <w:trHeight w:val="324"/>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117,898</w:t>
            </w:r>
          </w:p>
        </w:tc>
        <w:tc>
          <w:tcPr>
            <w:tcW w:w="9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227,380</w:t>
            </w:r>
          </w:p>
        </w:tc>
      </w:tr>
    </w:tbl>
    <w:p>
      <w:pPr>
        <w:spacing w:after="0" w:line="197" w:lineRule="exact"/>
        <w:rPr>
          <w:sz w:val="20"/>
          <w:szCs w:val="20"/>
          <w:color w:val="auto"/>
        </w:rPr>
      </w:pPr>
    </w:p>
    <w:p>
      <w:pPr>
        <w:sectPr>
          <w:pgSz w:w="11900" w:h="16838" w:orient="portrait"/>
          <w:cols w:equalWidth="0" w:num="2">
            <w:col w:w="6840" w:space="720"/>
            <w:col w:w="3680"/>
          </w:cols>
          <w:pgMar w:left="320" w:top="1046" w:right="339" w:bottom="1440" w:gutter="0" w:footer="0" w:header="0"/>
          <w:type w:val="continuous"/>
        </w:sect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Performance-based RSUs vested in connection with the achievement of certain performance conditions during the year.</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June 2025, the Company granted to Aaron Berg (i) RSUs for 1,500,000 Ordinary Shares that vested upon the date of grant; and (ii) stock options and RSUs of 750,000 and 250,000 Ordinary Shares that vest 50% on both June 26, 2026 and December 26, 2026, respectively.</w:t>
      </w:r>
    </w:p>
    <w:p>
      <w:pPr>
        <w:spacing w:after="0" w:line="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January 2025, the Company granted RSUs for a total of 10,646,844 Ordinary Shares and stock options for a total of 3,313,059 Ordinary Shares to employees under the 2020 Plan. The RSUs and stock options vest 50% on both January 1, 2026 and July 1, 2026, respectively.</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July 2024, the Company granted stock options for 5,000,000 Ordinary Shares to Aaron Berg in connection with his appointment as President and Chief Executive Officer, which will vest upon achievement of specified stock price conditions for the Company.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Company granted RSUs for a total of 492,296 Ordinary Shares and stock options for a total of 1,438,360 Ordinary Shares to members of the Company's Board of Directors. The RSUs vest annually over a three-year period and the stock options vest quarterly over a four-year period with a one-year cliff vesting.</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February 2024, the Company granted RSUs for a total of 6,800,500 Ordinary Shares and stock options for a total of 2,662,000 Ordinary Shares to employees under the 2020 Plan. The RSUs vest annually over a three-year period and the stock options vest quarterly over a four-year period with a one-year cliff vesting.</w:t>
      </w:r>
    </w:p>
    <w:p>
      <w:pPr>
        <w:spacing w:after="0" w:line="28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Revenue Recognition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retail pharmacy providers in the U.S.,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and in certain instances upon shipment. Payments from distributors are generally received 45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type w:val="continuous"/>
        </w:sectPr>
      </w:pPr>
    </w:p>
    <w:bookmarkStart w:id="16" w:name="page17"/>
    <w:bookmarkEnd w:id="16"/>
    <w:p>
      <w:pPr>
        <w:ind w:right="40"/>
        <w:spacing w:after="0" w:line="266" w:lineRule="auto"/>
        <w:rPr>
          <w:sz w:val="20"/>
          <w:szCs w:val="20"/>
          <w:color w:val="auto"/>
        </w:rPr>
      </w:pPr>
      <w:r>
        <w:rPr>
          <w:rFonts w:ascii="Times New Roman" w:cs="Times New Roman" w:eastAsia="Times New Roman" w:hAnsi="Times New Roman"/>
          <w:sz w:val="18"/>
          <w:szCs w:val="18"/>
          <w:color w:val="auto"/>
        </w:rPr>
        <w:t>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66" w:lineRule="exact"/>
        <w:rPr>
          <w:sz w:val="20"/>
          <w:szCs w:val="20"/>
          <w:color w:val="auto"/>
        </w:rPr>
      </w:pPr>
    </w:p>
    <w:p>
      <w:pPr>
        <w:ind w:left="520" w:right="2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distribution services, such as fees for certain data that distributors provide to the Company. The payment terms for sales to distributors in the U.S. and Europe generally include a 2-3% discount for prompt payment; while the fees for U.S. and global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74" w:lineRule="exact"/>
        <w:rPr>
          <w:sz w:val="20"/>
          <w:szCs w:val="20"/>
          <w:color w:val="auto"/>
        </w:rPr>
      </w:pPr>
    </w:p>
    <w:p>
      <w:pPr>
        <w:ind w:left="5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We have withdrawn from the Medicaid Drug Rebate program and the 340B drug pricing program effective October 1, 2024.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8" w:lineRule="exact"/>
        <w:rPr>
          <w:sz w:val="20"/>
          <w:szCs w:val="20"/>
          <w:color w:val="auto"/>
        </w:rPr>
      </w:pPr>
    </w:p>
    <w:p>
      <w:pPr>
        <w:ind w:left="520"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79" w:lineRule="exact"/>
        <w:rPr>
          <w:sz w:val="20"/>
          <w:szCs w:val="20"/>
          <w:color w:val="auto"/>
        </w:rPr>
      </w:pPr>
    </w:p>
    <w:p>
      <w:pPr>
        <w:ind w:left="5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18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3"/>
                <w:szCs w:val="13"/>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9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9,433</w:t>
            </w: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97,526</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4,734</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1,548</w:t>
            </w: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504,168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(411,114)</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(8,779)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(96,717)</w:t>
            </w: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(110,431)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12,774</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94,425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24"/>
                <w:szCs w:val="24"/>
                <w:color w:val="auto"/>
              </w:rPr>
            </w:pPr>
          </w:p>
        </w:tc>
        <w:tc>
          <w:tcPr>
            <w:tcW w:w="9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18,834</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143,033</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7,732</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1,902</w:t>
            </w:r>
          </w:p>
        </w:tc>
        <w:tc>
          <w:tcPr>
            <w:tcW w:w="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tcBorders>
              <w:right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FF0FC"/>
            </w:tcBorders>
            <w:shd w:val="clear" w:color="auto" w:fill="CFF0FC"/>
          </w:tcPr>
          <w:p>
            <w:pPr>
              <w:spacing w:after="0"/>
              <w:rPr>
                <w:sz w:val="18"/>
                <w:szCs w:val="18"/>
                <w:color w:val="auto"/>
              </w:rPr>
            </w:pPr>
          </w:p>
        </w:tc>
        <w:tc>
          <w:tcPr>
            <w:tcW w:w="9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(484,127)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(18,383)</w:t>
            </w:r>
          </w:p>
        </w:tc>
        <w:tc>
          <w:tcPr>
            <w:tcW w:w="1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(136,588)</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-1456690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-1456690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-1456690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-1456690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-170815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2024, the Company adjusted the measure of performance and recognized an additional $4.0 million of license revenue relating to Edding. Excluding this change in estimate, net loss per share basic and diluted for the nine months ended September 30, 2024 would have been $(0.09). Refer to </w:t>
      </w:r>
      <w:r>
        <w:rPr>
          <w:rFonts w:ascii="Times New Roman" w:cs="Times New Roman" w:eastAsia="Times New Roman" w:hAnsi="Times New Roman"/>
          <w:sz w:val="18"/>
          <w:szCs w:val="18"/>
          <w:i w:val="1"/>
          <w:iCs w:val="1"/>
          <w:color w:val="auto"/>
        </w:rPr>
        <w:t>Note 8—Development, Commercialization and Supply Agreements</w:t>
      </w:r>
      <w:r>
        <w:rPr>
          <w:rFonts w:ascii="Times New Roman" w:cs="Times New Roman" w:eastAsia="Times New Roman" w:hAnsi="Times New Roman"/>
          <w:sz w:val="18"/>
          <w:szCs w:val="18"/>
          <w:color w:val="auto"/>
        </w:rPr>
        <w:t xml:space="preserve"> for further details.</w:t>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8" w:name="page19"/>
    <w:bookmarkEnd w:id="18"/>
    <w:p>
      <w:pPr>
        <w:ind w:right="120"/>
        <w:spacing w:after="0" w:line="254" w:lineRule="auto"/>
        <w:rPr>
          <w:sz w:val="20"/>
          <w:szCs w:val="20"/>
          <w:color w:val="auto"/>
        </w:rPr>
      </w:pPr>
      <w:r>
        <w:rPr>
          <w:rFonts w:ascii="Times New Roman" w:cs="Times New Roman" w:eastAsia="Times New Roman" w:hAnsi="Times New Roman"/>
          <w:sz w:val="18"/>
          <w:szCs w:val="18"/>
          <w:color w:val="auto"/>
        </w:rPr>
        <w:t>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8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Royalty Payments: </w:t>
      </w:r>
      <w:r>
        <w:rPr>
          <w:rFonts w:ascii="Times New Roman" w:cs="Times New Roman" w:eastAsia="Times New Roman" w:hAnsi="Times New Roman"/>
          <w:sz w:val="18"/>
          <w:szCs w:val="18"/>
          <w:color w:val="auto"/>
        </w:rPr>
        <w:t>At the inception of each arrangement that includes royalty-based payments, the Company evaluates whether the royalties relate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of intellectual property, in which case they are accounted for under the royalty constraint within ASC 606 and recognized when the later of the subsequent sale or usage occurs or when the performance obligations have been satisfied. If the royalties do not relate to the licensing of intellectual property, the royalties are accounted for under the variable consideration constraint within ASC 606 and are recognized in the transaction price only to the extent that it is probable that a significant reversal in the amount of cumulative revenue will not occur when the uncertainty around the variable consideration is subsequently resolved. Royalty payments that fall within the variable consideration constraint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The royalties that are considered variable consideration are recognized when the uncertainty related to the variable consideration is subsequently resolved. At the end of each subsequent reporting period, the Company reevaluates the circumstances and recognizes royalties that are no longer constrained.</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7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February 2025 and January 2024, the Company exercised certain rights under the agreement, resulting in payments of $1.0 million in each of such periods to Mochida, which was recorded as research and development expense in the condensed consolidated statement of operations.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the right to sublicense development and commercialization of VASCEPA in the China Territory for uses that are currently commercialized and under development by the Company based on the Company’s MARINE, ANCHOR and REDUCE-IT clinical trials of VASCEPA.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MARINE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MARINE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Submission of the CTA for the REDUCE-IT indication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of VASCEPA under the REDUCE-IT indication</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Development Support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8"/>
                <w:szCs w:val="18"/>
                <w:color w:val="auto"/>
              </w:rPr>
            </w:pPr>
          </w:p>
        </w:tc>
      </w:tr>
      <w:tr>
        <w:trPr>
          <w:trHeight w:val="250"/>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tiered double-digit percentage royalties on net sales of VASCEPA in the China Territory escalating to the high teens. The achievement of sales-based milestone events occurs when annual aggregate net sales of VASCEPA in the China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Edding received approval in China under the REDUCE-IT indication. The REDUCE-IT indication approval concludes the Company's support for regulatory activities and, as noted above, pursuit of additional indications was deemed to be not probable. As a result, the Company reevaluated the performance period and determined that all remaining performance obligations were satisfied as of June 30, 2024, resulting in a decrease of the previous performance period of two years. The effect of this change in estimate from the previously received upfront payment and prior year milestone payments was an increase of $4.0 million in licensing revenue and a related reduction in net loss by $4.0 million in the nine months ended September 30, 2024. In addition, the Company also recognized $15.0 million in the second quarter related to the REDUCE-IT indication approval milestone. The Company fully recognized the transaction price as of June 30,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revenue recognized during the nine months ended September 30, 2025 (1)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 recognized during the nine months ended September 30, 2024 (1)</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00" w:type="dxa"/>
            <w:vAlign w:val="bottom"/>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revenue recognized from contract inception through both September 30, 2025 and December 31, 2024</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40,081</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1020" w:right="10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under the DCS Agreement is recognized concurrent with the input measure of support hours provided by the Company to Edding in achieving the combined development and regulatory performance obligation, which in the Company’s judgment is the best measure of progress towards satisfying this performance obligation.</w:t>
      </w:r>
    </w:p>
    <w:p>
      <w:pPr>
        <w:spacing w:after="0" w:line="68" w:lineRule="exact"/>
        <w:rPr>
          <w:sz w:val="20"/>
          <w:szCs w:val="20"/>
          <w:color w:val="auto"/>
        </w:rPr>
      </w:pPr>
    </w:p>
    <w:p>
      <w:pPr>
        <w:jc w:val="both"/>
        <w:ind w:right="380"/>
        <w:spacing w:after="0" w:line="257" w:lineRule="auto"/>
        <w:rPr>
          <w:sz w:val="20"/>
          <w:szCs w:val="20"/>
          <w:color w:val="auto"/>
        </w:rPr>
      </w:pPr>
      <w:r>
        <w:rPr>
          <w:rFonts w:ascii="Times New Roman" w:cs="Times New Roman" w:eastAsia="Times New Roman" w:hAnsi="Times New Roman"/>
          <w:sz w:val="18"/>
          <w:szCs w:val="18"/>
          <w:color w:val="auto"/>
        </w:rPr>
        <w:t>The Company recognized net product revenue of $4.8 million and $8.2 million for the three and nine months ended September 30, 2024, respectively, related to sales to Edding (none in 2025). The Company also recognized royalties of $0.4 million and $1.3 million for the three and nine months ended September 30, 2025, respectively, and nil and $0.4 million for the three and nine months ended September 30, 2024,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Biologix a non-exclusive license to use its trademarks in connection with the importation, distribution, promotion, marketing and sale of VASCEPA in the Middle East and North Africa territory. Upon closing of the agreement, the Company received a non-refundable upfront payment, which has been fully recognized as of June 30, 2024.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3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30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r>
    </w:tbl>
    <w:p>
      <w:pPr>
        <w:spacing w:after="0" w:line="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$1.8 million and $4.5 million for the three and nine months ended September 30, 2025, respectively, and $1.3 million for both the three and nine months ended September 30, 2024,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is comprised of the following upfront payments and milestones: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Transaction Price Components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10"/>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Upfront fee</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Achievement of the REDUCE-IT trial primary endpoint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Approval from Health Canada</w:t>
            </w: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exclusivity from the Office of Patented Medicines and Liaison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2020</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8"/>
                <w:szCs w:val="18"/>
                <w:color w:val="auto"/>
              </w:rPr>
            </w:pPr>
          </w:p>
        </w:tc>
      </w:tr>
      <w:tr>
        <w:trPr>
          <w:trHeight w:val="250"/>
        </w:trPr>
        <w:tc>
          <w:tcPr>
            <w:tcW w:w="8120" w:type="dxa"/>
            <w:vAlign w:val="bottom"/>
            <w:tcBorders>
              <w:bottom w:val="single" w:sz="8" w:color="CFF0FC"/>
            </w:tcBorders>
            <w:gridSpan w:val="2"/>
            <w:shd w:val="clear" w:color="auto" w:fill="CFF0FC"/>
          </w:tcPr>
          <w:p>
            <w:pPr>
              <w:ind w:left="6240"/>
              <w:spacing w:after="0"/>
              <w:rPr>
                <w:sz w:val="20"/>
                <w:szCs w:val="20"/>
                <w:color w:val="auto"/>
              </w:rPr>
            </w:pPr>
            <w:r>
              <w:rPr>
                <w:rFonts w:ascii="Times New Roman" w:cs="Times New Roman" w:eastAsia="Times New Roman" w:hAnsi="Times New Roman"/>
                <w:sz w:val="18"/>
                <w:szCs w:val="18"/>
                <w:color w:val="auto"/>
              </w:rPr>
              <w:t>Total Transaction Price</w:t>
            </w: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just described, the Company is entitled to receive certain sales-based milestone payments of up to an additional $50.0 million, as well as tiered double-digit royalties on net sales of VASCEPA in Canada.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fully recognized the transaction price as of June 30, 2023.</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recognized net product revenue of $1.8 million for both the three and nine months ended September 30, 2025 and nil and $1.9 million for the three and nine months ended September 30, 2024, respectively, related to sales to HLS. The Company also recognized royalties of $0.7 million and $1.9 million for the three and nine months ended September 30, 2025, respectively, and $0.6 million and $1.6 million for the three and nine months ended September 30,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October 2024, CSL obtained listing of VAZKEPA on the Pharmaceutical Benefits Scheme, or PBS, in Australia, as a result the Company received a non-refundable $1.2 million milestone payment. In addition to the upfront payment, the Company will be eligible to receive event-related milestone payments of approximately $6.0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$0.5 million upfront consideration as well as the $1.2 million milestone payment received related to the listing of VAZKEPA on the PBS in Australia.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nil and $0.8 million for the three and nine months ended September 30, 2025, respectively, and $0.8 million for both the three and nine months ended September 30, 2024 related to sales to CSL.</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Recordati Industria Chimica e Farmaceutica S.p.A.</w:t>
      </w:r>
    </w:p>
    <w:p>
      <w:pPr>
        <w:spacing w:after="0" w:line="11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June 2025, the Company entered into an exclusive long-term license and supply agreement with Recordati, or the Recordati Licensing Agreement, related to the development and commercialization of VASCEPA in 59 countries focused in Europe, or the Recordati Territory. Under the terms of the Recordati Licensing Agreement, the Company granted Recordati an exclusive (including as to the Company) license with the right to sublicense development and commercialization of VASCEPA in the Recordati Territory for uses that are currently commercialized and under development by the Company based on the Company’s REDUCE-IT clinical trials of VASCEPA. The Company has received marketing authorization by the MHRA and the European Medicines Agency, or EMA, and subsequently made VASCEPA available under individual reimbursement or received national reimbursement and launched commercial operations in the following countries,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 Reimbursement</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3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2023</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January 2025</w:t>
            </w:r>
          </w:p>
        </w:tc>
        <w:tc>
          <w:tcPr>
            <w:tcW w:w="0" w:type="dxa"/>
            <w:vAlign w:val="bottom"/>
          </w:tcPr>
          <w:p>
            <w:pPr>
              <w:spacing w:after="0"/>
              <w:rPr>
                <w:sz w:val="1"/>
                <w:szCs w:val="1"/>
                <w:color w:val="auto"/>
              </w:rPr>
            </w:pPr>
          </w:p>
        </w:tc>
      </w:tr>
      <w:tr>
        <w:trPr>
          <w:trHeight w:val="216"/>
        </w:trPr>
        <w:tc>
          <w:tcPr>
            <w:tcW w:w="3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Slovenia </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2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3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will be the sole and exclusive distributor of VAZKEPA in the Greek territory to import, register, distribute and commercialize VAZKEPA.</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Salus will be the sole and exclusive distributor of VAZKEPA in the Slovenian territory to import, register, distribute and commercialize VAZKEPA.</w:t>
      </w:r>
    </w:p>
    <w:p>
      <w:pPr>
        <w:spacing w:after="0" w:line="117"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Recordati, is a customer. The Company identified the following distinct performance obligations at the inception of the contract: an exclusive license to use its intellectual property; regulatory approvals; and regulatory documents in connection with the importation, distribution, promotion, marketing and sale of VASCEPA in the Recordati Territory. The Company will be responsible for supplying finished product to Recordati at a set price, as defined in the Recordati Licensing Agreement.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2" w:name="page23"/>
    <w:bookmarkEnd w:id="22"/>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received an upfront payment of $25.0 million, which was fully recognized during the second quarter of 2025. In addition to the upfront payment, the Company will be eligible to receive sales-based milestone payments and royalties on net sales of VASCEPA in the Recordati Territory. The achievement of sales-based milestone events occurs when annual aggregate net sales of VASCEPA in the Recordati Territory equals or exceeds certain specified thresholds resulting in total payments of up to $150.0 million. Each such milestone payment will be payable only once regardless of how many times the sales milestone event is achieved. Each such milestone payment is non-refundable and non-creditable against any other milestone payments.</w:t>
      </w:r>
    </w:p>
    <w:p>
      <w:pPr>
        <w:spacing w:after="0" w:line="7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transaction price includes the $25.0 million upfront consideration. Any consideration related to sales-based milestones, including royalties, will be recognized when the related sales occur or uncertainty related to the consideration resolved, and therefore have also been excluded from the transaction price. The Company will reevaluate the transaction price in each reporting period and as uncertain events are resolved or other changes in circumstances occur.</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$25.0 million as licensing revenue related to the upfront payment received in connection with the Recordati Licensing Agreement (none in 2024).</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recognized net product revenue of $1.7 million for both the three and nine months ended September 30, 2025, related to sales to Recordati (none in 2024). The Company also recognized royalties of less than $0.1 million for both the three and nine months ended September 30, 2025, respectively (none in 2024).</w:t>
      </w:r>
    </w:p>
    <w:p>
      <w:pPr>
        <w:spacing w:after="0" w:line="3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nine months ended September 30,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173"/>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6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7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2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24"/>
                <w:szCs w:val="24"/>
                <w:color w:val="auto"/>
                <w:vertAlign w:val="superscript"/>
              </w:rPr>
              <w:t>(1)</w:t>
            </w:r>
          </w:p>
        </w:tc>
        <w:tc>
          <w:tcPr>
            <w:tcW w:w="9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4,850</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(4,850)</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ind w:left="1020" w:right="4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approximately $4.9 million reduction consists primarily of recognition of $4.0 million relating to the change in estimate for Edding during the three months ended June 30, 2024.</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recognized the following revenues as a result of changes in the contract asset and contract liability balances in the respective periods: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2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2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8"/>
                <w:szCs w:val="18"/>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ind w:left="520" w:right="10240" w:hanging="512"/>
        <w:spacing w:after="0" w:line="378" w:lineRule="auto"/>
        <w:tabs>
          <w:tab w:leader="none" w:pos="37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5"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90"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office space in Dublin, Ireland, or the Dublin Lease. The Dublin Lease commenced on October 1, 2022, or the Dublin Commencement Date, for a two-year period. Under the Dublin Lease, the Company paid annual rent of approximately $0.4 million during the duration of the lease term, which ended on September 30, 2024.</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26, 2024, the Company entered into a lease agreement for new office space in Dublin, Ireland, or the Subsequent Dublin Lease. The Subsequent Dublin Lease commenced on September 1, 2024, or the Subsequent Dublin Commencement Date, for a two-year period. Under the Subsequent Dublin Lease, the Company paid annual rent of approximately $0.5 million during the duration of the lease term, which was terminated effective on February 28, 2025.</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11, 2025, the Company entered into an amended lease agreement, which amended the Subsequent Dublin Lease, for additional office space in Dublin, Ireland, or the Amended Subsequent Dublin Lease. The Amended Subsequent Dublin Lease commenced on March 1, 2025, or the Amended Subsequent Dublin Commencement Date, for a two-year period. Under the Amended Subsequent Dublin Lease, the Company will pay annual rent of approximately $0.9 million during the duration of the lease term.</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Prior to the licensing agreement with Recordati, the Company had lease agreements for various vehicles with terms ranging from month-to-month up to 36 months within Europe.</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total operating lease liability is $9.0 million and $9.7 million and the total operating lease right-of-use asset is $7.2 million and $7.6 million, as of September 30, 2025 and December 31, 2024, respectively.</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lease expense for the three and nine months ended September 30, 2025 is approximately $0.8 million and $2.6 million, respectively. The lease expense for the three and nine months ended September 30, 2024 is approximately $0.8 million and $2.7 million, respectively.</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September 30,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0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Undiscounted lease payments</w:t>
            </w:r>
          </w:p>
        </w:tc>
        <w:tc>
          <w:tcPr>
            <w:tcW w:w="100" w:type="dxa"/>
            <w:vAlign w:val="bottom"/>
          </w:tcPr>
          <w:p>
            <w:pPr>
              <w:spacing w:after="0"/>
              <w:rPr>
                <w:sz w:val="15"/>
                <w:szCs w:val="15"/>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960" w:type="dxa"/>
            <w:vAlign w:val="bottom"/>
            <w:gridSpan w:val="3"/>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8"/>
                <w:szCs w:val="18"/>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5960" w:type="dxa"/>
            <w:vAlign w:val="bottom"/>
            <w:gridSpan w:val="3"/>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shd w:val="clear" w:color="auto" w:fill="CFF0FC"/>
          </w:tcPr>
          <w:p>
            <w:pPr>
              <w:spacing w:after="0"/>
              <w:rPr>
                <w:sz w:val="18"/>
                <w:szCs w:val="18"/>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50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Discount Adjustments</w:t>
            </w:r>
          </w:p>
        </w:tc>
        <w:tc>
          <w:tcPr>
            <w:tcW w:w="596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r>
      <w:tr>
        <w:trPr>
          <w:trHeight w:val="20"/>
        </w:trPr>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5960" w:type="dxa"/>
            <w:vAlign w:val="bottom"/>
            <w:gridSpan w:val="3"/>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FF0FC"/>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96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tcPr>
          <w:p>
            <w:pPr>
              <w:spacing w:after="0"/>
              <w:rPr>
                <w:sz w:val="20"/>
                <w:szCs w:val="20"/>
                <w:color w:val="auto"/>
              </w:rPr>
            </w:pPr>
          </w:p>
        </w:tc>
      </w:tr>
      <w:tr>
        <w:trPr>
          <w:trHeight w:val="522"/>
        </w:trPr>
        <w:tc>
          <w:tcPr>
            <w:tcW w:w="4020" w:type="dxa"/>
            <w:vAlign w:val="bottom"/>
          </w:tcPr>
          <w:p>
            <w:pPr>
              <w:spacing w:after="0"/>
              <w:rPr>
                <w:sz w:val="24"/>
                <w:szCs w:val="24"/>
                <w:color w:val="auto"/>
              </w:rPr>
            </w:pPr>
          </w:p>
        </w:tc>
        <w:tc>
          <w:tcPr>
            <w:tcW w:w="504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20, 2023, the Company entered into a sublease agreement, or the Sublease, for 50,000 square feet of the 67,747 square foot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the Company will provide certain abatements subject to the limitations in the Lease.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09"/>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09"/>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sales-type leases</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r>
      <w:tr>
        <w:trPr>
          <w:trHeight w:val="210"/>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58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sales-type lease and operating lease receivables as of</w:t>
            </w:r>
          </w:p>
        </w:tc>
        <w:tc>
          <w:tcPr>
            <w:tcW w:w="2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September 30, 2025 are as follows:</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Sales-Type Leases</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622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5,355</w:t>
            </w:r>
          </w:p>
        </w:tc>
      </w:tr>
      <w:tr>
        <w:trPr>
          <w:trHeight w:val="432"/>
        </w:trPr>
        <w:tc>
          <w:tcPr>
            <w:tcW w:w="5120" w:type="dxa"/>
            <w:vAlign w:val="bottom"/>
          </w:tcPr>
          <w:p>
            <w:pPr>
              <w:spacing w:after="0"/>
              <w:rPr>
                <w:sz w:val="24"/>
                <w:szCs w:val="24"/>
                <w:color w:val="auto"/>
              </w:rPr>
            </w:pPr>
          </w:p>
        </w:tc>
        <w:tc>
          <w:tcPr>
            <w:tcW w:w="22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5" w:name="page26"/>
    <w:bookmarkEnd w:id="2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2024, or our Annual Report, and under Part II, Item IA, “Risk Factors” of this Quarterly Report.</w:t>
      </w:r>
    </w:p>
    <w:p>
      <w:pPr>
        <w:spacing w:after="0" w:line="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w:t>
      </w:r>
    </w:p>
    <w:p>
      <w:pPr>
        <w:spacing w:after="0" w:line="61" w:lineRule="exact"/>
        <w:rPr>
          <w:sz w:val="20"/>
          <w:szCs w:val="20"/>
          <w:color w:val="auto"/>
        </w:rPr>
      </w:pPr>
    </w:p>
    <w:p>
      <w:pPr>
        <w:ind w:firstLine="509"/>
        <w:spacing w:after="0" w:line="232" w:lineRule="auto"/>
        <w:rPr>
          <w:sz w:val="20"/>
          <w:szCs w:val="20"/>
          <w:color w:val="auto"/>
        </w:rPr>
      </w:pPr>
      <w:r>
        <w:rPr>
          <w:rFonts w:ascii="Times New Roman" w:cs="Times New Roman" w:eastAsia="Times New Roman" w:hAnsi="Times New Roman"/>
          <w:sz w:val="18"/>
          <w:szCs w:val="18"/>
          <w:color w:val="auto"/>
        </w:rPr>
        <w:t>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in July 2012 for use as an adjunct to diet to reduce triglyceride, or TG, levels in adult patients with severe (≥500 mg/dL) hypertriglyceridemia, or the MARINE indication. On December 13, 2019, the U.S. FDA approved another indication and label expansion for VASCEPA based on the results of our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risk-patients, or the REDUCE-IT indication.</w:t>
      </w:r>
    </w:p>
    <w:p>
      <w:pPr>
        <w:spacing w:after="0" w:line="90"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VASCEPA, under the brand name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VASCEPA, collectively referred to as VASCEPA,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we announced that the Medicines and Healthcare Products Regulatory Agency, or MHRA, approved VAZKEPA in England, Scotland and Wales to reduce cardiovascular risk. Collectively, Committee for Medicinal Products for Human Use, or CHMP, EMA, EC and MHRA are referred to herein as the European Regulatory Authorities.</w:t>
      </w:r>
    </w:p>
    <w:p>
      <w:pPr>
        <w:spacing w:after="0" w:line="9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and our seven commercial partners are in various stages; seeking or maintaining regulatory approval, obtaining government or private pricing and reimbursement, and/or commercialization. VASCEPA and VAZKEPA approvals and applications for approval globally reference either the U.S. New Drug Application, or NDA, core dossier or the EMA core dossier.</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VASCEPA (U.S. NDA Core Dossier)</w:t>
            </w:r>
          </w:p>
        </w:tc>
        <w:tc>
          <w:tcPr>
            <w:tcW w:w="220" w:type="dxa"/>
            <w:vAlign w:val="bottom"/>
          </w:tcPr>
          <w:p>
            <w:pPr>
              <w:spacing w:after="0"/>
              <w:rPr>
                <w:sz w:val="15"/>
                <w:szCs w:val="15"/>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VAZKEPA (EMA Core Dossier)</w:t>
            </w:r>
          </w:p>
        </w:tc>
        <w:tc>
          <w:tcPr>
            <w:tcW w:w="0" w:type="dxa"/>
            <w:vAlign w:val="bottom"/>
          </w:tcPr>
          <w:p>
            <w:pPr>
              <w:spacing w:after="0"/>
              <w:rPr>
                <w:sz w:val="1"/>
                <w:szCs w:val="1"/>
                <w:color w:val="auto"/>
              </w:rPr>
            </w:pPr>
          </w:p>
        </w:tc>
      </w:tr>
      <w:tr>
        <w:trPr>
          <w:trHeight w:val="191"/>
        </w:trPr>
        <w:tc>
          <w:tcPr>
            <w:tcW w:w="4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Amarin (US)</w:t>
            </w:r>
          </w:p>
        </w:tc>
        <w:tc>
          <w:tcPr>
            <w:tcW w:w="220" w:type="dxa"/>
            <w:vAlign w:val="bottom"/>
            <w:shd w:val="clear" w:color="auto" w:fill="CFF0FC"/>
          </w:tcPr>
          <w:p>
            <w:pPr>
              <w:spacing w:after="0"/>
              <w:rPr>
                <w:sz w:val="16"/>
                <w:szCs w:val="16"/>
                <w:color w:val="auto"/>
              </w:rPr>
            </w:pPr>
          </w:p>
        </w:tc>
        <w:tc>
          <w:tcPr>
            <w:tcW w:w="49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Recordati Industria Chimica e Farmaceutica S.p.A "Recordati"</w:t>
            </w:r>
          </w:p>
        </w:tc>
        <w:tc>
          <w:tcPr>
            <w:tcW w:w="0" w:type="dxa"/>
            <w:vAlign w:val="bottom"/>
          </w:tcPr>
          <w:p>
            <w:pPr>
              <w:spacing w:after="0"/>
              <w:rPr>
                <w:sz w:val="1"/>
                <w:szCs w:val="1"/>
                <w:color w:val="auto"/>
              </w:rPr>
            </w:pPr>
          </w:p>
        </w:tc>
      </w:tr>
      <w:tr>
        <w:trPr>
          <w:trHeight w:val="126"/>
        </w:trPr>
        <w:tc>
          <w:tcPr>
            <w:tcW w:w="49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9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(Europe) (1)</w:t>
            </w:r>
          </w:p>
        </w:tc>
        <w:tc>
          <w:tcPr>
            <w:tcW w:w="0" w:type="dxa"/>
            <w:vAlign w:val="bottom"/>
          </w:tcPr>
          <w:p>
            <w:pPr>
              <w:spacing w:after="0"/>
              <w:rPr>
                <w:sz w:val="1"/>
                <w:szCs w:val="1"/>
                <w:color w:val="auto"/>
              </w:rPr>
            </w:pPr>
          </w:p>
        </w:tc>
      </w:tr>
      <w:tr>
        <w:trPr>
          <w:trHeight w:val="108"/>
        </w:trPr>
        <w:tc>
          <w:tcPr>
            <w:tcW w:w="49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9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HLS Therapeutics Inc. "HLS" (Canada)</w:t>
            </w:r>
          </w:p>
        </w:tc>
        <w:tc>
          <w:tcPr>
            <w:tcW w:w="22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CSL Seqirus "CSL"(Australia/New Zealand)</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Biologix FZCo "Biologix" (MENA)</w:t>
            </w:r>
          </w:p>
        </w:tc>
        <w:tc>
          <w:tcPr>
            <w:tcW w:w="220" w:type="dxa"/>
            <w:vAlign w:val="bottom"/>
            <w:shd w:val="clear" w:color="auto" w:fill="CFF0FC"/>
          </w:tcPr>
          <w:p>
            <w:pPr>
              <w:spacing w:after="0"/>
              <w:rPr>
                <w:sz w:val="18"/>
                <w:szCs w:val="18"/>
                <w:color w:val="auto"/>
              </w:rPr>
            </w:pPr>
          </w:p>
        </w:tc>
        <w:tc>
          <w:tcPr>
            <w:tcW w:w="4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Lotus Pharmaceuticals, "Lotus" (Southeast Asia)</w:t>
            </w:r>
          </w:p>
        </w:tc>
        <w:tc>
          <w:tcPr>
            <w:tcW w:w="0" w:type="dxa"/>
            <w:vAlign w:val="bottom"/>
          </w:tcPr>
          <w:p>
            <w:pPr>
              <w:spacing w:after="0"/>
              <w:rPr>
                <w:sz w:val="1"/>
                <w:szCs w:val="1"/>
                <w:color w:val="auto"/>
              </w:rPr>
            </w:pPr>
          </w:p>
        </w:tc>
      </w:tr>
      <w:tr>
        <w:trPr>
          <w:trHeight w:val="198"/>
        </w:trPr>
        <w:tc>
          <w:tcPr>
            <w:tcW w:w="4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Eddingpharm (Asia) Macao Commercial Offshore Limited</w:t>
            </w:r>
          </w:p>
        </w:tc>
        <w:tc>
          <w:tcPr>
            <w:tcW w:w="220" w:type="dxa"/>
            <w:vAlign w:val="bottom"/>
          </w:tcPr>
          <w:p>
            <w:pPr>
              <w:spacing w:after="0"/>
              <w:rPr>
                <w:sz w:val="17"/>
                <w:szCs w:val="17"/>
                <w:color w:val="auto"/>
              </w:rPr>
            </w:pPr>
          </w:p>
        </w:tc>
        <w:tc>
          <w:tcPr>
            <w:tcW w:w="4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Neopharm (Israel) 1996 Ltd. "Neopharm" (Israel)</w:t>
            </w:r>
          </w:p>
        </w:tc>
        <w:tc>
          <w:tcPr>
            <w:tcW w:w="0" w:type="dxa"/>
            <w:vAlign w:val="bottom"/>
          </w:tcPr>
          <w:p>
            <w:pPr>
              <w:spacing w:after="0"/>
              <w:rPr>
                <w:sz w:val="1"/>
                <w:szCs w:val="1"/>
                <w:color w:val="auto"/>
              </w:rPr>
            </w:pPr>
          </w:p>
        </w:tc>
      </w:tr>
      <w:tr>
        <w:trPr>
          <w:trHeight w:val="126"/>
        </w:trPr>
        <w:tc>
          <w:tcPr>
            <w:tcW w:w="4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"Edding" (China Territory)</w:t>
            </w:r>
          </w:p>
        </w:tc>
        <w:tc>
          <w:tcPr>
            <w:tcW w:w="22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right="580" w:hanging="3"/>
        <w:spacing w:after="0" w:line="282" w:lineRule="auto"/>
        <w:tabs>
          <w:tab w:leader="none" w:pos="7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part of the Recordati partnership, agreements with Vianex S.A "Vianex" (Greece), Magnapharm Marketing &amp; Sales Romania S.R.L. "Magnapharm" (Romania), and Salus, Veletrgovina, d.o.o, "Salus" (Slovenia) will be transitioned to Recordati.</w:t>
      </w:r>
    </w:p>
    <w:p>
      <w:pPr>
        <w:spacing w:after="0" w:line="162" w:lineRule="exact"/>
        <w:rPr>
          <w:sz w:val="20"/>
          <w:szCs w:val="20"/>
          <w:color w:val="auto"/>
        </w:rPr>
      </w:pPr>
    </w:p>
    <w:p>
      <w:pPr>
        <w:jc w:val="both"/>
        <w:ind w:right="280" w:firstLine="509"/>
        <w:spacing w:after="0" w:line="257" w:lineRule="auto"/>
        <w:rPr>
          <w:sz w:val="20"/>
          <w:szCs w:val="20"/>
          <w:color w:val="auto"/>
        </w:rPr>
      </w:pPr>
      <w:r>
        <w:rPr>
          <w:rFonts w:ascii="Times New Roman" w:cs="Times New Roman" w:eastAsia="Times New Roman" w:hAnsi="Times New Roman"/>
          <w:sz w:val="18"/>
          <w:szCs w:val="18"/>
          <w:color w:val="auto"/>
        </w:rPr>
        <w:t>We are responsible for supplying VASCEPA to all markets in which the branded product is sold, including countries where the drug is promoted and sold via collaboration with third-party partners that compensate us for such supply. We are not responsible for providing any generic company with drug product. The Company operates in one business segment.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approximately 27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icosapent ethyl have obtained U.S. FDA approval with labeling consistent with the MARINE indication and have entered the U.S. market:</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w:t>
            </w:r>
          </w:p>
        </w:tc>
        <w:tc>
          <w:tcPr>
            <w:tcW w:w="26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1-gram Launch Date</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0.5-gram Launch Date</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2023</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2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2022</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64"/>
        </w:trPr>
        <w:tc>
          <w:tcPr>
            <w:tcW w:w="38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Zydus Lifesciences</w:t>
            </w:r>
          </w:p>
        </w:tc>
        <w:tc>
          <w:tcPr>
            <w:tcW w:w="260" w:type="dxa"/>
            <w:vAlign w:val="bottom"/>
          </w:tcPr>
          <w:p>
            <w:pPr>
              <w:spacing w:after="0"/>
              <w:rPr>
                <w:sz w:val="14"/>
                <w:szCs w:val="14"/>
                <w:color w:val="auto"/>
              </w:rPr>
            </w:pPr>
          </w:p>
        </w:tc>
        <w:tc>
          <w:tcPr>
            <w:tcW w:w="19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April 2023</w:t>
            </w:r>
          </w:p>
        </w:tc>
        <w:tc>
          <w:tcPr>
            <w:tcW w:w="26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4"/>
                <w:szCs w:val="14"/>
                <w:color w:val="auto"/>
              </w:rPr>
            </w:pPr>
          </w:p>
        </w:tc>
        <w:tc>
          <w:tcPr>
            <w:tcW w:w="178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7"/>
              </w:rPr>
              <w:t>June 2024</w:t>
            </w:r>
          </w:p>
        </w:tc>
        <w:tc>
          <w:tcPr>
            <w:tcW w:w="0" w:type="dxa"/>
            <w:vAlign w:val="bottom"/>
          </w:tcPr>
          <w:p>
            <w:pPr>
              <w:spacing w:after="0"/>
              <w:rPr>
                <w:sz w:val="1"/>
                <w:szCs w:val="1"/>
                <w:color w:val="auto"/>
              </w:rPr>
            </w:pPr>
          </w:p>
        </w:tc>
      </w:tr>
      <w:tr>
        <w:trPr>
          <w:trHeight w:val="268"/>
        </w:trPr>
        <w:tc>
          <w:tcPr>
            <w:tcW w:w="38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Strides Pharma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2023</w:t>
            </w:r>
          </w:p>
        </w:tc>
        <w:tc>
          <w:tcPr>
            <w:tcW w:w="26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164"/>
        </w:trPr>
        <w:tc>
          <w:tcPr>
            <w:tcW w:w="38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Epic Pharma</w:t>
            </w:r>
          </w:p>
        </w:tc>
        <w:tc>
          <w:tcPr>
            <w:tcW w:w="260" w:type="dxa"/>
            <w:vAlign w:val="bottom"/>
          </w:tcPr>
          <w:p>
            <w:pPr>
              <w:spacing w:after="0"/>
              <w:rPr>
                <w:sz w:val="14"/>
                <w:szCs w:val="14"/>
                <w:color w:val="auto"/>
              </w:rPr>
            </w:pPr>
          </w:p>
        </w:tc>
        <w:tc>
          <w:tcPr>
            <w:tcW w:w="19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14"/>
                <w:szCs w:val="14"/>
                <w:color w:val="auto"/>
              </w:rPr>
            </w:pPr>
          </w:p>
        </w:tc>
        <w:tc>
          <w:tcPr>
            <w:tcW w:w="17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March 2024</w:t>
            </w:r>
          </w:p>
        </w:tc>
        <w:tc>
          <w:tcPr>
            <w:tcW w:w="260" w:type="dxa"/>
            <w:vAlign w:val="bottom"/>
          </w:tcPr>
          <w:p>
            <w:pPr>
              <w:spacing w:after="0"/>
              <w:rPr>
                <w:sz w:val="14"/>
                <w:szCs w:val="14"/>
                <w:color w:val="auto"/>
              </w:rPr>
            </w:pPr>
          </w:p>
        </w:tc>
        <w:tc>
          <w:tcPr>
            <w:tcW w:w="178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8"/>
        </w:trPr>
        <w:tc>
          <w:tcPr>
            <w:tcW w:w="38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Ascent Pharmaceuticals, Inc.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26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2024</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6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Spriaso LLC</w:t>
            </w:r>
          </w:p>
        </w:tc>
        <w:tc>
          <w:tcPr>
            <w:tcW w:w="26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26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-833755</wp:posOffset>
            </wp:positionV>
            <wp:extent cx="641223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-559435</wp:posOffset>
            </wp:positionV>
            <wp:extent cx="641223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51" w:lineRule="exact"/>
        <w:rPr>
          <w:sz w:val="20"/>
          <w:szCs w:val="20"/>
          <w:color w:val="auto"/>
        </w:rPr>
      </w:pPr>
    </w:p>
    <w:p>
      <w:pPr>
        <w:ind w:left="1020" w:hanging="26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Strides Pharma licensed its rights to the generic version of icosapent ethyl to Amneal Pharmaceuticals.</w:t>
      </w:r>
    </w:p>
    <w:p>
      <w:pPr>
        <w:spacing w:after="0" w:line="117" w:lineRule="exact"/>
        <w:rPr>
          <w:rFonts w:ascii="Times New Roman" w:cs="Times New Roman" w:eastAsia="Times New Roman" w:hAnsi="Times New Roman"/>
          <w:sz w:val="18"/>
          <w:szCs w:val="18"/>
          <w:color w:val="auto"/>
        </w:rPr>
      </w:pPr>
    </w:p>
    <w:p>
      <w:pPr>
        <w:ind w:left="760" w:right="520" w:hanging="3"/>
        <w:spacing w:after="0" w:line="282" w:lineRule="auto"/>
        <w:tabs>
          <w:tab w:leader="none" w:pos="10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Ascent Pharmaceuticals, Inc. licensed its rights to the generic version of icosapent ethyl to Camber Pharmaceuticals, Inc. and XL Care Pharmaceuticals, Inc.</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59690</wp:posOffset>
            </wp:positionV>
            <wp:extent cx="4440555" cy="2194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44055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8" w:right="37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June 2025, we entered into an exclusive long-term license and supply agreement with Recordati, or the Recordati Licensing Agreement, related to the development and commercialization of VAZKEPA in 59 countries focused in Europe, or the Recordati Territory. As a result of the Recordati Licensing Agreement, we implemented a global restructuring plan, or the Global Restructuring Plan, which we estimate will result in annual cost savings of approximately $70.0 million primarily from the elimination of commercial roles in our European operations.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Recordati Licensing Agreement, Recordati is solely responsible for commercializing VAZKEPA in the Recordati Territory. Recordati may sell VAZKEPA pursuant to the product reimbursements we have already obtained in Europe and will use commercially reasonable efforts to pursue future approvals in the Recordati Territory.</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19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varies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received marketing authorization by the MHRA and the European Medicines Agency, or EMA, and subsequently we have made VAZKEPA available under individual reimbursement or received national reimbursement and launched commercial operations in the following countries, respectively.</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England/Wales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164"/>
        </w:trPr>
        <w:tc>
          <w:tcPr>
            <w:tcW w:w="32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Scotland</w:t>
            </w:r>
          </w:p>
        </w:tc>
        <w:tc>
          <w:tcPr>
            <w:tcW w:w="26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August 2023</w:t>
            </w:r>
          </w:p>
        </w:tc>
        <w:tc>
          <w:tcPr>
            <w:tcW w:w="24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August 2023</w:t>
            </w:r>
          </w:p>
        </w:tc>
        <w:tc>
          <w:tcPr>
            <w:tcW w:w="24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68"/>
        </w:trPr>
        <w:tc>
          <w:tcPr>
            <w:tcW w:w="32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Greece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2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2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2024</w:t>
            </w: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2024</w:t>
            </w:r>
          </w:p>
        </w:tc>
        <w:tc>
          <w:tcPr>
            <w:tcW w:w="0" w:type="dxa"/>
            <w:vAlign w:val="bottom"/>
          </w:tcPr>
          <w:p>
            <w:pPr>
              <w:spacing w:after="0"/>
              <w:rPr>
                <w:sz w:val="1"/>
                <w:szCs w:val="1"/>
                <w:color w:val="auto"/>
              </w:rPr>
            </w:pPr>
          </w:p>
        </w:tc>
      </w:tr>
      <w:tr>
        <w:trPr>
          <w:trHeight w:val="164"/>
        </w:trPr>
        <w:tc>
          <w:tcPr>
            <w:tcW w:w="32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December 2024</w:t>
            </w:r>
          </w:p>
        </w:tc>
        <w:tc>
          <w:tcPr>
            <w:tcW w:w="240" w:type="dxa"/>
            <w:vAlign w:val="bottom"/>
          </w:tcPr>
          <w:p>
            <w:pPr>
              <w:spacing w:after="0"/>
              <w:rPr>
                <w:sz w:val="14"/>
                <w:szCs w:val="14"/>
                <w:color w:val="auto"/>
              </w:rPr>
            </w:pP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January 2025</w:t>
            </w:r>
          </w:p>
        </w:tc>
        <w:tc>
          <w:tcPr>
            <w:tcW w:w="0" w:type="dxa"/>
            <w:vAlign w:val="bottom"/>
          </w:tcPr>
          <w:p>
            <w:pPr>
              <w:spacing w:after="0"/>
              <w:rPr>
                <w:sz w:val="1"/>
                <w:szCs w:val="1"/>
                <w:color w:val="auto"/>
              </w:rPr>
            </w:pPr>
          </w:p>
        </w:tc>
      </w:tr>
      <w:tr>
        <w:trPr>
          <w:trHeight w:val="268"/>
        </w:trPr>
        <w:tc>
          <w:tcPr>
            <w:tcW w:w="32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Slovenia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c>
          <w:tcPr>
            <w:tcW w:w="2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2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0" w:type="dxa"/>
            <w:vAlign w:val="bottom"/>
          </w:tcPr>
          <w:p>
            <w:pPr>
              <w:spacing w:after="0"/>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2022</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-833755</wp:posOffset>
            </wp:positionV>
            <wp:extent cx="64122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-559435</wp:posOffset>
            </wp:positionV>
            <wp:extent cx="64122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51" w:lineRule="exact"/>
        <w:rPr>
          <w:sz w:val="20"/>
          <w:szCs w:val="20"/>
          <w:color w:val="auto"/>
        </w:rPr>
      </w:pPr>
    </w:p>
    <w:p>
      <w:pPr>
        <w:ind w:left="780" w:hanging="26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Vianex will be the sole and exclusive distributor of VAZKEPA in the Greek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Salus will be the sole and exclusive distributor of VAZKEPA in the Slovenian territory to import, register, distribute and commercialize</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VAZKEPA.</w:t>
      </w:r>
    </w:p>
    <w:p>
      <w:pPr>
        <w:spacing w:after="0" w:line="9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received regulatory approval in Switzerland by the Swiss Agency for Therapeutic Products, or Swissmedic. VAZKEPA has been made available in Switzerland under individual reimbursement since January 2023.</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U.S. However, this greater concentration of at-risk patients being treated by specialists in Europe should allow for more efficient promotion than in the U.S. In Europe, VAZKEPA has the benefit of 10 years of market protection, and in April 2024 we were issued a patent that extended our exclusivity to 2039.</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 (RoW)</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One of our core areas of focus is continuing to work on generating revenue from our partnerships in key international markets, outside the Recordati Territory. We and our RoW partners have obtained varying levels of indication approvals and initiated or are in the process of initiating commercial launches in various territories where our partners have access. Through the date of this Quarterly Report, we have filed for regulatory review in 22 countries and regions and have received approval in 15 countries and regions outside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of the U.S. and EMA regulatory approval authority. We have agreements in place with the following partners within the respective territories: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Agreement Date</w:t>
            </w:r>
          </w:p>
        </w:tc>
        <w:tc>
          <w:tcPr>
            <w:tcW w:w="12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MARINE Approval</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REDUCE-IT Approval</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Launch Date</w:t>
            </w:r>
          </w:p>
        </w:tc>
        <w:tc>
          <w:tcPr>
            <w:tcW w:w="0" w:type="dxa"/>
            <w:vAlign w:val="bottom"/>
          </w:tcPr>
          <w:p>
            <w:pPr>
              <w:spacing w:after="0"/>
              <w:rPr>
                <w:sz w:val="1"/>
                <w:szCs w:val="1"/>
                <w:color w:val="auto"/>
              </w:rPr>
            </w:pPr>
          </w:p>
        </w:tc>
      </w:tr>
      <w:tr>
        <w:trPr>
          <w:trHeight w:val="210"/>
        </w:trPr>
        <w:tc>
          <w:tcPr>
            <w:tcW w:w="15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 xml:space="preserve">Edding </w:t>
            </w:r>
            <w:r>
              <w:rPr>
                <w:rFonts w:ascii="Times New Roman" w:cs="Times New Roman" w:eastAsia="Times New Roman" w:hAnsi="Times New Roman"/>
                <w:sz w:val="24"/>
                <w:szCs w:val="24"/>
                <w:color w:val="auto"/>
                <w:w w:val="93"/>
                <w:vertAlign w:val="superscript"/>
              </w:rPr>
              <w:t>(1)</w:t>
            </w:r>
          </w:p>
        </w:tc>
        <w:tc>
          <w:tcPr>
            <w:tcW w:w="100" w:type="dxa"/>
            <w:vAlign w:val="bottom"/>
            <w:vMerge w:val="restart"/>
            <w:shd w:val="clear" w:color="auto" w:fill="CFF0FC"/>
          </w:tcPr>
          <w:p>
            <w:pPr>
              <w:spacing w:after="0"/>
              <w:rPr>
                <w:sz w:val="18"/>
                <w:szCs w:val="18"/>
                <w:color w:val="auto"/>
              </w:rPr>
            </w:pPr>
          </w:p>
        </w:tc>
        <w:tc>
          <w:tcPr>
            <w:tcW w:w="1800" w:type="dxa"/>
            <w:vAlign w:val="bottom"/>
            <w:gridSpan w:val="2"/>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2015</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Mainland China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CFF0FC"/>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800" w:type="dxa"/>
            <w:vAlign w:val="bottom"/>
            <w:tcBorders>
              <w:bottom w:val="single" w:sz="8" w:color="CFF0FC"/>
            </w:tcBorders>
            <w:gridSpan w:val="2"/>
            <w:vMerge w:val="continue"/>
            <w:shd w:val="clear" w:color="auto" w:fill="CFF0FC"/>
          </w:tcPr>
          <w:p>
            <w:pPr>
              <w:spacing w:after="0"/>
              <w:rPr>
                <w:sz w:val="17"/>
                <w:szCs w:val="17"/>
                <w:color w:val="auto"/>
              </w:rPr>
            </w:pPr>
          </w:p>
        </w:tc>
        <w:tc>
          <w:tcPr>
            <w:tcW w:w="188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Hong Kong</w:t>
            </w:r>
          </w:p>
        </w:tc>
        <w:tc>
          <w:tcPr>
            <w:tcW w:w="12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February 2023</w:t>
            </w:r>
          </w:p>
        </w:tc>
        <w:tc>
          <w:tcPr>
            <w:tcW w:w="12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CFF0FC"/>
            </w:tcBorders>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Lebanon</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March 2018</w:t>
            </w:r>
          </w:p>
        </w:tc>
        <w:tc>
          <w:tcPr>
            <w:tcW w:w="12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August 2021</w:t>
            </w:r>
          </w:p>
        </w:tc>
        <w:tc>
          <w:tcPr>
            <w:tcW w:w="12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June 2018</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2021</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0" w:type="dxa"/>
            <w:vAlign w:val="bottom"/>
          </w:tcPr>
          <w:p>
            <w:pPr>
              <w:spacing w:after="0"/>
              <w:rPr>
                <w:sz w:val="1"/>
                <w:szCs w:val="1"/>
                <w:color w:val="auto"/>
              </w:rPr>
            </w:pPr>
          </w:p>
        </w:tc>
      </w:tr>
      <w:tr>
        <w:trPr>
          <w:trHeight w:val="216"/>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Biologix</w:t>
            </w:r>
          </w:p>
        </w:tc>
        <w:tc>
          <w:tcPr>
            <w:tcW w:w="100" w:type="dxa"/>
            <w:vAlign w:val="bottom"/>
          </w:tcPr>
          <w:p>
            <w:pPr>
              <w:spacing w:after="0"/>
              <w:rPr>
                <w:sz w:val="18"/>
                <w:szCs w:val="18"/>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March 2016</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Qatar</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2022</w:t>
            </w:r>
          </w:p>
        </w:tc>
        <w:tc>
          <w:tcPr>
            <w:tcW w:w="0" w:type="dxa"/>
            <w:vAlign w:val="bottom"/>
          </w:tcPr>
          <w:p>
            <w:pPr>
              <w:spacing w:after="0"/>
              <w:rPr>
                <w:sz w:val="1"/>
                <w:szCs w:val="1"/>
                <w:color w:val="auto"/>
              </w:rPr>
            </w:pPr>
          </w:p>
        </w:tc>
      </w:tr>
      <w:tr>
        <w:trPr>
          <w:trHeight w:val="126"/>
        </w:trPr>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Bahrain</w:t>
            </w:r>
          </w:p>
        </w:tc>
        <w:tc>
          <w:tcPr>
            <w:tcW w:w="12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2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April 2022</w:t>
            </w:r>
          </w:p>
        </w:tc>
        <w:tc>
          <w:tcPr>
            <w:tcW w:w="12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Kuwait</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2023</w:t>
            </w:r>
          </w:p>
        </w:tc>
        <w:tc>
          <w:tcPr>
            <w:tcW w:w="0" w:type="dxa"/>
            <w:vAlign w:val="bottom"/>
          </w:tcPr>
          <w:p>
            <w:pPr>
              <w:spacing w:after="0"/>
              <w:rPr>
                <w:sz w:val="1"/>
                <w:szCs w:val="1"/>
                <w:color w:val="auto"/>
              </w:rPr>
            </w:pPr>
          </w:p>
        </w:tc>
      </w:tr>
      <w:tr>
        <w:trPr>
          <w:trHeight w:val="216"/>
        </w:trPr>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HLS</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September 2017</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2020</w:t>
            </w:r>
          </w:p>
        </w:tc>
        <w:tc>
          <w:tcPr>
            <w:tcW w:w="0" w:type="dxa"/>
            <w:vAlign w:val="bottom"/>
          </w:tcPr>
          <w:p>
            <w:pPr>
              <w:spacing w:after="0"/>
              <w:rPr>
                <w:sz w:val="1"/>
                <w:szCs w:val="1"/>
                <w:color w:val="auto"/>
              </w:rPr>
            </w:pPr>
          </w:p>
        </w:tc>
      </w:tr>
      <w:tr>
        <w:trPr>
          <w:trHeight w:val="198"/>
        </w:trPr>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CSL</w:t>
            </w:r>
          </w:p>
        </w:tc>
        <w:tc>
          <w:tcPr>
            <w:tcW w:w="100" w:type="dxa"/>
            <w:vAlign w:val="bottom"/>
          </w:tcPr>
          <w:p>
            <w:pPr>
              <w:spacing w:after="0"/>
              <w:rPr>
                <w:sz w:val="17"/>
                <w:szCs w:val="17"/>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February 2023</w:t>
            </w:r>
          </w:p>
        </w:tc>
        <w:tc>
          <w:tcPr>
            <w:tcW w:w="1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w:t>
            </w:r>
          </w:p>
        </w:tc>
        <w:tc>
          <w:tcPr>
            <w:tcW w:w="12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November 2022</w:t>
            </w:r>
          </w:p>
        </w:tc>
        <w:tc>
          <w:tcPr>
            <w:tcW w:w="120" w:type="dxa"/>
            <w:vAlign w:val="bottom"/>
          </w:tcPr>
          <w:p>
            <w:pPr>
              <w:spacing w:after="0"/>
              <w:rPr>
                <w:sz w:val="17"/>
                <w:szCs w:val="17"/>
                <w:color w:val="auto"/>
              </w:rPr>
            </w:pP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October 2024</w:t>
            </w:r>
          </w:p>
        </w:tc>
        <w:tc>
          <w:tcPr>
            <w:tcW w:w="0" w:type="dxa"/>
            <w:vAlign w:val="bottom"/>
          </w:tcPr>
          <w:p>
            <w:pPr>
              <w:spacing w:after="0"/>
              <w:rPr>
                <w:sz w:val="1"/>
                <w:szCs w:val="1"/>
                <w:color w:val="auto"/>
              </w:rPr>
            </w:pPr>
          </w:p>
        </w:tc>
      </w:tr>
      <w:tr>
        <w:trPr>
          <w:trHeight w:val="126"/>
        </w:trPr>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c>
          <w:tcPr>
            <w:tcW w:w="120" w:type="dxa"/>
            <w:vAlign w:val="bottom"/>
          </w:tcPr>
          <w:p>
            <w:pPr>
              <w:spacing w:after="0"/>
              <w:rPr>
                <w:sz w:val="10"/>
                <w:szCs w:val="10"/>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January 2023</w:t>
            </w:r>
          </w:p>
        </w:tc>
        <w:tc>
          <w:tcPr>
            <w:tcW w:w="12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Neopharm</w:t>
            </w: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2023</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2023</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Lotus</w:t>
            </w:r>
          </w:p>
        </w:tc>
        <w:tc>
          <w:tcPr>
            <w:tcW w:w="10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2023</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 Korea</w:t>
            </w: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Macau and Taiwan in the China Territory with Edding.</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MENA region with Biologix.</w:t>
      </w:r>
    </w:p>
    <w:p>
      <w:pPr>
        <w:spacing w:after="0" w:line="117" w:lineRule="exact"/>
        <w:rPr>
          <w:rFonts w:ascii="Times New Roman" w:cs="Times New Roman" w:eastAsia="Times New Roman" w:hAnsi="Times New Roman"/>
          <w:sz w:val="18"/>
          <w:szCs w:val="18"/>
          <w:color w:val="auto"/>
        </w:rPr>
      </w:pPr>
    </w:p>
    <w:p>
      <w:pPr>
        <w:ind w:left="520" w:right="100" w:hanging="3"/>
        <w:spacing w:after="0" w:line="282"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Israel territory with Neopharm. Revenue earned from sales of VASECPA within the Israel territory are recorded within European revenue.</w:t>
      </w:r>
    </w:p>
    <w:p>
      <w:pPr>
        <w:spacing w:after="0" w:line="53"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VASCEPA is under registration in additional countries in the ASEAN region with Lotus.</w:t>
      </w:r>
    </w:p>
    <w:p>
      <w:pPr>
        <w:spacing w:after="0" w:line="117" w:lineRule="exact"/>
        <w:rPr>
          <w:sz w:val="20"/>
          <w:szCs w:val="20"/>
          <w:color w:val="auto"/>
        </w:rPr>
      </w:pPr>
    </w:p>
    <w:p>
      <w:pPr>
        <w:ind w:right="180" w:firstLine="554"/>
        <w:spacing w:after="0" w:line="282" w:lineRule="auto"/>
        <w:rPr>
          <w:sz w:val="20"/>
          <w:szCs w:val="20"/>
          <w:color w:val="auto"/>
        </w:rPr>
      </w:pPr>
      <w:r>
        <w:rPr>
          <w:rFonts w:ascii="Times New Roman" w:cs="Times New Roman" w:eastAsia="Times New Roman" w:hAnsi="Times New Roman"/>
          <w:sz w:val="18"/>
          <w:szCs w:val="18"/>
          <w:color w:val="auto"/>
        </w:rPr>
        <w:t>The Company will be responsible for supplying finished product to these partners. We continue to assess other potential partnership opportunities for VASCEPA with companies with the intention of partnering in all other international markets where VASCEPA receives local regulatory approval.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in 2011, the REDUCE-IT cardiovascular outcomes study of VASCEPA has been the centerpiece of our research and development as well as the study of the mechanism of action of the single active ingredient in VASCEPA, icosapent ethyl, or IPE. Based on the final positive results of REDUCE-IT, we sought additional indicated uses for VASCEPA in the U.S.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more than 55 clinical treatment guidelines, consensus statements or scientific statements from global medical or scientific societies or within peer reviewed journals have recognized the use of icosapent ethyl, or IPE, in appropriate at-risk patients for CV risk reductions, including those statements which we were informed of by our global partners as well as guidelines which were newly received during the third quarter of 2025 as listed below:</w:t>
      </w:r>
    </w:p>
    <w:p>
      <w:pPr>
        <w:spacing w:after="0" w:line="72" w:lineRule="exact"/>
        <w:rPr>
          <w:sz w:val="20"/>
          <w:szCs w:val="20"/>
          <w:color w:val="auto"/>
        </w:rPr>
      </w:pPr>
    </w:p>
    <w:p>
      <w:pPr>
        <w:ind w:left="1020" w:right="1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European Society of Cardiology and the European Atherosclerosis Society, or ESC and EAS, respectively, issued a focused update of the 2019 ESC/EAS Guidelines for the management of dyslipidaemias. The following information was included regarding IPE:</w:t>
      </w:r>
    </w:p>
    <w:p>
      <w:pPr>
        <w:spacing w:after="0" w:line="67" w:lineRule="exact"/>
        <w:rPr>
          <w:rFonts w:ascii="Times New Roman" w:cs="Times New Roman" w:eastAsia="Times New Roman" w:hAnsi="Times New Roman"/>
          <w:sz w:val="18"/>
          <w:szCs w:val="18"/>
          <w:color w:val="auto"/>
        </w:rPr>
      </w:pPr>
    </w:p>
    <w:p>
      <w:pPr>
        <w:ind w:left="1540" w:right="12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oHigh-dose IPE (2 × 2 g/day) should be considered in combination with a statin in high-risk or very high-risk patients with elevated triglyceride levels (fasting triglyceride level 135–499 mg/dL or 1.52–5.63 mmol/L) to reduce the risk of cardiovascular events (Class IIa recommendation; Level B evidence).</w:t>
      </w:r>
    </w:p>
    <w:p>
      <w:pPr>
        <w:spacing w:after="0" w:line="67" w:lineRule="exact"/>
        <w:rPr>
          <w:rFonts w:ascii="Times New Roman" w:cs="Times New Roman" w:eastAsia="Times New Roman" w:hAnsi="Times New Roman"/>
          <w:sz w:val="18"/>
          <w:szCs w:val="18"/>
          <w:color w:val="auto"/>
        </w:rPr>
      </w:pPr>
    </w:p>
    <w:p>
      <w:pPr>
        <w:ind w:left="1540" w:hanging="50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oProposed mechanisms of action of how eicosapentaenoic acid, or EPA, specifically reduces cardiovascular risk are the distinct effects on lipid oxidation, inflammation, membrane structure/organization, cholesterol domain formation, and endothelial function. In view of the newer evidence from the STRENGTH trial, this Focused Update revised the respective recommendation for polyunsaturated fatty acids, or PUFAs, by explicitly stating that high-dose IPE (as in the REDUCE-IT trial) should be considered for high-risk or very high-risk patients with elevated triglyceride levels (fasting triglyceride level 135-499 mg/dL [1.52-5.63 mmol/L]) despite statin therapy to lower cardiovascular disease, or CVD, events.</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a consensus statement by the American Association of Clinical Endocrinologists, or AACE, on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left="1020" w:right="160"/>
        <w:spacing w:after="0" w:line="258" w:lineRule="auto"/>
        <w:rPr>
          <w:sz w:val="20"/>
          <w:szCs w:val="20"/>
          <w:color w:val="auto"/>
        </w:rPr>
      </w:pPr>
      <w:r>
        <w:rPr>
          <w:rFonts w:ascii="Times New Roman" w:cs="Times New Roman" w:eastAsia="Times New Roman" w:hAnsi="Times New Roman"/>
          <w:sz w:val="18"/>
          <w:szCs w:val="18"/>
          <w:color w:val="auto"/>
        </w:rPr>
        <w:t>Algorithm for Management of Adults with Dyslipidemia 2025 Update, was released. A multidisciplinary task force with representatives from AACE and several international co-sponsoring organizations (Canadian Cardiovascular Society, European Association for the Study of Diabetes, and the Latin American Academy for the Study of Lipids and Cardiometabolic Risk) were appointed to determine the scope and breadth of the algorithm and the areas in need of updated guidance. The specific update regarding IPE in the new guidance includes the following:</w:t>
      </w:r>
    </w:p>
    <w:p>
      <w:pPr>
        <w:spacing w:after="0" w:line="75" w:lineRule="exact"/>
        <w:rPr>
          <w:sz w:val="20"/>
          <w:szCs w:val="20"/>
          <w:color w:val="auto"/>
        </w:rPr>
      </w:pPr>
    </w:p>
    <w:p>
      <w:pPr>
        <w:ind w:left="1520" w:right="440" w:hanging="494"/>
        <w:spacing w:after="0" w:line="261"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with mild to moderate hypertriglyceridemia (TG 150-499 mg/dL; 1.75.6 mmol/L), the primary concern is excess atherosclerotic cardiovascular disease, or ASCVD, risk, and the primary target must be Low-Density Lipoprotein Cholesterol, or LDL-C. This may also expand to individuals with TG in the 500 to 884 mg/dL (5.6-9.9 mmol/L) range in whom the presence of atherogenic lipoproteins predisposes them to ASCVD.</w:t>
      </w:r>
    </w:p>
    <w:p>
      <w:pPr>
        <w:spacing w:after="0" w:line="71" w:lineRule="exact"/>
        <w:rPr>
          <w:rFonts w:ascii="Times New Roman" w:cs="Times New Roman" w:eastAsia="Times New Roman" w:hAnsi="Times New Roman"/>
          <w:sz w:val="18"/>
          <w:szCs w:val="18"/>
          <w:color w:val="auto"/>
        </w:rPr>
      </w:pPr>
    </w:p>
    <w:p>
      <w:pPr>
        <w:ind w:left="1520" w:right="800" w:hanging="494"/>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ASCVD risk is high or intermediate, medications with proven cardiovascular benefit, such as statins, ezetimibe, and EPA monotherapy (IPE) are preferred.</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July 2025, at the Heart UK meeting in Coventry, England, we provided, along with our collaborators, support for a REDUCE-IT poster presentation analyzing the efficacy of IPE by burden of standard modifiable CV risk factors. This same data analysis was later presented in August of 2025 as an ENCORE poster presentation at the Annual Scientific Meeting of the Cardiac Society of Australia and New Zealand, or CSANZ, with support from our partners in Australia, CSL.</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2025, at the Australasian Diabetes Congress, or ADC, in Queensland, Australia, we along with CSL and our collaborators supported an ENCORE poster presentation analyzing the reduction in ischemic events with IPE in patients with diabetes and prior coronary artery bypass graft, or CABG.</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At the European Society of Cardiology, or ESC, scientific session which occurred from August 29 to Sept. 1, 2025, in Madrid, Spain, we supported along with out and global collaborators five separate presentations ranging from the effect of IPE on risk and duration of hospitalizations and death in REDUCE-IT to mechanistic data looking at the antioxidant effects of EPA on Lp(a).</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September 2025, at the European Association for the Study of Diabetes, or EASD, congress in Vienna, Austria, we supported, along with our global collaborators an oral presentation analyzing the efficacy of IPE across the spectrum of baseline triglyceride to glucose index.</w:t>
      </w:r>
    </w:p>
    <w:p>
      <w:pPr>
        <w:spacing w:after="0" w:line="5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the third quarter of 2025, we and global medical and scientific collaborators supported sixteen publications inclusive of accepted abstracts, posters, and manuscripts.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1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manage the manufacturing and supply of VASCEPA and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in the U.S. We also have multiple international API suppliers, encapsulators and packagers to support the commercialization of VASCEPA in geographies where the drug is approved outside the U.S.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 September 30, 2025, we had inventory of $193.8 million, of which 49% is inventory approved for use in North America. We continue to negotiate with our contract suppliers to align our supply arrangements with current and future global market demand.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U.S., VASCEPA is sold to three major wholesalers, several regional wholesalers along with mail order pharmacy providers that in turn resell the product to retail pharmacies, as well as directly to select regional retail pharmacy chains,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Our product revenue, net included adjustment for co-pay mitigation rebates provided by us to commercially insured patients in the U.S.</w:t>
      </w:r>
    </w:p>
    <w:p>
      <w:pPr>
        <w:spacing w:after="0" w:line="7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Outside of the U.S.,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17"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U.S. We recognize revenue from licensing arrangements as we fulfill the performance obligations under each of the agreements. As part of our licensing agreements with certain territories outside of the U.S., we are entitled to a percentage of revenue earned based on sales by our partners. The royalty payments are being recognized when the uncertainty related to the consideration is resolved.</w:t>
      </w:r>
    </w:p>
    <w:p>
      <w:pPr>
        <w:spacing w:after="0" w:line="21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210"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20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10"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consists of restructuring costs incurred under our June 2025 Global Restructuring Plan, which consists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severance pay, incentive compensation, insurance benefits, stock-based compensation and other contract related costs.</w:t>
      </w:r>
    </w:p>
    <w:p>
      <w:pPr>
        <w:spacing w:after="0" w:line="185" w:lineRule="exact"/>
        <w:rPr>
          <w:sz w:val="20"/>
          <w:szCs w:val="20"/>
          <w:color w:val="auto"/>
        </w:rPr>
      </w:pPr>
    </w:p>
    <w:p>
      <w:pPr>
        <w:jc w:val="both"/>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income (expense), net</w:t>
      </w:r>
      <w:r>
        <w:rPr>
          <w:rFonts w:ascii="Times New Roman" w:cs="Times New Roman" w:eastAsia="Times New Roman" w:hAnsi="Times New Roman"/>
          <w:sz w:val="18"/>
          <w:szCs w:val="18"/>
          <w:color w:val="auto"/>
        </w:rPr>
        <w:t>. Interest income, net consists primarily of interest earned on our cash and cash equivalents,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our short-term and long-term investments. Other income (expense), net, consists of foreign exchange losses and gains as well as sublease income.</w:t>
      </w:r>
    </w:p>
    <w:p>
      <w:pPr>
        <w:spacing w:after="0" w:line="185"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Benefit from (provision for) income taxes. </w:t>
      </w:r>
      <w:r>
        <w:rPr>
          <w:rFonts w:ascii="Times New Roman" w:cs="Times New Roman" w:eastAsia="Times New Roman" w:hAnsi="Times New Roman"/>
          <w:sz w:val="18"/>
          <w:szCs w:val="18"/>
          <w:color w:val="auto"/>
        </w:rPr>
        <w:t>Income tax provision, deferred tax assets and liabilities, and reserves for unrecognized tax benefits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best assessment of estimated future taxes to be paid. We are subject to income taxes</w:t>
      </w: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1" w:name="page32"/>
    <w:bookmarkEnd w:id="31"/>
    <w:p>
      <w:pPr>
        <w:ind w:right="100"/>
        <w:spacing w:after="0" w:line="266" w:lineRule="auto"/>
        <w:rPr>
          <w:sz w:val="20"/>
          <w:szCs w:val="20"/>
          <w:color w:val="auto"/>
        </w:rPr>
      </w:pPr>
      <w:r>
        <w:rPr>
          <w:rFonts w:ascii="Times New Roman" w:cs="Times New Roman" w:eastAsia="Times New Roman" w:hAnsi="Times New Roman"/>
          <w:sz w:val="18"/>
          <w:szCs w:val="18"/>
          <w:color w:val="auto"/>
        </w:rPr>
        <w:t>in both the U.S. and foreign jurisdictions. In applying guidance prescribed under ASC 740 and based on present evidence and conclusions around the realizability of deferred tax assets, we determined that any tax benefit related to the pretax losses generated for 2025 and 2024 are not more likely than not to be realized.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unaudited condensed consolidated financial statements and notes, which have been prepared in accordance with accounting principles generally accepted in the U.S.,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2025 and September 30, 2024</w:t>
      </w:r>
    </w:p>
    <w:p>
      <w:pPr>
        <w:spacing w:after="0" w:line="2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$49.7 million and $42.3 million during the three months ended September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$7.4 million, or 17%. Total revenue, net, consists primarily of revenue from the sale of VASCEPA in the U.S. In addition to the U.S., during the three months ending September 30, 2025, we also sold VASCEPA by prescription in certain countries outside of the U.S., through collaborations with third-party companies. As further discussed below, the aforementioned increase is due primarily to a $10.3 million increase in U.S. net product revenue and a $0.7 million increase in licensing and royalty revenue, offset by a $3.6 million decrease in net product revenue outside of the U.S.</w:t>
      </w:r>
    </w:p>
    <w:p>
      <w:pPr>
        <w:spacing w:after="0" w:line="210" w:lineRule="exact"/>
        <w:rPr>
          <w:sz w:val="20"/>
          <w:szCs w:val="20"/>
          <w:color w:val="auto"/>
        </w:rPr>
      </w:pPr>
    </w:p>
    <w:p>
      <w:pPr>
        <w:ind w:right="40" w:firstLine="539"/>
        <w:spacing w:after="0" w:line="267"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We recorded product revenue, net, of $48.6 million and $41.9 million during the three months ended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an increase of $6.7 million, or 16%. This increase was due primarily to an increase in VASCEPA sales within the U.S., offset by a decrease in VASCEPA sales outside the U.S.</w:t>
      </w:r>
    </w:p>
    <w:p>
      <w:pPr>
        <w:spacing w:after="0" w:line="67" w:lineRule="exact"/>
        <w:rPr>
          <w:sz w:val="20"/>
          <w:szCs w:val="20"/>
          <w:color w:val="auto"/>
        </w:rPr>
      </w:pPr>
    </w:p>
    <w:p>
      <w:pPr>
        <w:ind w:right="120" w:firstLine="539"/>
        <w:spacing w:after="0" w:line="261" w:lineRule="auto"/>
        <w:rPr>
          <w:sz w:val="20"/>
          <w:szCs w:val="20"/>
          <w:color w:val="auto"/>
        </w:rPr>
      </w:pPr>
      <w:r>
        <w:rPr>
          <w:rFonts w:ascii="Times New Roman" w:cs="Times New Roman" w:eastAsia="Times New Roman" w:hAnsi="Times New Roman"/>
          <w:sz w:val="18"/>
          <w:szCs w:val="18"/>
          <w:color w:val="auto"/>
        </w:rPr>
        <w:t>We recorded U.S. product revenue, net, of $40.9 million and $30.6 million during the three months ended September 30, 2025 and 2024, respectively. This increase was due to increased net selling price as a result of our exit from the Medicaid and 340B programs on October 1, 2024, as well as an increase in volume primarily related to regaining a large national pharmacy benefit manager, or PBM, which transitioned from no longer covering VASCEPA to being exclusive.</w:t>
      </w:r>
    </w:p>
    <w:p>
      <w:pPr>
        <w:spacing w:after="0" w:line="72" w:lineRule="exact"/>
        <w:rPr>
          <w:sz w:val="20"/>
          <w:szCs w:val="20"/>
          <w:color w:val="auto"/>
        </w:rPr>
      </w:pPr>
    </w:p>
    <w:p>
      <w:pPr>
        <w:ind w:right="26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U.S., based on prescription levels reported by Symphony Health, increased by 2% for the three months ended September 30, 2025 compared to the three months ended September 30, 2024. Our share of the icosapent ethyl market has increased to approximately 51% in the three months ended September 30, 2025 compared to approximately 50% in the three months ended September 30, 2024. Additionally, based on prescription levels reported by Symphony Health, VASCEPA-branded prescriptions increased by 3% in the three months ended September 30, 2025 compared to the three months ended September 30, 2024.</w:t>
      </w:r>
    </w:p>
    <w:p>
      <w:pPr>
        <w:spacing w:after="0" w:line="75" w:lineRule="exact"/>
        <w:rPr>
          <w:sz w:val="20"/>
          <w:szCs w:val="20"/>
          <w:color w:val="auto"/>
        </w:rPr>
      </w:pPr>
    </w:p>
    <w:p>
      <w:pPr>
        <w:ind w:right="360" w:firstLine="539"/>
        <w:spacing w:after="0" w:line="266" w:lineRule="auto"/>
        <w:rPr>
          <w:sz w:val="20"/>
          <w:szCs w:val="20"/>
          <w:color w:val="auto"/>
        </w:rPr>
      </w:pPr>
      <w:r>
        <w:rPr>
          <w:rFonts w:ascii="Times New Roman" w:cs="Times New Roman" w:eastAsia="Times New Roman" w:hAnsi="Times New Roman"/>
          <w:sz w:val="18"/>
          <w:szCs w:val="18"/>
          <w:color w:val="auto"/>
        </w:rPr>
        <w:t>In June 2025, we entered into a collaboration agreement with Recordati to commercialize VASCEPA in Europe. For the three months ended September 30, 2025, we recorded Europe product revenue, net, of $4.1 million compared to $4.3 million during the three months ended September 30, 2024.</w:t>
      </w:r>
    </w:p>
    <w:p>
      <w:pPr>
        <w:spacing w:after="0" w:line="68" w:lineRule="exact"/>
        <w:rPr>
          <w:sz w:val="20"/>
          <w:szCs w:val="20"/>
          <w:color w:val="auto"/>
        </w:rPr>
      </w:pPr>
    </w:p>
    <w:p>
      <w:pPr>
        <w:ind w:right="540" w:firstLine="53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we recorded RoW product revenue, net, of $3.6 million from our six collaboration partners, comprising multiple distinct geographies, compared to $6.9 million during the three months ended September 30, 2024.</w:t>
      </w:r>
    </w:p>
    <w:p>
      <w:pPr>
        <w:spacing w:after="0" w:line="54" w:lineRule="exact"/>
        <w:rPr>
          <w:sz w:val="20"/>
          <w:szCs w:val="20"/>
          <w:color w:val="auto"/>
        </w:rPr>
      </w:pPr>
    </w:p>
    <w:p>
      <w:pPr>
        <w:ind w:right="80" w:firstLine="539"/>
        <w:spacing w:after="0" w:line="261"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For the remainder of 2025, we will continue to (i) competitively manage our market leadership in the U.S., and (ii) drive expanded access and</w:t>
      </w: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2" w:name="page33"/>
    <w:bookmarkEnd w:id="32"/>
    <w:p>
      <w:pPr>
        <w:ind w:right="720"/>
        <w:spacing w:after="0" w:line="282" w:lineRule="auto"/>
        <w:rPr>
          <w:sz w:val="20"/>
          <w:szCs w:val="20"/>
          <w:color w:val="auto"/>
        </w:rPr>
      </w:pPr>
      <w:r>
        <w:rPr>
          <w:rFonts w:ascii="Times New Roman" w:cs="Times New Roman" w:eastAsia="Times New Roman" w:hAnsi="Times New Roman"/>
          <w:sz w:val="18"/>
          <w:szCs w:val="18"/>
          <w:color w:val="auto"/>
        </w:rPr>
        <w:t>increased patient uptake of VASCEPA through ongoing support of our commercialization partners and their pricing, reimbursement and licensure initiatives in non-U.S. geographies around the world.</w:t>
      </w:r>
    </w:p>
    <w:p>
      <w:pPr>
        <w:spacing w:after="0" w:line="187" w:lineRule="exact"/>
        <w:rPr>
          <w:sz w:val="20"/>
          <w:szCs w:val="20"/>
          <w:color w:val="auto"/>
        </w:rPr>
      </w:pPr>
    </w:p>
    <w:p>
      <w:pPr>
        <w:jc w:val="both"/>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September 30, 2025 and 2024 was $1.1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respectively, an increase of $0.7 million, or 149%. This increase was primarily due to higher royalties as a result of increased partner sales within their respective territories.</w:t>
      </w:r>
    </w:p>
    <w:p>
      <w:pPr>
        <w:spacing w:after="0" w:line="6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U.S., we are entitled to a percentage of revenue earned based on sales by our partners. Royalty payments are recognized based on revenue reported by our partners. The amount of licensing and royalty revenue is expected to vary from period to period based on timing of milestones achieved and select partner sales within respective territories.</w:t>
      </w:r>
    </w:p>
    <w:p>
      <w:pPr>
        <w:spacing w:after="0" w:line="20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September 30, 2025 and 2024 was $27.5 million and $26.0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$1.4 million, or 6%. This increase in cost of goods sold is due to increased product volumes.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September 30, 2025 and 2024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September 30, 2025 and 2024 was 43% and 38%, respectively. The increase in gross margin is primarily as a result of a change in customer mix.</w:t>
      </w:r>
    </w:p>
    <w:p>
      <w:pPr>
        <w:spacing w:after="0" w:line="187" w:lineRule="exact"/>
        <w:rPr>
          <w:sz w:val="20"/>
          <w:szCs w:val="20"/>
          <w:color w:val="auto"/>
        </w:rPr>
      </w:pPr>
    </w:p>
    <w:p>
      <w:pPr>
        <w:jc w:val="both"/>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September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$19.7 million and $36.9 million, respectively, a decrease of $17.2 million, or 47%. Selling, general and administrative expenses for the three months ended September 30, 2025 and 2024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1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-264795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-264795</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 w:lineRule="exact"/>
        <w:rPr>
          <w:sz w:val="20"/>
          <w:szCs w:val="20"/>
          <w:color w:val="auto"/>
        </w:rPr>
      </w:pPr>
    </w:p>
    <w:p>
      <w:pPr>
        <w:ind w:left="480" w:right="460" w:hanging="383"/>
        <w:spacing w:after="0" w:line="273"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September 30, 2025 and 2024 was $5.4 million and $18.8 million, respectively, a decrease of $13.4 million, or 71%. This decrease is primarily due to a reduction in costs associated with the Global Restructuring Plan.</w:t>
      </w:r>
    </w:p>
    <w:p>
      <w:pPr>
        <w:spacing w:after="0" w:line="1" w:lineRule="exact"/>
        <w:rPr>
          <w:rFonts w:ascii="Times New Roman" w:cs="Times New Roman" w:eastAsia="Times New Roman" w:hAnsi="Times New Roman"/>
          <w:sz w:val="18"/>
          <w:szCs w:val="18"/>
          <w:color w:val="auto"/>
        </w:rPr>
      </w:pPr>
    </w:p>
    <w:p>
      <w:pPr>
        <w:jc w:val="both"/>
        <w:ind w:left="480" w:right="220" w:hanging="383"/>
        <w:spacing w:after="0" w:line="260"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September 30, 2025 and 2024 was $12.6 million and $14.3 million, respectively, a decrease of $1.7 million, or 12%. This decrease is primarily due to decrease in employee-related costs as a result of the reduction in force from the Global Restructuring Plan.</w:t>
      </w:r>
    </w:p>
    <w:p>
      <w:pPr>
        <w:spacing w:after="0" w:line="2" w:lineRule="exact"/>
        <w:rPr>
          <w:rFonts w:ascii="Times New Roman" w:cs="Times New Roman" w:eastAsia="Times New Roman" w:hAnsi="Times New Roman"/>
          <w:sz w:val="18"/>
          <w:szCs w:val="18"/>
          <w:color w:val="auto"/>
        </w:rPr>
      </w:pPr>
    </w:p>
    <w:p>
      <w:pPr>
        <w:ind w:left="480" w:right="160" w:hanging="383"/>
        <w:spacing w:after="0" w:line="266"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September 30, 2025 and 2024 was $1.8 million and $3.8 million, respectively, a decrease of $2.1 million, or 54%. Non-cash stock-based compensation expense represents the estimated costs associated with equity awards issued to internal personnel supporting our selling, general and administrative functions.</w:t>
      </w:r>
    </w:p>
    <w:p>
      <w:pPr>
        <w:spacing w:after="0" w:line="68" w:lineRule="exact"/>
        <w:rPr>
          <w:sz w:val="20"/>
          <w:szCs w:val="20"/>
          <w:color w:val="auto"/>
        </w:rPr>
      </w:pPr>
    </w:p>
    <w:p>
      <w:pPr>
        <w:ind w:right="520" w:firstLine="539"/>
        <w:spacing w:after="0" w:line="261" w:lineRule="auto"/>
        <w:rPr>
          <w:sz w:val="20"/>
          <w:szCs w:val="20"/>
          <w:color w:val="auto"/>
        </w:rPr>
      </w:pPr>
      <w:r>
        <w:rPr>
          <w:rFonts w:ascii="Times New Roman" w:cs="Times New Roman" w:eastAsia="Times New Roman" w:hAnsi="Times New Roman"/>
          <w:sz w:val="18"/>
          <w:szCs w:val="18"/>
          <w:color w:val="auto"/>
        </w:rPr>
        <w:t>Subsequent to the Recordati Licensing Agreement, we will continue to manage our spending commitments to support our partners advancing commercialization and pricing and reimbursement efforts, as well as maintaining market leadership in the U.S.</w:t>
      </w: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September 30, 2025 and 2024 was $4.2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$4.5 million, respectively, a decrease of $0.3 million, or 7%. Research and development expenses for the three months ended September 30, 2025 and 2024 are summarized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(3)</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(5)</w:t>
            </w: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left="520" w:right="80" w:hanging="512"/>
        <w:spacing w:after="0" w:line="273"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spacing w:after="0" w:line="1"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54" w:lineRule="exact"/>
        <w:rPr>
          <w:sz w:val="20"/>
          <w:szCs w:val="20"/>
          <w:color w:val="auto"/>
        </w:rPr>
      </w:pPr>
    </w:p>
    <w:p>
      <w:pPr>
        <w:ind w:right="240" w:firstLine="509"/>
        <w:spacing w:after="0" w:line="312" w:lineRule="auto"/>
        <w:rPr>
          <w:sz w:val="20"/>
          <w:szCs w:val="20"/>
          <w:color w:val="auto"/>
        </w:rPr>
      </w:pPr>
      <w:r>
        <w:rPr>
          <w:rFonts w:ascii="Times New Roman" w:cs="Times New Roman" w:eastAsia="Times New Roman" w:hAnsi="Times New Roman"/>
          <w:sz w:val="17"/>
          <w:szCs w:val="17"/>
          <w:color w:val="auto"/>
        </w:rPr>
        <w:t>We continuously evaluate all of our research and development investment commitments and priorities and are prepared to adjust such investment levels based on various factors, including the impact of U.S. generic competition, as well as timing of pricing reimbursements throughout the world.</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three months ended September 30, 2025 and 2024 was $9.4 million and nil,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charge in the current year is due to the implementation of the Global Restructuring Plan associated with the execution of the Recordati Licensing Agreement announced on June 24, 2025, which resulted in the elimination of commercial roles in the Company’s European operations. Refer to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additional information.</w:t>
      </w:r>
    </w:p>
    <w:p>
      <w:pPr>
        <w:spacing w:after="0" w:line="207"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September 30, 2025 and 2024 was $2.8 million and $3.4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$0.6 million, or 18%. Interest income, net, represents income earned on cash and investment balances. The decrease is primarily due to lower interest rates in the current year period compared to the prior year period.</w:t>
      </w:r>
    </w:p>
    <w:p>
      <w:pPr>
        <w:spacing w:after="0" w:line="20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three months ended September 30, 2025 and 2024 was $0.2 million and $0.3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$0.1 million, or 23%. Other income, net, primarily consists of gains and losses on foreign exchange transactions and sublease income related to our Bridgewater, New Jersey facility.</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Benefit from (provision for) income taxes. </w:t>
      </w:r>
      <w:r>
        <w:rPr>
          <w:rFonts w:ascii="Times New Roman" w:cs="Times New Roman" w:eastAsia="Times New Roman" w:hAnsi="Times New Roman"/>
          <w:sz w:val="18"/>
          <w:szCs w:val="18"/>
          <w:color w:val="auto"/>
        </w:rPr>
        <w:t>Income tax benefit from (provision for) for the three months ended September 30, 2025 and 2024 was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of $0.4 million and a provision of $3.6 million, respectively. The benefit for the three months ended September 30, 2025 is the result of changes in income generated by our U.S. and foreign operations for which tax expense has been recognized based on a full-year estimated U.S. and foreign income tax liability.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2025 and September 30, 2024</w:t>
      </w:r>
    </w:p>
    <w:p>
      <w:pPr>
        <w:spacing w:after="0" w:line="254"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$164.4 million and $166.3 million during the nine months ended September 30,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a decrease of $1.9 million, or 1%. Total revenue, net, consists primarily of revenue from the sale of VASCEPA in the U.S. In addition to the U.S., during the nine months ended September 30, 2025, we also sold VASCEPA by prescription in certain countries in Europe, as well as in certain countries outside of the U.S. and Europe, through collaborations with third-party companies. As further discussed below, the aforementioned decrease is due primarily to a $9.4 million decrease in U.S. net product revenue, offset in part by a $1.1 million increase in net product revenue outside of the U.S. and a $6.4 million increase in licensing and royalty revenue.</w:t>
      </w:r>
    </w:p>
    <w:p>
      <w:pPr>
        <w:spacing w:after="0" w:line="209" w:lineRule="exact"/>
        <w:rPr>
          <w:sz w:val="20"/>
          <w:szCs w:val="20"/>
          <w:color w:val="auto"/>
        </w:rPr>
      </w:pPr>
    </w:p>
    <w:p>
      <w:pPr>
        <w:ind w:right="220" w:firstLine="5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$136.2 million and $144.5 million during the nine months ended September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 respectively, a decrease of $8.3 million, or 6%. This decrease was due primarily to a 8% decrease in VASCEPA sales in the U.S..</w:t>
      </w:r>
    </w:p>
    <w:p>
      <w:pPr>
        <w:spacing w:after="0" w:line="52" w:lineRule="exact"/>
        <w:rPr>
          <w:sz w:val="20"/>
          <w:szCs w:val="20"/>
          <w:color w:val="auto"/>
        </w:rPr>
      </w:pPr>
    </w:p>
    <w:p>
      <w:pPr>
        <w:ind w:right="180" w:firstLine="539"/>
        <w:spacing w:after="0" w:line="266" w:lineRule="auto"/>
        <w:rPr>
          <w:sz w:val="20"/>
          <w:szCs w:val="20"/>
          <w:color w:val="auto"/>
        </w:rPr>
      </w:pPr>
      <w:r>
        <w:rPr>
          <w:rFonts w:ascii="Times New Roman" w:cs="Times New Roman" w:eastAsia="Times New Roman" w:hAnsi="Times New Roman"/>
          <w:sz w:val="18"/>
          <w:szCs w:val="18"/>
          <w:color w:val="auto"/>
        </w:rPr>
        <w:t>We recorded U.S. product revenue, net, of $113.0 million and $122.5 million during the nine months ended September 30, 2025 and 2024, respectively. This decrease was due to a decrease in volume primarily related to a large national PBM not covering VASCEPA during the first half of the year.</w:t>
      </w:r>
    </w:p>
    <w:p>
      <w:pPr>
        <w:spacing w:after="0" w:line="68" w:lineRule="exact"/>
        <w:rPr>
          <w:sz w:val="20"/>
          <w:szCs w:val="20"/>
          <w:color w:val="auto"/>
        </w:rPr>
      </w:pPr>
    </w:p>
    <w:p>
      <w:pPr>
        <w:ind w:right="280" w:firstLine="53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U.S., based on prescription levels reported by Symphony Health, increased for the nine months ended September 30, 2025 by 2% as compared to the nine months ended September 30, 2024. Our share of the icosapent ethyl market has decreased to approximately 45% in the nine months ended September 30, 2025 compared to approximately 55% in the nine months ended September 30, 2024. Additionally, based on prescription levels reported by Symphony Health, VASCEPA-branded prescriptions decreased by 17% in the nine months ended September 30, 2025 compared to the nine months ended September 30, 2024.</w:t>
      </w:r>
    </w:p>
    <w:p>
      <w:pPr>
        <w:spacing w:after="0" w:line="75" w:lineRule="exact"/>
        <w:rPr>
          <w:sz w:val="20"/>
          <w:szCs w:val="20"/>
          <w:color w:val="auto"/>
        </w:rPr>
      </w:pPr>
    </w:p>
    <w:p>
      <w:pPr>
        <w:ind w:right="580" w:firstLine="539"/>
        <w:spacing w:after="0" w:line="282" w:lineRule="auto"/>
        <w:rPr>
          <w:sz w:val="20"/>
          <w:szCs w:val="20"/>
          <w:color w:val="auto"/>
        </w:rPr>
      </w:pPr>
      <w:r>
        <w:rPr>
          <w:rFonts w:ascii="Times New Roman" w:cs="Times New Roman" w:eastAsia="Times New Roman" w:hAnsi="Times New Roman"/>
          <w:sz w:val="18"/>
          <w:szCs w:val="18"/>
          <w:color w:val="auto"/>
        </w:rPr>
        <w:t>In Europe, we recorded product revenue, net, of $16.1 million and $9.7 million during the nine months ended September 30, 2025 and 2024, respectively.</w:t>
      </w:r>
    </w:p>
    <w:p>
      <w:pPr>
        <w:spacing w:after="0" w:line="54" w:lineRule="exact"/>
        <w:rPr>
          <w:sz w:val="20"/>
          <w:szCs w:val="20"/>
          <w:color w:val="auto"/>
        </w:rPr>
      </w:pPr>
    </w:p>
    <w:p>
      <w:pPr>
        <w:ind w:right="600" w:firstLine="53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we recorded RoW product revenue, net, of $7.1 million from our six collaboration partners, comprising multiple distinct geographies, compared to $12.3 million during the nine months ended September 30, 2024.</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nine months ended September 30, 2025 and 2024 was $28.2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$21.8 million, respectively, an increase of $6.4 million, or 30%. This increase was primarily due to the recognition of a $25.0 million upfront payment resulting from the execution of the Recordati Licensing Agreement and higher royalties as a result of an increase in partner sales within their respective territories. During the nine months ended September 30, 2024, we recognized a $15.0 million milestone and $4.0 million change in estimate resulting from the regulatory approval of VASCEPA under the REDUCE-IT indication in China in June 2024.</w:t>
      </w:r>
    </w:p>
    <w:p>
      <w:pPr>
        <w:spacing w:after="0" w:line="21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nine months ended September 30, 2025 and 2024 was $66.7 million and $75.4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$8.6 million, or 11%.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7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nine months ended September 30, 2025 and 2024 was sourced from multiple API suppliers.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overall gross margin on product sales for the nine months ended September 30, 2025 and 2024 was 51% and 48%, respectively. The increase in gross margin is primarily as a result of a change in customer mix.</w:t>
      </w:r>
    </w:p>
    <w:p>
      <w:pPr>
        <w:spacing w:after="0" w:line="187" w:lineRule="exact"/>
        <w:rPr>
          <w:sz w:val="20"/>
          <w:szCs w:val="20"/>
          <w:color w:val="auto"/>
        </w:rPr>
      </w:pPr>
    </w:p>
    <w:p>
      <w:pPr>
        <w:jc w:val="both"/>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nine months ended September 30,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$94.9 million and $115.3 million, respectively, a decrease of $20.4 million, or 18%. Selling, general and administrative expenses for the nine months ended September 30, 2025 and 2024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36,862</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2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-1036320</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-1036320</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ind w:left="480" w:right="400" w:hanging="383"/>
        <w:spacing w:after="0" w:line="260"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nine months ended September 30, 2025 and 2024 was $36.9 million and $59.7 million, respectively, a decrease of $22.8 million, or 38%. This decrease is primarily due to a reduction in costs associated with the Global Restructuring Plan, as well as decreased promotional and marketing initiatives and other cost optimization initiatives.</w:t>
      </w:r>
    </w:p>
    <w:p>
      <w:pPr>
        <w:spacing w:after="0" w:line="2" w:lineRule="exact"/>
        <w:rPr>
          <w:rFonts w:ascii="Times New Roman" w:cs="Times New Roman" w:eastAsia="Times New Roman" w:hAnsi="Times New Roman"/>
          <w:sz w:val="18"/>
          <w:szCs w:val="18"/>
          <w:color w:val="auto"/>
        </w:rPr>
      </w:pPr>
    </w:p>
    <w:p>
      <w:pPr>
        <w:ind w:left="480" w:right="140" w:hanging="383"/>
        <w:spacing w:after="0" w:line="261"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nine months ended September 30, 2025 and 2024 was $49.9 million and $44.1 million, respectively, an increase of $5.8 million, or 13%. This increase is primarily due to fees associated with the ADS Ratio Change and Recordati Licensing Agreement. This increase is offset by a decrease in branded pharma fees as a result of lower sales and the reduction of costs associated with the Global Restructuring Plan.</w:t>
      </w:r>
    </w:p>
    <w:p>
      <w:pPr>
        <w:spacing w:after="0" w:line="4" w:lineRule="exact"/>
        <w:rPr>
          <w:rFonts w:ascii="Times New Roman" w:cs="Times New Roman" w:eastAsia="Times New Roman" w:hAnsi="Times New Roman"/>
          <w:sz w:val="18"/>
          <w:szCs w:val="18"/>
          <w:color w:val="auto"/>
        </w:rPr>
      </w:pPr>
    </w:p>
    <w:p>
      <w:pPr>
        <w:ind w:left="480" w:right="140" w:hanging="383"/>
        <w:spacing w:after="0" w:line="26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nine months ended September 30, 2025 and 2024 was $8.2 million and $11.6 million, respectively, a decrease of $3.4 million, or 29%. Non-cash stock-based compensation expense represents the estimated costs associated with equity awards issued to internal personnel supporting our selling, general and administrative functions.</w:t>
      </w:r>
    </w:p>
    <w:p>
      <w:pPr>
        <w:spacing w:after="0" w:line="201"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nine months ended September 30, 2025 and 2024 was $14.4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$14.9 million, respectively, a decrease of $0.4 million, or 3%. Research and development expenses for the nine months ended September 30, 2025 and 2024 are summarized in the table below:</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180" w:type="dxa"/>
            <w:vAlign w:val="bottom"/>
            <w:gridSpan w:val="2"/>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and presentations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Fixed-dose combination </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(3)</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Non-clinical research activities </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(5)</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(6)</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-454025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right="8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REDUCE-IT study and publications expenses consist primarily of costs incurred to maintain the REDUCE-IT trial data as well as support provided to present at conferences and to provide data to be published in medical journals.</w:t>
      </w:r>
    </w:p>
    <w:p>
      <w:pPr>
        <w:ind w:left="520" w:right="160" w:hanging="512"/>
        <w:spacing w:after="0" w:line="273"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are primarily related to cost associated with developmental activities of a fixed-dose combination of VASCEPA and a statin which began in 2022 but was subsequently deprioritized during 2023.</w:t>
      </w:r>
    </w:p>
    <w:p>
      <w:pPr>
        <w:spacing w:after="0" w:line="1" w:lineRule="exact"/>
        <w:rPr>
          <w:rFonts w:ascii="Times New Roman" w:cs="Times New Roman" w:eastAsia="Times New Roman" w:hAnsi="Times New Roman"/>
          <w:sz w:val="18"/>
          <w:szCs w:val="18"/>
          <w:color w:val="auto"/>
        </w:rPr>
      </w:pPr>
    </w:p>
    <w:p>
      <w:pPr>
        <w:jc w:val="both"/>
        <w:ind w:left="520" w:right="1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filing fees are primarily related to the preparation, submission and review defense of regulatory filings as well as assistance with securing and maintaining regulatory approvals for qualifying suppliers for VASCEPA in the U.S. and Europe as well as regulatory expansion in the rest of the world.</w:t>
      </w: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research activities are primarily related to ongoing experiments and analyses further exploring the potential biological activities of IPE.</w:t>
      </w:r>
    </w:p>
    <w:p>
      <w:pPr>
        <w:spacing w:after="0" w:line="36"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various other activities, including other costs in collaboration with Mochida.</w:t>
      </w:r>
    </w:p>
    <w:p>
      <w:pPr>
        <w:spacing w:after="0" w:line="4"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10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nine months ended September 30, 2025 and 2024 was $32.2 million and nil,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charge in the current year is due to the implementation of the Global Restructuring Plan associated with the execution of the Recordati Licensing Agreement announced on June 24, 2025, which resulted in the elimination of commercial roles in the Company’s European operations. Refer to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additional information.</w:t>
      </w:r>
    </w:p>
    <w:p>
      <w:pPr>
        <w:spacing w:after="0" w:line="207"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nine months ended September 30, 2025 and 2024 was $8.3 million and $10.0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$1.8 million, or 17%. Interest income, net, represents income earned on cash and investment balances. The decrease is primarily due to lower interest rates in the current year period compared to the prior year period.</w:t>
      </w:r>
    </w:p>
    <w:p>
      <w:pPr>
        <w:spacing w:after="0" w:line="20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for the nine months ended September 30, 2025 and 2024 was $0.4 million and $2.0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$1.6 million, or 81%. Other income, net, primarily consists of gains and losses on foreign exchange transactions and sublease income related to our Bridgewater, New Jersey facility.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36" w:name="page37"/>
    <w:bookmarkEnd w:id="36"/>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Benefit from (provision for) income taxes. </w:t>
      </w:r>
      <w:r>
        <w:rPr>
          <w:rFonts w:ascii="Times New Roman" w:cs="Times New Roman" w:eastAsia="Times New Roman" w:hAnsi="Times New Roman"/>
          <w:sz w:val="18"/>
          <w:szCs w:val="18"/>
          <w:color w:val="auto"/>
        </w:rPr>
        <w:t>Income tax benefit from (provision for) for the nine months ended September 30, 2025 and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$2.4 million and $6.3 million, respectively. The provision for income taxes for the nine months ended September 30, 2025 is the result of income generated by our U.S. and foreign operations for which tax expense has been recognized based on a full-year estimated U.S. and foreign income tax liability.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our aggregate sources of liquidity include cash and cash equivalents and restricted cash of $123.1 million and short-term investments of $163.8 million, aggregating $286.6 million. We have no indebtedness. Our cash and cash equivalents primarily include checking accounts and money market funds with original maturities of less than 90 days. Our short-term investments consist of securities that will be due in one year or less.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9"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5"/>
                <w:szCs w:val="15"/>
                <w:color w:val="auto"/>
              </w:rPr>
            </w:pPr>
          </w:p>
        </w:tc>
        <w:tc>
          <w:tcPr>
            <w:tcW w:w="33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decreased during the nine months ended September 30, 2025 as compared to the same period in 2024. This is primarily as a result of timing and payment of invoices and accruals in 2024.</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2025 decreased due primarily to proceeds from the maturity of $162.3 million in investment grade interest-bearing instruments offset by the purchases of $150.0 million of investment grade interest-bearing instruments as compared to the same period in 2024 where proceeds from the maturity of investment grade interest-bearing instruments were $185.8 million, partially offset by $208.9 million in purchases of investment-grade interest bearing instruments.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2025 as compared to the same period in 2024 was primarily as a result of taxes paid on stock-based awards.</w:t>
      </w:r>
    </w:p>
    <w:p>
      <w:pPr>
        <w:spacing w:after="0" w:line="54"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On January 10, 2024, we announced plans to initiate a share repurchase program to purchase up to $50.0 million of the Company's Ordinary Shares held in the form of American Depository Shares, or ADS. We received shareholder and UK High Court approval of the share repurchase plan in April and May 2024, respectively. The share repurchase program has a five-year approval window and can be deployed at any point until the second quarter of 2029. The Company has not commenced any share repurchases to date, but we will continue to monitor business and market conditions.</w:t>
      </w:r>
    </w:p>
    <w:p>
      <w:pPr>
        <w:spacing w:after="0" w:line="72"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net accounts receivable of $127.3 million, current inventory of $184.7 million and long-term inventory of $9.1 million. We have incurred annual operating losses since our inception and, as a result, we had an accumulated deficit of $1.7 billion as of September 30, 2025. We anticipate that quarterly net cash outflows in future periods will continue to be variable as a result of the timing of certain items, including our purchases of API and the generic competition in the U.S. and the efforts of our licensee of VAZKEPA in Europe.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$122.8 million and short-term investments of $163.8 million, aggregating $286.6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including the share repurchase program if we were to decide to proceed with such, for at least one year from the issuance date of our unaudited condensed consolidated financial statements included elsewhere in this Quarterly Report and is adequate to support continued operations based on our current plans. We have based this estimate on assumptions that may prove to be inaccurate, including as a result of the risks discussed under “Risk Factors” in this Quarterly Report and the Annual Report and we could use our capital resources sooner than we expect or fail to achieve positive cash flow.</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Except for our contractual obligations related to purchase obligations with certain supply chain contracting parties and operating leases related to real estate used as office space as set forth in Note 5 – Commitments and Contingencies and Note 9 – Leases, respectively, in our unaudited condensed consolidated financial statements included in this Quarterly Report on Form 10-Q, there have been no material changes from the contractual obligations and commitments as of December 31, 2024 previously disclosed in our Annual Report on Form 10-K filed with the SEC on March 12, 2025.</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75"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September 30, 2025. Based on such evaluation, our principal executive officer and principal financial officer have concluded that as of September 30, 2025,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During the quarter ended September 30, 2025,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Refer to Note 5 – Commitments and Contingencies in this Quarterly Report for any legal proceedings that became reportable during the three months ended September 30, 2025, and updates to any descriptions of previously reported legal proceedings in which there have been material developments during such period. The discussion of legal proceedings included within </w:t>
      </w:r>
      <w:r>
        <w:rPr>
          <w:rFonts w:ascii="Times New Roman" w:cs="Times New Roman" w:eastAsia="Times New Roman" w:hAnsi="Times New Roman"/>
          <w:sz w:val="18"/>
          <w:szCs w:val="18"/>
          <w:i w:val="1"/>
          <w:iCs w:val="1"/>
          <w:color w:val="auto"/>
        </w:rPr>
        <w:t>Note 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is incorporated into this Item 1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8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presented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year ended December 31, 2024 other than as set forth below. See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December 31, 2024 for a detailed discussion of risk factors affecting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12" w:lineRule="exact"/>
        <w:rPr>
          <w:sz w:val="20"/>
          <w:szCs w:val="20"/>
          <w:color w:val="auto"/>
        </w:rPr>
      </w:pPr>
    </w:p>
    <w:p>
      <w:pPr>
        <w:ind w:right="80" w:firstLine="74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collaboration partner for the commercialization of VAZKEPA® in 59 countries focused in Europe. If the collaboration is not successful, we may not be able to capitalize on the full market potential for VAZKEPA® in those countries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7"/>
          <w:szCs w:val="17"/>
          <w:color w:val="auto"/>
        </w:rPr>
        <w:t>On June 20, 2025, we licensed the rights to VAZKEPA® in the Recordati Territory to Recordati. Our ability to receive payments from these arrangements will depend on Recordati’s ability to successfully commercialize VAZKEPA® in the Recordati Territory. The Recordati Licensing Agreement may pose many risks to us, including that:</w:t>
      </w:r>
    </w:p>
    <w:p>
      <w:pPr>
        <w:spacing w:after="0" w:line="1" w:lineRule="exact"/>
        <w:rPr>
          <w:sz w:val="20"/>
          <w:szCs w:val="20"/>
          <w:color w:val="auto"/>
        </w:rPr>
      </w:pPr>
    </w:p>
    <w:p>
      <w:pPr>
        <w:ind w:left="760" w:right="1020" w:hanging="378"/>
        <w:spacing w:after="0" w:line="25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authorizations for VAZKEPA in certain countries in the Recordati Territory have not yet been obtained and certain other authorizations will need to be transitioned to Recordati subject to approval by the relevant regulatory authorities;</w:t>
      </w:r>
    </w:p>
    <w:p>
      <w:pPr>
        <w:spacing w:after="0" w:line="1"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Recordati has discretion in determining the efforts, resources and strategies they will apply to commercializing VAZKEPA® in the Recordati Territory and may not apply sufficient efforts or resources to or otherwise may pursue sub-optimal strategies for the commercialization of</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VAZKEPA;</w:t>
      </w:r>
    </w:p>
    <w:p>
      <w:pPr>
        <w:spacing w:after="0" w:line="9" w:lineRule="exact"/>
        <w:rPr>
          <w:rFonts w:ascii="Times New Roman" w:cs="Times New Roman" w:eastAsia="Times New Roman" w:hAnsi="Times New Roman"/>
          <w:sz w:val="17"/>
          <w:szCs w:val="17"/>
          <w:color w:val="auto"/>
        </w:rPr>
      </w:pPr>
    </w:p>
    <w:p>
      <w:pPr>
        <w:ind w:left="760" w:right="14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Recordati may mismanage its supply chain (including by ordering too many or too few units of VAZKEPA® from us) and also may not or may not be able to set favorable pricing for VAZKEPA® due to regulations, generic entry or other factors, all of which could negatively impact payments owed to us;</w:t>
      </w:r>
    </w:p>
    <w:p>
      <w:pPr>
        <w:spacing w:after="0" w:line="1" w:lineRule="exact"/>
        <w:rPr>
          <w:rFonts w:ascii="Times New Roman" w:cs="Times New Roman" w:eastAsia="Times New Roman" w:hAnsi="Times New Roman"/>
          <w:sz w:val="18"/>
          <w:szCs w:val="18"/>
          <w:color w:val="auto"/>
        </w:rPr>
      </w:pPr>
    </w:p>
    <w:p>
      <w:pPr>
        <w:ind w:left="760" w:right="32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Recordati may be subject to changes in key personnel or strategic focus, have limited available funding or be subject to other external factors diverting resources or competing priorities, all of which could negatively impact the commercialization of VAZKEPA® in the Recordati Territory;</w:t>
      </w:r>
    </w:p>
    <w:p>
      <w:pPr>
        <w:spacing w:after="0" w:line="1" w:lineRule="exact"/>
        <w:rPr>
          <w:rFonts w:ascii="Times New Roman" w:cs="Times New Roman" w:eastAsia="Times New Roman" w:hAnsi="Times New Roman"/>
          <w:sz w:val="18"/>
          <w:szCs w:val="18"/>
          <w:color w:val="auto"/>
        </w:rPr>
      </w:pPr>
    </w:p>
    <w:p>
      <w:pPr>
        <w:ind w:left="760" w:right="380" w:hanging="378"/>
        <w:spacing w:after="0" w:line="25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Recordati may use our intellectual property rights or our proprietary information in such a way as to invite litigation that could jeopardize or invalidate our intellectual property rights or otherwise expose us to potential litigation; and</w:t>
      </w:r>
    </w:p>
    <w:p>
      <w:pPr>
        <w:ind w:left="760" w:right="60" w:hanging="378"/>
        <w:spacing w:after="0" w:line="26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Recordati could be involved in a business combination and the continued pursuit and emphasis on VAZKEPA® could be delayed, diminished or terminated.</w:t>
      </w:r>
    </w:p>
    <w:p>
      <w:pPr>
        <w:spacing w:after="0" w:line="1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our ability to generate revenue under the Recordati Licensing Agreement is adversely impacted by these or any other risks, our right to receive additional payments from the thereunder, including our share of the revenues generated by net sales of VAZKEPA®, could be insufficient to achieve or maintain profitability or may result in VAZKEPA® being less valuable to us than if we had not entered into the Recordati Licensing Agreement.</w:t>
      </w:r>
    </w:p>
    <w:p>
      <w:pPr>
        <w:spacing w:after="0" w:line="199" w:lineRule="exact"/>
        <w:rPr>
          <w:sz w:val="20"/>
          <w:szCs w:val="20"/>
          <w:color w:val="auto"/>
        </w:rPr>
      </w:pPr>
    </w:p>
    <w:p>
      <w:pPr>
        <w:ind w:right="220" w:firstLine="57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reduction in force related to our Recordati Licensing Agreement with Recordati, and any similar efforts we may undertake in the future, may not be successful in mitigating risks and challenges associated with our business and establishing a more significant international footprint.</w:t>
      </w:r>
    </w:p>
    <w:p>
      <w:pPr>
        <w:spacing w:after="0" w:line="10" w:lineRule="exact"/>
        <w:rPr>
          <w:sz w:val="20"/>
          <w:szCs w:val="20"/>
          <w:color w:val="auto"/>
        </w:rPr>
      </w:pPr>
    </w:p>
    <w:p>
      <w:pPr>
        <w:ind w:right="400" w:firstLine="576"/>
        <w:spacing w:after="0" w:line="261"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U.S., including following our Global Restructuring Plan announced in June 2025, which reduced our headcount in Europe, primarily Europe's commercial operations, as a</w:t>
      </w: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18"/>
          <w:szCs w:val="18"/>
          <w:color w:val="auto"/>
        </w:rPr>
        <w:t>result of our exclusive license agreement with Recordati, our anticipated revenues or our expenses could be materially adversely affected, and we may not maintain profitability in the U.S.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Ordinary Shares</w:t>
      </w: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meet the listing requirements of the Nasdaq Stock Market, our ADS may be delisted.</w:t>
      </w:r>
    </w:p>
    <w:p>
      <w:pPr>
        <w:spacing w:after="0" w:line="121"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Our ADSs are listed and traded on Nasdaq, which has listing requirements that include a $1.00 minimum closing bid price requirement, or the Minimum Bid Requirement. Nasdaq will issue a deficiency notice if an issuer is in violation of a listing standard for a period of 30 business consecutive days. Such deficiency letter does not result in the immediate delisting of an issuer as there is a period of 180 calendar days from the deficiency notice to regain compliance with Nasdaq's minimum bid price requirement. If an issuer is unable to comply with Nasdaq's minimum bid price requirement after this 180-day calendar period, Nasdaq may elect, subject to any potential additional cure periods, to initiate a process that could delist the issuer from trading on the Nasdaq. We received a deficiency letter from Nasdaq in October 2023, as our ADSs had traded below $1.00 for 30 consecutive business days. In January 2024, we regained compliance with the Nasdaq listing requirements as our ADSs had traded above $1.00 for 10 consecutive business days. We received an additional deficiency letter in May 2024, as our ADSs had traded below $1.00 for 30 consecutive business days. On November 22, 2024, we received notice Nasdaq granted the Company an additional 180 calendar days, or until May 19, 2025, to regain compliance with the Minimum Bid Requirement. Effective as of April 11, 2025, we implemented an adjustment of the ratio of our ADSs to Ordinary Shares from one ADS representing one Ordinary Share to one ADS representing 20 Ordinary Shares, or the ADS Ratio Change. The ADS Ratio Change resulted in a 1-for-20 reverse split of issued and outstanding ADSs, and it had no effect on the Ordinary Shares. On April 29, 2025, we received written confirmation from Nasdaq that we regained compliance with the Nasdaq listing requirements as our ADSs had traded above $1.00 for 10 consecutive business days. While we have regained compliance with the Minimum Bid Requirement, there is no guarantee that we will be able to maintain such compliance, and we may receive additional deficiency letters in the future.</w:t>
      </w:r>
    </w:p>
    <w:p>
      <w:pPr>
        <w:spacing w:after="0" w:line="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Should such a delisting occur, it would adversely impact the liquidity and price of our ADSs and would impede our ability to raise capital.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tariffs, trade sanctions or similar government actions.</w:t>
      </w:r>
    </w:p>
    <w:p>
      <w:pPr>
        <w:spacing w:after="0" w:line="12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The recent imposition and ongoing discussions regarding certain trade restrictions, sanctions and tariffs on goods exported from the U.S. or imported into the U.S., as well as retaliatory measures enacted in response to such actions and related market volatility, could have a material adverse impact on our business, financial condition, results of operations and cash flows. In light of these events, there continues to exist significant uncertainty about the future relationship between the U.S. and other countries with respect to such trade policies.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lower product demand and restrict our access to potential partners, suppliers or other third parties we seek to do business with and, in turn, have a material adverse effect on the business and financial condition of such third parties, which in turn would negatively impact us.</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ADSs purchased in the third quarter of 2025 are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40" w:type="dxa"/>
            <w:vAlign w:val="bottom"/>
          </w:tcPr>
          <w:p>
            <w:pPr>
              <w:spacing w:after="0"/>
              <w:rPr>
                <w:sz w:val="13"/>
                <w:szCs w:val="13"/>
                <w:color w:val="auto"/>
              </w:rPr>
            </w:pP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5"/>
        </w:trPr>
        <w:tc>
          <w:tcPr>
            <w:tcW w:w="5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117"/>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ADSs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Paid per ADS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1 - 31, 2025</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August 1 - 31, 2025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1 - 30, 2025</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-153670</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91" w:lineRule="exact"/>
        <w:rPr>
          <w:sz w:val="20"/>
          <w:szCs w:val="20"/>
          <w:color w:val="auto"/>
        </w:rPr>
      </w:pPr>
    </w:p>
    <w:p>
      <w:pPr>
        <w:ind w:left="380" w:right="160" w:hanging="372"/>
        <w:spacing w:after="0" w:line="223" w:lineRule="auto"/>
        <w:tabs>
          <w:tab w:leader="none" w:pos="326"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ADSs withheld to satisfy tax withholding amounts due from employees related to the receipt of ADS which resulted from the exercise or vesting of equity awards.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40" w:name="page41"/>
    <w:bookmarkEnd w:id="4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None of our officers or directors, as defined in Rule 16a-1(f), adopted, modified, or terminated a “Rule 10b5-1 trading arrangement” or a “non-Rule 10b5-1 trading arrangement,” as defined in Item 408 of Regulation S-K, during the three months ended September 30, 2025.</w:t>
      </w: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58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17"/>
          </w:tcPr>
          <w:p>
            <w:pPr>
              <w:jc w:val="right"/>
              <w:ind w:right="1533"/>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or furnished as part of this report.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56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25"/>
        </w:trPr>
        <w:tc>
          <w:tcPr>
            <w:tcW w:w="6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9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660" w:type="dxa"/>
            <w:vAlign w:val="bottom"/>
            <w:gridSpan w:val="10"/>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7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gridSpan w:val="4"/>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2660" w:type="dxa"/>
            <w:vAlign w:val="bottom"/>
            <w:tcBorders>
              <w:bottom w:val="single" w:sz="8" w:color="auto"/>
            </w:tcBorders>
            <w:gridSpan w:val="10"/>
            <w:vMerge w:val="continue"/>
          </w:tcPr>
          <w:p>
            <w:pPr>
              <w:spacing w:after="0"/>
              <w:rPr>
                <w:sz w:val="12"/>
                <w:szCs w:val="12"/>
                <w:color w:val="auto"/>
              </w:rPr>
            </w:pPr>
          </w:p>
        </w:tc>
        <w:tc>
          <w:tcPr>
            <w:tcW w:w="3720" w:type="dxa"/>
            <w:vAlign w:val="bottom"/>
            <w:tcBorders>
              <w:bottom w:val="single" w:sz="8" w:color="auto"/>
            </w:tcBorders>
          </w:tcPr>
          <w:p>
            <w:pPr>
              <w:jc w:val="right"/>
              <w:ind w:right="1533"/>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2280" w:type="dxa"/>
            <w:vAlign w:val="bottom"/>
            <w:tcBorders>
              <w:bottom w:val="single" w:sz="8" w:color="auto"/>
            </w:tcBorders>
          </w:tcPr>
          <w:p>
            <w:pPr>
              <w:ind w:left="10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90"/>
        </w:trPr>
        <w:tc>
          <w:tcPr>
            <w:tcW w:w="420" w:type="dxa"/>
            <w:vAlign w:val="bottom"/>
            <w:gridSpan w:val="3"/>
          </w:tcPr>
          <w:p>
            <w:pPr>
              <w:ind w:left="100"/>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gridSpan w:val="14"/>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Second Amended and Restated Deposit Agreement</w:t>
              </w:r>
            </w:hyperlink>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Registration Statement on Form F-6, Exhibit (a)</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23, 2025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among Amarin Corporation plc, JPMorgan Chase Bank,</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N.A., as depositary (the “Depositary”), and all Holders and</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Beneficial Owners from time to time of American Depositary</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20" w:type="dxa"/>
            <w:vAlign w:val="bottom"/>
            <w:tcBorders>
              <w:left w:val="single" w:sz="8" w:color="0000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Receipts (“ADRs”) issued thereunder, including the Form of</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ADR attached as Exhibit A thereto</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gridSpan w:val="4"/>
          </w:tcPr>
          <w:p>
            <w:pPr>
              <w:ind w:left="100"/>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40" w:type="dxa"/>
            <w:vAlign w:val="bottom"/>
          </w:tcPr>
          <w:p>
            <w:pPr>
              <w:spacing w:after="0"/>
              <w:rPr>
                <w:sz w:val="24"/>
                <w:szCs w:val="24"/>
                <w:color w:val="auto"/>
              </w:rPr>
            </w:pPr>
          </w:p>
        </w:tc>
        <w:tc>
          <w:tcPr>
            <w:tcW w:w="4440" w:type="dxa"/>
            <w:vAlign w:val="bottom"/>
            <w:gridSpan w:val="14"/>
          </w:tcPr>
          <w:p>
            <w:pPr>
              <w:spacing w:after="0"/>
              <w:rPr>
                <w:rFonts w:ascii="Times New Roman" w:cs="Times New Roman" w:eastAsia="Times New Roman" w:hAnsi="Times New Roman"/>
                <w:sz w:val="18"/>
                <w:szCs w:val="18"/>
                <w:color w:val="0000FF"/>
                <w:w w:val="98"/>
              </w:rPr>
            </w:pPr>
            <w:hyperlink r:id="rId264">
              <w:r>
                <w:rPr>
                  <w:rFonts w:ascii="Times New Roman" w:cs="Times New Roman" w:eastAsia="Times New Roman" w:hAnsi="Times New Roman"/>
                  <w:sz w:val="18"/>
                  <w:szCs w:val="18"/>
                  <w:color w:val="0000FF"/>
                  <w:w w:val="98"/>
                </w:rPr>
                <w:t>Employment Agreement, between David Keenan and Amarin</w:t>
              </w:r>
            </w:hyperlink>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Report on Form 8-K as Exhibit 10.1</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22, 2025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20" w:type="dxa"/>
            <w:vAlign w:val="bottom"/>
            <w:tcBorders>
              <w:left w:val="single" w:sz="8" w:color="0000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Pharmaceuticals Ireland Limited, dated February 25, 2022*†</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gridSpan w:val="4"/>
          </w:tcPr>
          <w:p>
            <w:pPr>
              <w:ind w:left="100"/>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40" w:type="dxa"/>
            <w:vAlign w:val="bottom"/>
          </w:tcPr>
          <w:p>
            <w:pPr>
              <w:spacing w:after="0"/>
              <w:rPr>
                <w:sz w:val="24"/>
                <w:szCs w:val="24"/>
                <w:color w:val="auto"/>
              </w:rPr>
            </w:pPr>
          </w:p>
        </w:tc>
        <w:tc>
          <w:tcPr>
            <w:tcW w:w="4440" w:type="dxa"/>
            <w:vAlign w:val="bottom"/>
            <w:gridSpan w:val="14"/>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First Amendment to the Employment Agreement, between</w:t>
              </w:r>
            </w:hyperlink>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Report on Form 8-K as Exhibit 10.2</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22, 2025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David Keenan and Amarin Pharmaceuticals Ireland Limited,</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dated July 17, 2023*†</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gridSpan w:val="4"/>
          </w:tcPr>
          <w:p>
            <w:pPr>
              <w:ind w:left="100"/>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40" w:type="dxa"/>
            <w:vAlign w:val="bottom"/>
          </w:tcPr>
          <w:p>
            <w:pPr>
              <w:spacing w:after="0"/>
              <w:rPr>
                <w:sz w:val="24"/>
                <w:szCs w:val="24"/>
                <w:color w:val="auto"/>
              </w:rPr>
            </w:pPr>
          </w:p>
        </w:tc>
        <w:tc>
          <w:tcPr>
            <w:tcW w:w="4440" w:type="dxa"/>
            <w:vAlign w:val="bottom"/>
            <w:gridSpan w:val="14"/>
          </w:tcPr>
          <w:p>
            <w:pPr>
              <w:spacing w:after="0"/>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Second Amendment to the Employment Agreement, between</w:t>
              </w:r>
            </w:hyperlink>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Report on Form 8-K as Exhibit 10.3</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22, 2025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David Keenan and Amarin Pharmaceuticals Ireland Limited,</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dated October 6, 2025*†</w:t>
              </w:r>
            </w:hyperlink>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40" w:type="dxa"/>
            <w:vAlign w:val="bottom"/>
          </w:tcPr>
          <w:p>
            <w:pPr>
              <w:spacing w:after="0"/>
              <w:rPr>
                <w:sz w:val="24"/>
                <w:szCs w:val="24"/>
                <w:color w:val="auto"/>
              </w:rPr>
            </w:pPr>
          </w:p>
        </w:tc>
        <w:tc>
          <w:tcPr>
            <w:tcW w:w="44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40" w:type="dxa"/>
            <w:vAlign w:val="bottom"/>
          </w:tcPr>
          <w:p>
            <w:pPr>
              <w:spacing w:after="0"/>
              <w:rPr>
                <w:sz w:val="24"/>
                <w:szCs w:val="24"/>
                <w:color w:val="auto"/>
              </w:rPr>
            </w:pPr>
          </w:p>
        </w:tc>
        <w:tc>
          <w:tcPr>
            <w:tcW w:w="44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Vice President and Global Controller</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(Principal Financial Officer and Principal Accounting</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Section 302 of Sarbanes-Oxley Act of</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40" w:type="dxa"/>
            <w:vAlign w:val="bottom"/>
          </w:tcPr>
          <w:p>
            <w:pPr>
              <w:spacing w:after="0"/>
              <w:rPr>
                <w:sz w:val="24"/>
                <w:szCs w:val="24"/>
                <w:color w:val="auto"/>
              </w:rPr>
            </w:pPr>
          </w:p>
        </w:tc>
        <w:tc>
          <w:tcPr>
            <w:tcW w:w="44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Vice President and Global</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Controller (Principal Financial Officer and Principal</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Accounting Officer) pursuant to Section 906 of Sarbanes-</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2800" w:type="dxa"/>
            <w:vAlign w:val="bottom"/>
            <w:gridSpan w:val="8"/>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3100" w:type="dxa"/>
            <w:vAlign w:val="bottom"/>
            <w:gridSpan w:val="1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w:t>
            </w:r>
          </w:p>
        </w:tc>
        <w:tc>
          <w:tcPr>
            <w:tcW w:w="140" w:type="dxa"/>
            <w:vAlign w:val="bottom"/>
          </w:tcPr>
          <w:p>
            <w:pPr>
              <w:spacing w:after="0"/>
              <w:rPr>
                <w:sz w:val="24"/>
                <w:szCs w:val="24"/>
                <w:color w:val="auto"/>
              </w:rPr>
            </w:pPr>
          </w:p>
        </w:tc>
        <w:tc>
          <w:tcPr>
            <w:tcW w:w="4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w:t>
            </w:r>
          </w:p>
        </w:tc>
        <w:tc>
          <w:tcPr>
            <w:tcW w:w="140" w:type="dxa"/>
            <w:vAlign w:val="bottom"/>
          </w:tcPr>
          <w:p>
            <w:pPr>
              <w:spacing w:after="0"/>
              <w:rPr>
                <w:sz w:val="24"/>
                <w:szCs w:val="24"/>
                <w:color w:val="auto"/>
              </w:rPr>
            </w:pPr>
          </w:p>
        </w:tc>
        <w:tc>
          <w:tcPr>
            <w:tcW w:w="44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780" w:hanging="77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1260" w:type="dxa"/>
            <w:vAlign w:val="bottom"/>
          </w:tcPr>
          <w:p>
            <w:pPr>
              <w:spacing w:after="0"/>
              <w:rPr>
                <w:sz w:val="20"/>
                <w:szCs w:val="20"/>
                <w:color w:val="auto"/>
              </w:rPr>
            </w:pPr>
          </w:p>
        </w:tc>
      </w:tr>
      <w:tr>
        <w:trPr>
          <w:trHeight w:val="31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720" w:type="dxa"/>
            <w:vAlign w:val="bottom"/>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126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information contained in Exhibits 101.*)</w:t>
            </w:r>
          </w:p>
        </w:tc>
        <w:tc>
          <w:tcPr>
            <w:tcW w:w="1260" w:type="dxa"/>
            <w:vAlign w:val="bottom"/>
          </w:tcPr>
          <w:p>
            <w:pPr>
              <w:spacing w:after="0"/>
              <w:rPr>
                <w:sz w:val="20"/>
                <w:szCs w:val="20"/>
                <w:color w:val="auto"/>
              </w:rPr>
            </w:pPr>
          </w:p>
        </w:tc>
      </w:tr>
    </w:tbl>
    <w:p>
      <w:pPr>
        <w:spacing w:after="0" w:line="198"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personal information in this exhibit has been omitted in accordance with Regulation S-K Item 601(a)(6).</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Aaron Berg</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52"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Peter Fishman</w:t>
      </w:r>
    </w:p>
    <w:p>
      <w:pPr>
        <w:spacing w:after="0" w:line="22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2025</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5" w:right="5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Berg, certify that:</w:t>
      </w:r>
    </w:p>
    <w:p>
      <w:pPr>
        <w:spacing w:after="0" w:line="117"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5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  Aaron Berg</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Aaron Berg</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Fishman, certify that:</w:t>
      </w:r>
    </w:p>
    <w:p>
      <w:pPr>
        <w:spacing w:after="0" w:line="117"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Fishman</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Peter Fishman</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119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Aaron Berg, President and Chief Executive Officer (Principal Executive Officer) of Amarin Corporation plc (the “Company”), and Peter Fishman, Senior Vice President and Chief Financial Officer (Principal Financial Officer and Principal Accounting Officer) of the Company, each hereby certifies that, to the best of his knowledge:</w:t>
      </w:r>
    </w:p>
    <w:p>
      <w:pPr>
        <w:spacing w:after="0" w:line="180" w:lineRule="exact"/>
        <w:rPr>
          <w:sz w:val="20"/>
          <w:szCs w:val="20"/>
          <w:color w:val="auto"/>
        </w:rPr>
      </w:pPr>
    </w:p>
    <w:p>
      <w:pPr>
        <w:ind w:right="140" w:firstLine="8"/>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32.1 (the “Quarterly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480" w:firstLine="8"/>
        <w:spacing w:after="0" w:line="282"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78"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Aaron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7"/>
          <w:szCs w:val="17"/>
          <w:color w:val="auto"/>
        </w:rPr>
        <w:t>Aaron Berg</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40"/>
        <w:spacing w:after="0"/>
        <w:tabs>
          <w:tab w:leader="none" w:pos="6080" w:val="left"/>
        </w:tabs>
        <w:rPr>
          <w:sz w:val="20"/>
          <w:szCs w:val="20"/>
          <w:color w:val="auto"/>
        </w:rPr>
      </w:pPr>
      <w:r>
        <w:rPr>
          <w:rFonts w:ascii="Times New Roman" w:cs="Times New Roman" w:eastAsia="Times New Roman" w:hAnsi="Times New Roman"/>
          <w:sz w:val="18"/>
          <w:szCs w:val="18"/>
          <w:color w:val="auto"/>
        </w:rPr>
        <w:t>/s/</w:t>
        <w:tab/>
        <w:t>Peter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29, 2025</w:t>
      </w:r>
      <w:r>
        <w:rPr>
          <w:sz w:val="20"/>
          <w:szCs w:val="20"/>
          <w:color w:val="auto"/>
        </w:rPr>
        <w:tab/>
      </w:r>
      <w:r>
        <w:rPr>
          <w:rFonts w:ascii="Times New Roman" w:cs="Times New Roman" w:eastAsia="Times New Roman" w:hAnsi="Times New Roman"/>
          <w:sz w:val="18"/>
          <w:szCs w:val="18"/>
          <w:color w:val="auto"/>
        </w:rPr>
        <w:t>Peter Fishman</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4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o"/>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63" Type="http://schemas.openxmlformats.org/officeDocument/2006/relationships/hyperlink" Target="https://www.sec.gov/Archives/edgar/data/897448/000110465925069672/tm2521393d1_exa.htm" TargetMode="External"/><Relationship Id="rId264" Type="http://schemas.openxmlformats.org/officeDocument/2006/relationships/hyperlink" Target="https://www.sec.gov/Archives/edgar/data/897448/000119312525246973/amrn-ex10_1.htm" TargetMode="External"/><Relationship Id="rId265" Type="http://schemas.openxmlformats.org/officeDocument/2006/relationships/hyperlink" Target="https://www.sec.gov/Archives/edgar/data/897448/000119312525246973/amrn-ex10_2.htm" TargetMode="External"/><Relationship Id="rId266" Type="http://schemas.openxmlformats.org/officeDocument/2006/relationships/hyperlink" Target="https://www.sec.gov/Archives/edgar/data/897448/000119312525246973/amrn-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2025-10-29T06:17:50Z</dcterms:created>
  <dcterms:modified xsi:type="dcterms:W3CDTF">2025-10-29T06:17:50Z</dcterms:modified>
</cp:coreProperties>
</file>