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England and Wales</w:t>
            </w:r>
          </w:p>
        </w:tc>
        <w:tc>
          <w:tcPr>
            <w:tcW w:w="29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4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Incorporation or Organization)</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35"/>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2920" w:type="dxa"/>
            <w:vAlign w:val="bottom"/>
          </w:tcPr>
          <w:p>
            <w:pPr>
              <w:jc w:val="center"/>
              <w:ind w:left="152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420" w:space="180"/>
            <w:col w:w="340" w:space="80"/>
            <w:col w:w="160" w:space="180"/>
            <w:col w:w="260" w:space="100"/>
            <w:col w:w="2700"/>
          </w:cols>
          <w:pgMar w:left="240" w:top="230" w:right="239" w:bottom="1440" w:gutter="0" w:footer="0" w:header="0"/>
          <w:type w:val="continuous"/>
        </w:sectPr>
      </w:pPr>
    </w:p>
    <w:p>
      <w:pPr>
        <w:spacing w:after="0" w:line="3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183,096,686 shares held as American Depository Shares (ADSs), each representing one Ordinary Share, 50 pence par value per share, and 2,027,655 ordinary shares, were outstanding as of May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580" w:type="dxa"/>
            <w:vAlign w:val="bottom"/>
            <w:gridSpan w:val="11"/>
          </w:tcPr>
          <w:p>
            <w:pPr>
              <w:jc w:val="center"/>
              <w:ind w:right="412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00" w:type="dxa"/>
            <w:vAlign w:val="bottom"/>
          </w:tcPr>
          <w:p>
            <w:pPr>
              <w:spacing w:after="0"/>
              <w:rPr>
                <w:sz w:val="22"/>
                <w:szCs w:val="22"/>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6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EE"/>
            </w:tcBorders>
            <w:gridSpan w:val="5"/>
          </w:tcPr>
          <w:p>
            <w:pPr>
              <w:spacing w:after="0"/>
              <w:rPr>
                <w:sz w:val="24"/>
                <w:szCs w:val="24"/>
                <w:color w:val="auto"/>
              </w:rPr>
            </w:pPr>
          </w:p>
        </w:tc>
        <w:tc>
          <w:tcPr>
            <w:tcW w:w="412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10140" w:type="dxa"/>
            <w:vAlign w:val="bottom"/>
            <w:gridSpan w:val="17"/>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2016 and December 31, 2015</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2016 and 2015</w:t>
              </w:r>
            </w:hyperlink>
          </w:p>
        </w:tc>
        <w:tc>
          <w:tcPr>
            <w:tcW w:w="26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Stockholders’ Deficit for the three months ended March 31, 2016</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8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2016 and 2015</w:t>
              </w:r>
            </w:hyperlink>
          </w:p>
        </w:tc>
        <w:tc>
          <w:tcPr>
            <w:tcW w:w="760" w:type="dxa"/>
            <w:vAlign w:val="bottom"/>
            <w:tcBorders>
              <w:top w:val="single" w:sz="8" w:color="0000EE"/>
            </w:tcBorders>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0" w:type="dxa"/>
            <w:vAlign w:val="bottom"/>
          </w:tcPr>
          <w:p>
            <w:pPr>
              <w:spacing w:after="0"/>
              <w:rPr>
                <w:sz w:val="17"/>
                <w:szCs w:val="17"/>
                <w:color w:val="auto"/>
              </w:rPr>
            </w:pPr>
          </w:p>
        </w:tc>
        <w:tc>
          <w:tcPr>
            <w:tcW w:w="101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1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17"/>
                <w:szCs w:val="17"/>
                <w:color w:val="auto"/>
              </w:rPr>
            </w:pPr>
          </w:p>
        </w:tc>
        <w:tc>
          <w:tcPr>
            <w:tcW w:w="368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304"/>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10"/>
          </w:tcPr>
          <w:p>
            <w:pPr>
              <w:jc w:val="center"/>
              <w:ind w:right="4220"/>
              <w:spacing w:after="0"/>
              <w:rPr>
                <w:rFonts w:ascii="Arial" w:cs="Arial" w:eastAsia="Arial" w:hAnsi="Arial"/>
                <w:sz w:val="18"/>
                <w:szCs w:val="18"/>
                <w:b w:val="1"/>
                <w:bCs w:val="1"/>
                <w:color w:val="0000EE"/>
                <w:w w:val="96"/>
              </w:rPr>
            </w:pPr>
            <w:hyperlink w:anchor="page48">
              <w:r>
                <w:rPr>
                  <w:rFonts w:ascii="Arial" w:cs="Arial" w:eastAsia="Arial" w:hAnsi="Arial"/>
                  <w:sz w:val="18"/>
                  <w:szCs w:val="18"/>
                  <w:b w:val="1"/>
                  <w:bCs w:val="1"/>
                  <w:color w:val="0000EE"/>
                  <w:w w:val="96"/>
                </w:rPr>
                <w:t>PART II – Other Information</w:t>
              </w:r>
            </w:hyperlink>
          </w:p>
        </w:tc>
        <w:tc>
          <w:tcPr>
            <w:tcW w:w="30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64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2280" w:type="dxa"/>
            <w:vAlign w:val="bottom"/>
            <w:tcBorders>
              <w:top w:val="single" w:sz="8" w:color="0000EE"/>
            </w:tcBorders>
            <w:gridSpan w:val="3"/>
          </w:tcPr>
          <w:p>
            <w:pPr>
              <w:spacing w:after="0"/>
              <w:rPr>
                <w:sz w:val="24"/>
                <w:szCs w:val="24"/>
                <w:color w:val="auto"/>
              </w:rPr>
            </w:pPr>
          </w:p>
        </w:tc>
        <w:tc>
          <w:tcPr>
            <w:tcW w:w="422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140" w:type="dxa"/>
            <w:vAlign w:val="bottom"/>
            <w:gridSpan w:val="17"/>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54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85"/>
        </w:trPr>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700" w:type="dxa"/>
            <w:vAlign w:val="bottom"/>
            <w:gridSpan w:val="9"/>
          </w:tcPr>
          <w:p>
            <w:pPr>
              <w:jc w:val="right"/>
              <w:ind w:right="10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81,363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106,961</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13,826</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21,344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20" w:type="dxa"/>
            <w:vAlign w:val="bottom"/>
          </w:tcPr>
          <w:p>
            <w:pPr>
              <w:ind w:left="14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124,431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143,524</w:t>
            </w:r>
          </w:p>
        </w:tc>
        <w:tc>
          <w:tcPr>
            <w:tcW w:w="0" w:type="dxa"/>
            <w:vAlign w:val="bottom"/>
          </w:tcPr>
          <w:p>
            <w:pPr>
              <w:spacing w:after="0"/>
              <w:rPr>
                <w:sz w:val="1"/>
                <w:szCs w:val="1"/>
                <w:color w:val="auto"/>
              </w:rPr>
            </w:pPr>
          </w:p>
        </w:tc>
      </w:tr>
      <w:tr>
        <w:trPr>
          <w:trHeight w:val="115"/>
        </w:trPr>
        <w:tc>
          <w:tcPr>
            <w:tcW w:w="9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18,679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18,233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Intangible asset, net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9,417</w:t>
            </w:r>
          </w:p>
        </w:tc>
        <w:tc>
          <w:tcPr>
            <w:tcW w:w="0" w:type="dxa"/>
            <w:vAlign w:val="bottom"/>
          </w:tcPr>
          <w:p>
            <w:pPr>
              <w:spacing w:after="0"/>
              <w:rPr>
                <w:sz w:val="1"/>
                <w:szCs w:val="1"/>
                <w:color w:val="auto"/>
              </w:rPr>
            </w:pPr>
          </w:p>
        </w:tc>
      </w:tr>
      <w:tr>
        <w:trPr>
          <w:trHeight w:val="115"/>
        </w:trPr>
        <w:tc>
          <w:tcPr>
            <w:tcW w:w="9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171,591</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15,137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14,742</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Deferred revenue, current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24,226</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20" w:type="dxa"/>
            <w:vAlign w:val="bottom"/>
          </w:tcPr>
          <w:p>
            <w:pPr>
              <w:ind w:left="14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53,587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50,723</w:t>
            </w:r>
          </w:p>
        </w:tc>
        <w:tc>
          <w:tcPr>
            <w:tcW w:w="0" w:type="dxa"/>
            <w:vAlign w:val="bottom"/>
          </w:tcPr>
          <w:p>
            <w:pPr>
              <w:spacing w:after="0"/>
              <w:rPr>
                <w:sz w:val="1"/>
                <w:szCs w:val="1"/>
                <w:color w:val="auto"/>
              </w:rPr>
            </w:pPr>
          </w:p>
        </w:tc>
      </w:tr>
      <w:tr>
        <w:trPr>
          <w:trHeight w:val="115"/>
        </w:trPr>
        <w:tc>
          <w:tcPr>
            <w:tcW w:w="9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Exchangeable senior notes, net of discount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138,703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136,734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91,512</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Long-term debt derivative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 long-term</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13,308</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15"/>
        </w:trPr>
        <w:tc>
          <w:tcPr>
            <w:tcW w:w="9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300,782</w:t>
            </w:r>
          </w:p>
        </w:tc>
        <w:tc>
          <w:tcPr>
            <w:tcW w:w="0" w:type="dxa"/>
            <w:vAlign w:val="bottom"/>
          </w:tcPr>
          <w:p>
            <w:pPr>
              <w:spacing w:after="0"/>
              <w:rPr>
                <w:sz w:val="1"/>
                <w:szCs w:val="1"/>
                <w:color w:val="auto"/>
              </w:rPr>
            </w:pPr>
          </w:p>
        </w:tc>
      </w:tr>
      <w:tr>
        <w:trPr>
          <w:trHeight w:val="331"/>
        </w:trPr>
        <w:tc>
          <w:tcPr>
            <w:tcW w:w="9020" w:type="dxa"/>
            <w:vAlign w:val="bottom"/>
          </w:tcPr>
          <w:p>
            <w:pPr>
              <w:ind w:left="360"/>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20" w:type="dxa"/>
            <w:vAlign w:val="bottom"/>
          </w:tcPr>
          <w:p>
            <w:pPr>
              <w:ind w:left="720"/>
              <w:spacing w:after="0" w:line="201" w:lineRule="exact"/>
              <w:rPr>
                <w:sz w:val="20"/>
                <w:szCs w:val="20"/>
                <w:color w:val="auto"/>
              </w:rPr>
            </w:pPr>
            <w:r>
              <w:rPr>
                <w:rFonts w:ascii="Arial" w:cs="Arial" w:eastAsia="Arial" w:hAnsi="Arial"/>
                <w:sz w:val="18"/>
                <w:szCs w:val="18"/>
                <w:color w:val="auto"/>
              </w:rPr>
              <w:t>Series A Convertible Preferred Stock, £0.05 par, unlimited authorized; 328,184,640 shares issued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900"/>
              <w:spacing w:after="0"/>
              <w:rPr>
                <w:sz w:val="20"/>
                <w:szCs w:val="20"/>
                <w:color w:val="auto"/>
              </w:rPr>
            </w:pPr>
            <w:r>
              <w:rPr>
                <w:rFonts w:ascii="Arial" w:cs="Arial" w:eastAsia="Arial" w:hAnsi="Arial"/>
                <w:sz w:val="18"/>
                <w:szCs w:val="18"/>
                <w:color w:val="auto"/>
                <w:w w:val="95"/>
              </w:rPr>
              <w:t>outstanding as of March 31, 2016 and December 31, 2015 (equivalent to 32,818,464 ordinary shares upon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900"/>
              <w:spacing w:after="0"/>
              <w:rPr>
                <w:sz w:val="20"/>
                <w:szCs w:val="20"/>
                <w:color w:val="auto"/>
              </w:rPr>
            </w:pPr>
            <w:r>
              <w:rPr>
                <w:rFonts w:ascii="Arial" w:cs="Arial" w:eastAsia="Arial" w:hAnsi="Arial"/>
                <w:sz w:val="18"/>
                <w:szCs w:val="18"/>
                <w:color w:val="auto"/>
              </w:rPr>
              <w:t>future consolidation and redesignation at a 10:1 ratio)</w:t>
            </w: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24,364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24,364</w:t>
            </w: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Common stock, £0.50 par, unlimited authorized; 185,121,923 issued, 184,441,180 outstanding as of</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March 31, 2016; 183,577,765 issued, 183,403,263 outstanding as of December 31, 2015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151,078</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149,978</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818,591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816,171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Treasury stock; 680,743 shares as of March 31, 2016; 174,502 shares as of December 31, 2015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9020" w:type="dxa"/>
            <w:vAlign w:val="bottom"/>
          </w:tcPr>
          <w:p>
            <w:pPr>
              <w:ind w:left="7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(1,149,064)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(1,119,293)</w:t>
            </w:r>
          </w:p>
        </w:tc>
        <w:tc>
          <w:tcPr>
            <w:tcW w:w="0" w:type="dxa"/>
            <w:vAlign w:val="bottom"/>
          </w:tcPr>
          <w:p>
            <w:pPr>
              <w:spacing w:after="0"/>
              <w:rPr>
                <w:sz w:val="1"/>
                <w:szCs w:val="1"/>
                <w:color w:val="auto"/>
              </w:rPr>
            </w:pPr>
          </w:p>
        </w:tc>
      </w:tr>
      <w:tr>
        <w:trPr>
          <w:trHeight w:val="115"/>
        </w:trPr>
        <w:tc>
          <w:tcPr>
            <w:tcW w:w="9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(156,136)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(129,191)</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1080"/>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152,712</w:t>
            </w:r>
          </w:p>
        </w:tc>
        <w:tc>
          <w:tcPr>
            <w:tcW w:w="3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171,591</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 net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Licensing revenue</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15,933</w:t>
            </w:r>
          </w:p>
        </w:tc>
        <w:tc>
          <w:tcPr>
            <w:tcW w:w="0" w:type="dxa"/>
            <w:vAlign w:val="bottom"/>
          </w:tcPr>
          <w:p>
            <w:pPr>
              <w:spacing w:after="0"/>
              <w:rPr>
                <w:sz w:val="1"/>
                <w:szCs w:val="1"/>
                <w:color w:val="auto"/>
              </w:rPr>
            </w:pPr>
          </w:p>
        </w:tc>
      </w:tr>
      <w:tr>
        <w:trPr>
          <w:trHeight w:val="324"/>
        </w:trPr>
        <w:tc>
          <w:tcPr>
            <w:tcW w:w="9240" w:type="dxa"/>
            <w:vAlign w:val="bottom"/>
            <w:gridSpan w:val="2"/>
          </w:tcPr>
          <w:p>
            <w:pPr>
              <w:spacing w:after="0"/>
              <w:rPr>
                <w:sz w:val="20"/>
                <w:szCs w:val="20"/>
                <w:color w:val="auto"/>
              </w:rPr>
            </w:pPr>
            <w:r>
              <w:rPr>
                <w:rFonts w:ascii="Arial" w:cs="Arial" w:eastAsia="Arial" w:hAnsi="Arial"/>
                <w:sz w:val="18"/>
                <w:szCs w:val="18"/>
                <w:color w:val="auto"/>
              </w:rPr>
              <w:t>Less: Cost of goods sold</w:t>
            </w:r>
          </w:p>
        </w:tc>
        <w:tc>
          <w:tcPr>
            <w:tcW w:w="18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6,896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13,730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12,614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37,355</w:t>
            </w: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(23,103)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(27,049)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(Loss) gain on change in fair value of derivative liabilities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Loss from operations before taxes</w:t>
            </w:r>
          </w:p>
        </w:tc>
        <w:tc>
          <w:tcPr>
            <w:tcW w:w="1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(30,060)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(29,771)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purchase option</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Net loss applicable to common shareholders</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324"/>
        </w:trPr>
        <w:tc>
          <w:tcPr>
            <w:tcW w:w="924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184,052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184,052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175,582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Preferred</w:t>
            </w:r>
          </w:p>
        </w:tc>
        <w:tc>
          <w:tcPr>
            <w:tcW w:w="16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Preferred</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Additional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Treasury</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328,184,640</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183,577,765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0"/>
              </w:rPr>
              <w:t>(174,502)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$24,364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$149,978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816,171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$(1,119,293)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$(129,191)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21,369</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1,522,789</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(506,241)</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Tax provision on stock-based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Loss for the period</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(29,771)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(29,771)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2016</w:t>
            </w:r>
          </w:p>
        </w:tc>
        <w:tc>
          <w:tcPr>
            <w:tcW w:w="9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328,184,640</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185,121,923</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5"/>
              </w:rPr>
              <w:t>(680,743)</w:t>
            </w:r>
          </w:p>
        </w:tc>
        <w:tc>
          <w:tcPr>
            <w:tcW w:w="8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24,364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151,078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818,591</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(1,105)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(1,149,064)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(156,136)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(29,771)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fixed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compensation—warrants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Excess tax provision on stock-based awards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 and 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Amortization of intangible asset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change in fair value of derivative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Accrued interest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4,531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Purchase of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 net of transaction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Excess tax provision on stock-based awards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Payments under capital leases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54,299</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106,961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119,539</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Arial" w:cs="Arial" w:eastAsia="Arial" w:hAnsi="Arial"/>
                <w:sz w:val="18"/>
                <w:szCs w:val="18"/>
                <w:color w:val="auto"/>
              </w:rPr>
              <w:t>Cash paid during the year for: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w:t>
            </w:r>
          </w:p>
        </w:tc>
        <w:tc>
          <w:tcPr>
            <w:tcW w:w="18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vMerge w:val="restart"/>
          </w:tcPr>
          <w:p>
            <w:pPr>
              <w:ind w:left="70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transactions: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700"/>
              <w:spacing w:after="0"/>
              <w:rPr>
                <w:sz w:val="20"/>
                <w:szCs w:val="20"/>
                <w:color w:val="auto"/>
              </w:rPr>
            </w:pPr>
            <w:r>
              <w:rPr>
                <w:rFonts w:ascii="Arial" w:cs="Arial" w:eastAsia="Arial" w:hAnsi="Arial"/>
                <w:sz w:val="18"/>
                <w:szCs w:val="18"/>
                <w:color w:val="auto"/>
              </w:rPr>
              <w:t>Transfer of preferred stock purchase option derivative liability to equity</w:t>
            </w:r>
          </w:p>
        </w:tc>
        <w:tc>
          <w:tcPr>
            <w:tcW w:w="180" w:type="dxa"/>
            <w:vAlign w:val="bottom"/>
            <w:gridSpan w:val="2"/>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37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hypertriglyceridemia. Vascepa is available in the United States by prescription only. In January 2013, the Company began selling and marketing Vascepa in the United States.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which the Company also refers to as persistently high triglycerides. This expanded promotion of Vascepa commenced pursuant to a federal court order and is continuing pursuant to an agreement between the Company and the FDA. The Company sells Vascepa principally to a limited number of major wholesalers, as well as selected regional wholesalers and specialty pharmacy providers, or collectively, its Distributors, that in turn resell Vascepa to retail pharmacies for subsequent resale to patients and healthcare providers. The Company markets Vascepa through its sales force of approximately 150 sales professionals, including sales representatives and their managers. In May 2014, Kowa Pharmaceuticals America, Inc. commenced co-promotion of Vascepa in accordance with a co-promotion agreement with the Company. Kowa Pharmaceuticals America, Inc. co-promotes Vascepa through its approximately 250 sales representatives who now devote a substantial portion of their time to promoting Vascepa in conjunction with the promotion of Kowa Pharmaceutical America, Inc.’s primary product, a branded statin for patients with high cholesterol. The Company operates in one business segment.</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which commenced in 2011 and reached its approximately 8,000 patient enrollment target in March 2016, is designed to evaluate the efficacy of Vascepa in reducing major cardiovascular events in a high-risk patient population on statin therapy.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2015, or the 2015 Form 10-K, filed with the SEC. The balance sheet amounts at December 31, 2015 in this report were derived from the Company’s audited 2015 consolidated financial statements included in the 2015 Form 10-K.</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condensed consolidated financial statements reflect all adjustments of a normal and recurring nature that, in the opinion of management, are necessary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present fairly the Company’s financial position, results of operations and cash flows for the periods indicated. The preparation of the Company’s condensed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in conformity with U.S. Generally Accepted Accounting Principles (“GAAP”) requires management to make estimates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assumptions that affect the reported amounts of assets and liabilities, disclosure of contingent assets and liabilities at the date of the financial statements,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reported amounts of revenues and expenses during the reporting period. The results of operations for the three months ended March 31, 2016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2015, respectively, are not necessarily indicative of the results for the entire fiscal year or any future period. Certain prior year balances have been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reclassified to conform to current year presentation.</w:t>
      </w:r>
    </w:p>
    <w:p>
      <w:pPr>
        <w:spacing w:after="0" w:line="2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March 31, 2016, the Company had cash and cash equivalents of $81.4 million. The Company’s condensed consolidated balance sheets also include derivative liabilities as well as long-term debt and exchangeable senior notes. The outstanding January 2012 exchangeable senior notes, or the 2012 Notes, may be redeemed on or after January 19, 2017. The outstanding May 2014 exchangeable senior notes, or the 2014 Notes, and the outstanding November 2015 exchangeable senior notes, or the 2015 Notes, may be redeemed on or after January 19, 2019 at the option of the holders and are not puttable by the holders prior to this date except upon the occurrence of certain contingent events. The 2012 Notes are exchangeable under certain circumstances into cash, American Depository Shares, or ADSs, or a combination of cash and ADSs, at the Company’s election. The 2014 Notes and 2015 Notes are exchangeable under certain circumstances into ADSs. Accordingly, the long-term debt and exchangeable senior notes do not represent a short-term claim on the liquid assets of the Company.</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 Depending on the level of cash generated from operations, additional capital may be required to sustain operations.</w:t>
      </w:r>
    </w:p>
    <w:p>
      <w:pPr>
        <w:spacing w:after="0" w:line="315" w:lineRule="exact"/>
        <w:rPr>
          <w:sz w:val="20"/>
          <w:szCs w:val="20"/>
          <w:color w:val="auto"/>
        </w:rPr>
      </w:pPr>
    </w:p>
    <w:p>
      <w:pPr>
        <w:ind w:left="460" w:right="8560" w:hanging="452"/>
        <w:spacing w:after="0" w:line="453" w:lineRule="auto"/>
        <w:tabs>
          <w:tab w:leader="none" w:pos="449"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use of forecasted financial information is inherent in many of the Company’s accounting estimates including, but not limited to, determining the estimated fair values of derivatives, debt instruments and intangible assets, and evaluating the need for valuation allowances for deferred tax assets.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firstLine="420"/>
        <w:spacing w:after="0" w:line="297"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pays</w:t>
      </w:r>
      <w:r>
        <w:rPr>
          <w:rFonts w:ascii="Arial" w:cs="Arial" w:eastAsia="Arial" w:hAnsi="Arial"/>
          <w:sz w:val="16"/>
          <w:szCs w:val="16"/>
          <w:i w:val="1"/>
          <w:iCs w:val="1"/>
          <w:color w:val="auto"/>
        </w:rPr>
        <w:t xml:space="preserve"> </w:t>
      </w:r>
      <w:r>
        <w:rPr>
          <w:rFonts w:ascii="Arial" w:cs="Arial" w:eastAsia="Arial" w:hAnsi="Arial"/>
          <w:sz w:val="16"/>
          <w:szCs w:val="16"/>
          <w:color w:val="auto"/>
        </w:rPr>
        <w:t>fees for 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50" w:lineRule="exact"/>
        <w:rPr>
          <w:sz w:val="20"/>
          <w:szCs w:val="20"/>
          <w:color w:val="auto"/>
        </w:rPr>
      </w:pPr>
    </w:p>
    <w:p>
      <w:pPr>
        <w:ind w:left="920" w:right="40" w:firstLine="420"/>
        <w:spacing w:after="0" w:line="272"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other government agencies and various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70" w:lineRule="exact"/>
        <w:rPr>
          <w:sz w:val="20"/>
          <w:szCs w:val="20"/>
          <w:color w:val="auto"/>
        </w:rPr>
      </w:pPr>
    </w:p>
    <w:p>
      <w:pPr>
        <w:ind w:left="920" w:right="20" w:firstLine="420"/>
        <w:spacing w:after="0" w:line="269"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six 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March 31, 2016, the Company had experienced a de minimis quantity of product returns.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75" w:lineRule="exact"/>
        <w:rPr>
          <w:sz w:val="20"/>
          <w:szCs w:val="20"/>
          <w:color w:val="auto"/>
        </w:rPr>
      </w:pPr>
    </w:p>
    <w:p>
      <w:pPr>
        <w:ind w:left="920" w:firstLine="420"/>
        <w:spacing w:after="0" w:line="290"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2015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Trade</w:t>
            </w:r>
          </w:p>
        </w:tc>
        <w:tc>
          <w:tcPr>
            <w:tcW w:w="100" w:type="dxa"/>
            <w:vAlign w:val="bottom"/>
          </w:tcPr>
          <w:p>
            <w:pPr>
              <w:spacing w:after="0"/>
              <w:rPr>
                <w:sz w:val="14"/>
                <w:szCs w:val="14"/>
                <w:color w:val="auto"/>
              </w:rPr>
            </w:pPr>
          </w:p>
        </w:tc>
        <w:tc>
          <w:tcPr>
            <w:tcW w:w="1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9"/>
              </w:rPr>
              <w:t>Rebates,</w:t>
            </w:r>
          </w:p>
        </w:tc>
        <w:tc>
          <w:tcPr>
            <w:tcW w:w="8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40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80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220" w:type="dxa"/>
            <w:vAlign w:val="bottom"/>
            <w:gridSpan w:val="6"/>
          </w:tcPr>
          <w:p>
            <w:pPr>
              <w:spacing w:after="0"/>
              <w:rPr>
                <w:sz w:val="20"/>
                <w:szCs w:val="20"/>
                <w:color w:val="auto"/>
              </w:rPr>
            </w:pPr>
            <w:r>
              <w:rPr>
                <w:rFonts w:ascii="Arial" w:cs="Arial" w:eastAsia="Arial" w:hAnsi="Arial"/>
                <w:sz w:val="14"/>
                <w:szCs w:val="14"/>
                <w:b w:val="1"/>
                <w:bCs w:val="1"/>
                <w:color w:val="auto"/>
              </w:rPr>
              <w:t>Allowances</w:t>
            </w:r>
          </w:p>
        </w:tc>
        <w:tc>
          <w:tcPr>
            <w:tcW w:w="1400" w:type="dxa"/>
            <w:vAlign w:val="bottom"/>
            <w:gridSpan w:val="5"/>
          </w:tcPr>
          <w:p>
            <w:pPr>
              <w:spacing w:after="0"/>
              <w:rPr>
                <w:sz w:val="20"/>
                <w:szCs w:val="20"/>
                <w:color w:val="auto"/>
              </w:rPr>
            </w:pPr>
            <w:r>
              <w:rPr>
                <w:rFonts w:ascii="Arial" w:cs="Arial" w:eastAsia="Arial" w:hAnsi="Arial"/>
                <w:sz w:val="14"/>
                <w:szCs w:val="14"/>
                <w:b w:val="1"/>
                <w:bCs w:val="1"/>
                <w:color w:val="auto"/>
              </w:rPr>
              <w:t>and Discounts</w:t>
            </w: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Returns</w:t>
            </w:r>
          </w:p>
        </w:tc>
        <w:tc>
          <w:tcPr>
            <w:tcW w:w="20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Incentives</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535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1,084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$ 15,796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4,218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11,455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2,529</w:t>
            </w:r>
          </w:p>
        </w:tc>
        <w:tc>
          <w:tcPr>
            <w:tcW w:w="4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18,309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(1,463)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(2,734)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(82)</w:t>
            </w:r>
          </w:p>
        </w:tc>
        <w:tc>
          <w:tcPr>
            <w:tcW w:w="2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(1,284)</w:t>
            </w:r>
          </w:p>
        </w:tc>
        <w:tc>
          <w:tcPr>
            <w:tcW w:w="4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(10,518)</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Balance at March 31, 2016</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560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$ 19,865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Trade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2"/>
              </w:rPr>
              <w:t>Rebates,</w:t>
            </w:r>
          </w:p>
        </w:tc>
        <w:tc>
          <w:tcPr>
            <w:tcW w:w="100" w:type="dxa"/>
            <w:vAlign w:val="bottom"/>
          </w:tcPr>
          <w:p>
            <w:pPr>
              <w:spacing w:after="0"/>
              <w:rPr>
                <w:sz w:val="24"/>
                <w:szCs w:val="24"/>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w w:val="95"/>
              </w:rPr>
              <w:t>Chargebacks</w:t>
            </w:r>
          </w:p>
        </w:tc>
        <w:tc>
          <w:tcPr>
            <w:tcW w:w="10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88"/>
              </w:rPr>
              <w:t>Allowances</w:t>
            </w:r>
          </w:p>
        </w:tc>
        <w:tc>
          <w:tcPr>
            <w:tcW w:w="100" w:type="dxa"/>
            <w:vAlign w:val="bottom"/>
          </w:tcPr>
          <w:p>
            <w:pPr>
              <w:spacing w:after="0"/>
              <w:rPr>
                <w:sz w:val="14"/>
                <w:szCs w:val="1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and Discounts</w:t>
            </w:r>
          </w:p>
        </w:tc>
        <w:tc>
          <w:tcPr>
            <w:tcW w:w="10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Returns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Incentives</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2,207</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3,610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86"/>
              </w:rPr>
              <w:t>481</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$ 7,090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2,756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12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1,717</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9,745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(1,085)</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(607)</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Balance at March 31, 2015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2,946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4,174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86"/>
              </w:rPr>
              <w:t>608</w:t>
            </w:r>
          </w:p>
        </w:tc>
        <w:tc>
          <w:tcPr>
            <w:tcW w:w="2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817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$ 8,545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Multiple-Element Arrangements and Licensing Revenue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When evaluating multiple-element arrangements, the Company identifies the deliverables included within the agreement and evaluates which deliverables represent separate units of accounting based on whether the delivered element has stand-alone value to the customer or if the arrangement includes a general right of return for delivered items.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third-party evidence if VSOE is not available, or estimated selling price if neither VSOE nor third-party evidence is available. Revenue is then recognized as each of the separable elements to which the revenue has been allocated is delivered.</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may receive up-front, non-refundable payments when licensing its intellectual property in conjunction with research, development and commercialization agreements. In determining the units of 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Milestones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 evaluates whether each milestone is substantive. This evaluation includes an assessment of whether: (a) the consideration is commensurate with either (1) the entity’s performance to achieve the milestone, or</w:t>
      </w: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enhancement of the value of the delivered item(s) as a result of a specific outcome resulting from the entity’s performance to achieve the milestone,</w:t>
      </w:r>
    </w:p>
    <w:p>
      <w:pPr>
        <w:spacing w:after="0" w:line="32"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1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Note 10—Development, Commercialization and Supply Agreement for further information regarding licensing revenue and milestones related to the Company’s multiple-element arrangement with Eddingpharm (Asia) Macao Commercial Offshore Limited.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does not currently maintain an allowance for doubtful accounts and has not historically experienced any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March 31,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2016</w:t>
            </w: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December 31, 2015</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trade accounts receivable</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19,292</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Trade allowances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(4,043)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(4,296)</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Chargebacks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13,826</w:t>
            </w:r>
          </w:p>
        </w:tc>
        <w:tc>
          <w:tcPr>
            <w:tcW w:w="12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reduce the carrying value of such inventory to market value.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8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3 - 5 years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0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7—Commitments and Contingencies for further information regarding other obligations related to the acquisition of Laxdale Limited.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Beneficial Conversion Features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issued Series A preference shares in a private placement transaction executed in two tranches that each contain a conversion feature whereby such shares are convertible into ordinary shares at a fixed rate. The conversion price on the date of issuance was less than the market price of the Company’s ordinary shares. It was determined that these discounts represent contingent beneficial conversion features, which were valued based on the difference between the conversion price and the market price of the ordinary shares on the date of issuance, which is the commitment date. These features are analogous to preference dividends and were each recorded as a non-cash return to preferred shareholders through accumulated deficit upon the earliest possible date of conversion, which occurred in the three months ended June 30, 2015 upon effectiveness of the related resale Registration Statement on Form S-3 and in the three months ended September 30, 2015 upon shareholder approval received at the Company’s Annual General Meeting of Shareholders. See Note 8—Equity for further discussion.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charges selling, general and administrative costs to operations as incurred. Selling, general and administrative costs include costs of salaries, programs and infrastructure necessary for the general conduct of the Company’s business, including those incurred as a result of the commercialization of Vascepa in the United States as well as co-promotion fees payable to Kowa Pharmaceuticals America, Inc.</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17"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Warrants are valued using a Black-Scholes option pricing model. The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The cash proceeds received from exercises of warrants are recorded in common stock and additional paid-in capital.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pacing w:after="0" w:line="189"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months ended March 31, 2016 and 2015 are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8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474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0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$(29,771)</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Preferred stock purchase option (see Note 8)</w:t>
            </w:r>
          </w:p>
        </w:tc>
        <w:tc>
          <w:tcPr>
            <w:tcW w:w="4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shareholders—basic</w:t>
            </w:r>
          </w:p>
        </w:tc>
        <w:tc>
          <w:tcPr>
            <w:tcW w:w="40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(29,771)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Gain on warrant derivative liability</w:t>
            </w:r>
          </w:p>
        </w:tc>
        <w:tc>
          <w:tcPr>
            <w:tcW w:w="4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loss—diluted</w:t>
            </w:r>
          </w:p>
        </w:tc>
        <w:tc>
          <w:tcPr>
            <w:tcW w:w="40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(29,771)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loss per share—basic</w:t>
            </w:r>
          </w:p>
        </w:tc>
        <w:tc>
          <w:tcPr>
            <w:tcW w:w="5280" w:type="dxa"/>
            <w:vAlign w:val="bottom"/>
            <w:gridSpan w:val="3"/>
          </w:tcPr>
          <w:p>
            <w:pPr>
              <w:jc w:val="right"/>
              <w:ind w:right="480"/>
              <w:spacing w:after="0"/>
              <w:rPr>
                <w:sz w:val="20"/>
                <w:szCs w:val="20"/>
                <w:color w:val="auto"/>
              </w:rPr>
            </w:pPr>
            <w:r>
              <w:rPr>
                <w:rFonts w:ascii="Arial" w:cs="Arial" w:eastAsia="Arial" w:hAnsi="Arial"/>
                <w:sz w:val="18"/>
                <w:szCs w:val="18"/>
                <w:color w:val="auto"/>
              </w:rPr>
              <w:t>(0.16)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80" w:type="dxa"/>
            <w:vAlign w:val="bottom"/>
          </w:tcPr>
          <w:p>
            <w:pPr>
              <w:jc w:val="right"/>
              <w:ind w:right="3116"/>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842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184,052</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Weighted average shares outstanding—diluted</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184,052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175,582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share—diluted</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   (0.16)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(0.18)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three months ended March 31, 2016 and 2015, the following potentially dilutive securities were not included in the computation of net loss per share because the effect would be anti-dilutive: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1"/>
        </w:trPr>
        <w:tc>
          <w:tcPr>
            <w:tcW w:w="864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20,807</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10,673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(if converted)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59,407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49,215</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Preferred stock (if converted)</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32,818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35,215</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Debt instruments are initially recorded at fair value, with coupon interest and amortization of debt issuance discounts recognized in the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the 2012 Notes, 2014 Notes, and 2015 Notes qualify for the exception from derivative accounting in accordance with ASC 815-40. The 2012 Notes may be settled, at the Company’s discretion, in any combination of ADSs or cash upon conversion and have been accounted for in accordance with ASC 470-20. Under ASC 470-20, the fair value of the liability component of the 2012 Notes was determined and deducted from the initial proceeds to determine the proceeds allocated to the conversion option, which has been recorded in equity. The difference between the initial fair value of the liability component and the amount repayable was amortized over the expected term of the instrument. The conversion features in the 2014 Notes and 2015 Notes may only be settled in ADSs upon conversion and have been accounted for as part of the debt host.</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conversion options in the 2012 Notes, 2014 Notes, and 2015 Notes continue to be evaluated on a quarterly basis to determine if they still receive an exception from derivative accounting in accordance with ASC 815-40. The 2014 Notes were recognized initially at fair value as part of an extinguishment of a portion of the 2012 Notes. As a result, the 2014 Notes were initially recognized at a discount of $27.9 million. The 2015 Notes were recognized initially at fair value as part of the issuance of new debt in November 2015. As a result, the 2015 Notes were initially recognized at a discount of $3.8 million. These discounts are being amortized through interest expense over the expected terms of the 2014 Notes and 2015 Notes, which is through January 2019 for each. See Note 6—Debt for further discussion.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and 94% of gross product sales for the three months ending March 31, 2016 and 2015, respectively, and represented 95% and 94% of the gross accounts receivable balance as of March 31, 2016 and 2015, respectively. The Company has not experienced any write-offs of its accounts receivable.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 in particular three suppliers of API for Vascepa.</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API to meet market demand will continue to be successful or that it will be able to renew current API supply agreements on favorable terms or at all. Significant alteration to or termination of the Company’s current API supply chain or its failure to enter into new and similar agreements, if needed, could have a material adverse effect on its business, condition (financial and other), prospects or results of operations.</w:t>
      </w:r>
    </w:p>
    <w:p>
      <w:pPr>
        <w:spacing w:after="0" w:line="187"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Company currently has manufacturing agreements with three FDA-approved commercial API encapsulators for Vascepa manufacturing. Each of these companies has qualified its manufacturing processes and is capable of manufacturing Vascepa. There can be no guarantee that these or other suppliers with which the Company may contract in the future to encapsulate API will continue to be qualified to manufacture the product to its specifications or that these and any future suppliers will have the manufacturing capacity to meet anticipated demand for Vascepa.</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net in the consolidated statements of operations. For transactions settled during the applicable period, gains and losses are included in other expense, net in the consolidated statements of operations. Certain amounts payable pursuant to supply contracts are denominated in currencies other than the U.S. dollar.</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Prior to January 2016, debt issuance costs were initially recorded as a deferred cost and amortized to interest expense using the effective interest method over the expected term of the related debt. Effective January 2016, the Company adopted ASU No. 2015-03, </w:t>
      </w:r>
      <w:r>
        <w:rPr>
          <w:rFonts w:ascii="Arial" w:cs="Arial" w:eastAsia="Arial" w:hAnsi="Arial"/>
          <w:sz w:val="16"/>
          <w:szCs w:val="16"/>
          <w:i w:val="1"/>
          <w:iCs w:val="1"/>
          <w:color w:val="auto"/>
        </w:rPr>
        <w:t>Interest—Imputation of Interest (Subtopic 835-30):</w:t>
      </w:r>
      <w:r>
        <w:rPr>
          <w:rFonts w:ascii="Arial" w:cs="Arial" w:eastAsia="Arial" w:hAnsi="Arial"/>
          <w:sz w:val="16"/>
          <w:szCs w:val="16"/>
          <w:color w:val="auto"/>
        </w:rPr>
        <w:t xml:space="preserve">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and as such began recording debt issuance costs related to a recognized debt liability in the balance sheet</w:t>
      </w:r>
      <w:r>
        <w:rPr>
          <w:rFonts w:ascii="Arial" w:cs="Arial" w:eastAsia="Arial" w:hAnsi="Arial"/>
          <w:sz w:val="16"/>
          <w:szCs w:val="16"/>
          <w:i w:val="1"/>
          <w:iCs w:val="1"/>
          <w:color w:val="auto"/>
        </w:rPr>
        <w:t xml:space="preserve"> </w:t>
      </w:r>
      <w:r>
        <w:rPr>
          <w:rFonts w:ascii="Arial" w:cs="Arial" w:eastAsia="Arial" w:hAnsi="Arial"/>
          <w:sz w:val="16"/>
          <w:szCs w:val="16"/>
          <w:color w:val="auto"/>
        </w:rPr>
        <w:t>as a direct deduction from the carrying amount of that debt liability and amortized to interest expense using the effective interest method over the expected term of the related debt. As the standard is required to be adopted on a retrospective basis, the Company reclassified $1.9 million of underwriters’ fees and offering costs related to the 2014 and 2015 exchangeable notes from other long-term assets to exchangeable senior notes, net of discount, within the condensed consolidated balance sheet as of December 31, 2015. Unamortized debt issuance costs related to the extinguishment of debt are expensed at the time the debt is extinguished and recorded in other expense, net in the consolidated statements of operations.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March 31, 2016 and December 31, 2015 that are measured at fair value on a recurring basis and indicate the fair value hierarchy of the valuation techniques the Company utilized to determine such fair value: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2016</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5"/>
              </w:rPr>
              <w:t>Total</w:t>
            </w:r>
          </w:p>
        </w:tc>
        <w:tc>
          <w:tcPr>
            <w:tcW w:w="10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30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4120" w:type="dxa"/>
            <w:vAlign w:val="bottom"/>
            <w:gridSpan w:val="3"/>
          </w:tcPr>
          <w:p>
            <w:pPr>
              <w:jc w:val="center"/>
              <w:ind w:left="243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14,195</w:t>
            </w:r>
          </w:p>
        </w:tc>
        <w:tc>
          <w:tcPr>
            <w:tcW w:w="10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14,195</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Long-term debt derivative liabilities</w:t>
            </w:r>
          </w:p>
        </w:tc>
        <w:tc>
          <w:tcPr>
            <w:tcW w:w="30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$ 9,420</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60" w:type="dxa"/>
            <w:vAlign w:val="bottom"/>
            <w:gridSpan w:val="3"/>
          </w:tcPr>
          <w:p>
            <w:pPr>
              <w:ind w:lef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ind w:right="268"/>
              <w:spacing w:after="0"/>
              <w:rPr>
                <w:sz w:val="20"/>
                <w:szCs w:val="20"/>
                <w:color w:val="auto"/>
              </w:rPr>
            </w:pPr>
            <w:r>
              <w:rPr>
                <w:rFonts w:ascii="Arial" w:cs="Arial" w:eastAsia="Arial" w:hAnsi="Arial"/>
                <w:sz w:val="14"/>
                <w:szCs w:val="14"/>
                <w:b w:val="1"/>
                <w:bCs w:val="1"/>
                <w:color w:val="auto"/>
                <w:w w:val="91"/>
              </w:rPr>
              <w:t>December 31, 2015</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5"/>
              </w:rPr>
              <w:t>Total</w:t>
            </w:r>
          </w:p>
        </w:tc>
        <w:tc>
          <w:tcPr>
            <w:tcW w:w="10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26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30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4120" w:type="dxa"/>
            <w:vAlign w:val="bottom"/>
            <w:gridSpan w:val="3"/>
          </w:tcPr>
          <w:p>
            <w:pPr>
              <w:jc w:val="center"/>
              <w:ind w:left="243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14,184</w:t>
            </w:r>
          </w:p>
        </w:tc>
        <w:tc>
          <w:tcPr>
            <w:tcW w:w="10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14,184</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Long-term debt derivative liabilities</w:t>
            </w:r>
          </w:p>
        </w:tc>
        <w:tc>
          <w:tcPr>
            <w:tcW w:w="3620" w:type="dxa"/>
            <w:vAlign w:val="bottom"/>
            <w:gridSpan w:val="2"/>
          </w:tcPr>
          <w:p>
            <w:pPr>
              <w:jc w:val="center"/>
              <w:ind w:left="2930"/>
              <w:spacing w:after="0"/>
              <w:rPr>
                <w:sz w:val="20"/>
                <w:szCs w:val="20"/>
                <w:color w:val="auto"/>
              </w:rPr>
            </w:pPr>
            <w:r>
              <w:rPr>
                <w:rFonts w:ascii="Arial" w:cs="Arial" w:eastAsia="Arial" w:hAnsi="Arial"/>
                <w:sz w:val="18"/>
                <w:szCs w:val="18"/>
                <w:color w:val="auto"/>
                <w:w w:val="99"/>
              </w:rPr>
              <w:t>$ 8,170</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60" w:type="dxa"/>
            <w:vAlign w:val="bottom"/>
            <w:gridSpan w:val="3"/>
          </w:tcPr>
          <w:p>
            <w:pPr>
              <w:ind w:lef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020" w:type="dxa"/>
            <w:vAlign w:val="bottom"/>
            <w:vMerge w:val="restart"/>
          </w:tcPr>
          <w:p>
            <w:pPr>
              <w:jc w:val="right"/>
              <w:ind w:right="1470"/>
              <w:spacing w:after="0"/>
              <w:rPr>
                <w:sz w:val="20"/>
                <w:szCs w:val="20"/>
                <w:color w:val="auto"/>
              </w:rPr>
            </w:pPr>
            <w:r>
              <w:rPr>
                <w:rFonts w:ascii="Arial" w:cs="Arial" w:eastAsia="Arial" w:hAnsi="Arial"/>
                <w:sz w:val="18"/>
                <w:szCs w:val="18"/>
                <w:color w:val="auto"/>
              </w:rPr>
              <w:t>16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carrying amounts of cash, cash equivalents, accounts payable and accrued liabilities approximate fair value because of their short-term nature. The carrying amounts and the estimated fair values of debt instruments as of March 31, 2016 and December 31, 2015 are as follows: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80" w:type="dxa"/>
            <w:vAlign w:val="bottom"/>
            <w:gridSpan w:val="5"/>
          </w:tcPr>
          <w:p>
            <w:pPr>
              <w:ind w:left="400"/>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4"/>
                <w:szCs w:val="14"/>
                <w:color w:val="auto"/>
              </w:rPr>
            </w:pPr>
          </w:p>
        </w:tc>
        <w:tc>
          <w:tcPr>
            <w:tcW w:w="178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19"/>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w w:val="99"/>
              </w:rPr>
              <w:t>Estimated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Carrying</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Estimated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debt—December 2012 financing</w:t>
            </w:r>
          </w:p>
        </w:tc>
        <w:tc>
          <w:tcPr>
            <w:tcW w:w="1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$92,016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$ 85,700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$91,512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$ 87,700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2012 Notes</w:t>
            </w:r>
          </w:p>
        </w:tc>
        <w:tc>
          <w:tcPr>
            <w:tcW w:w="2500" w:type="dxa"/>
            <w:vAlign w:val="bottom"/>
            <w:gridSpan w:val="3"/>
          </w:tcPr>
          <w:p>
            <w:pPr>
              <w:jc w:val="right"/>
              <w:ind w:right="240"/>
              <w:spacing w:after="0"/>
              <w:rPr>
                <w:sz w:val="20"/>
                <w:szCs w:val="20"/>
                <w:color w:val="auto"/>
              </w:rPr>
            </w:pPr>
            <w:r>
              <w:rPr>
                <w:rFonts w:ascii="Arial" w:cs="Arial" w:eastAsia="Arial" w:hAnsi="Arial"/>
                <w:sz w:val="18"/>
                <w:szCs w:val="18"/>
                <w:color w:val="auto"/>
              </w:rPr>
              <w:t>15,107</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14,050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15,107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13,637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2014 Notes</w:t>
            </w:r>
          </w:p>
        </w:tc>
        <w:tc>
          <w:tcPr>
            <w:tcW w:w="2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96,257</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95,878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94,599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2015 Notes</w:t>
            </w:r>
          </w:p>
        </w:tc>
        <w:tc>
          <w:tcPr>
            <w:tcW w:w="2500" w:type="dxa"/>
            <w:vAlign w:val="bottom"/>
            <w:gridSpan w:val="3"/>
          </w:tcPr>
          <w:p>
            <w:pPr>
              <w:jc w:val="right"/>
              <w:ind w:right="240"/>
              <w:spacing w:after="0"/>
              <w:rPr>
                <w:sz w:val="20"/>
                <w:szCs w:val="20"/>
                <w:color w:val="auto"/>
              </w:rPr>
            </w:pPr>
            <w:r>
              <w:rPr>
                <w:rFonts w:ascii="Arial" w:cs="Arial" w:eastAsia="Arial" w:hAnsi="Arial"/>
                <w:sz w:val="18"/>
                <w:szCs w:val="18"/>
                <w:color w:val="auto"/>
              </w:rPr>
              <w:t>27,339</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25,247</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27,028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28,448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estimated fair value of the long-term debt pursuant to the December 2012 financing is calculated utilizing the same Level 3 inputs utilized in valuing the related derivative liability (see Long-Term Debt Redemption Features below). The estimated fair value of the 2012 Notes and 2014 Notes is calculated based on Level 1 quoted bond prices, while the estimated fair value of the 2015 Notes is calculated based on Level 2 quoted bond prices for the 2014 Notes. The carrying value of the 2012 Notes as of March 31, 2016 and December 31, 2015 does not include a debt discount, as it had been fully amortized as non-cash interest expense over the expected term of the 2012 Notes, which was calculated to be a period of twenty-four months. The carrying value of the 2014 Notes as of March 31, 2016 and December 31, 2015 includes a debt discount of $22.5 million and $24.1 million, respectively, which is being amortized as non-cash interest expense over the expected term of the 2014 Notes, through January 2019. The carrying value of the 2015 Notes as of March 31, 2016 and December 31, 2015 includes a debt discount of $3.9 million and $4.2 million, respectively, which is being amortized as non-cash interest expense over the expected term of the 2015 Notes, through January 2019. The carrying values and related debt discounts of the 2014 Notes and 2015 Notes as of December 31, 2015 reflect the retroactive reclassification of debt issuance costs per adoption of ASU No. 2015-03 as described in Note 6—Debt. The change in the estimated fair values of these liabilities from December 31, 2015 to March 31, 2016 is largely related to changes in the quoted bond prices.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 Derivative Liability</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warrant derivative liability (discussed in Note 5—Warrants and Warrant Derivative Liability) was carried at fair value and was classified as Level 3 in the fair value hierarchy due to the use of significant unobservable inputs. During the three months ended March 31, 2015, of the 8,087,388 warrants outstanding as of December 31, 2014, 1,844,585 warrants were exercised while the remaining 6,242,803 warrants expired, and the related derivative liability was extinguished. As such, no warrants were outstanding as of March 31, 2016 and December 31, 2015.</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Debt Redemption Features</w:t>
      </w:r>
    </w:p>
    <w:p>
      <w:pPr>
        <w:spacing w:after="0" w:line="117"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The Company’s December 2012 financing agreement with BioPharma Secured Debt Fund II Holdings Cayman LP (discussed in Note 6—Debt) contains a redemption feature whereby, upon a change of control, the Company would be required to repay $150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As of March 31, 2016, the fair value of the derivative was determined to be $5.9 million, and the debt was valued by comparing debt issues of similar companies with</w:t>
      </w:r>
    </w:p>
    <w:p>
      <w:pPr>
        <w:spacing w:after="0" w:line="3" w:lineRule="exact"/>
        <w:rPr>
          <w:sz w:val="20"/>
          <w:szCs w:val="20"/>
          <w:color w:val="auto"/>
        </w:rPr>
      </w:pPr>
    </w:p>
    <w:p>
      <w:pPr>
        <w:ind w:right="80" w:firstLine="8"/>
        <w:spacing w:after="0" w:line="295" w:lineRule="auto"/>
        <w:tabs>
          <w:tab w:leader="none" w:pos="21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remaining terms of between 1.8 and 7.1 years, (ii) coupon rates of between 6.6% and 12.5% and (iii) market yields of between 12.3% and 25.1%. As of December 31, 2015, the fair value of the derivative was determined to be $5.5 million, and the debt was valued by comparing debt issues of similar companies with (i) remaining terms of between 2.0 and 7.3 years, (ii) coupon rates of between 6.6% and 12.5% and (iii) market yields of between 13.0% and 30.7%. As such, the Company recognized a $0.4 million loss on change in fair value of derivative liability for the three months ended March 31, 2016.</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Company’s 2014 Notes and 2015 Notes each contain a redemption feature whereby, upon occurrence of a change in control, the Company would be required to repurchase the notes. The Company determined these redemption features to be embedded derivatives, requiring bifurcation in accordance with ASC 815. The derivatives are carried at fair value and are classified as Level 3 in the fair value hierarchy due to the use of significant unobservable</w:t>
      </w:r>
    </w:p>
    <w:p>
      <w:pPr>
        <w:spacing w:after="0" w:line="281" w:lineRule="auto"/>
        <w:rPr>
          <w:sz w:val="20"/>
          <w:szCs w:val="20"/>
          <w:color w:val="auto"/>
        </w:rPr>
      </w:pPr>
      <w:r>
        <w:rPr>
          <w:rFonts w:ascii="Arial" w:cs="Arial" w:eastAsia="Arial" w:hAnsi="Arial"/>
          <w:sz w:val="16"/>
          <w:szCs w:val="16"/>
          <w:color w:val="auto"/>
        </w:rPr>
        <w:t>inputs. The fair value of each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March 31, 2016, the fair values of the derivatives related to the 2014 Notes and 2015 Notes were determined to be $2.8 million and $0.7 million, respectively, and the debts were valued by using (i) the estimated remaining term of the notes, (ii) a bond yield of 27.7%, (iii) a risk-free interest rate of 2.4% and (iv) volatility of 90.0%. As of December 31, 2015, the fair values of the derivatives related to the 2014 Notes and 2015 Notes were determined to be $2.1 million and $0.6 million, respectively, and the debts were valued by using</w:t>
      </w:r>
    </w:p>
    <w:p>
      <w:pPr>
        <w:spacing w:after="0" w:line="4" w:lineRule="exact"/>
        <w:rPr>
          <w:sz w:val="20"/>
          <w:szCs w:val="20"/>
          <w:color w:val="auto"/>
        </w:rPr>
      </w:pPr>
    </w:p>
    <w:p>
      <w:pPr>
        <w:ind w:right="80" w:firstLine="8"/>
        <w:spacing w:after="0" w:line="255"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estimated remaining term of the notes, (ii) a bond yield of 25.6%, (iii) a risk-free interest rate of 2.9% and (iv) volatility of 89.0%. As such, the Company recognized a $0.7 million loss and $0.1 million loss on change in fair value of derivative liability for the 2014 Notes and 2015 Notes, respectively, for the three months ended March 31, 2016.</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 Purchase Option Derivative Liability</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a pre-existing contractual right to participate in certain private placement transactions effected by the Company in connection with the subscription agreement executed on March 5, 2015, the Company determined that such right represented a derivative liability (see Note 8). This preferred stock purchase option derivative liability was carried at fair value and classified as Level 3 in the fair value hierarchy due to the use of significant unobservable inputs. The fair value of this liability was calculated using a Black-Scholes model and was determined to be $0.9 million at inception. On March 30, 2015, this right was exercised and the liability was marked to fair value through such date. The liability was then reclassified to permanent equity on such date.</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for the three months ended March 31, 2016 and 2015 is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80" w:type="dxa"/>
            <w:vAlign w:val="bottom"/>
            <w:gridSpan w:val="6"/>
          </w:tcPr>
          <w:p>
            <w:pPr>
              <w:ind w:left="60"/>
              <w:spacing w:after="0"/>
              <w:rPr>
                <w:sz w:val="20"/>
                <w:szCs w:val="20"/>
                <w:color w:val="auto"/>
              </w:rPr>
            </w:pPr>
            <w:r>
              <w:rPr>
                <w:rFonts w:ascii="Arial" w:cs="Arial" w:eastAsia="Arial" w:hAnsi="Arial"/>
                <w:sz w:val="14"/>
                <w:szCs w:val="14"/>
                <w:b w:val="1"/>
                <w:bCs w:val="1"/>
                <w:color w:val="auto"/>
              </w:rPr>
              <w:t>October</w:t>
            </w:r>
          </w:p>
        </w:tc>
        <w:tc>
          <w:tcPr>
            <w:tcW w:w="24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b w:val="1"/>
                <w:bCs w:val="1"/>
                <w:color w:val="auto"/>
              </w:rPr>
              <w:t>Long-Term Debt</w:t>
            </w:r>
          </w:p>
        </w:tc>
        <w:tc>
          <w:tcPr>
            <w:tcW w:w="138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60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right"/>
              <w:ind w:right="980"/>
              <w:spacing w:after="0" w:line="149" w:lineRule="exact"/>
              <w:rPr>
                <w:sz w:val="20"/>
                <w:szCs w:val="20"/>
                <w:color w:val="auto"/>
              </w:rPr>
            </w:pPr>
            <w:r>
              <w:rPr>
                <w:rFonts w:ascii="Arial" w:cs="Arial" w:eastAsia="Arial" w:hAnsi="Arial"/>
                <w:sz w:val="14"/>
                <w:szCs w:val="14"/>
                <w:b w:val="1"/>
                <w:bCs w:val="1"/>
                <w:color w:val="auto"/>
                <w:w w:val="92"/>
              </w:rPr>
              <w:t>Derivative</w:t>
            </w:r>
          </w:p>
        </w:tc>
        <w:tc>
          <w:tcPr>
            <w:tcW w:w="13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80" w:type="dxa"/>
            <w:vAlign w:val="bottom"/>
            <w:gridSpan w:val="6"/>
          </w:tcPr>
          <w:p>
            <w:pPr>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w w:val="95"/>
              </w:rPr>
              <w:t>Liabilities</w:t>
            </w:r>
          </w:p>
        </w:tc>
        <w:tc>
          <w:tcPr>
            <w:tcW w:w="13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Purchase Option</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8,170</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$8,170</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Loss on change in fair value of derivative liabilities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2016</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9,420</w:t>
            </w:r>
          </w:p>
        </w:tc>
        <w:tc>
          <w:tcPr>
            <w:tcW w:w="6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October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Long-Term Debt</w:t>
            </w:r>
          </w:p>
        </w:tc>
        <w:tc>
          <w:tcPr>
            <w:tcW w:w="138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right"/>
              <w:ind w:right="880"/>
              <w:spacing w:after="0" w:line="149" w:lineRule="exact"/>
              <w:rPr>
                <w:sz w:val="20"/>
                <w:szCs w:val="20"/>
                <w:color w:val="auto"/>
              </w:rPr>
            </w:pPr>
            <w:r>
              <w:rPr>
                <w:rFonts w:ascii="Arial" w:cs="Arial" w:eastAsia="Arial" w:hAnsi="Arial"/>
                <w:sz w:val="14"/>
                <w:szCs w:val="14"/>
                <w:b w:val="1"/>
                <w:bCs w:val="1"/>
                <w:color w:val="auto"/>
              </w:rPr>
              <w:t>Derivative</w:t>
            </w:r>
          </w:p>
        </w:tc>
        <w:tc>
          <w:tcPr>
            <w:tcW w:w="13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Warrants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Liabilities</w:t>
            </w:r>
          </w:p>
        </w:tc>
        <w:tc>
          <w:tcPr>
            <w:tcW w:w="13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Purchase Option</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7,400</w:t>
            </w:r>
          </w:p>
        </w:tc>
        <w:tc>
          <w:tcPr>
            <w:tcW w:w="6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$ 7,519</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Record derivative liability</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3"/>
          </w:tcPr>
          <w:p>
            <w:pPr>
              <w:ind w:left="440"/>
              <w:spacing w:after="0"/>
              <w:rPr>
                <w:sz w:val="20"/>
                <w:szCs w:val="20"/>
                <w:color w:val="auto"/>
              </w:rPr>
            </w:pPr>
            <w:r>
              <w:rPr>
                <w:rFonts w:ascii="Arial" w:cs="Arial" w:eastAsia="Arial" w:hAnsi="Arial"/>
                <w:sz w:val="18"/>
                <w:szCs w:val="18"/>
                <w:color w:val="auto"/>
              </w:rPr>
              <w:t>868</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(1,300)</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946</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Compensation income for change in fair value of warrants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issued to former employees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Transfer derivative liability to equity</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(1,814)</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6,100</w:t>
            </w:r>
          </w:p>
        </w:tc>
        <w:tc>
          <w:tcPr>
            <w:tcW w:w="6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$ 6,100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considered the following recent accounting pronouncements which were not yet adopted as of March 31, 2016:</w:t>
      </w:r>
    </w:p>
    <w:p>
      <w:pPr>
        <w:spacing w:after="0" w:line="12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the Company’s fiscal year beginning January 1, 2018. Early adoption is permitted, but not before the original effective date. The Company is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an Entity’s Ability to Continue as a Going Concern</w:t>
      </w:r>
      <w:r>
        <w:rPr>
          <w:rFonts w:ascii="Arial" w:cs="Arial" w:eastAsia="Arial" w:hAnsi="Arial"/>
          <w:sz w:val="16"/>
          <w:szCs w:val="16"/>
          <w:color w:val="auto"/>
        </w:rPr>
        <w:t>. ASU 2014-15 requires management to assess an entity’s ability to continue as a going concern by</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The Company has determined that this standard would not have a material impact on its consolidated financial statements based on the assessment of its ability to continue as a going concern as of March 31, 2016.</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The amendments in this ASU require that in-scope inventory should be measured at the lower of cost and net realizable value. Net realizable value is the estimated selling price in the ordinary course of business, less reasonably predictable costs of completion, disposal, and transportation. The amendments do not apply to inventory that is measured using last-in, first-out (LIFO) or the retail inventory method but applies to all other inventory, which include inventory that is measured using first-in, first-out (FIFO) or average cost. This standard is effective for fiscal years beginning after December 15, 2016, including interim periods within those fiscal years. Early application is permitted. The Company is currently evaluating the accounting, transition and disclosure requirements of the standard and cannot currently estimate the financial statement impact of adoption.</w:t>
      </w:r>
    </w:p>
    <w:p>
      <w:pPr>
        <w:spacing w:after="0" w:line="18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The new guidance is intended to improve the recognition and measurement of financial instruments by requiring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The Company is currently evaluating the accounting, transition and disclosure requirements of the standard and cannot currently estimate the financial statement impact of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The Company is currently evaluating the accounting, transition and disclosure requirements of the standard and cannot currently estimate the financial statement impact of adoption.</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This amendment clarifies that an entity is a principal when it controls the specified good or service before that good or service is</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to the customer, and is an agent when it does not control the specified good or service before it is transferred to the customer. The new guidance is intended to improve the operability and understandability of the implementation guidance on principal versus agent considerations and is effective for the Company’s fiscal year beginning January 1, 2018. Early adoption is permitted. The Company is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Also in March 2016, the FASB issued ASU No. 2016-09, </w:t>
      </w:r>
      <w:r>
        <w:rPr>
          <w:rFonts w:ascii="Arial" w:cs="Arial" w:eastAsia="Arial" w:hAnsi="Arial"/>
          <w:sz w:val="16"/>
          <w:szCs w:val="16"/>
          <w:i w:val="1"/>
          <w:iCs w:val="1"/>
          <w:color w:val="auto"/>
        </w:rPr>
        <w:t>Compensation—Stock Compensation (Topic 718): Improvements to 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The amendments in this ASU are intended to simplify several aspects of the accounting for share-based payment award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 income tax consequences; (b) classification of awards as either equity or liabilities; and (c) classification on the statement of cash flows. The amendments require all income tax effects of awards to be recognized in the statement of operations when the awards vest or are settled, allows an employer to repurchase more of an employee’s shares than it previously could for tax withholding purposes without triggering liability accounting, and allows companies to make a policy election to account for forfeitures as they occur. This standard is effective for annual periods beginning after December 15, 2016, and interim periods within those annual periods. Early application is permitted. The Company is currently evaluating the accounting, transition and disclosure requirements of the standard and cannot currently estimate the financial statement impact of adoption.</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2016, the FASB issued ASU No. 2016-10</w:t>
      </w:r>
      <w:r>
        <w:rPr>
          <w:rFonts w:ascii="Arial" w:cs="Arial" w:eastAsia="Arial" w:hAnsi="Arial"/>
          <w:sz w:val="18"/>
          <w:szCs w:val="18"/>
          <w:i w:val="1"/>
          <w:iCs w:val="1"/>
          <w:color w:val="auto"/>
        </w:rPr>
        <w:t>, Revenue from Contracts with Customers (Topic 606): Identifying Performance Obligations and Licensing</w:t>
      </w:r>
      <w:r>
        <w:rPr>
          <w:rFonts w:ascii="Arial" w:cs="Arial" w:eastAsia="Arial" w:hAnsi="Arial"/>
          <w:sz w:val="18"/>
          <w:szCs w:val="18"/>
          <w:color w:val="auto"/>
        </w:rPr>
        <w:t>. The amendments clarify the following two aspects of Topic 606: (a) identifying performance obligations; and (b) the licensing implementation guidance. The amendments do not change the core principle of the guidance in Topic 606 and is effective for the Company’s fiscal year beginning January 1, 2018. Early application is permitted only as of annual reporting periods beginning after December 15, 2016, including interim reporting periods within that reporting period. The Company is currently evaluating the accounting, transition and disclosure requirements of the standard and cannot currently estimate the financial statement impact of adoption.</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believes that the impact of other recently issued but not yet adopted accounting pronouncements will not have a material impact on condensed consolidated financial position, results of operations, and cash flows, or do not apply to the Company’s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historical acquisition cost of certain technology rights for Vascepa and have an estimated remaining useful life of 14.3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as of March 31, 2016 and December 31, 2015 is as follows (in thousands):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32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March 31, 2016</w:t>
            </w: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December 31, 2015</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rights</w:t>
            </w:r>
          </w:p>
        </w:tc>
        <w:tc>
          <w:tcPr>
            <w:tcW w:w="18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(2,368)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r>
      <w:tr>
        <w:trPr>
          <w:trHeight w:val="27"/>
        </w:trPr>
        <w:tc>
          <w:tcPr>
            <w:tcW w:w="3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7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20" w:type="dxa"/>
            <w:vAlign w:val="bottom"/>
            <w:shd w:val="clear" w:color="auto" w:fill="CCEEFF"/>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March 31, 2016 and December 31, 2015 consist of the following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2016</w:t>
            </w:r>
          </w:p>
        </w:tc>
        <w:tc>
          <w:tcPr>
            <w:tcW w:w="2160" w:type="dxa"/>
            <w:vAlign w:val="bottom"/>
            <w:gridSpan w:val="4"/>
          </w:tcPr>
          <w:p>
            <w:pPr>
              <w:ind w:left="900"/>
              <w:spacing w:after="0"/>
              <w:rPr>
                <w:sz w:val="20"/>
                <w:szCs w:val="20"/>
                <w:color w:val="auto"/>
              </w:rPr>
            </w:pPr>
            <w:r>
              <w:rPr>
                <w:rFonts w:ascii="Arial" w:cs="Arial" w:eastAsia="Arial" w:hAnsi="Arial"/>
                <w:sz w:val="14"/>
                <w:szCs w:val="14"/>
                <w:b w:val="1"/>
                <w:bCs w:val="1"/>
                <w:color w:val="auto"/>
                <w:w w:val="98"/>
              </w:rPr>
              <w:t>December 31, 2015</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9,528</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9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00" w:type="dxa"/>
            <w:vAlign w:val="bottom"/>
            <w:shd w:val="clear" w:color="auto" w:fill="CCEEFF"/>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inventory</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21,344</w:t>
            </w:r>
          </w:p>
        </w:tc>
        <w:tc>
          <w:tcPr>
            <w:tcW w:w="90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Warrant Derivative Liability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(one half)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(one half) of an ADS at an exercise price of $1.50 per ADS. The total number of warrants issued in conjunction with the financing was 35.2 million.</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officers.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were not considered to be indexed to the Company’s common stock. Accordingly, the warrants did not qualify for the exception to classify the warrants within equity and were classified as a derivative liability.</w:t>
      </w:r>
    </w:p>
    <w:p>
      <w:pPr>
        <w:spacing w:after="0" w:line="19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fair value of this warrant derivative liability was remeasured at each reporting period, with changes in fair value recognized in the statement of operations. Upon exercise, the fair value of the warrants exercised was remeasured and reclassified from warrant derivative liability to additional paid-in-capital. Although the warrants contained a pricing variability feature, the number of warrants issuable remained fixed. Therefore, the maximum number of common shares issuable as a result of the October 2009 private placement was 36.1 million.</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October 2014, the Company and the holders of the remaining October 2009 warrants mutually agreed to extend the expiration date of such warrants from October 16, 2014 to February 27, 2015. During the three months ended March 31, 2015, of the 8,087,388 warrants outstanding as of December 31, 2014, 1,844,585 warrants were exercised, resulting in net proceeds to the Company of $2.7 million, the remaining 6,242,803 warrants expired, and the related derivative liability was extinguished. As such, no warrants were outstanding as of March 31, 2016 and December 31, 2015.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Long-Term Debt—December 2012 Financing</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 million received at the closing of the agreement which occurred in December 2012. Under these terms, the Company continues to own all Vascepa intellectual property rights, however, such rights, as described below, could be used by BioPharma as collateral for repayment of the remaining unpaid balance under this agreement if the Company defaults on making required payments. In the agreement, the Company agreed to repay BioPharma up to $150 million with such repayment based on a portion of revenues and receivables generated from Vascepa.</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2016, the remaining amount to be repaid to BioPharma is $134.6 million. During the three months ended March 31, 2016, the Company made repayments under the agreement of $2.6 million to BioPharma and an additional $2.5 million is scheduled to be paid in May 2016 for the first quarter of 2016. These payments were calculated based on the threshold limitation, as described below, as opposed to the scheduled quarterly repayments. Additional quarterly repayments, subject to the threshold limitation, are scheduled to be paid.</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maximum quarterly amounts which could be due for payment, except upon a change of control and subject each quarter to the threshold limitation, are as follows: $15.0 million in the third quarter of 2016 and in each of the next two quarters, and a payment of $13.0 million scheduled for payment in May 2017. All such payments reduce the remainder of the $150 million in aggregate payments to BioPharma. These quarterly payments are subject to a quarterly threshold amount whereby, if a calculated threshold, based on quarterly Vascepa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in aggregate has been repaid. Except in the event of the Company’s default, there is no compounding of interest and no scheduled cliff payment due under this agreement. Rather, payment will be made, subject to the threshold limitation, until $150 million in aggregate has been repaid, including payments made previously. The Company can prepay an amount equal to $150 million less any previously repaid amount.</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currently estimates that its Vascepa revenue levels will not be high enough in each quarter to support repayment to BioPharma in accordance with the maximum quarterly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 The Company recognized a loss on change in fair value of derivative liability of $0.4 million during the three months ended March 31, 2016 and recognized no change in fair value of derivative liability during the three months ended March 31, 2015.</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recorded cash and non-cash interest expense of $1.7 million and $0.5 million, respectively, in connection with the BioPharma debt during each quarter ended March 31, 2016 and 2015. The Company will periodically evaluate the remaining term of the agreement and the effective interest rate is recalculated each period based on the Company’s most current estimate of repayment.</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Purchase and Sale Agreement with BioPharma, the Company is restricted from paying dividends on its common shares, unless it has cash and cash equivalents in excess of a specified amount after such payment.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January 2012 Exchangeable Senior Notes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a portion of which were subsequently exchanged and a portion of which was extinguished (see discussion of May 2014 and November 2015 Exchangeable Senior Notes below). 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 2012 Notes and 2014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6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2012 Notes have a stated interest rate of 3.5% per year, payable semiannually in arrears on January 15 and July 15 of each year beginning on July 15, 2012, and ending upon the 2012 Notes’ maturity on January 15, 2032. The 2012 Notes are subject to repurchase by the Company at the option of the holders on each of January 19, 2017, January 19, 2022, and January 19, 2027, at a price equal to 100% of the principal amount of the 2012 Notes to be repurchased, plus accrued and unpaid interest to, but excluding, the repurchase date. The 2012 Notes are exchangeable under certain circumstances into cash, ADSs, or a combination of cash and ADSs, at the Company’s election, with an initial exchange rate of 113.4752 ADSs per $1,000 principal amount of 2012 Notes (equivalent to an initial exchange price of approximately $8.8125 per ADS), subject to adjustment in certain circumstances, including adjustment if the Company pays cash dividends. If the Company elected physical settlement, the net remaining outstanding portion of the 2012 Notes would be exchangeable into 1,714,270 ADSs. Based on the closing price of the Company’s stock at March 31, 2016, the principal amount of the 2012 Notes would exceed the value of the shares if converted on that date by $12.5 million.</w:t>
      </w:r>
    </w:p>
    <w:p>
      <w:pPr>
        <w:spacing w:after="0" w:line="18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Additional covenants include: (i) limitations on future indebtedness under certain circumstances, (ii) the timely filing of documents and reports pursuant to Section 13 or 15(d) of the Securities Exchange Act of 1934 with both the SEC and the Trustee and (iii) maintaining the tradability of the 2012 Notes. The Company is required to use commercially reasonable efforts to maintain the listing of the 2012 Notes on the Global Exchange Market operated under the supervision of the Irish Stock Exchange (or other recognized stock exchange as defined in the Note Indenture). If the 2012 Notes are not freely tradable, as a result of restrictions pursuant to U.S. securities law or the terms of the Indenture or the 2012 Notes, the Company shall pay additional interest on 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 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was amortized to interest expense using the effective interest method over the 2012 Notes’ estimated remaining life, which was calculated to be a period of twenty-four months. As of both March 31, 2016 and December 31, 2015, the discount created from the allocation of the proceeds to the conversion option was fully amortized and the carrying amount of the conversion option was $11.5 million. The conversion option will not be subsequently remeasured as long as it continues to meet the criteria for equity classification.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 costs allocated to the liability component was amortized as interest expense over the estimated life of the 2012 Notes of twenty-four months. As of both March 31, 2016 and December 31, 2015, the debt discount was fully amortized and the carrying value of the 2012 Notes was $15.1 million after an exchange and repayment of a portion of the 2012 Notes (see below for further discussion of the May 2014 Notes and November 2015 Notes).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May 2014 Exchangeable Senior Notes</w:t>
      </w:r>
    </w:p>
    <w:p>
      <w:pPr>
        <w:spacing w:after="0" w:line="117"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w:t>
      </w:r>
    </w:p>
    <w:p>
      <w:pPr>
        <w:ind w:right="80"/>
        <w:spacing w:after="0" w:line="261" w:lineRule="auto"/>
        <w:rPr>
          <w:sz w:val="20"/>
          <w:szCs w:val="20"/>
          <w:color w:val="auto"/>
        </w:rPr>
      </w:pPr>
      <w:r>
        <w:rPr>
          <w:rFonts w:ascii="Arial" w:cs="Arial" w:eastAsia="Arial" w:hAnsi="Arial"/>
          <w:sz w:val="18"/>
          <w:szCs w:val="18"/>
          <w:color w:val="auto"/>
        </w:rPr>
        <w:t>3.5% May 2014 Exchangeable Senior Notes due 2032, following which $31.3 million in aggregate principal amount of the 2012 Notes remained outstanding with terms unchanged (the 2012 Notes and 2014 Notes are referred to collectively as the “Notes”).</w:t>
      </w:r>
    </w:p>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2014 Notes have a stated interest rate of 3.5% per year, payable semiannually in arrears on January 15 and July 15 of each year beginning on July 15, 2014, and ending upon the 2014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 2014 Notes at their option. If prior to January 15, 2018, a make-whole fundamental change (as defined in the Indenture) occurs or the Company elects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In the event of physical settlement, the 2014 Notes would be exchangeable into 45,666,925 ADSs.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 Based on the closing price of the Company’s stock at March 31, 2016, the principal amount of the 2014 Notes would exceed the value of the shares if converted on that date by $48.9 million.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January 19, 2018, the Company may not redeem the 2014 Notes at its option other than in connection with certain changes in the tax law of a relevant taxing jurisdiction that results in additional amounts (as defined in the Indenture) becoming due with respect to payments and/or deliveries on the 2014 Notes. On or after January 19, 2018, the Company may redeem for cash all or a portion of the 2014 Notes at a redemption price of 100% of the aggregate principal amount of the 2014 Notes to be redeemed, plus accrued and unpaid interest to, but not including, the redemption date. If a fundamental change (as defined in the Indenture) occurs, holders may require the Company to repurchase all or part of their 2014 Notes for cash at a fundamental change repurchase price equal to 100% of the aggregate principal amount of the 2014 Notes to be repurchased, plus accrued and unpaid interest to, but not including, the fundamental change repurchase date. In addition, holders of the 2014 Notes may require the Company to repurchase all or any portion of the 2014 Notes on each of January 19, 2019, January 19, 2024 and January 19, 2029 for cash at a price equal to 100% of the aggregate principal amount of the 2014 Notes to be repurchased, plus accrued and unpaid interest to, but not including, the repurchase date.</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may elect at its option to cause all or any portion of the 2014 Notes to be mandatorily exchanged in whole or in part at any time prior to the close of business on the business day preceding January 15, 2032 if the Daily VWAP (as defined in the Indenture) equals or exceeds 110% of the Exchange Price then in effect for at least 20 VWAP Trading Days (as defined in the Indenture) in any 30 VWAP Trading Day period. The Company may only exercise its optional exchange rights upon satisfaction of specified equity conditions, including that the ADSs issuable upon exchange of the 2014 Notes be eligible for resale without registration by non-affiliates and listed on The NASDAQ Global Market, its related exchanges or the New York Stock Exchange. If Corsicanto elects to exercise its optional exchange rights on or prior to January 15, 2018, each holder whose 2014 Notes are exchanged will upon exchange receive a specified number of additional ADSs as set forth in the Indenture. Upon such a declaration of acceleration, such principal and accrued and unpaid interest, if any, will be due and payable immediately. Upon the occurrence of certain events of bankruptcy, insolvency or reorganization involving Corsicanto, 100% of the principal of and accrued and unpaid interest, if any, on all of the 2014 Notes will become due and payable automatically. Notwithstanding the foregoing, the Indenture will provide that, to the extent Corsicanto elects and for up to 360 days, the sole remedy for an event of default relating to certain failures by Corsicanto or the Company, as the case may be, to comply with certain reporting covenants in the Indenture consists exclusively of the right to receive additional interest on the 2014 Notes. Additional covenants pertaining to the 2012 Notes (as described above for the January 2012 Exchangeable Senior Notes) are also applicable to the May 2014 Notes.</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As a result of the note exchange (as described above), the Company assessed both quantitative and qualitative aspects of the features of the 2014 Notes as compared to the 2012 Notes. Such assessment resulted in the conclusion that the features of the 2014 Notes represent a substantive modification from the 2012 Notes as the terms of the exchange resulted in a substantive modification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embedded conversion feature within the 2012 Notes, and as such should be accounted for as an extinguishment of debt. In accordance with ASC 470-20, the Company extinguished the 2012 Notes by recording a gain on extinguishment of the liability component of $38.0 million and repurchase of the conversion option in equity through a reduction to additional paid-in capital of $10.1 million. The 2014 Notes were recorded at fair value of $90.8 million representing a $27.9 million discount to par. In addition the Company recognized $2.5 million in underwriter’s fees and offering costs and initially recognized those costs as deferred assets. Effective January 2016, the Company adopted ASU No. 2015-03, </w:t>
      </w:r>
      <w:r>
        <w:rPr>
          <w:rFonts w:ascii="Arial" w:cs="Arial" w:eastAsia="Arial" w:hAnsi="Arial"/>
          <w:sz w:val="17"/>
          <w:szCs w:val="17"/>
          <w:i w:val="1"/>
          <w:iCs w:val="1"/>
          <w:color w:val="auto"/>
        </w:rPr>
        <w:t>Interest—Imputation of Interest (Subtopic 835-30): 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 of Debt Issuance Costs</w:t>
      </w:r>
      <w:r>
        <w:rPr>
          <w:rFonts w:ascii="Arial" w:cs="Arial" w:eastAsia="Arial" w:hAnsi="Arial"/>
          <w:sz w:val="17"/>
          <w:szCs w:val="17"/>
          <w:color w:val="auto"/>
        </w:rPr>
        <w:t>, which requires that debt issuance costs related to a recognized debt liability be presented in the balance sheet as a direct</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from the carrying amount of that debt liability, consistent with debt discounts. As the standard is required to be adopted on a retrospective basis, the Company reclassified $1.8 million of underwriters’ fees and offering costs related to the 2014 Notes from other long-term assets to exchangeable senior notes, net of discount, within the condensed consolidated balance sheet as of December 31, 2015.</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further allocated $3.5 million of the $90.8 million fair value of the 2014 Notes to the derivative liability related to the fundamental change redemption feature (as described above).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 During the three months ended March 31, 2016 and 2015, the Company recognized a $0.7 million loss and a $1.3 million gain on the change in fair value of the redemption feature respectively.</w:t>
      </w:r>
    </w:p>
    <w:p>
      <w:pPr>
        <w:spacing w:after="0" w:line="18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Because the conversion option in the 2014 Notes receives an exception from derivative accounting and only requires gross physical settlement in shares, the embedded option does not require separate accounting and is therefore accounted for as part of the debt host at amortized cost. The debt discount is being amortized as interest expense over the estimated life of the 2014 Notes and recognized in the statement of operations as interest expense. As of March 31, 2016 and December 31, 2015, the carrying value of the 2014 Notes, net of the unamortized debt discount and issuance costs, was $96.3 million and $94.6 million, respectively. During the three months ended March 31, 2016, the Company recognized aggregate interest expense of $2.8 million related to the Notes, of which $1.6 million represents non-cash interest and $1.2 million represents contractual coupon interest. During the three months ended March 31, 2015, the Company recognized aggregate interest expense of $2.8 million related to the Notes, of which $1.5 million represents non-cash interest and $1.3 million represents contractual coupon interest.</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November 2015 Exchangeable Senior Notes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November 2015, the Company entered into a privately negotiated subscription agreement with one of its existing investors (the “Investor”), pursuant to which the Investor agreed to purchase approximately $31.3 million in aggregate principal amount of new 3.5% November 2015 Exchangeable Senior Notes due 2032 (the “2015 Notes”) for approximately $27.5 million. Approximately $15.9 million of such proceeds were used to finance the repayment of a portion of the 2012 Notes and the remainder will be used for working capital and general corporate purposes. The 2015 Notes have substantially identical terms to the 2014 Notes, except that the 2015 Notes were issued by Amarin Corporation plc and are not guaranteed by any entity. In the event of physical settlement, the 2015 Notes would be exchangeable into 12,025,385 ADSs. The initial exchange rate is 384.6154 ADSs per $1,000 principal amount of 2015 Notes (equivalent to an initial exchange price of approximately $2.60 per ADS), provided that exchanges will be prohibited if, as a result, the holder of such 2015 Notes and its affiliates would beneficially own more than 4.99% of the total number of the Company’s ordinary shares or ADSs outstanding following such exchange (the “Beneficial Ownership Limitation”). By written notice to the Company, a holder may from time to time increase or decrease the Beneficial Ownership Limitation to any other percentage not in excess of 19.9% (the “Beneficial Ownership Cap”) specified in such notice; provided that any such increase will not be effective until the sixty-first (61st) day after such notice is delivered to the Company. The exchange rate is subject to adjustment from time to time upon the occurrence of certain events, including, but not limited to, the payment of cash dividends. Based on the closing price of the Company’s stock as of March 31, 2016, the principal amount of the 2015 Notes would exceed the value of the shares if converted on that date by $12.9 million.</w:t>
      </w:r>
    </w:p>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2015 Notes are the senior unsecured obligations of the Company. The 2015 Notes bear interest at a rate of 3.5% per annum from, and including, November 24, 2015, payable semi-annually in arrears on January 15 and July 15 of each year, beginning on January 15, 2016. The 2015 Notes mature on January 15, 2032, unless earlier repurchased or redeemed by the Company or exchanged by the holders.</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The 2015 Notes were recorded at fair value of $27.5 million representing a $3.8 million discount to par. In addition, the Company recognized $0.1 million in offering costs and initially recognized those costs as deferred assets. As described for the 2014 Notes above, effective January 2016, the Company adopted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xml:space="preserve"> As the standard is required to be adopted on a retrospective basis, the Company reclassified $0.1 million of underwriters’ fees and offering costs related to the 2015 Notes from other long-term assets to exchangeable senior notes, net of discount, within the condensed consolidated balance sheet as of December 31, 2015.</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further allocated $0.5 million of the $27.5 million fair value of the 2015 Notes to the derivative liability related to the fundamental change redemption feature (as described under the 2014 Notes above).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 During the three months ended March 31, 2016, the Company recognized a loss on the change in fair value of the redemption feature of $0.1 million.</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Because the conversion option in the 2015 Notes receives an exception from derivative accounting and only requires gross physical settlement in shares, the embedded option does not require separate accounting and is therefore accounted for as part of the debt host at amortized cost. The debt discount is being amortized as interest expense over the estimated life of the 2015 Notes and recognized in the statement of operations as interest expense. As of March 31 2016 and December 31, 2015, the carrying value of the 2015 Notes, net of the unamortized debt discount and issuance costs, was $27.3 million and $27.0 million, respectively. During the three months ended March 31, 2016, the Company recognized aggregate interest expense of $0.6 million related to the 2015 Notes, of which $0.3 million represents non-cash interest and $0.3 million represents contractual coupon interest.</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Concurrent with the issuance of the 2015 Notes, Corsicanto Limited and the Company entered into separate, privately negotiated purchase agreements with certain holders of the 2012 Notes pursuant to which the Company purchased (the “2012 Notes Purchase”) approximately $16.2 million in aggregate principal amount of the 2012 Notes for $15.9 million, which included accrued but unpaid interest on such 2012 Notes. The 2012 Notes Purchase was funded by the issuance of the 2015 Notes. Following the closing of the 2012 Notes Purchase, Corsicanto had approximately $15.1 million in aggregate principal amount of 2012 Notes outstanding. The 2012 Notes Purchase was accounted for as an extinguishment of debt and the Company recorded a gain of $1.3 million upon extinguishment, which represents the reacquisition of the conversion option at fair value and a negotiated discount on the purchase of the notes partially offset by legal and transaction advisory costs incurred.</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2016 and December 31, 2015, the Company had total accrued interest on the notes of $1.2 million and $2.3 million, respectively, which is included in other current liabilities. The Company made the contractual interest payments due on the notes during the three months ended March 31, 2016 and 2015.</w:t>
      </w:r>
    </w:p>
    <w:p>
      <w:pPr>
        <w:spacing w:after="0" w:line="326" w:lineRule="exact"/>
        <w:rPr>
          <w:sz w:val="20"/>
          <w:szCs w:val="20"/>
          <w:color w:val="auto"/>
        </w:rPr>
      </w:pPr>
    </w:p>
    <w:p>
      <w:pPr>
        <w:ind w:left="460" w:right="8420" w:hanging="452"/>
        <w:spacing w:after="0" w:line="378" w:lineRule="auto"/>
        <w:tabs>
          <w:tab w:leader="none" w:pos="44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ind w:right="40"/>
        <w:spacing w:after="0" w:line="259"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intellectual property, commercial arrangements and other matters. “Item 3. Legal Proceedings” of the Company’s Annual Report on Form 10-K for the fiscal year ended December 31, 2015 includes a discussion of the Company’s current legal proceedings. There have been no material changes to those disclosures as of the date of this filing other than as set forth below.</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On May 7, 2015, the Company and a group of independent physicians filed a lawsuit in federal court to permit the Company to promote truthful and non-misleading information, including, but not limited to, the ANCHOR trial clinical data, with healthcare professionals in the United States about certain uses of Vascepa not included within approved FDA labeling of Vascepa and thus not permitted under the FDA’s interpretation of applicable law. The lawsuit, captioned </w:t>
      </w:r>
      <w:r>
        <w:rPr>
          <w:rFonts w:ascii="Arial" w:cs="Arial" w:eastAsia="Arial" w:hAnsi="Arial"/>
          <w:sz w:val="16"/>
          <w:szCs w:val="16"/>
          <w:i w:val="1"/>
          <w:iCs w:val="1"/>
          <w:color w:val="auto"/>
        </w:rPr>
        <w:t>Amarin Pharma, Inc., et al. v. Food &amp; Drug Administration, et al.</w:t>
      </w:r>
      <w:r>
        <w:rPr>
          <w:rFonts w:ascii="Arial" w:cs="Arial" w:eastAsia="Arial" w:hAnsi="Arial"/>
          <w:sz w:val="16"/>
          <w:szCs w:val="16"/>
          <w:color w:val="auto"/>
        </w:rPr>
        <w:t xml:space="preserve"> (1:15-cv-03588-PAE), was filed in the United States District Court for the Southern District of New York and sought a judicial declaration based on several legal theories. On August 7, 2015, the court granted the Company’s request for preliminary relief in this litigation through a declaratory judgment that confirmed that the Company may engage in truthful and non-misleading speech promoting the off-label use of Vascepa, i.e., to treat patients with persistently high triglycerides, and such speech may not form the basis of a misbranding action under the Federal Food and Drug Cosmetic Act. On March 8, 2016, the parties obtained court approval of negotiated settlement terms that resolved the causes of action raised in the litigation. Under the settlement, the FDA and the U.S. government agreed to be bound by the court’s conclusions from the August 7, 2015 declaration that the Company may engage in truthful and non-misleading speech promoting the off-label use of Vascepa and that certain statements and disclosures that the Company proposed to make to healthcare professionals were truthful and non-misleading as of such date.</w:t>
      </w:r>
    </w:p>
    <w:p>
      <w:pPr>
        <w:spacing w:after="0" w:line="17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On April 26, 2016, the U.S. District Court for the District of New Jersey granted a motion to dismiss in favor of the Company and related defendants in the putative consolidated class action lawsuit captioned </w:t>
      </w:r>
      <w:r>
        <w:rPr>
          <w:rFonts w:ascii="Arial" w:cs="Arial" w:eastAsia="Arial" w:hAnsi="Arial"/>
          <w:sz w:val="17"/>
          <w:szCs w:val="17"/>
          <w:i w:val="1"/>
          <w:iCs w:val="1"/>
          <w:color w:val="auto"/>
        </w:rPr>
        <w:t>In re Amarin Corporation plc, Securities Litigation,</w:t>
      </w:r>
      <w:r>
        <w:rPr>
          <w:rFonts w:ascii="Arial" w:cs="Arial" w:eastAsia="Arial" w:hAnsi="Arial"/>
          <w:sz w:val="17"/>
          <w:szCs w:val="17"/>
          <w:color w:val="auto"/>
        </w:rPr>
        <w:t xml:space="preserve"> No. 3:13-cv-06663 (D.N.J. Nov. 1, 2013). The class action was dismissed without prejudice with leave for plaintiffs to file an amended complaint. The lawsuit sought unspecified monetary damages and attorneys’ fees and costs alleging that the Company and certain of its current and former officers and directors made misstatements and omissions regarding the FDA’s willingness to approve Vascepa’s ANCHOR indication and related contributing factors and the potential relevance of data from the ongoing REDUCE-IT trial to that potential approval. This is the second motion to dismiss granted in favor of the Company and related defendants in this litigation. The first motion to dismiss in this litigation was granted in June 2015 in response to the original complaint and related amendment. Should plaintiffs file another amended complaint or appeal, the Company plans a vigorous defense. The Company has insurance coverage that is anticipated to cover any significant loss exposure that may arise from this action.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entered into its initial Vascepa API supply agreement with Nisshin Pharma, Inc. (“Nisshin”) in 2010. In 2011, the Company entered into agreements with two additional suppliers, Chemport, Inc. (“Chemport”) and BASF (formerly Equateq Limited), for the supply of API. In 2012, the Company agreed to terms with a fourth API supplier, a consortium of companies led by Slanmhor Pharmaceutical, Inc. (“Slanmhor”). The API supply agreement with BASF terminated in February 2014. In July 2014, the Company terminated the supply agreement with Slanmhor and subsequently, in July 2015, entered into a new supply agreement with Finorga SAS (“Novasep”).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Nisshin, Chemport and Novasep are currently the three manufacturers from which the Company purchases API. As of March 31, 2016, the Company has no royalty, milestone or minimum purchase commitments with Nisshin.</w:t>
      </w:r>
    </w:p>
    <w:p>
      <w:pPr>
        <w:spacing w:after="0" w:line="17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Chemport was approved by the FDA to manufacture API for commercial sale in April 2013 and the Company began purchasing commercial supply from Chemport in 2013. The agreement with Chemport contains a provision requiring the Company to pay Chemport in cash for any shortfall in the minimum purchase obligations.</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began purchasing commercial supply from Novasep in 2015. API manufactured by Novasep was previously approved by the FDA in July 2014. The 2015 supply agreement with Novasep includes commitments for the Company to fund API purchases and contains a provision requiring the Company to pay Novasep a cash remedy for any shortfall in the minimum purchase obligations.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$10.8 million at March 31, 2016).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$7.2 million at March 31, 2016) for each of the two potential market approvals (i.e. £10 million maximum, or approximately $14.4 million at March 31, 2016).</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provision for any of the obligations above since the amounts are either not probable or able to be estimated at March 31, 2016.</w:t>
      </w:r>
    </w:p>
    <w:p>
      <w:pPr>
        <w:spacing w:after="0" w:line="381" w:lineRule="exact"/>
        <w:rPr>
          <w:sz w:val="20"/>
          <w:szCs w:val="20"/>
          <w:color w:val="auto"/>
        </w:rPr>
      </w:pPr>
    </w:p>
    <w:p>
      <w:pPr>
        <w:ind w:left="460" w:right="10300" w:hanging="452"/>
        <w:spacing w:after="0" w:line="425" w:lineRule="auto"/>
        <w:tabs>
          <w:tab w:leader="none" w:pos="44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Warrants</w:t>
      </w:r>
    </w:p>
    <w:p>
      <w:pPr>
        <w:spacing w:after="0" w:line="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three months ended March 31, 2015, the Company issued 1,844,585 shares upon the exercise of warrants, resulting in gross and net proceeds of $2.8 million and $2.7 million, respectively. There was no warrant activity during the three months ended March 31, 2016 and no warrants remained outstanding as of March 31, 2016.</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guidance became effective for all entities during the first quarter of fiscal 2016. The Company previously accounted for awards in a manner consistent with the new guidance and as such, adoption of the guidance did not have any impact on the Company’s condensed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As of March 31, 2016, there were an aggregate of 20,806,897 stock options and 10,672,834 restricted stock units (“RSUs”) outstanding, representing approximately 8% and 4%, respectively, of outstanding shares (including common and preferred shares) on a fully diluted basis.</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three months ended March 31, 2016 and 2015, the Company issued 21,369 and 2,114 shares, respectively, as a result of the exercise of stock options, resulting in gross and net proceeds of $22 thousand during the three months ended March 31, 2016 and $4 thousand during the three months ended March 31, 2015.</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February 1, 2016, the Company granted a total of 1,607,500 RSUs and 2,442,000 stock options to employees under the Amarin Corporation plc Stock Incentive Plan (the “2011 Plan”). The RSUs vest annually over a three year period and the stock options vest monthly over a four year period.</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July 6, 2015, the Company granted a total of 1,455,000 RSUs and 5,470,000 stock options to employees under the 2011 Plan. The RSUs granted vest over a four year period. Of the total stock options granted, 3,670,000 stock options vest over a four year period while the remaining 1,800,000 stock options vest upon the achievement of certain performance conditions. During the three months ended March 31, 2016, the Company issued 90,937 common shares related to the vesting of these RSUs, of which 34,801 shares were retained as treasury shares as settlement of employee tax obligations.</w:t>
      </w:r>
    </w:p>
    <w:p>
      <w:pPr>
        <w:spacing w:after="0" w:line="1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Also on July 6, 2015, the Company granted a total of 413,500 RSUs and 288,657 stock options to members of the Company’s Board of Directors under the 2011 Plan. Of the total awards granted, 283,500 RSUs and 121,506 stock options vest in equal installments over a three year period upon the earlier of the one-year anniversary of the grant date or the Company’s annual general meeting of shareholders in such anniversary year, while the remaining 130,000 RSUs and 167,151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which is required to be made in shares.</w:t>
      </w:r>
    </w:p>
    <w:p>
      <w:pPr>
        <w:spacing w:after="0" w:line="178"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On January 29, 2015, the Company granted a total of 2,564,251 RSUs and 1,622,500 stock options to employees under the 2011 Plan. The RSUs vest annually over a three year period and the stock options vest monthly over a four year period. Also on January 29, 2015, the Company granted 5,455,500 RSUs to employees under the 2011 Plan that vest upon the achievement of certain performance conditions. The issuance of these performance RSUs was contingent upon shareholder approval to increase the aggregate number of shares authorized for issuance under the 2011 Plan, which was obtained at the Company’s Annual General Meeting of Shareholders held on July 6, 2015. During the three months ended March 31, 2016, the Company issued 818,352 common shares related to the vesting of these RSUs, of which 270,329 shares were retained as treasury shares as settlement of employee tax obligations.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consolidated balance sheets.</w:t>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Subsequently, at the request of the holders, a portion of the Series A Preference Shares were consolidated and redesignated, resulting in the issuance of 6,283,333 ADSs such that a maximum of 32,818,464 ordinary shares remain issuable upon future consolidation and redesignation of the remaining Series A Preference Shares, inclusive of the shares issued in July 2015 as discussed below, subject to certain adjustments for dilutive events.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 (75%) of the then outstanding Series A Preference Shares, alter or change adversely the powers, preferences or rights attaching to the Series A Preference Shares or enter into any agreement with respect to the foregoing.</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have not been registered under the Securities Act of 1933, as amended (the “Securities Act”), or state securities laws and may not be offered or sold in the United States absent registration with the Securities and Exchange Commission (“SEC”) or an applicable exemption from registration requirements.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In addition, the Company agreed to use its commercially reasonable best efforts to effect and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w:t>
      </w:r>
    </w:p>
    <w:p>
      <w:pPr>
        <w:spacing w:after="0" w:line="3" w:lineRule="exact"/>
        <w:rPr>
          <w:sz w:val="20"/>
          <w:szCs w:val="20"/>
          <w:color w:val="auto"/>
        </w:rPr>
      </w:pPr>
    </w:p>
    <w:p>
      <w:pPr>
        <w:ind w:right="160" w:firstLine="8"/>
        <w:spacing w:after="0" w:line="261"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Series A Preference Shares contain a contingent beneficial conversion feature (“BCF”) because they contain a conversion feature at a fixed rate that was in-the-money when issued. The BCF was recorded in the year ended December 31,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7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at that time,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w:t>
      </w:r>
    </w:p>
    <w:p>
      <w:pPr>
        <w:spacing w:after="0" w:line="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Dr. James Healy, a member of the Company’s Board, is a managing general partner of Sofinnova Management VII, L.L.C., which is the general partner of Sofinnova.</w:t>
      </w:r>
    </w:p>
    <w:p>
      <w:pPr>
        <w:spacing w:after="0" w:line="1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(loss) gain on change in fair value of derivatives. The liability of $1.8 million was reclassified to permanent equity (additional paid-in capital) on such date. Subsequent to approval of the Second Private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Placement in July 2015,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w:t>
      </w:r>
    </w:p>
    <w:p>
      <w:pPr>
        <w:spacing w:after="0" w:line="31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Inc. sales representatives. Kowa Pharmaceuticals America, Inc.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exchange for Kowa Pharmaceuticals America, Inc.’s co-promotional services, Kowa Pharmaceuticals America, Inc. is entitled to a quarterly co-promotion fee based on aggregate Vascepa gross margins that increases during the term. The percentage of aggregate Vascepa gross margins earned by Kowa Pharmaceuticals America, Inc. was fifteen percent (15%) in 2015, is nineteen percent (19%) in 2016, and is scheduled to increase to low twenty percent levels in 2017 and 2018, subject to certain adjustments.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certain circumstances, upon the earlier of the expiration or termination of the Agreement in accordance with its terms, Kowa Pharmaceuticals America, Inc. may be eligible for a co-promotion tail fee equal to declining fractions of the co-promotion fee in effect prior to such expiration or termination for periods ranging from one to three years following such expiration or termination.</w:t>
      </w:r>
    </w:p>
    <w:p>
      <w:pPr>
        <w:spacing w:after="0" w:line="18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of March 31, 2016 and December 31, 2015, the Company had a net payable of $1.1 million and $2.5 million, respectively, to Kowa Pharmaceuticals America, Inc. representing co-promotion fees payable to Kowa Pharmaceuticals America, Inc. net of reimbursable amounts incurred for samples and other marketing expenses.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Development, Commercialization and Supply Agreement</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February 26, 2015, the Company entered into a Development, Commercialization and Supply Agreement (the “DCS Agreement”) with Eddingpharm (Asia) Macao Commercial Offshore Limited (“Eddingpharm”) related to the development and commercialization of Vascepa in Mainland China, Hong Kong, Macau and Taiwan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packaging, record keeping, audit rights, reporting obligations, and representations and warranties that are customary for an arrangement of this type.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 Company is required to provide commercial supply, which is currently estimated to be a period of approximately 16 years. In March 2016, Eddingpharm submitted its clinical trial application (“CTA”) with respect to the MARINE indication for Vascepa to the Chinese regulatory authority. Following the CTA submission, the Company is entitled to receive a non-refundable $1.0 million milestone payment, which it will recognize as revenue over the estimated period in which the Company is required to provide on-going development support needed to support the successful approval for a new drug application, which is currently estimated to be a period of approximately four years.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sales-based milestone events occur when annual aggregate net sales of Vascepa in the territory equals or exceeds certain specified thresholds. Each such milestone payment shall be payable only once regardless of how many times the sales milestone event is achieved. Each such milestone payment is non-refundable and non-creditable against any other milestone payments. The Company recognizes contingent consideration from activities that is earned upon the achievement of a substantive milestone in the period in which the milestone is achieved.</w:t>
      </w:r>
    </w:p>
    <w:p>
      <w:pPr>
        <w:spacing w:after="0" w:line="17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Licensing and deferred revenues currently consist of revenue attributable to receipt of up-front, non-refundable payments and milestone payments related to the DCS Agreement and other licensing agreements outside the United States. Up-front and milestone payments under such agreements are typically recognized as licensing revenue over the estimated period in which we are required to provide regulatory and development support and clinical and commercial supply pursuant to the agreements. During the three months ended March 31, 2016 and 2015, the Company recognized $0.2 million and $0.4 million of up-front and milestone payments as licensing revenue, respectively, and recorded $16.0 million as deferred revenue as of March 31, 2016.</w:t>
      </w:r>
    </w:p>
    <w:p>
      <w:pPr>
        <w:spacing w:after="0" w:line="3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from March 31, 2016 through the date of the issuance of these condensed consolidated financial statements.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2015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³500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³200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also began marketing Vascepa in the United States for the treatment of the patient population studied in the ANCHOR study based on the federal court declaration described below. In March 2016, we reached agreement with the FDA and U.S. government under which they agreed to be bound by the terms of the August 2015 judicial declaration. Vascepa is available in the United States by prescription only.</w:t>
      </w:r>
    </w:p>
    <w:p>
      <w:pPr>
        <w:spacing w:after="0" w:line="16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its Distributors, that in turn resell Vascepa to retail pharmacies for subsequent resale to patients and healthcare providers. We market Vascepa in the United States through our sales force of approximately 150 sales professionals, including sales representatives and their managers. In March 2014, we entered into a co-promotion agreement in the United States with Kowa Pharmaceuticals America, Inc. under which approximately 250 Kowa Pharmaceuticals America, Inc. sales representatives began to devote a substantial portion of their time to promoting Vascepa starting in May 2014.</w:t>
      </w:r>
    </w:p>
    <w:p>
      <w:pPr>
        <w:spacing w:after="0" w:line="158"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In February 2015, we announced an exclusive agreement with Eddingpharm (Asia) Macao Commercial Offshore Limited, or Eddingpharm, to develop and commercialize Vascepa capsules in Mainland China, Hong Kong, Macau and Taiwan, or the China Territory. We are also assessing other partnership opportunities for licensing Vascepa in other territories outside of the United States.</w:t>
      </w:r>
    </w:p>
    <w:p>
      <w:pPr>
        <w:spacing w:after="0" w:line="181"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 xml:space="preserve">Triglycerides are the main constituent of body fat in humans. Hypertriglyceridemia refers to a condition in which patients have high levels of triglycerides in the bloodstream. It is estimated that over 70 million adults in the United States have elevated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150 mg/dL), approximately 40 million adults in the United States have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200 mg/dL), and approximately 4.0 million people in the United States have severely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500 mg/dL), commonly known as very high triglyceride levels. Many patients with high triglyceride levels also have diabetes and other lipid level abnormalities such as high cholesterol. The patient condition of having more than one lipid level abnormality is referred to as mixed dyslipidemia. According to </w:t>
      </w:r>
      <w:r>
        <w:rPr>
          <w:rFonts w:ascii="Arial" w:cs="Arial" w:eastAsia="Arial" w:hAnsi="Arial"/>
          <w:sz w:val="17"/>
          <w:szCs w:val="17"/>
          <w:i w:val="1"/>
          <w:iCs w:val="1"/>
          <w:color w:val="auto"/>
        </w:rPr>
        <w:t>The American Heart Association Scientific Statement on Triglycerides and Cardiovascular Disease</w:t>
      </w:r>
      <w:r>
        <w:rPr>
          <w:rFonts w:ascii="Arial" w:cs="Arial" w:eastAsia="Arial" w:hAnsi="Arial"/>
          <w:sz w:val="17"/>
          <w:szCs w:val="17"/>
          <w:color w:val="auto"/>
        </w:rPr>
        <w:t xml:space="preserve"> (2011), triglycerides provide important information as a marker associated with the risk for heart disease and stroke, especially when an individual also has low high-density lipoprotein cholesterol, or HDL-C (often referred to as “good” cholesterol), and elevated levels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81"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four grams per day of Vascepa will be compared to cardiovascular event rates for patients on stable statin therapy plus placebo. The REDUCE-IT study is designed to be completed after reaching 1,612 aggregate cardiovascular events. Based on projected event rates, we estimate the onset of the target aggregate number of cardiovascular events to be reached in or about 2017 with study results then expected to be available and published in 2018. In March 2016, we announced that the onset of approximately 60% of the target aggregate number of primary cardiovascular events has triggered preparation for a pre-specified interim review of the efficacy and safety results by the independent data monitoring committee (DMC). We currently expect the independent interim analysis to be conducted in September or October 2016. As is typical, the statistical threshold for defining overwhelming efficacy on the primary endpoint at the interim analysis is considerably higher than the threshold for defining statistical significance at the end of the study and it is our expectation that the trial will run to completion. In addition, we have requested the DMC to not recommend stopping the study early based only upon achieving statistical significance for the primary endpoint, but to ensure that supportive trends of benefit are also consistently observed in certain secondary endpoints and subpopulations before recommending that the study be stopped early for overwhelming efficacy. The DMC has been more frequently examining interim reviews of the safety data from the study. Following each of these reviews, the DMC has communicated to us that we should continue the study as planned. We remain blinded to all data from the study. As previously announced, we reached the enrollment target of approximately 8,000 patients in March 2016 and have since begun to wind down patient enrollment on a country by country basis. Since patient enrollment commenced in 2011, more than 20,000 patient years of study experience have been accumulated in REDUCE-IT.</w:t>
      </w:r>
    </w:p>
    <w:p>
      <w:pPr>
        <w:spacing w:after="0" w:line="173" w:lineRule="exact"/>
        <w:rPr>
          <w:sz w:val="20"/>
          <w:szCs w:val="20"/>
          <w:color w:val="auto"/>
        </w:rPr>
      </w:pPr>
    </w:p>
    <w:p>
      <w:pPr>
        <w:ind w:right="200" w:firstLine="913"/>
        <w:spacing w:after="0" w:line="271" w:lineRule="auto"/>
        <w:rPr>
          <w:sz w:val="20"/>
          <w:szCs w:val="20"/>
          <w:color w:val="auto"/>
        </w:rPr>
      </w:pPr>
      <w:r>
        <w:rPr>
          <w:rFonts w:ascii="Arial" w:cs="Arial" w:eastAsia="Arial" w:hAnsi="Arial"/>
          <w:sz w:val="17"/>
          <w:szCs w:val="17"/>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labelling to be illegal off-label promotion, even if such promotion is truthful and non-misleading. In August 2015, we were granted preliminary relief in the form of a declaratory judgment in this lawsuit. The court declaration permitted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promote Vascepa to healthcare professionals as permitted by this court declaration and in March 2016, the parties obtained court approval of negotiated settlement terms under which the FDA and the U.S. government agreed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commenced the commercial launch of Vascepa in the United States in January 2013. We commenced sales and shipments of Vascepa at that time to our network of U.S.-based wholesalers. We now market Vascepa in the United States through our sales force of approximately 150 sales professionals, including sales representatives and their managers. Commencing in May 2014, in addition to promotion by our sales representatives, approximately 250 Kowa Pharmaceuticals America, Inc. sales representatives began promoting Vascepa. We also employ various marketing personnel to support our commercialization of Vascepa.</w:t>
      </w:r>
    </w:p>
    <w:p>
      <w:pPr>
        <w:spacing w:after="0" w:line="18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margins that increases during the term. The percentage of aggregate Vascepa gross margins earned by Kowa Pharmaceuticals America, Inc. was fifteen percent (15%) in 2015, is nineteen percent (19%) in 2016, and is scheduled to increase to low twenty percent levels in 2017 and 2018, subject to certain adjustments. The term of this co-promotion agreement expires on December 31, 2018, following which Kowa Pharmaceuticals America, Inc. will be entitled to earn tail royalties equal to declining fractions of the co-promotion fee in effect prior to such expiration for periods ranging from one to three years following such expiration.</w:t>
      </w:r>
    </w:p>
    <w:p>
      <w:pPr>
        <w:spacing w:after="0" w:line="183"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Based on monthly compilations of data provided by a third party, Symphony Health Solutions, the estimated number of normalized total Vascepa prescriptions for the three months ended March 31, 2016 and 2015 was approximately 201,000 and 130,000, respectively. According to data from another third party, IMS Health, the estimated number of normalized total Vascepa prescriptions for the three months ended March 31, 2016 and 2015 was approximately 214,000 and 137,000, respectively.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are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may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7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In August 2015, we and our co-promotion partner began communicating ANCHOR clinical trial data to targeted healthcare professionals. Such qualified communications are being made pursuant to the August 7, 2015 federal district court declaration and related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ongoing REDUCE-IT clinical trials of Vascepa. 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 non-refundable milestone payment of $1.0 million which became due upon successful submission of a clinical trial application with respect to the MARINE indication for Vascepa to the Chinese regulatory authority in March 2016, and future development, regulatory and sales-based milestone payments of up to an additional $153.0 million. Eddingpharm will also pay us tiered double-digit percentage royalties on net sales of Vascepa in the China Territory escalating to the high teens. We will supply finished product to Eddingpharm under negotiated terms.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continue to assess other partnership opportunities for licensing Vascepa in other territories outside of the United States.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Based on the results of REDUCE-IT, we may seek additional indications for Vascepa beyond the indications studied in the ANCHOR or MARINE trials.</w:t>
      </w:r>
    </w:p>
    <w:p>
      <w:pPr>
        <w:spacing w:after="0" w:line="18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REDUCE-IT is designed to enroll approximately 8,000 patients. This enrollment target has been reached and we have begun to wind down patient enrollment on a country by country basis. Since patient enrollment commenced in 2011, more than 20,000 patient years of study experience have been accumulated in REDUCE-IT.</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Completion of the REDUCE-IT study is designed to occur after reaching an aggregate number of cardiovascular events. Based on projected event rates, we estimate the onset of the target aggregate number of cardiovascular events to be reached in or about 2017 with study results then expected to be available in 2018. In March 2016, we announced that the onset of approximately 60% of the target aggregate number of primary cardiovascular events has triggered preparation for a pre-specified interim review of the efficacy and safety results by the independent DMC. We currently expect the independent interim analysis to be conducted in September or October 2016. As is typical, the statistical threshold for defining overwhelming efficacy on the primary endpoint at the interim analysis is considerably higher than the threshold for defining statistical significance at the end of the study and it is our expectation that the trial will run to completion. In addition, we have requested the DMC to not recommend stopping the study early based only upon achieving statistical significance for the primary endpoint, but to ensure that supportive trends of benefit are also consistently observed in certain secondary endpoints and subpopulations before recommending that the study be stopped early for overwhelming efficacy. Amarin remains blinded to all data from the study. Unless overwhelming efficacy and safety is declared by the DMC at the interim look or the study is halted due to a patient safety concern, Amarin personnel will remain blinded to the efficacy and safety data from the REDUCE-IT study until the study is complete. The DMC has periodically reviewed unblinded safety data since initiation of the REDUCE-IT study in 2011 and, after each such meeting to date, has recommended that the study be continued as planned. The pre-specified interim review at 60% of the target aggregate number of cardiovascular events will involve a look by the DMC in closed session at all efficacy and safety data available from the REDUCE-IT study at that time. Interim looks by independent DMCs are common in large, long-term outcomes studies. By design, it is most common for cardiovascular outcomes studies not to be stopped upon an interim look.</w:t>
      </w:r>
    </w:p>
    <w:p>
      <w:pPr>
        <w:spacing w:after="0" w:line="169"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w:t>
      </w:r>
    </w:p>
    <w:p>
      <w:pPr>
        <w:spacing w:after="0" w:line="117"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Prior to 2015, all of our active pharmaceutical ingredient, or API, that has been utilized in product sold was manufactured by two suppliers: Nisshin Pharma, Inc., or Nisshin, and Chemport, Inc., or Chemport. A significant portion of such API was purchased from Nisshin at a price that is higher than expected future average API costs. During 2015, we began purchasing API from a third supplier, Finorga SAS, or Novasep. The amount of supply we seek to purchase in future periods will depend on the level of growth of Vascepa revenues and minimum purchase commitments with certain suppliers. We continue efforts to expand, diversify and enhance our commercial supply chain.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We believe that our cash and cash equivalents of $81.4 million as of March 31, 2016 will be sufficient to fund our projected operations for at least the next twelve months. Depending on the level of cash generated from operations, additional capital may be required to sustain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All of our product revenue is derived from product sales of Vascepa, net of allowances, discounts, incentives, rebates,</w:t>
      </w:r>
      <w:r>
        <w:rPr>
          <w:rFonts w:ascii="Arial" w:cs="Arial" w:eastAsia="Arial" w:hAnsi="Arial"/>
          <w:sz w:val="16"/>
          <w:szCs w:val="16"/>
          <w:i w:val="1"/>
          <w:iCs w:val="1"/>
          <w:color w:val="auto"/>
        </w:rPr>
        <w:t xml:space="preserve"> </w:t>
      </w:r>
      <w:r>
        <w:rPr>
          <w:rFonts w:ascii="Arial" w:cs="Arial" w:eastAsia="Arial" w:hAnsi="Arial"/>
          <w:sz w:val="16"/>
          <w:szCs w:val="16"/>
          <w:color w:val="auto"/>
        </w:rPr>
        <w:t>chargebacks and returns. We sell product to a limited number of major wholesalers, as well as selected regional wholesalers and specialty pharmacy providers, or collectively, our Distributors, who resell the product to retail pharmacies for purposes of their reselling the product to fill patient prescriptions. We commenced our commercial launch in the United States in January 2013. In accordance with GAAP, until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 Through March 31, 2016, product returns were de minimis.</w:t>
      </w:r>
    </w:p>
    <w:p>
      <w:pPr>
        <w:spacing w:after="0" w:line="16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Up-front and milestone payments under such agreements are typically recognized as licensing revenue over the estimated period in which we are required to provide regulatory and development support and clinical and commercial supply pursuant to the agreements.</w:t>
      </w:r>
    </w:p>
    <w:p>
      <w:pPr>
        <w:spacing w:after="0" w:line="187" w:lineRule="exact"/>
        <w:rPr>
          <w:sz w:val="20"/>
          <w:szCs w:val="20"/>
          <w:color w:val="auto"/>
        </w:rPr>
      </w:pPr>
    </w:p>
    <w:p>
      <w:pPr>
        <w:jc w:val="both"/>
        <w:ind w:right="120" w:firstLine="913"/>
        <w:spacing w:after="0" w:line="31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includes the cost of API for Vascepa on which revenue was recognized during the period,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costs for encapsulation, packaging, shipment, supply management, insurance and quality assurance. The cost of the API included in cost of goods sold reflects the average cost method of inventory valuation and relief. This average cost reflects the actual purchase price of Vascepa API.</w:t>
      </w:r>
    </w:p>
    <w:p>
      <w:pPr>
        <w:spacing w:after="0" w:line="14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consists primarily of salaries and other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stock-based compensation expense, for personnel in our sales, marketing, executive, business development, finance and information technology functions, as well as co-promotion fees payable to Kowa Pharmaceuticals America, Inc. Other costs primarily include facility costs and professional fees for accounting, consulting and legal services.</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as well as costs of product supply received from suppliers when such receipt by us is prior to regulatory approval of the supplier. We expense research and development costs as incurred.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i w:val="1"/>
          <w:iCs w:val="1"/>
          <w:color w:val="auto"/>
        </w:rPr>
        <w:t xml:space="preserve">(Loss) Gain on Change in Fair Value of Derivative Liabilities. </w:t>
      </w:r>
      <w:r>
        <w:rPr>
          <w:rFonts w:ascii="Arial" w:cs="Arial" w:eastAsia="Arial" w:hAnsi="Arial"/>
          <w:sz w:val="18"/>
          <w:szCs w:val="18"/>
          <w:color w:val="auto"/>
        </w:rPr>
        <w:t>(Loss) gain on change in fair value of derivative liabilities is comprised of: (i)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fair value of the warrant derivative liability, (ii) the change in fair value of the derivative liability related to the change in control provision associated with the December 2012 financing with BioPharma Secured Debt Fund II Holdings Cayman LP, or BioPharma, (iii) the change in fair value of the derivative liabilities related to the change in control provisions associated with the May 2014 and November 2015 exchangeable senior notes; and (iv) the change in fair value of the derivative liability related to the preferred stock purchase option.</w:t>
      </w:r>
    </w:p>
    <w:p>
      <w:pPr>
        <w:spacing w:after="0" w:line="188"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i w:val="1"/>
          <w:iCs w:val="1"/>
          <w:color w:val="auto"/>
        </w:rPr>
        <w:t xml:space="preserve">Interest and Other Expense, Net. </w:t>
      </w:r>
      <w:r>
        <w:rPr>
          <w:rFonts w:ascii="Arial" w:cs="Arial" w:eastAsia="Arial" w:hAnsi="Arial"/>
          <w:sz w:val="16"/>
          <w:szCs w:val="16"/>
          <w:color w:val="auto"/>
        </w:rPr>
        <w:t>Interest expense consists of interest incurred under lease obligations, interest incurred under our 3.5%</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notes and interest incurred under our December 2012 financing arrangement with BioPharma. Interest expense under our exchangeable notes includes the amortization of the conversion option related to our exchangeable debt, the amortization of the related debt discounts and debt obligation coupon interest. Interest expense under our BioPharma financing arrangement is calculated based on an estimated repayment schedule. Interest income consists of interest earned on our cash and cash equivalents. Other expense, net, consists primarily of foreign exchange losses and gains.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condensed consolidated financial statements included elsewhere in this Quarterly Report on Form 10-Q. We believe the following critical accounting policies affect our more significant judgments and estimates used in the preparation of our consolidated financial statements.</w:t>
      </w:r>
    </w:p>
    <w:p>
      <w:pPr>
        <w:spacing w:after="0" w:line="182"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—We sell Vascepa principally to a limited number of Distributors, that in turn resell Vascepa to retail pharmacies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resell it to patients and healthcare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8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began recognizing revenue from the sale of Vascepa following our commercial launch in the United States in January 2013. Prior to 2013, we recognized no revenue from Vascepa sales. 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 Consequently, we recognized revenues of $25.3 million and $15.6 million based on sales to Distributors during the three months ended March 31, 2016 and 2015, respectively. Through March 31, 2016, product returns were de minimis.</w:t>
      </w:r>
    </w:p>
    <w:p>
      <w:pPr>
        <w:spacing w:after="0" w:line="165" w:lineRule="exact"/>
        <w:rPr>
          <w:sz w:val="20"/>
          <w:szCs w:val="20"/>
          <w:color w:val="auto"/>
        </w:rPr>
      </w:pPr>
    </w:p>
    <w:p>
      <w:pPr>
        <w:ind w:right="60" w:firstLine="913"/>
        <w:spacing w:after="0" w:line="285" w:lineRule="auto"/>
        <w:rPr>
          <w:sz w:val="20"/>
          <w:szCs w:val="20"/>
          <w:color w:val="auto"/>
        </w:rPr>
      </w:pPr>
      <w:r>
        <w:rPr>
          <w:rFonts w:ascii="Arial" w:cs="Arial" w:eastAsia="Arial" w:hAnsi="Arial"/>
          <w:sz w:val="16"/>
          <w:szCs w:val="16"/>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w:t>
      </w:r>
    </w:p>
    <w:p>
      <w:pPr>
        <w:spacing w:after="0" w:line="2" w:lineRule="exact"/>
        <w:rPr>
          <w:sz w:val="20"/>
          <w:szCs w:val="20"/>
          <w:color w:val="auto"/>
        </w:rPr>
      </w:pPr>
    </w:p>
    <w:p>
      <w:pPr>
        <w:ind w:firstLine="8"/>
        <w:spacing w:after="0" w:line="290" w:lineRule="auto"/>
        <w:tabs>
          <w:tab w:leader="none" w:pos="2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Solutions and IMS Health in estimating the level of inventory held in the distribution channel. A hypothetical 5% change in estimated channel inventory would result in a change of approximately 0.5% in net product revenues reported during each of the three months ended March 31, 2016 and 2015.</w:t>
      </w:r>
    </w:p>
    <w:p>
      <w:pPr>
        <w:spacing w:after="0" w:line="164"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When evaluating multiple-element arrangements, we identify the deliverables included within the agreement and evaluate which deliverables represent separate units of accounting based on whether the delivered element has stand-alone value to the collaborator or if the arrangement includes a general right of return for delivered items. We may receive up-front, non-refundable payments when licensing our intellectual property in conjunction with research and development agreements. In determining the units of accounting, we evaluate whether the license has stand-alone value from the undelivered elements to the collaborative partner based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independently.</w:t>
      </w:r>
    </w:p>
    <w:p>
      <w:pPr>
        <w:spacing w:after="0" w:line="124"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When we believe a license to our intellectual property does not have stand-alone value from the other deliverables to be provided in the arrangement, we generally recognize revenue attributable to the license over the contractual or estimated performance period. Any unrecognized portion of license revenue is classified within deferred revenue in the accompanying consolidated balance sheets. When we believe a license to our intellectual property has stand-alone value, we recognize revenue attributed to the license upon delivery. The periods over which revenue is recognized is subject to estimates and may change over the course of the agreement. Such a change could have a material impact on the amount of revenue we record in future periods.</w:t>
      </w:r>
    </w:p>
    <w:p>
      <w:pPr>
        <w:spacing w:after="0" w:line="158"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w:t>
      </w:r>
      <w:r>
        <w:rPr>
          <w:rFonts w:ascii="Arial" w:cs="Arial" w:eastAsia="Arial" w:hAnsi="Arial"/>
          <w:sz w:val="16"/>
          <w:szCs w:val="16"/>
          <w:i w:val="1"/>
          <w:iCs w:val="1"/>
          <w:color w:val="auto"/>
        </w:rPr>
        <w:t xml:space="preserve"> </w:t>
      </w:r>
      <w:r>
        <w:rPr>
          <w:rFonts w:ascii="Arial" w:cs="Arial" w:eastAsia="Arial" w:hAnsi="Arial"/>
          <w:sz w:val="16"/>
          <w:szCs w:val="16"/>
          <w:color w:val="auto"/>
        </w:rPr>
        <w:t>gains and losses arising for changes in fair value recognized in the statement of operations. The fair value of derivative financial liabilities is determined using various valuation techniques. We use our judgment to select a variety of methods and make assumptions that are mainly based on market conditions existing at each balance sheet date, which include our projections for future estimated revenues, management estimates of the probability of a change in control occurring, and the terms of debt issues of similar companies. Fluctuations in the assumptions used in the valuation model would result in adjustments to the fair value of the derivative liabilities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certain outstanding warrants (extinguished during the three months ended March 31, 2015), the change in control provision associated with our December 2012 debt financing and the change in control provision associated with our May 2014 and November 2015 exchangeable senior notes.</w:t>
      </w:r>
    </w:p>
    <w:p>
      <w:pPr>
        <w:spacing w:after="0" w:line="173"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i w:val="1"/>
          <w:iCs w:val="1"/>
          <w:color w:val="auto"/>
        </w:rPr>
        <w:t>Inventory</w:t>
      </w:r>
      <w:r>
        <w:rPr>
          <w:rFonts w:ascii="Arial" w:cs="Arial" w:eastAsia="Arial" w:hAnsi="Arial"/>
          <w:sz w:val="16"/>
          <w:szCs w:val="16"/>
          <w:color w:val="auto"/>
        </w:rPr>
        <w:t>—We capitalize purchases of saleable inventory of Vascepa from suppliers that have been qualified by the FDA. During the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we purchased API for Vascepa from three FDA-approved suppliers. If we add a new API supplier, all Vascepa API purchased from such supplier is included as a component of research and development expense until the new API supplier is approved. Upon sNDA approval of each additional supplier, we capitalize subsequent Vascepa API purchases from such supplier as inventory. We state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we will reduce the carrying value of such inventory to market value. We expense inventory identified for use as marketing samples when they are packaged. The average cost reflects the actual purchase price of Vascepa API. Additionally, the determination of the classification of our inventory requires the use of estimates in order to determine the portion of inventories anticipated to be utilized within twelve months of the balance sheet date.</w:t>
      </w:r>
    </w:p>
    <w:p>
      <w:pPr>
        <w:spacing w:after="0" w:line="16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6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87"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been historically profitable in the United States. When making our assessment about the realization of its U.S. deferred tax assets at March 31, 2016, we considered all available evidence, placing particular weight on evidence that could be objectively verified. The evidence considered included the (i) historical profitability of our U.S. operations, (ii) sources of future taxable income, giving weight to sources according to the extent to which they can be objectively verified and (iii) the risks to our business related to the commercialization and development of Vascepa. Based on our assessment, we concluded that the U.S. deferred tax assets are more likely than not to be realizable as of March 31, 2016. The majority of our deferred tax assets are held outside of the United States, for which we have established a full valuation allowance.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us as of the specified effective date. We considered the following recent accounting pronouncements which were not yet adopted as of March 31, 2016:</w:t>
      </w:r>
    </w:p>
    <w:p>
      <w:pPr>
        <w:spacing w:after="0" w:line="124"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our fiscal year beginning January 1, 2018. Early adoption is permitted, but not before the original effective date. We are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ASU 2014-15 requires management to assess an entity’s ability to continue as a</w:t>
      </w:r>
      <w:r>
        <w:rPr>
          <w:rFonts w:ascii="Arial" w:cs="Arial" w:eastAsia="Arial" w:hAnsi="Arial"/>
          <w:sz w:val="16"/>
          <w:szCs w:val="16"/>
          <w:i w:val="1"/>
          <w:iCs w:val="1"/>
          <w:color w:val="auto"/>
        </w:rPr>
        <w:t xml:space="preserve"> </w:t>
      </w:r>
      <w:r>
        <w:rPr>
          <w:rFonts w:ascii="Arial" w:cs="Arial" w:eastAsia="Arial" w:hAnsi="Arial"/>
          <w:sz w:val="16"/>
          <w:szCs w:val="16"/>
          <w:color w:val="auto"/>
        </w:rPr>
        <w:t>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We have determined that this standard would not have a material impact on our consolidated financial statements based on the assessment of our ability to continue as a going concern as of March 31, 2016.</w:t>
      </w:r>
    </w:p>
    <w:p>
      <w:pPr>
        <w:spacing w:after="0" w:line="16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The amendments in this ASU require that in-scope inventory should be measured at the lower of cost and net realizable value. Net realizable value is the estimated selling price in the ordinary course of business, less reasonably predictable costs of completion, disposal, and transportation. The amendments do not apply to inventory that is measured using last-in, first-out (LIFO) or the retail inventory method but applies to all other inventory, which include inventory that is measured using first-in, first-out (FIFO) or average cost. This standard is effective for fiscal years beginning after December 15, 2016, including interim periods within those fiscal years. Early application is permitted. We are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Assets and Financial Liabilities</w:t>
      </w:r>
      <w:r>
        <w:rPr>
          <w:rFonts w:ascii="Arial" w:cs="Arial" w:eastAsia="Arial" w:hAnsi="Arial"/>
          <w:sz w:val="17"/>
          <w:szCs w:val="17"/>
          <w:color w:val="auto"/>
        </w:rPr>
        <w:t>. The new guidance is intended to improve the recognition and measurement of financial instruments by requiring</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We are currently evaluating the accounting, transition and disclosure requirements of the standard and cannot currently estimate the financial statement impact of adoption.</w:t>
      </w:r>
    </w:p>
    <w:p>
      <w:pPr>
        <w:spacing w:after="0" w:line="188"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We are currently evaluating the accounting, transition and disclosure requirements of the standard and cannot currently estimate the financial statement impact of adoption.</w:t>
      </w:r>
    </w:p>
    <w:p>
      <w:pPr>
        <w:spacing w:after="0" w:line="18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In March 2016, the FASB issued ASU No. 2016-08, </w:t>
      </w:r>
      <w:r>
        <w:rPr>
          <w:rFonts w:ascii="Arial" w:cs="Arial" w:eastAsia="Arial" w:hAnsi="Arial"/>
          <w:sz w:val="17"/>
          <w:szCs w:val="17"/>
          <w:i w:val="1"/>
          <w:iCs w:val="1"/>
          <w:color w:val="auto"/>
        </w:rPr>
        <w:t>Revenue from Contracts with Customers (Topic 606): Principal versus Agent Considerations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 Revenue Gross versus Net)</w:t>
      </w:r>
      <w:r>
        <w:rPr>
          <w:rFonts w:ascii="Arial" w:cs="Arial" w:eastAsia="Arial" w:hAnsi="Arial"/>
          <w:sz w:val="17"/>
          <w:szCs w:val="17"/>
          <w:color w:val="auto"/>
        </w:rPr>
        <w:t>. This amendment clarifies that an entity is a principal when it controls the specified good or service before that good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is transferred to the customer, and is an agent when it does not control the specified good or service before it is transferred to the customer. The new guidance is intended to improve the operability and understandability of the implementation guidance on principal versus agent considerations and is effective for fiscal years beginning January 1, 2018. Early adoption is permitted. We are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Also in March 2016, the FASB issued ASU No. 2016-09, </w:t>
      </w:r>
      <w:r>
        <w:rPr>
          <w:rFonts w:ascii="Arial" w:cs="Arial" w:eastAsia="Arial" w:hAnsi="Arial"/>
          <w:sz w:val="16"/>
          <w:szCs w:val="16"/>
          <w:i w:val="1"/>
          <w:iCs w:val="1"/>
          <w:color w:val="auto"/>
        </w:rPr>
        <w:t>Compensation—Stock Compensation (Topic 718): Improvements to Employee Share-Based Payment Accounting</w:t>
      </w:r>
      <w:r>
        <w:rPr>
          <w:rFonts w:ascii="Arial" w:cs="Arial" w:eastAsia="Arial" w:hAnsi="Arial"/>
          <w:sz w:val="16"/>
          <w:szCs w:val="16"/>
          <w:color w:val="auto"/>
        </w:rPr>
        <w:t>. The amendments in this ASU are intended to simplify several aspects of the accounting for share-based payment award</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including: (a) income tax consequences; (b) classification of awards as either equity or liabilities; and (c) classification on the statement of cash flows. The amendments require all income tax effects of awards to be recognized in the statement of operations when the awards vest or are settled, allows an employer to repurchase more of an employee’s shares than it previously could for tax withholding purposes without triggering liability accounting, and allows companies to make a policy election to account for forfeitures as they occur. This standard is effective for annual periods beginning after December 15, 2016, and interim periods within those annual periods. Early application is permitted. We are currently evaluating the accounting, transition and disclosure requirements of the standard and cannot currently estimate the financial statement impact of adoption.</w:t>
      </w:r>
    </w:p>
    <w:p>
      <w:pPr>
        <w:spacing w:after="0" w:line="16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April 2016, the FASB issued ASU No. 2016-10</w:t>
      </w:r>
      <w:r>
        <w:rPr>
          <w:rFonts w:ascii="Arial" w:cs="Arial" w:eastAsia="Arial" w:hAnsi="Arial"/>
          <w:sz w:val="18"/>
          <w:szCs w:val="18"/>
          <w:i w:val="1"/>
          <w:iCs w:val="1"/>
          <w:color w:val="auto"/>
        </w:rPr>
        <w:t>, Revenue from Contracts with Customers (Topic 606): Identifying Performance Obligations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Licensing</w:t>
      </w:r>
      <w:r>
        <w:rPr>
          <w:rFonts w:ascii="Arial" w:cs="Arial" w:eastAsia="Arial" w:hAnsi="Arial"/>
          <w:sz w:val="18"/>
          <w:szCs w:val="18"/>
          <w:color w:val="auto"/>
        </w:rPr>
        <w:t>. The amendments clarify the following two aspects of Topic 606: (a) identifying performance obligations; and (b) the licensing implementation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The amendments do not change the core principle of the guidance in Topic 606 and is effective for fiscal years beginning January 1, 2018. Early application is permitted only as of annual reporting periods beginning after December 15, 2016, including interim reporting periods within that reporting period. We are currently evaluating the accounting, transition and disclosure requirements of the standard and cannot currently estimate the financial statement impact of adoption.</w:t>
      </w:r>
    </w:p>
    <w:p>
      <w:pPr>
        <w:spacing w:after="0" w:line="193"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We believe that the impact of other recently issued but not yet adopted accounting pronouncements will not have a material impact on consolidated financial position, results of operations, and cash flows, or do not apply to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2016 and March 31, 2015</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We recorded product revenue of $25.3 million and $15.6 million during the three months ended March 31, 2016 and 2015,</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an increase of $9.7 million, or 63%. This increase in revenue was driven primarily by an increase in estimated normalized total Vascepa prescriptions as well as an increase in the net selling price of Vascepa. Based on data provided by Symphony Health Solutions and IMS Health, estimated normalized total Vascepa prescriptions were approximately 71,000 and 77,000, respectively, representing growth of 55% and 56%, respectively, over the three months ended March 31, 2015. The level of inventories held by our customers as of March 31, 2016 was slightly lower as compared to inventories held as of March 31, 2015 based on days on hand. All of our product revenue in the three months ended March 31, 2016 and 2015 was derived from product sales of Vascepa, net of allowances, discounts, incentives, rebates, chargebacks and returns. Through March 31, 2016, product returns of Vascepa were de minimis. Timing of shipments to wholesalers, as used for revenue recognition, and timing of prescriptions as estimated by third-party sources such as Symphony Health Solutions and IMS Health may differ from period to period.</w:t>
      </w:r>
    </w:p>
    <w:p>
      <w:pPr>
        <w:spacing w:after="0" w:line="182"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During the quarters ended March 31, 2016 and 2015,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March 31, 2016 and 2015 was up to $70 per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i w:val="1"/>
          <w:iCs w:val="1"/>
          <w:color w:val="auto"/>
        </w:rPr>
        <w:t xml:space="preserve">Licensing Revenue. </w:t>
      </w:r>
      <w:r>
        <w:rPr>
          <w:rFonts w:ascii="Arial" w:cs="Arial" w:eastAsia="Arial" w:hAnsi="Arial"/>
          <w:sz w:val="18"/>
          <w:szCs w:val="18"/>
          <w:color w:val="auto"/>
        </w:rPr>
        <w:t>Licensing revenue during the three months ended March 31, 2016 and 2015 was $0.24 million and $0.38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 decrease of $0.14 million, or 37%. Licensing revenue relates primarily to the amortization of a $15.0 million up-front payment received in February 2015 associated with a Vascepa licensing agreement for the China Territory. The up-front payment is being recognized over the estimated period in which we are required to provide regulatory and development support and clinical and commercial supply, which is currently anticipated to be a period of approximately 16 years. The amount of licensing revenue recorded may be variable from period to period based on changes in estimates of the timing and level of support required.</w:t>
      </w:r>
    </w:p>
    <w:p>
      <w:pPr>
        <w:spacing w:after="0" w:line="193"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March 31, 2016 and 2015 was $6.9 million and $5.6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$1.3 million, or 23%.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API included in the calculation of the average cost of goods sold during the quarters ended March 31, 2016 and 2015 was sourced from three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w:t>
      </w:r>
    </w:p>
    <w:p>
      <w:pPr>
        <w:spacing w:after="0" w:line="18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gross margin on product sales for the three months ended March 31, 2016 and 2015 was 73% and 64%,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March 31, 2016 and 2015</w:t>
      </w:r>
      <w:r>
        <w:rPr>
          <w:rFonts w:ascii="Arial" w:cs="Arial" w:eastAsia="Arial" w:hAnsi="Arial"/>
          <w:sz w:val="18"/>
          <w:szCs w:val="18"/>
          <w:i w:val="1"/>
          <w:iCs w:val="1"/>
          <w:color w:val="auto"/>
        </w:rPr>
        <w:t xml:space="preserve"> </w:t>
      </w:r>
      <w:r>
        <w:rPr>
          <w:rFonts w:ascii="Arial" w:cs="Arial" w:eastAsia="Arial" w:hAnsi="Arial"/>
          <w:sz w:val="18"/>
          <w:szCs w:val="18"/>
          <w:color w:val="auto"/>
        </w:rPr>
        <w:t>was $28.0 million and $24.7 million, respectively, an increase of $3.3 million, or 13%. Selling, general and administrative expenses for the three months ended March 31, 2016 and 2015 are summarized in the table below (in thousands):</w:t>
      </w:r>
    </w:p>
    <w:p>
      <w:pPr>
        <w:spacing w:after="0" w:line="200"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 (1)</w:t>
            </w:r>
          </w:p>
        </w:tc>
        <w:tc>
          <w:tcPr>
            <w:tcW w:w="17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$21,638</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$21,029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Co-promotion fees (2)</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3,498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Non-cash warrant related compensation income</w:t>
            </w:r>
          </w:p>
        </w:tc>
        <w:tc>
          <w:tcPr>
            <w:tcW w:w="17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28,020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580" w:right="40" w:hanging="572"/>
        <w:spacing w:after="0" w:line="253"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and co-promotion fees, for the three months ended March 31, 2016 and 2015 was $21.6 million and $21.0 million, respectively, an increase of $0.6 million, or 3%. The increase is due primarily to increased sales and marketing spend in support of expanded Vascepa promotion following the federal court declaration on August 7, 2015 and related settlement on March 8, 2016 allowing communication of truthful and non-misleading ANCHOR clinical trial data to be communicated to healthcare professionals, partially offset by a decrease of approximately $2.2 million in legal costs associated with the timing of various legal matters.</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Co-promotion fees payable to Kowa Pharmaceuticals America, Inc. for the three months ended March 31, 2016 and 2015 were $3.5 million and $1.5 million, respectively, an increase of $2.0 million, or 135%. The increase is due primarily to an increase in gross margin on product sales in the first quarter of 2016 compared to the first quarter of 2015, coupled with an increase in the percentage of aggregate Vascepa gross margins earned by Kowa Pharmaceuticals America, Inc. from 15% in 2015 to 19% in 2016.</w:t>
      </w:r>
    </w:p>
    <w:p>
      <w:pPr>
        <w:spacing w:after="0" w:line="1" w:lineRule="exact"/>
        <w:rPr>
          <w:rFonts w:ascii="Arial" w:cs="Arial" w:eastAsia="Arial" w:hAnsi="Arial"/>
          <w:sz w:val="18"/>
          <w:szCs w:val="18"/>
          <w:color w:val="auto"/>
        </w:rPr>
      </w:pPr>
    </w:p>
    <w:p>
      <w:pPr>
        <w:ind w:left="580" w:hanging="572"/>
        <w:spacing w:after="0" w:line="323"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Stock-based compensation expense for the three months ended March 31, 2016 and 2015 was $2.9 million and $2.2 million, respectively, an increase of $0.7 million, or 29%, primarily due to an increase in new stock option and restricted stock awards granted to attract and retain qualified employees.</w:t>
      </w:r>
    </w:p>
    <w:p>
      <w:pPr>
        <w:spacing w:after="0" w:line="139"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We currently anticipate that prior to REDUCE-IT data, our selling, general and administrative costs in 2016 as a whole will be substantially consistent with that in 2015, with the exception of non-cash costs and anticipated increases in the co-promotion fees earned by Kowa Pharmaceuticals America, Inc. based on anticipated increases in net product revenues and the terms of our co-promotion agreement with Kowa Pharmaceuticals America, Inc.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March 31, 2016 and 2015 was $13.7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$12.6 million, respectively, an increase of $1.1 million, or 9%. Research and development expenses for the three months ended March 31, 2016 and 2015 are summarized in the table below (in thousands):</w:t>
      </w:r>
    </w:p>
    <w:p>
      <w:pPr>
        <w:spacing w:after="0" w:line="20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Three Months Ended</w:t>
      </w:r>
    </w:p>
    <w:p>
      <w:pPr>
        <w:jc w:val="center"/>
        <w:ind w:left="68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(3)</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13,017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11,803</w:t>
            </w:r>
          </w:p>
        </w:tc>
        <w:tc>
          <w:tcPr>
            <w:tcW w:w="10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(4)</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13,730</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12,614</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increase in research and development expenses for the quarter ended March 31, 2016, as compared to the prior year period, is primarily due to quarterly variability in costs related to the REDUCE-IT study.</w:t>
      </w:r>
    </w:p>
    <w:p>
      <w:pPr>
        <w:spacing w:after="0" w:line="76" w:lineRule="exact"/>
        <w:rPr>
          <w:sz w:val="20"/>
          <w:szCs w:val="20"/>
          <w:color w:val="auto"/>
        </w:rPr>
      </w:pPr>
    </w:p>
    <w:p>
      <w:pPr>
        <w:ind w:left="460" w:right="80" w:hanging="452"/>
        <w:spacing w:after="0" w:line="266"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three months ended March, 31, 2016 and 2015, we incurred expenses through our CRO in connection with this trial of approximately $7.6 million and $6.6 million, respectively. Inclusive of CTM costs, the combined CRO and CTM costs during the three months ended March 31, 2016 and 2015 for REDUCE-IT were approximately $9.4 million and $8.4 million, respectively. The increase in expenses in 2016 as compared to 2015 is primarily the result of timing variability for REDUCE-IT costs. We expense costs for CTM when allocated to clinical research. The aggregate cost of this outcomes study will depend on the rate of clinical events in the study. We currently estimate that we will incur $30 million to $40 million in annual costs through study completion and the rate at which we incur such costs will vary from quarter to quarter. The study is designed to be completed after reaching 1,612 aggregate cardiovascular events. Based on projected event rates, we estimate the onset of the target aggregate number of cardiovascular events to be reached in or about 2017 with study results then expected to be available and published in 2018. We anticipate that our costs for this outcomes study will continue to represent the most significant component of our research and development expenditures.</w:t>
      </w:r>
    </w:p>
    <w:p>
      <w:pPr>
        <w:spacing w:after="0" w:line="5" w:lineRule="exact"/>
        <w:rPr>
          <w:rFonts w:ascii="Arial" w:cs="Arial" w:eastAsia="Arial" w:hAnsi="Arial"/>
          <w:sz w:val="17"/>
          <w:szCs w:val="17"/>
          <w:color w:val="auto"/>
        </w:rPr>
      </w:pPr>
    </w:p>
    <w:p>
      <w:pPr>
        <w:ind w:left="460" w:hanging="452"/>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regulatory filing fees in each of the quarters ended March 31, 2016 and 2015 included annual FDA fees for maintaining manufacturing sites.</w:t>
      </w:r>
    </w:p>
    <w:p>
      <w:pPr>
        <w:spacing w:after="0" w:line="20" w:lineRule="exact"/>
        <w:rPr>
          <w:rFonts w:ascii="Arial" w:cs="Arial" w:eastAsia="Arial" w:hAnsi="Arial"/>
          <w:sz w:val="17"/>
          <w:szCs w:val="17"/>
          <w:color w:val="auto"/>
        </w:rPr>
      </w:pPr>
    </w:p>
    <w:p>
      <w:pPr>
        <w:ind w:left="460" w:right="24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Research and development costs, excluding non-cash costs, are expected to vary from quarter to quarter in 2016 due to the timing of REDUCE-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costs.</w:t>
      </w:r>
    </w:p>
    <w:p>
      <w:pPr>
        <w:spacing w:after="0" w:line="21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i w:val="1"/>
          <w:iCs w:val="1"/>
          <w:color w:val="auto"/>
        </w:rPr>
        <w:t>(Loss) Gain on Change in Fair Value of Derivative Liabilities</w:t>
      </w:r>
      <w:r>
        <w:rPr>
          <w:rFonts w:ascii="Arial" w:cs="Arial" w:eastAsia="Arial" w:hAnsi="Arial"/>
          <w:sz w:val="18"/>
          <w:szCs w:val="18"/>
          <w:color w:val="auto"/>
        </w:rPr>
        <w:t>. (Loss) gain on change in fair value of derivative liabilities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2016 was a loss of $1.3 million versus a gain of $0.5 million in the prior year period. (Loss) gain on change in fair value of derivative liabilities is comprised of (i) the change in fair value of the warrant derivative liability, (ii) the change in fair value of the derivative liability related to the change in control provision associated with the December 2012 BioPharma financing, (iii) the change in fair value of the derivative liabilities related to the change in control provisions associated with the May 2014 and November 2015 exchangeable senior notes; and (iv) the change in fair value of the derivative liability related to the preferred stock purchase option.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warrant derivative liability was related to the change in fair value of warrants issued in conjunction with the October 2009 private placement. In October 2009 we issued 36.1 million warrants at an exercise price of $1.50 per warrant and recorded a $48.3 million warrant derivative liability, representing the fair value of the warrants issued. As these warrants were classified as a derivative liability, they were revalued at each reporting period, with changes in fair value recognized in the statement of operations. Of the 8,087,388 warrants outstanding as of December 31, 2014, 1,844,585 warrants were exercised and the remaining 6,242,803 warrants expired on February 27, 2015. As such, no warrants were outstanding as of March 31, 2015 and the derivative liability was extinguished. The fair value of the warrant derivative liability as of December 31, 2014 was $0.1 million and we recognized a $0.1 million gain on change in fair value of derivative liability for the three months ended March 31, 2015. There was no such change in fair value of derivative liability for the three months ended March 31, 2016.</w:t>
      </w:r>
    </w:p>
    <w:p>
      <w:pPr>
        <w:spacing w:after="0" w:line="179" w:lineRule="exact"/>
        <w:rPr>
          <w:sz w:val="20"/>
          <w:szCs w:val="20"/>
          <w:color w:val="auto"/>
        </w:rPr>
      </w:pPr>
    </w:p>
    <w:p>
      <w:pPr>
        <w:ind w:right="120" w:firstLine="913"/>
        <w:spacing w:after="0" w:line="253" w:lineRule="auto"/>
        <w:rPr>
          <w:sz w:val="20"/>
          <w:szCs w:val="20"/>
          <w:color w:val="auto"/>
        </w:rPr>
      </w:pPr>
      <w:r>
        <w:rPr>
          <w:rFonts w:ascii="Arial" w:cs="Arial" w:eastAsia="Arial" w:hAnsi="Arial"/>
          <w:sz w:val="18"/>
          <w:szCs w:val="18"/>
          <w:color w:val="auto"/>
        </w:rPr>
        <w:t>Our December 2012 financing agreement with BioPharma contains a redemption feature whereby, upon a change of control, we would be required to repay $150 million, less any previously repaid amount.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December 31, 2015, the fair value of the derivative was determined to be $5.5 million, and as of March 31, 2016, the fair value of the derivative was determined to be $5.9 million. As such, we recognized a $0.4 million loss on change in fair value of derivative liability for the three months ended March 31, 2016. As of December 31, 2014, the fair value of the derivative was determined to be $4.8 million, and as of March 31, 2015, the fair value of the derivative was also determined to be $4.8 million. As such, we recognized no change in fair value of derivative liability for the three months ended March 31, 2015.</w:t>
      </w:r>
    </w:p>
    <w:p>
      <w:pPr>
        <w:spacing w:after="0" w:line="197"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Our 2014 Notes, issued in May 2014,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December 31, 2015, the fair value of the derivative was determined to be $2.1 million, and as of March 31, 2016, the fair value of the derivative was determined to be $2.8 million. As such, we recognized a $0.7 million loss on change in fair value of derivative liability for the three months ended March 31, 2016. As of December 31, 2014, the fair value of the derivative was determined to be $2.6 million, and as of March 31, 2015, the fair value of the derivative was determined to be $1.3 million. As such, we recognized a $1.3 million gain on change in fair value of derivative liability for the three months ended March 31, 2015.</w:t>
      </w:r>
    </w:p>
    <w:p>
      <w:pPr>
        <w:spacing w:after="0" w:line="166"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Our 2015 Notes, issued in November 2015, contain the same redemption feature as the 2014 Notes and the related derivative liability was calculated utilizing the same methodology. As of December 31, 2015, the fair value of the derivative was determined to be $0.6 million and as of March 31, 2016, the fair value of the derivative was determined to be $0.7 million. As such, we recognized a $0.1 million loss on change in fair value of derivative liability for the three months ended March 31, 2016. There was no such change in fair value of derivative liability for the three months ended March 31, 2015.</w:t>
      </w:r>
    </w:p>
    <w:p>
      <w:pPr>
        <w:spacing w:after="0" w:line="154"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In connection with the closing of a private placement transaction in early March 2015, we recorded a 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The liability was charged to accumulated deficit as a deemed non-cash dividend and was therefore reflected as an adjustment to net loss applicable to common shareholders for earnings per common share purposes in accordance with GAAP for the three months ended March 31, 2015. The liability was then marked to fair value through March 30, 2015, the date on which we executed a separate subscription agreement with the investor, resulting in a charge of $0.9 million through (loss) gain on change in fair value of derivatives in the three months ended March 31, 2015. The liability was reclassified to permanent equity on such date. There was no such change in fair value of derivative liability for the three months ended March 31, 2016.</w:t>
      </w:r>
    </w:p>
    <w:p>
      <w:pPr>
        <w:spacing w:after="0" w:line="166"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is largely related to changes in quoted bond prices. Any changes in the assumptions used to value the derivative liabilities could result in a material change to the carrying value of such liabilities.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for the three months ended March 31, 2016 and 2015 was $5.6 million and $4.9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$0.7 million, or 14%. Net interest expense for the three months ended March 31, 2016 and 2015 is summarized in the table below (in thousands):</w:t>
      </w:r>
    </w:p>
    <w:p>
      <w:pPr>
        <w:spacing w:after="0" w:line="200"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Three Months Ended</w:t>
      </w:r>
    </w:p>
    <w:p>
      <w:pPr>
        <w:jc w:val="center"/>
        <w:ind w:left="69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Amortization of debt discounts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$ 1,969</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Contractual coupon interest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1,312</w:t>
            </w:r>
          </w:p>
        </w:tc>
        <w:tc>
          <w:tcPr>
            <w:tcW w:w="120" w:type="dxa"/>
            <w:vAlign w:val="bottom"/>
            <w:shd w:val="clear" w:color="auto" w:fill="CCEEFF"/>
          </w:tcPr>
          <w:p>
            <w:pPr>
              <w:spacing w:after="0"/>
              <w:rPr>
                <w:sz w:val="18"/>
                <w:szCs w:val="18"/>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17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2,764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Cash interest—current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1,678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interest—deferred</w:t>
            </w:r>
          </w:p>
        </w:tc>
        <w:tc>
          <w:tcPr>
            <w:tcW w:w="1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Non-cash interest</w:t>
            </w:r>
          </w:p>
        </w:tc>
        <w:tc>
          <w:tcPr>
            <w:tcW w:w="17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2,133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7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4,897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 (3)</w:t>
            </w:r>
          </w:p>
        </w:tc>
        <w:tc>
          <w:tcPr>
            <w:tcW w:w="17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7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$ 5,586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4,885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three months ended March 31, 2016 and 2015 was $3.4 million and $2.8 million, respectively.</w:t>
      </w:r>
    </w:p>
    <w:p>
      <w:pPr>
        <w:spacing w:after="0" w:line="1"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Cash and non-cash interest expenses related to the BioPharma financing for the three months ended March 31, 2016 and 2015 were $2.2 million and $2.1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460" w:right="34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income for the three months ended March 31, 2016 and 2015 was $0.02 million and $0.01 million, respectively. Interest income represents income earned on cash balances.</w:t>
      </w:r>
    </w:p>
    <w:p>
      <w:pPr>
        <w:spacing w:after="0" w:line="184"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the three months ended March 31, 2016 and 2015 was $0.1 million in each period. Other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net, primarily consists of losses and gains on foreign exchange transactions.</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i w:val="1"/>
          <w:iCs w:val="1"/>
          <w:color w:val="auto"/>
        </w:rPr>
        <w:t xml:space="preserve">Benefit from Income Taxes. </w:t>
      </w:r>
      <w:r>
        <w:rPr>
          <w:rFonts w:ascii="Arial" w:cs="Arial" w:eastAsia="Arial" w:hAnsi="Arial"/>
          <w:sz w:val="18"/>
          <w:szCs w:val="18"/>
          <w:color w:val="auto"/>
        </w:rPr>
        <w:t>Benefit from income taxes for the three months ended March 31, 2016 and 2015 was $0.3 million and $0.5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current benefit relates entirely to the U.S. subsidiary operations. We are profitable in the United States as a result of intercompany transactions between our U.S. subsidiary and our other companies.</w:t>
      </w:r>
    </w:p>
    <w:p>
      <w:pPr>
        <w:spacing w:after="0" w:line="181" w:lineRule="exact"/>
        <w:rPr>
          <w:sz w:val="20"/>
          <w:szCs w:val="20"/>
          <w:color w:val="auto"/>
        </w:rPr>
      </w:pPr>
    </w:p>
    <w:p>
      <w:pPr>
        <w:ind w:right="200" w:firstLine="913"/>
        <w:spacing w:after="0" w:line="273" w:lineRule="auto"/>
        <w:rPr>
          <w:sz w:val="20"/>
          <w:szCs w:val="20"/>
          <w:color w:val="auto"/>
        </w:rPr>
      </w:pPr>
      <w:r>
        <w:rPr>
          <w:rFonts w:ascii="Arial" w:cs="Arial" w:eastAsia="Arial" w:hAnsi="Arial"/>
          <w:sz w:val="17"/>
          <w:szCs w:val="17"/>
          <w:i w:val="1"/>
          <w:iCs w:val="1"/>
          <w:color w:val="auto"/>
        </w:rPr>
        <w:t xml:space="preserve">Preferred Stock Purchase Option. </w:t>
      </w:r>
      <w:r>
        <w:rPr>
          <w:rFonts w:ascii="Arial" w:cs="Arial" w:eastAsia="Arial" w:hAnsi="Arial"/>
          <w:sz w:val="17"/>
          <w:szCs w:val="17"/>
          <w:color w:val="auto"/>
        </w:rPr>
        <w:t>In connection with the closing of a private placement transaction in early March 2015, we recorded a</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The liability was charged to accumulated deficit as a deemed non-cash dividend and was therefore reflected as an adjustment to net loss applicable to common shareholders for earnings per common share purposes in accordance with GAAP for the three months ended March 31, 2015. There was no such adjustment for the three months ended March 31,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Our sources of liquidity as of March 31, 2016 include cash and cash equivalents of $81.4 million. Our projected uses of cash include commercialization of Vascepa, the continued funding of the REDUCE-IT cardiovascular outcomes study, working capital and other general corporate activities. Our cash flows from operating, investing and financing activities, as reflected in the consolidated statements of cash flows, are summarized in the following table (in millions):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(24.8)</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60"/>
          </w:cols>
          <w:pgMar w:left="240" w:top="459" w:right="29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expect that our net cash used in operations during the three months ended March 31, 2016 will be the highest of any quarterly net cash used in operations during 2016, with reductions in net cash used in operations after March 31, 2016 resulting from anticipated increased collections from expected higher revenues and the timing of certain year-end expenses which were paid in the first quarter of 2016. Net cash used in operating activities during the three months ended March 31, 2016 compared to the three months ended March 31, 2015 increased primarily as a result of receipt in 2015 of $15.0 million in up-front proceeds from the Eddingpharm license agreement. Increased sales and marketing spend in 2016 in support of expanded Vascepa promotion was more than offset by higher collections from product sales.</w:t>
      </w:r>
    </w:p>
    <w:p>
      <w:pPr>
        <w:spacing w:after="0" w:line="193"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As of March 31, 2016, the net remaining amount to be repaid to BioPharma is $134.6 million. To date, our revenues have been below the contractual threshold amount such that each payment made has reflected the calculated optional reduction amount as opposed to the contractual threshold payments for each quarterly period. The maximum amount payable under the contractual threshold for 2016 is $35.1 million. The quarterly repayments through March 31, 2016 represented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69"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On January 9, 2012, through our wholly-owned subsidiary Corsicanto Limited, or Corsicanto, a private limited company incorporated under the laws of Ireland, we completed a private placement of $150.0 million in aggregate principal amount of 3.5% exchangeable senior notes due 2032, or the 2012 Notes. The proceeds we received from the January 2012 debt offering were approximately $144.3 million, net of fees and transaction costs. On May 20, 2014, we entered into separate, privately negotiated exchange agreements with certain holders of the 2012 Notes pursuant to which Corsicanto exchanged $118.7 million in aggregate principal amount of the 2012 Notes for $118.7 million in aggregate principal amount of new 3.5% May 2014 Exchangeable Senior Notes due 2032, or the 2014 Notes. In November 2015, $16.2 million of the 2012 Notes was extinguished, following which $15.1 million in aggregate principal amount of the 2012 Notes remains outstanding with terms unchanged.</w:t>
      </w:r>
    </w:p>
    <w:p>
      <w:pPr>
        <w:spacing w:after="0" w:line="178"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On November 24, 2015, we entered into a privately negotiated subscription agreement with one of our existing investors, or the Investor, pursuant to which the Investor agreed to purchase approximately $31.3 million in aggregate principal amount of new 3.5% November 2015 Exchangeable Senior Notes due 2032, or the 2015 Notes, for approximately $27.5 million.</w:t>
      </w:r>
    </w:p>
    <w:p>
      <w:pPr>
        <w:spacing w:after="0" w:line="18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83"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2014 Notes were issued pursuant to an indenture dated May 20, 2014 by and among Corsicanto, us as guarantor, and Wells Fargo Bank, National Association, as trustee. The notes are the senior unsecured obligations of Corsicanto and are guaranteed by us. The 2014 Notes have a stated interest rate of 3.5% per year, payable semiannually in arrears on January 15 and July 15 of each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year beginning on July 15, 2014, and ending upon the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their 2014 Notes at their option. If prior to January 15, 2018, a make-whole fundamental change (as defined in the Indenture) occurs or we elect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 The 2015 Notes have substantially identical terms to the 2014 Notes, except that the 2015 Notes were issued by us and are not guaranteed by any entity.</w:t>
      </w:r>
    </w:p>
    <w:p>
      <w:pPr>
        <w:spacing w:after="0" w:line="17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As of March 31, 2016, we had cash and cash equivalents of $81.4 million, a decrease of $25.6 million from December 31, 2015. The decrease is primarily due to net cash used in operating activities in support of the commercialization of Vascepa and funding of REDUCE-IT, less accounts receivable collections. We have incurred annual operating losses since our inception and, as a result, we had an accumulated deficit of $1.1 billion as of March 31, 2016. We believe that our cash and cash equivalents will be sufficient to fund our projected operations for at least the next twelve months. Depending on the level of cash generated from operations, additional capital may be required to sustain operations. We anticipate that quarterly net cash outflows in future periods will be variable.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We have Vascepa API supply agreements with three independent companies from which we purchase qualified API supply: Nisshin, Chemport, and Finorga SAS, or Novasep. We also have encapsulation agreements with three FDA-approved commercial API encapsulators for Vascepa manufacturing: Patheon, Inc. (formerly Banner Pharmacaps), Catalent Pharma Solutions, and Capsugel Plöermel SAS, LLC, or Capsugel. Our agreements with Chemport, Novasep, and Capsugel contain minimum annual purchase levels to enable us to maintain certain supply exclusivity and also contain a provision that any shortfall in the minimum purchase commitments is payable in cash. Each supplier is required to meet certain performance obligations and the agreements may be terminated by us in the event of non-performance.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have operating lease costs consisting of leases for facilities in Dublin, Ireland and Bedminster, NJ, offset by sublease rental income.</w:t>
      </w:r>
    </w:p>
    <w:p>
      <w:pPr>
        <w:spacing w:after="0" w:line="23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Under the terms of the agreement with BioPharma, we agreed to repay up to $150 million of future revenue and receivables. As of March 31, 2016, the net remaining amount to be repaid to BioPharma is $134.6 million. To date, each payment made has reflected the calculated optional reduction amount as opposed to the contractual threshold payments for each quarterly period. The maximum amount payable under the contractual threshold for 2016 is $35.1 million. The quarterly repayments through March 31, 2016 represented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and no cliff payment of the remaining balance is due except in the event of Company default or Company change of control.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93"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We have scheduled interest payments due under the terms of the 2012 Notes, 2014 Notes, and 2015 Notes, assuming that the 2012 Notes remain outstanding through January 19, 2017 and that the 2014 Notes and 2015 Notes remain outstanding through January 19, 2019 and they have not been exchanged for ADSs.</w:t>
      </w:r>
    </w:p>
    <w:p>
      <w:pPr>
        <w:spacing w:after="0" w:line="18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Concurrent with our supply agreement with Chemport entered into in 2011 for the supply of API materials for Vascepa, we agreed to make a non-controlling minority share equity investment in the supplier of up to $3.3 million. We invested $1.7 million under this agreement in July 2011 and the remaining $1.6 million during 2012. In September 2013, we entered into an equity sale and purchase agreement between this supplier and a third party in which we agreed to sell approximately $1.3 million of our investment in the supplier to the third party at cost. This transaction closed in the first quarter of 2014. In August 2014, we entered into a second equity sale and purchase agreement between this supplier and another third party in which we agreed to sell approximately $1.0 million of our remaining investment. This transaction closed in the fourth quarter of 2014. The remaining carrying amount of $0.2 million as of both March 31, 2016 and December 31, 2015 is included in other long term assets and is accounted for under the cost method.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$0.2 million in each of the three months ended March 31, 2016 and 2015. Also under the Laxdale agreement,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 $10.8 million as of March 31, 2016). Additionally, upon receipt of a marketing approval in the United States or Europe for a further indication of Vascepa (or further indication of any other product using Amarin Neuroscience Limited intellectual property), we must make an aggregate stock or cash payment (at the sole option of each of the sellers) of £5 million (approximately $7.2 million as of March 31, 2016) for each of the two potential market approvals (i.e. £10 million maximum, or approximately $14.4 million as of March 31, 2016).</w:t>
      </w:r>
    </w:p>
    <w:p>
      <w:pPr>
        <w:spacing w:after="0" w:line="183"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We have recorded a liability of $0.1 million for uncertain tax positions in other long-term liabilities as of March 31, 2016. We are not able to reasonably estimate in which future periods these amounts will ultimately be settled.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do not enter into financial instruments for trading or speculative purposes. As of March 31, 2016, we had no outstanding forward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contracts.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25, 2016.</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As of March 31, 2016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March 31, 2016,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During the quarter ended March 31, 2016,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2015 includes a discussion of our current legal proceedings. There have been no material changes to those disclosures as of the date of this filing other than as set forth below.</w:t>
      </w:r>
    </w:p>
    <w:p>
      <w:pPr>
        <w:spacing w:after="0" w:line="18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On May 7, 2015, we and a group of independent physicians filed a lawsuit in federal court to permit us to promote truthful and non-misleading information, including, but not limited to, the ANCHOR trial clinical data, with healthcare professionals in the United States about certain uses of Vascepa not included within approved FDA labeling of Vascepa and thus not permitted under the FDA’s interpretation of applicable law. The lawsuit,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Pharma, Inc., et al. v. Food &amp; Drug Administration, et al. </w:t>
      </w:r>
      <w:r>
        <w:rPr>
          <w:rFonts w:ascii="Arial" w:cs="Arial" w:eastAsia="Arial" w:hAnsi="Arial"/>
          <w:sz w:val="16"/>
          <w:szCs w:val="16"/>
          <w:color w:val="auto"/>
        </w:rPr>
        <w:t>(1:15-cv-03588-PAE), was filed in the United States District Court for the Southern District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York and sought a judicial declaration based on several legal theories. On August 7, 2015, the court granted our request for preliminary relief in this litigation through a declaratory judgment that confirmed that we may engage in truthful and non-misleading speech promoting the off-label use of Vascepa, i.e., to treat patients with persistently high triglycerides, and such speech may not form the basis of a misbranding action under the Federal Food and Drug Cosmetic Act. On March 8, 2016, the parties obtained court approval of negotiated settlement terms that resolved the causes of action raised in the litigation. Under the settlement, the FDA and the U.S. government agreed to be bound by the court’s conclusions from the August 7, 2015 declaration that we may engage in truthful and non-misleading speech promoting the off-label use of Vascepa and that certain statements and disclosures that we proposed to make to healthcare professionals were truthful and non-misleading as of such date.</w:t>
      </w:r>
    </w:p>
    <w:p>
      <w:pPr>
        <w:spacing w:after="0" w:line="17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On April 26, 2016, the U.S. District Court for the District of New Jersey granted our motion to dismiss the putative consolidated class action lawsuit captioned </w:t>
      </w:r>
      <w:r>
        <w:rPr>
          <w:rFonts w:ascii="Arial" w:cs="Arial" w:eastAsia="Arial" w:hAnsi="Arial"/>
          <w:sz w:val="16"/>
          <w:szCs w:val="16"/>
          <w:i w:val="1"/>
          <w:iCs w:val="1"/>
          <w:color w:val="auto"/>
        </w:rPr>
        <w:t>In re Amarin Corporation plc, Securities Litigation,</w:t>
      </w:r>
      <w:r>
        <w:rPr>
          <w:rFonts w:ascii="Arial" w:cs="Arial" w:eastAsia="Arial" w:hAnsi="Arial"/>
          <w:sz w:val="16"/>
          <w:szCs w:val="16"/>
          <w:color w:val="auto"/>
        </w:rPr>
        <w:t xml:space="preserve"> No. 3:13-cv-06663 (D.N.J. Nov. 1, 2013). The class action was dismissed without prejudice with leave for plaintiffs to file an amended complaint. The lawsuit sought unspecified monetary damages and attorneys’ fees and costs alleging that we and certain of our current and former officers and directors made misstatements and omissions regarding the FDA’s willingness to approve Vascepa’s ANCHOR indication and related contributing factors and the potential relevance of data from the ongoing REDUCE-IT trial to that potential approval. This is the second motion to dismiss granted in favor of Amarin and related defendants in this litigation. The first motion to dismiss in this litigation was granted in June 2015 in response to the original complaint and related amendment. Should plaintiffs file another amended complaint or appeal, we plan a vigorous defense. We have insurance coverage that is anticipated to cover any significant loss exposure that may arise from this action.</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filed with the SEC on February 25,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117"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As a result of our reliance on a single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are not successful, our business will be materially and adversely affected.</w:t>
      </w:r>
    </w:p>
    <w:p>
      <w:pPr>
        <w:spacing w:after="0" w:line="18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Even if we are able to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40"/>
        <w:spacing w:after="0" w:line="342" w:lineRule="auto"/>
        <w:rPr>
          <w:sz w:val="20"/>
          <w:szCs w:val="20"/>
          <w:color w:val="auto"/>
        </w:rPr>
      </w:pPr>
      <w:r>
        <w:rPr>
          <w:rFonts w:ascii="Arial" w:cs="Arial" w:eastAsia="Arial" w:hAnsi="Arial"/>
          <w:sz w:val="16"/>
          <w:szCs w:val="16"/>
          <w:b w:val="1"/>
          <w:bCs w:val="1"/>
          <w:i w:val="1"/>
          <w:iCs w:val="1"/>
          <w:color w:val="auto"/>
        </w:rPr>
        <w:t>The uncertain effect of Vascepa on its ultimate targeted clinical benefit makes it more difficult to achieve a level of market acceptance by physicians, patients, healthcare payors and others in the medical community necessary for commercial success.</w:t>
      </w:r>
    </w:p>
    <w:p>
      <w:pPr>
        <w:spacing w:after="0" w:line="124"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 xml:space="preserve">In January 2013, we launched Vascepa based on FDA approval of our MARINE indication, for use as an adjunct to diet to reduce triglyceride levels in adult patients with severe (TG ³500 mg/dL) hypertriglyceridemia. Approximately 4.0 million people in the United States have severely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500 mg/dL), commonly known as very high triglyceride levels. Guidelines for the management of very high triglyceride levels suggest that reducing triglyceride levels is the primary goal in patients to reduce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78"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 xml:space="preserve">In August 2015, based on a federal court order, we also began marketing Vascepa in the United States to healthcare professionals for the treatment of patients with high (TG ³200 mg/dL and &lt;500 mg/dL) triglyceride levels who are also on statin therapy for elevated low-density lipoprotein cholesterol, or LDL-C, levels, based on results from the ANCHOR study of Vascepa. It is estimated that approximately 40 million adults in the United States have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200 mg/dL), and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in Vascepa, EPA, as each relate to the potential of Vascepa to reduce cardiovascular risk.</w:t>
      </w:r>
    </w:p>
    <w:p>
      <w:pPr>
        <w:spacing w:after="0" w:line="179"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uncertainties around the ultimate clinical benefit of Vascepa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any future approved indications will depend on a number of factors, including:</w:t>
      </w:r>
    </w:p>
    <w:p>
      <w:pPr>
        <w:spacing w:after="0" w:line="92" w:lineRule="exact"/>
        <w:rPr>
          <w:sz w:val="20"/>
          <w:szCs w:val="20"/>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scope, effectiveness and strength of product education, marketing and distribution support, including our sales and marketing team;</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continually promote Vascepa in the United States outside of FDA-approved labeling and the related perception thereof;</w:t>
      </w:r>
    </w:p>
    <w:p>
      <w:pPr>
        <w:spacing w:after="0" w:line="142" w:lineRule="exact"/>
        <w:rPr>
          <w:rFonts w:ascii="Arial" w:cs="Arial" w:eastAsia="Arial" w:hAnsi="Arial"/>
          <w:sz w:val="17"/>
          <w:szCs w:val="17"/>
          <w:color w:val="auto"/>
        </w:rPr>
      </w:pPr>
    </w:p>
    <w:p>
      <w:pPr>
        <w:ind w:left="1480" w:right="960" w:hanging="446"/>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 and</w:t>
      </w:r>
    </w:p>
    <w:p>
      <w:pPr>
        <w:spacing w:after="0" w:line="75"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w:t>
      </w:r>
    </w:p>
    <w:p>
      <w:pPr>
        <w:spacing w:after="0" w:line="17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In May 2014 we began co-promoting Vascepa in the United States with Kowa Pharmaceuticals America, Inc. under a co-promotion agreement we entered into in March 2014. Under the agreement, approximately 250 Kowa Pharmaceuticals America, Inc. sales representatives devote a substantial portion of their time to promoting Vascepa with Amarin’s approximately 130 sales representatives based on a plan designed to increase both the number of sales targets reached and the frequency of sales calls on existing sales targets. However, the commercialization of pharmaceutical products is a complex undertaking for a company to manage, and we have very limited experience as a company operating in this area and co-promoting a pharmaceutical product with a partner.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We are also expanding our commercialization activities to markets outside of the United States through partnering arrangements. On February 26, 2015, we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DCS Agreement, Eddingpharm will be solely responsible for development and commercialization activities in the China Territory and associated expenses. Additionally, Eddingpharm may be required to conduct clinical trials in the China Territory to secure regulatory approval. Significant commercialization of Vascepa in the China Territory is several years away. If Eddingpharm is not able to effectively develop and commercialize Vascepa in the China Territory, we may not be able to generate revenue from the DCS Agreement resulting from the sale of Vascepa in the China Territory.</w:t>
      </w:r>
    </w:p>
    <w:p>
      <w:pPr>
        <w:spacing w:after="0" w:line="19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have limited experience working with ex-U.S. partners such as Eddingpharm to develop and market our products in foreign countries. In order for Eddingpharm, or us,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Eddingpharm to obtain approval for Vascepa in any countries outside of the United States in a timely manner may limit the commercial success of Vascepa and our ability to grow our revenues.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16" w:lineRule="exact"/>
        <w:rPr>
          <w:sz w:val="20"/>
          <w:szCs w:val="20"/>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30" w:lineRule="exact"/>
        <w:rPr>
          <w:rFonts w:ascii="Arial" w:cs="Arial" w:eastAsia="Arial" w:hAnsi="Arial"/>
          <w:sz w:val="18"/>
          <w:szCs w:val="18"/>
          <w:color w:val="auto"/>
        </w:rPr>
      </w:pPr>
    </w:p>
    <w:p>
      <w:pPr>
        <w:jc w:val="both"/>
        <w:ind w:left="1480" w:right="40" w:hanging="446"/>
        <w:spacing w:after="0" w:line="286" w:lineRule="auto"/>
        <w:tabs>
          <w:tab w:leader="none" w:pos="1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70" w:lineRule="exact"/>
        <w:rPr>
          <w:rFonts w:ascii="Arial" w:cs="Arial" w:eastAsia="Arial" w:hAnsi="Arial"/>
          <w:sz w:val="17"/>
          <w:szCs w:val="17"/>
          <w:color w:val="auto"/>
        </w:rPr>
      </w:pPr>
    </w:p>
    <w:p>
      <w:pPr>
        <w:ind w:left="1480" w:right="360" w:hanging="446"/>
        <w:spacing w:after="0" w:line="277"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75" w:lineRule="exact"/>
        <w:rPr>
          <w:rFonts w:ascii="Arial" w:cs="Arial" w:eastAsia="Arial" w:hAnsi="Arial"/>
          <w:sz w:val="18"/>
          <w:szCs w:val="18"/>
          <w:color w:val="auto"/>
        </w:rPr>
      </w:pPr>
    </w:p>
    <w:p>
      <w:pPr>
        <w:ind w:left="1480" w:right="720" w:hanging="446"/>
        <w:spacing w:after="0" w:line="277"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inability by us or our partners to obtain regulatory and marketing approval or establish marketing channels in foreign jurisdictions;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expect final positive results from the REDUCE-IT outcomes study will be required for FDA-approved label expansion for Vascepa.</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 January 2013 we have marketed Vascepa for use in the FDA-approved MARINE indication in the United States.</w:t>
      </w:r>
    </w:p>
    <w:p>
      <w:pPr>
        <w:spacing w:after="0" w:line="225"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In April 2015, we received a CRL from the FDA on our Supplemental New Drug Application (“sNDA”) that sought approval for the use of Vascepa in patients with high triglyceride levels (TG ³200 mg/dL and &lt;500 mg/dL) who are also on statin therapy, which we refer to as the ANCHOR indication. In regulatory dialogue,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 regulatory approval purposes, there are insufficient data at this time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9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In August 2015, based on a federal court order, we began marketing Vascepa in the United States to healthcare professionals for the treatment of patients in the ANCHOR population through use of a set of qualified statements that reflect the state of research related to this use. In March 2016, we settled the litigation related to this court order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professionals were truthful and non-misleading. An FDA-approved indication for this patient population has not been granted. Our ability to reach full potential in the commercialization of Vascepa in the United States is dependent upon marketing claims associated with Vascepa that are granted with the approval of an indication statement by the FDA.</w:t>
      </w:r>
    </w:p>
    <w:p>
      <w:pPr>
        <w:spacing w:after="0" w:line="18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Based on our communications with the FDA, we expect that final positive results from the REDUCE-IT outcomes study will be required for FDA approval of a new indication or other label expansion for Vascepa. Any delay in obtaining, or an inability to obtain, further expansion of our marketing approval rights with an FDA approval could prevent us from growing revenue at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beyond the approval received from the FDA in July 2012 for the MARINE indication may prove to not have the scope or breadth needed for us to successfully commercialize Vascepa or become profitable.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off-label promotion of Vascepa could subject us to additional regulatory scrutiny and present unforeseen risks.</w:t>
      </w:r>
    </w:p>
    <w:p>
      <w:pPr>
        <w:spacing w:after="0" w:line="225"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The Federal Food, Drug, and Cosmetic Act, or FDCA, has been interpreted by the FDA to make it illegal for pharmaceutical companies to promote their products for uses that have not been approved by the FDA. Companies that market drugs for so called off-label uses or indications have been subject to related costly litigation, criminal penalties and civil liability under the False Claims Act.</w:t>
      </w:r>
    </w:p>
    <w:p>
      <w:pPr>
        <w:spacing w:after="0" w:line="181" w:lineRule="exact"/>
        <w:rPr>
          <w:sz w:val="20"/>
          <w:szCs w:val="20"/>
          <w:color w:val="auto"/>
        </w:rPr>
      </w:pPr>
    </w:p>
    <w:p>
      <w:pPr>
        <w:ind w:right="100" w:firstLine="913"/>
        <w:spacing w:after="0" w:line="269" w:lineRule="auto"/>
        <w:rPr>
          <w:sz w:val="20"/>
          <w:szCs w:val="20"/>
          <w:color w:val="auto"/>
        </w:rPr>
      </w:pPr>
      <w:r>
        <w:rPr>
          <w:rFonts w:ascii="Arial" w:cs="Arial" w:eastAsia="Arial" w:hAnsi="Arial"/>
          <w:sz w:val="17"/>
          <w:szCs w:val="17"/>
          <w:color w:val="auto"/>
        </w:rPr>
        <w:t xml:space="preserve">In May 2015, we and a group of independent physicians filed a lawsuit against the FDA seeking a federal court declaration that would permit us and our agents to promote to healthcare professionals the use of Vascepa in patients with mixed dyslipidemia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Promotion of a so-called off-label use is considered by the FDA to be illegal under the FDCA. The lawsuit, captioned </w:t>
      </w:r>
      <w:r>
        <w:rPr>
          <w:rFonts w:ascii="Arial" w:cs="Arial" w:eastAsia="Arial" w:hAnsi="Arial"/>
          <w:sz w:val="17"/>
          <w:szCs w:val="17"/>
          <w:i w:val="1"/>
          <w:iCs w:val="1"/>
          <w:color w:val="auto"/>
        </w:rPr>
        <w:t>Amarin Pharma, Inc., et al. v. Food &amp; Drug Administration, et al.</w:t>
      </w:r>
      <w:r>
        <w:rPr>
          <w:rFonts w:ascii="Arial" w:cs="Arial" w:eastAsia="Arial" w:hAnsi="Arial"/>
          <w:sz w:val="17"/>
          <w:szCs w:val="17"/>
          <w:color w:val="auto"/>
        </w:rPr>
        <w:t>, S.D.N.Y. (1:15-cv-03588-PAE),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as applied in the case of our proposed promotion of Vascepa. The physicians in the suit regularly treat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8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Amarin’s complaint. FDA stated in this letter that it did not have concerns with much of the information Amarin proposed to communicate and provided Amarin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73"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In August 2015, we were granted preliminary relief in the form of a declaratory judgment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Federal Food and Drug Cosmetic Act. In August 2015, we began to promote Vascepa to healthcare professionals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w:t>
      </w:r>
    </w:p>
    <w:p>
      <w:pPr>
        <w:spacing w:after="0" w:line="17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label expansion for Vascepa.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Federal and state governments may also seek to find other means to prevent our promotion of unapproved truthful and non-misleading information about Vascepa. If our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any of which could adversely affect our ability to operate our business and our results of operations.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4"/>
          <w:szCs w:val="14"/>
          <w:color w:val="auto"/>
        </w:rPr>
        <w:t>®</w:t>
      </w:r>
      <w:r>
        <w:rPr>
          <w:rFonts w:ascii="Arial" w:cs="Arial" w:eastAsia="Arial" w:hAnsi="Arial"/>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8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Currently, five manufacturers have launched generic versions of Lovaza. 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respectively, received FDA approval of their respective versions of generic Lovaza. In March 2011, Pronova/BASF entered into an agreement with Apotex to settle its patent litigation in the United States related to Lovaza. Pursuant to the terms of the settlement agreement, Apotex launched a generic version of Lovaza in January 2015. Prasco Labs launched a generic version of Lovaza in March 2015 and Amneal Pharmaceuticals launched its version in January 2016.</w:t>
      </w:r>
    </w:p>
    <w:p>
      <w:pPr>
        <w:spacing w:after="0" w:line="178"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We understand that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3"/>
          <w:szCs w:val="13"/>
          <w:color w:val="auto"/>
        </w:rPr>
        <w:t>®</w:t>
      </w:r>
      <w:r>
        <w:rPr>
          <w:rFonts w:ascii="Arial" w:cs="Arial" w:eastAsia="Arial" w:hAnsi="Arial"/>
          <w:sz w:val="16"/>
          <w:szCs w:val="16"/>
          <w:color w:val="auto"/>
        </w:rPr>
        <w:t>, derived from krill oil for the treatment of hypertriglyceridemia. Acasti plans to begin a pivotal bioavailability bridging study between CaPre and an omega-3 prescription drug to establish a scientific bridge between the two and determine the feasibility of a 505(b)(2) regulatory pathway. Acasti intends to follow this with a Phase 3 clinical program to assess the safety and efficacy of CaPre in patients with very high (³500 mg/dL) triglycerides. We believe Catabasis Pharmaceuticals, or Catabasis, and Sancilio &amp; Company, or Sancilio, are also developing potential treatments for hypertriglyceridemia based on omega-3 fatty acids. To our knowledge, Catabasis initiated a Phase 2 clinical trial in October 2015 to evaluate the safety and efficacy of its product in combination with atorvastatin in patients with hypercholesterolemia, and Sancilio also is pursuing a regulatory pathway under section 505(b)(2) of the FDCA for its product and submitted an IND in July 2015. Sancilio completed two pivotal pharmacokinetic studies, and we expect the company to initiate a pivotal clinical endpoint study as the next step in development. In addition, we are aware that Matinas BioPharma, Inc. is developing an omega-3-based therapeutic for the treatment of severe hypertriglyceridemia and mixed dyslipidemia. Matinas BioPharma, Inc. has filed an Investigational New Drug Application with the FDA to conduct a human study in the treatment of severe hypertriglyceridemia. Akcea Therapeutics/Ionis Pharmaceuticals (formerly Isis Pharmaceuticals) announced favorable Phase 2 results of volanesorsen (formerly ISIS-APOCIII</w:t>
      </w:r>
      <w:r>
        <w:rPr>
          <w:rFonts w:ascii="Arial" w:cs="Arial" w:eastAsia="Arial" w:hAnsi="Arial"/>
          <w:sz w:val="13"/>
          <w:szCs w:val="13"/>
          <w:color w:val="auto"/>
        </w:rPr>
        <w:t>Rx</w:t>
      </w:r>
      <w:r>
        <w:rPr>
          <w:rFonts w:ascii="Arial" w:cs="Arial" w:eastAsia="Arial" w:hAnsi="Arial"/>
          <w:sz w:val="16"/>
          <w:szCs w:val="16"/>
          <w:color w:val="auto"/>
        </w:rPr>
        <w:t>),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The regulatory exclusivity status of Vascepa remains uncertain creating uncertainty around to what degree we will continue to enjoy the benefits we have to date in the absence of a definitive five-year regulatory exclusivity determination for Vascepa.</w:t>
      </w:r>
    </w:p>
    <w:p>
      <w:pPr>
        <w:spacing w:after="0" w:line="17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 timelines and conditions under the abbreviated new drug application, or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7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NCE marketing exclusivity, not granted to Vascepa at this time,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67" w:lineRule="exact"/>
        <w:rPr>
          <w:sz w:val="20"/>
          <w:szCs w:val="20"/>
          <w:color w:val="auto"/>
        </w:rPr>
      </w:pPr>
    </w:p>
    <w:p>
      <w:pPr>
        <w:ind w:right="200" w:firstLine="913"/>
        <w:spacing w:after="0" w:line="302" w:lineRule="auto"/>
        <w:rPr>
          <w:sz w:val="20"/>
          <w:szCs w:val="20"/>
          <w:color w:val="auto"/>
        </w:rPr>
      </w:pPr>
      <w:r>
        <w:rPr>
          <w:rFonts w:ascii="Arial" w:cs="Arial" w:eastAsia="Arial" w:hAnsi="Arial"/>
          <w:sz w:val="16"/>
          <w:szCs w:val="16"/>
          <w:color w:val="auto"/>
        </w:rPr>
        <w:t>The three-year period of exclusivity granted to Vascepa under the Hatch-Waxman Amendments is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w:t>
      </w:r>
    </w:p>
    <w:p>
      <w:pPr>
        <w:spacing w:after="0" w:line="154"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78"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As noted above, the FDA typically makes a determination on marketing exclusivity in connection with an approval of an application for a new indication of a drug. We applied to the FDA for five-year, NCE marketing exclusivity for Vascepa in connection with the NDA for our MARINE indication, which NDA was approved by the FDA on July 26, 2012 as the first FDA approval of Vascepa. On February 21, 2014, in connection with the July 26, 2012 approval of the MARINE indication, the FDA denied a grant of NCE marketing exclusivity to Vascepa and granted three-year marketing exclusivity.</w:t>
      </w:r>
    </w:p>
    <w:p>
      <w:pPr>
        <w:spacing w:after="0" w:line="154"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On May 28, 2015, the Court granted our motion for summary judgment. This lawsuit sought an order requiring FDA to recognize five-year, NCE marketing exclusivity for Vascepa. The decision vacated the FDA’s denial of our claim for such exclusivity and remanded to the FDA for proceedings consistent with the decision. FDA did not appeal the Court’s decision prior to the July 28, 2015 deadline for appeal. A new exclusivity determination by FDA has not been made.</w:t>
      </w:r>
    </w:p>
    <w:p>
      <w:pPr>
        <w:spacing w:after="0" w:line="187"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4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A new exclusivity determination by FDA has been pending since the May 28, 2015 District of Columbia court order setting aside FDA’s denial of NCE exclusivity for Vascepa. We believe Vascepa is entitled to NCE exclusivity, but cannot predict the outcome of FDA’s determination. It is possible that FDA’s determination would be challenged by interested parties.</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Recent regulatory determinations and court decisions have provided us with certain benefits of five-year regulatory exclusivity in the United States, such as delayed generic-related patent litigation and cessation of ANDA review at FDA. However, the uncertain status of our regulatory exclusivity at the FDA has, and is expected to continue to have, a negative impact on our company as we have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not been able to obtain certainty on an exclusivity grant and thereby certainty around the benefits associated with a definitive five-year exclusivity status. Additional delays at FDA in making an exclusivity decision, a denial of NCE exclusivity for Vascepa, additional associated litigation and uncertainty surrounding our regulatory exclusivity status generally could continue to have a negative effect on our company.</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FDA marketing exclusivity is separate from, and in addition to, patent protection, trade secrets and manufacturing barriers to entry which also help protect Vascepa against generic competition.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Generic company competitors are expected to again seek approval of generic versions of Vascepa.</w:t>
      </w:r>
    </w:p>
    <w:p>
      <w:pPr>
        <w:spacing w:after="0" w:line="225"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The Food Drug and Cosmetic Act, or FDCA, as amended by the Drug Price Competition and Patent Term Restoration Act of 1984, as amended, or the Hatch-Waxman Amendments, permit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65"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71"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 the first half of 2014, we received six paragraph IV notices notifying us of accepted ANDAs to Vascepa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on July 24, 2015, we moved to dismiss the pending patent infringement lawsuits against each of the Vascepa ANDA applicants in the U.S. District Court for the District of New Jersey.</w:t>
      </w:r>
    </w:p>
    <w:p>
      <w:pPr>
        <w:spacing w:after="0" w:line="188"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On January 22, 2016, the U.S. District Court for the District of New Jersey granted Amarin’s motion to dismiss all patent infringement litigation related to the 2014 acceptance by the FDA of ANDAs to Vascepa. With this dismissal, there is no pending patent litigation related to Vascepa. An appeal of the court’s dismissal was filed by one ANDA filer in this case and we intend to continue to litigate vigorously in support of the court’s dismissal. We cannot predict the outcome of this litigation. A new exclusivity determination by FDA has been pending since the May 28, 2015 District of Columbia court order setting aside FDA’s denial of NCE exclusivity for Vascepa. We believe Vascepa is entitled to NCE exclusivity, but cannot predict the outcome of FDA’s determination. We also cannot predict the outcome of this ANDA litigation. The legal process can also be costly and time-consuming.</w:t>
      </w:r>
    </w:p>
    <w:p>
      <w:pPr>
        <w:spacing w:after="0" w:line="165"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We plan to defend the exclusivity of Vascepa through patent litigation after notification that FDA has accepted an ANDA application related to Vascepa. Assuming an NCE exclusivity determination from the FDA or no exclusivity determination, we expect notification of new ANDA submissions no sooner than in late July 2016, after the expiration of four years from the 2012 approval of Vascepa.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an ANDA filer is ultimately successful in patent litigation against us, it meets the requirements for a generic version of Vascepa to the satisfaction of the FDA under its ANDA (after any applicable regulatory exclusivity period and the litigation-related 30-month stay period expires), and is able to supply the product in significant commercial quantities, the generic company could introduce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93" w:lineRule="exact"/>
        <w:rPr>
          <w:sz w:val="20"/>
          <w:szCs w:val="20"/>
          <w:color w:val="auto"/>
        </w:rPr>
      </w:pPr>
    </w:p>
    <w:p>
      <w:pPr>
        <w:ind w:left="460" w:right="22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14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and tested safety of Vascepa as having a superior therapeutic profile to naturally occurring omega-3 fatty acids and dietary supplements. In addition, the FDA has not enforced what we view as illegal drug claims made by certain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225"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In March 2014, we entered into a co-promotion agreement with Kowa Pharmaceuticals America, Inc. to co-promote Vascepa in the United States under which approximately 250 Kowa Pharmaceuticals America, Inc. sales representatives devote a substantial portion of their time to promoting Vascepa with Amarin’s approximately 130 sales representatives.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225"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the proposed REDUCE-IT indication.</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89"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4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Thus, even though we have received regulatory approval of Vascepa for the MARINE indication under an SPA agreement, our ANCHOR SPA agreement was rescinded and there is no assurance that the FDA will not rescind our REDUCE-IT SPA agreement. The inability to obtain marketing approval in the ANCHOR or REDUCE-IT indications has and would prevent us from growing revenue more significantly, and it has had, and could continue to have, a material adverse effect on our operations and financial condition, including our ability to reach profitability.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commercial value to us of sales of Vascepa under the DCS Agreement with Eddingpharm may be smaller than we anticipate.</w:t>
      </w:r>
    </w:p>
    <w:p>
      <w:pPr>
        <w:spacing w:after="0" w:line="23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under the DCS Agreement with Eddingpharm.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 studies or clinical trials. Also, with regard to any indications for which we may gain approval in these countries,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225" w:lineRule="exact"/>
        <w:rPr>
          <w:sz w:val="20"/>
          <w:szCs w:val="20"/>
          <w:color w:val="auto"/>
        </w:rPr>
      </w:pPr>
    </w:p>
    <w:p>
      <w:pPr>
        <w:jc w:val="both"/>
        <w:ind w:right="80" w:firstLine="913"/>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14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within the China Territory under the DCS agreement with Eddingpharm. Given our inexperience with marketing and commercializing products in the China Territory, we will need to rely on Eddingpharm to assist us in dealing with any such issues.</w:t>
      </w:r>
    </w:p>
    <w:p>
      <w:pPr>
        <w:spacing w:after="0" w:line="182"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Kowa Pharmaceuticals America, Inc. are found to have improperly promoted uses of Vascepa, we may become subject to significant fines and other liability. The government may seek to find means to prevent our promotion of truthful and non-misleading information beyond our current court ruling.</w:t>
      </w:r>
    </w:p>
    <w:p>
      <w:pPr>
        <w:spacing w:after="0" w:line="18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our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court ruling or in violation of what federal or state government may determine to be acceptable, we may become subject to significant government fines and other related liability, such as under the False Claims Act or other theories of liability. Government may also seek to hold us responsible for the non-compliance of our co-promotion partner, Kowa Pharmaceuticals America, Inc., or our ex-U.S. commercialization partner, Eddingpharm.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83"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Even though we have the benefit of a preliminary ruling and may be ultimately successful with a final settlement or final ruling in our current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187"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181"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In accordance with the SPA agreements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which commenced in 2011 and reached its approximately 8,000 patient enrollment target in March 2016, is designed to evaluate the efficacy of Vascepa in reducing major cardiovascular events in an at-risk patient population on statin therapy.</w:t>
      </w:r>
    </w:p>
    <w:p>
      <w:pPr>
        <w:spacing w:after="0" w:line="154"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Outcomes studies of certain other lipid-modifying therapies have failed to achieve the endpoints of such studies, even though they reduced triglyceride levels and showed other favorable effects on parameters relevant to cardiovascular health in studied patients.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 American Medical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Association, </w:t>
      </w:r>
      <w:r>
        <w:rPr>
          <w:rFonts w:ascii="Arial" w:cs="Arial" w:eastAsia="Arial" w:hAnsi="Arial"/>
          <w:sz w:val="16"/>
          <w:szCs w:val="16"/>
          <w:color w:val="auto"/>
        </w:rPr>
        <w:t>or</w:t>
      </w:r>
      <w:r>
        <w:rPr>
          <w:rFonts w:ascii="Arial" w:cs="Arial" w:eastAsia="Arial" w:hAnsi="Arial"/>
          <w:sz w:val="16"/>
          <w:szCs w:val="16"/>
          <w:i w:val="1"/>
          <w:iCs w:val="1"/>
          <w:color w:val="auto"/>
        </w:rPr>
        <w:t xml:space="preserve"> JAMA, </w:t>
      </w:r>
      <w:r>
        <w:rPr>
          <w:rFonts w:ascii="Arial" w:cs="Arial" w:eastAsia="Arial" w:hAnsi="Arial"/>
          <w:sz w:val="16"/>
          <w:szCs w:val="16"/>
          <w:color w:val="auto"/>
        </w:rPr>
        <w:t>the results of a retrospective meta-analysis of twenty previously conducted studies regarding the use of omega-3 supplements across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w:t>
      </w:r>
      <w:r>
        <w:rPr>
          <w:rFonts w:ascii="Arial" w:cs="Arial" w:eastAsia="Arial" w:hAnsi="Arial"/>
          <w:sz w:val="16"/>
          <w:szCs w:val="16"/>
          <w:i w:val="1"/>
          <w:iCs w:val="1"/>
          <w:color w:val="auto"/>
        </w:rPr>
        <w:t>JAMA</w:t>
      </w:r>
      <w:r>
        <w:rPr>
          <w:rFonts w:ascii="Arial" w:cs="Arial" w:eastAsia="Arial" w:hAnsi="Arial"/>
          <w:sz w:val="16"/>
          <w:szCs w:val="16"/>
          <w:color w:val="auto"/>
        </w:rPr>
        <w:t xml:space="preserve"> meta-analysis involved the use of omega-3 supplements containing a mixture of EPA and DHA, and most were evaluated at relatively lower doses. In addition, in May 2013,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published the results of an outcomes study of 1 gram per day of an omega-3 acid ethyl ester composition. 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78"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Also, a low dose of statins was used. It is unknown whether the positive treatment effects would have persisted if these patients had been optimally treated with statins using contemporary LDL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 for unstable angina was a primary contributor of the overall positive result, and is considered a softer endpoint than fatal cardiovascular events.</w:t>
      </w:r>
    </w:p>
    <w:p>
      <w:pPr>
        <w:spacing w:after="0" w:line="166"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 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150 mg/dL) and low HDL-C (</w:t>
      </w:r>
      <w:r>
        <w:rPr>
          <w:rFonts w:ascii="Arial" w:cs="Arial" w:eastAsia="Arial" w:hAnsi="Arial"/>
          <w:sz w:val="17"/>
          <w:szCs w:val="17"/>
          <w:u w:val="single" w:color="auto"/>
          <w:color w:val="auto"/>
        </w:rPr>
        <w:t>&lt;</w:t>
      </w:r>
      <w:r>
        <w:rPr>
          <w:rFonts w:ascii="Arial" w:cs="Arial" w:eastAsia="Arial" w:hAnsi="Arial"/>
          <w:sz w:val="17"/>
          <w:szCs w:val="17"/>
          <w:color w:val="auto"/>
        </w:rPr>
        <w:t xml:space="preserve"> 40 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88"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 xml:space="preserve">Although we believe the results of the </w:t>
      </w:r>
      <w:r>
        <w:rPr>
          <w:rFonts w:ascii="Arial" w:cs="Arial" w:eastAsia="Arial" w:hAnsi="Arial"/>
          <w:sz w:val="16"/>
          <w:szCs w:val="16"/>
          <w:i w:val="1"/>
          <w:iCs w:val="1"/>
          <w:color w:val="auto"/>
        </w:rPr>
        <w:t>JAMA</w:t>
      </w:r>
      <w:r>
        <w:rPr>
          <w:rFonts w:ascii="Arial" w:cs="Arial" w:eastAsia="Arial" w:hAnsi="Arial"/>
          <w:sz w:val="16"/>
          <w:szCs w:val="16"/>
          <w:color w:val="auto"/>
        </w:rPr>
        <w:t xml:space="preserve">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labeled approval of Vascepa or even call into question the currently understood efficacy and safety profile of Vascepa.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279" w:lineRule="auto"/>
        <w:rPr>
          <w:sz w:val="20"/>
          <w:szCs w:val="20"/>
          <w:color w:val="auto"/>
        </w:rPr>
      </w:pPr>
      <w:r>
        <w:rPr>
          <w:rFonts w:ascii="Arial" w:cs="Arial" w:eastAsia="Arial" w:hAnsi="Arial"/>
          <w:sz w:val="17"/>
          <w:szCs w:val="17"/>
          <w:b w:val="1"/>
          <w:bCs w:val="1"/>
          <w:i w:val="1"/>
          <w:iCs w:val="1"/>
          <w:color w:val="auto"/>
        </w:rPr>
        <w:t>*The prospective interim efficacy and safety analysis of the REDUCE-IT cardiovascular outcomes trial may not be completed in the contemplated timeframe in 2016 and may not demonstrate to the independent committee monitoring the study a sufficient benefit risk result to warrant the independent committee recommending stopping the study early for overwhelming efficacy. The independent monitoring committee may, at their discretion, also recommend that the study be stopped for safety or related concerns.</w:t>
      </w:r>
    </w:p>
    <w:p>
      <w:pPr>
        <w:spacing w:after="0" w:line="171"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In accordance with the SPA agreement for our REDUCE-IT cardiovascular outcomes trial, an interim review of the efficacy and safety results of the trial is scheduled to occur upon reaching approximately 60% of the target aggregate number of cardiovascular events. We currently expect this interim review by the study’s independent data monitoring committee (DMC) to occur during 2016 based on our understanding of the current event rates in the study and expected future event rates. It may actually take longer than anticipated for the DMC assessment of data for the interim analysis.</w:t>
      </w:r>
    </w:p>
    <w:p>
      <w:pPr>
        <w:spacing w:after="0" w:line="154"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in 2017. We do not expect the study to be stopped due to overwhelming efficacy at this interim look. We have requested the DMC to not recommend stopping the study early based only upon achieving statistical significance for the primary endpoint, but to ensure that supportive trends of benefit are also consistently observed in certain secondary endpoints and subpopulations before recommending that the study be stopped early for overwhelming efficacy.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due to low likelihood of obtaining a favorable result at completion. Despite no formal futility analysis or boundary being pre-specified in the protocol, it is within the purview of the DMC to weigh all available information and recommend study stoppage or continuation.</w:t>
      </w:r>
    </w:p>
    <w:p>
      <w:pPr>
        <w:spacing w:after="0" w:line="183"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Moreover, it is the DMC that will make the formal recommendation as to whether to stop the study early or to continue as planned. Amarin is blinded to the interim analysis results and is informed by the DMC of the recommendation to stop the study or to continue as planned. The DMC may consider factors outside the pre-specified statistical analysis plan when assessing whether to recommend continuing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it believes that waiting for more robust results outweighs the potential medical benefit of stopping and unblinding the study early.</w:t>
      </w:r>
    </w:p>
    <w:p>
      <w:pPr>
        <w:spacing w:after="0" w:line="178"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The DMC has multiple times per year assessed safety data generated in the ongoing study and has thus far recommended to continue the study as planned. Thus, multiple safety analyses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147"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7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China Territory under the DCS Agreement with Eddingpharm,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84"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53" w:lineRule="exact"/>
        <w:rPr>
          <w:rFonts w:ascii="Arial" w:cs="Arial" w:eastAsia="Arial" w:hAnsi="Arial"/>
          <w:sz w:val="16"/>
          <w:szCs w:val="16"/>
          <w:color w:val="auto"/>
        </w:rPr>
      </w:pPr>
    </w:p>
    <w:p>
      <w:pPr>
        <w:ind w:left="1480" w:right="60" w:hanging="446"/>
        <w:spacing w:after="0" w:line="277"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189"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77"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142" w:lineRule="exact"/>
        <w:rPr>
          <w:rFonts w:ascii="Arial" w:cs="Arial" w:eastAsia="Arial" w:hAnsi="Arial"/>
          <w:sz w:val="17"/>
          <w:szCs w:val="17"/>
          <w:color w:val="auto"/>
        </w:rPr>
      </w:pPr>
    </w:p>
    <w:p>
      <w:pPr>
        <w:ind w:left="1480" w:right="240" w:hanging="446"/>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We expect further federal and state proposals and healthcare reforms to continue to be proposed by legislators, which could limit the prices that can be charged for the products we develop and may limit our commercial opportunity.</w:t>
      </w:r>
    </w:p>
    <w:p>
      <w:pPr>
        <w:spacing w:after="0" w:line="17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The continuing efforts of government and other third-party payors to further contain or reduce the costs of healthcare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58" w:lineRule="exact"/>
        <w:rPr>
          <w:sz w:val="20"/>
          <w:szCs w:val="20"/>
          <w:color w:val="auto"/>
        </w:rPr>
      </w:pPr>
    </w:p>
    <w:p>
      <w:pPr>
        <w:ind w:left="460" w:right="440"/>
        <w:spacing w:after="0" w:line="381"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01"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produce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supply of product for commercial supply and clinical trials is dependent upon relationships with third-party manufacturers and key suppliers.</w:t>
      </w:r>
    </w:p>
    <w:p>
      <w:pPr>
        <w:spacing w:after="0" w:line="260" w:lineRule="exact"/>
        <w:rPr>
          <w:sz w:val="20"/>
          <w:szCs w:val="20"/>
          <w:color w:val="auto"/>
        </w:rPr>
      </w:pPr>
    </w:p>
    <w:p>
      <w:pPr>
        <w:ind w:right="240" w:firstLine="913"/>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6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We initially purchased all of our supply of the bulk compound (ethyl-EPA), which constitutes the only active pharmaceutical ingredient, or API, of Vascepa, from a single supplier, Nisshin Pharma, Inc.,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terminated our agreement with BASF due to its inability to meet the agreement requirements, may enter into a new development and supply agreement with BASF, and may purchase API from BASF. In 2014, we obtained sNDA approval of a fourth supplier of API, which includes the manufacturing facility of Finorga SAS (Novasep). We currently purchase and use commercial supply from Novasep, Chemport, and Nisshin. Each of the API manufacturers obtains supply of the key raw material to manufacture API from other third-party sources of supply.</w:t>
      </w:r>
    </w:p>
    <w:p>
      <w:pPr>
        <w:spacing w:after="0" w:line="192"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While we have contractual freedom to source the API for Vascepa and have entered into supply agreements with multiple suppliers who also rely on other third-party suppliers of the key raw material to manufacture the API for Vascepa, Novasep, Nisshin and Chemport currently supply all of our API for Vascepa. Our strategy in adding API suppliers beyond Nisshin has been to expand manufacturing capacity and to partially mitigate the risk of reliance on any single supplier.</w:t>
      </w:r>
    </w:p>
    <w:p>
      <w:pPr>
        <w:spacing w:after="0" w:line="18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qualification of our API suppliers. Each of our API suppliers has outlined plans for potential further capacity expansion. If no additional API supplier is approved by the FDA, our API supply will be limited to the API we purchase from previously approved suppliers. If our third-party manufacturing capacity is not expanded and compliant with applicable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5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We currently have encapsulation agreements with three commercial API encapsulators for the encapsulation of Vascepa: Patheon, Inc. (formerly Banner Pharmacaps), Catalent Pharma Solutions, and Capsugel Plöermel SAS. These companies have qualified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178"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170"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Similarly if we terminate certain of our supply agreements, such suppliers may be free to sell the active pharmaceutical ingredient of Vascepa to potential competitors of Vascepa.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165"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14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178"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third-party manufacturers fail to satisfy these requirements, our product development and commercialization efforts may be materially harmed.</w:t>
      </w:r>
    </w:p>
    <w:p>
      <w:pPr>
        <w:spacing w:after="0" w:line="18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may expand its capacity to supply API to us by further expanding their current facility.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67"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18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79" w:lineRule="exact"/>
        <w:rPr>
          <w:sz w:val="20"/>
          <w:szCs w:val="20"/>
          <w:color w:val="auto"/>
        </w:rPr>
      </w:pPr>
    </w:p>
    <w:p>
      <w:pPr>
        <w:jc w:val="both"/>
        <w:ind w:left="460" w:right="520"/>
        <w:spacing w:after="0" w:line="312" w:lineRule="auto"/>
        <w:rPr>
          <w:sz w:val="20"/>
          <w:szCs w:val="20"/>
          <w:color w:val="auto"/>
        </w:rPr>
      </w:pPr>
      <w:r>
        <w:rPr>
          <w:rFonts w:ascii="Arial" w:cs="Arial" w:eastAsia="Arial" w:hAnsi="Arial"/>
          <w:sz w:val="16"/>
          <w:szCs w:val="16"/>
          <w:b w:val="1"/>
          <w:bCs w:val="1"/>
          <w:i w:val="1"/>
          <w:iCs w:val="1"/>
          <w:color w:val="auto"/>
        </w:rPr>
        <w:t>We are dependent upon our collaboration with Eddingpharm to commercialize Vascepa in certain regions outside of the United States, and if Eddingpharm fails to successfully fulfill its obligations, or is ineffective in its commercialization of Vascepa in the China Territory, or if our collaboration is terminated, our plans to commercialize Vascepa outside of the United States may be adversely affected.</w:t>
      </w:r>
    </w:p>
    <w:p>
      <w:pPr>
        <w:spacing w:after="0" w:line="14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In February 2015, we entered into the DCS Agreement with Eddingpharm, under which we granted exclusive rights to Eddingpharm to develop and commercialize Vascepa in the China Territory. We are dependent on Eddingpharm for certain regulatory filings outside of the United States with respect to Vascepa, which may require conducting clinical trials in the China Territory to secure regulatory approval, as well as the commercialization of Vascepa outside of the United States. If Eddingpharm fails to perform its obligations under the DCS Agreement or is ineffective in its commercialization of Vascepa in the China Territory or if we fail to effectively manage our relationship with Eddingpharm, our ability to and the extent to which we commercialize and obtain certain regulatory approvals of Vascepa outside of the United States would be significantly harmed.</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Eddingpharm has the right to terminate the agreement under certain conditions. If Eddingpharm terminates the DCS Agreement, we would be required to either enter into alternative arrangements with third parties to commercialize Vascepa in the China Territory, which we may be unable to do, or to increase our internal infrastructure, both of which would likely result in significant additional expense and delay or termination of our Vascepa clinical development programs outside of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87"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140" w:firstLine="913"/>
        <w:spacing w:after="0" w:line="312"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47 patent applications in the United States that have been either issued or allowed and more than 30 additional patent applications are pending in the United States. Such 47 allowed and issued applications include the following:</w:t>
      </w:r>
    </w:p>
    <w:p>
      <w:pPr>
        <w:spacing w:after="0" w:line="52" w:lineRule="exact"/>
        <w:rPr>
          <w:sz w:val="20"/>
          <w:szCs w:val="20"/>
          <w:color w:val="auto"/>
        </w:rPr>
      </w:pPr>
    </w:p>
    <w:p>
      <w:pPr>
        <w:ind w:left="1480" w:right="38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00"/>
          </w:cols>
          <w:pgMar w:left="240" w:top="45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36 U.S. patents covering the use of Vascepa in either the MARINE or anticipated ANCHOR indication that have terms that expire in 2030,</w:t>
      </w:r>
    </w:p>
    <w:p>
      <w:pPr>
        <w:spacing w:after="0" w:line="75" w:lineRule="exact"/>
        <w:rPr>
          <w:rFonts w:ascii="Arial" w:cs="Arial" w:eastAsia="Arial" w:hAnsi="Arial"/>
          <w:sz w:val="18"/>
          <w:szCs w:val="18"/>
          <w:color w:val="auto"/>
        </w:rPr>
      </w:pPr>
    </w:p>
    <w:p>
      <w:pPr>
        <w:ind w:left="1480" w:right="60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ANCHOR patient population with a term that expires in 2030,</w:t>
      </w:r>
    </w:p>
    <w:p>
      <w:pPr>
        <w:spacing w:after="0" w:line="75"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 additional patent related to the use of Vascepa to treat obesity with a term that expires in 2030.</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9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225"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Amarin’s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54"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93"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78"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70"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170"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In January 2016, we issued financial and business guidance, including preliminary (unaudited) 2015 revenue and year-end cash results as well as expected fiscal year 2016 total net revenue, which is based on estimates and the judgment of management. Because of the inherent nature of estimates, there could be significant differences between our estimates and the actual amount of product demand. If, for any reason, we are unable to realize our projected 2016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1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were named as defendants in a class action lawsuit that could result in substantial costs and divert management’s attention.</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market price of our American Depositary Shares, or ADSs, declined significantly after the October 2013 decision by the FDA Advisory Committee to recommend against approval of Vascepa in the ANCHOR indication. We and certain of our current and former executive officers and directors were named as defendants in a class action lawsuit that generally alleged that we and certain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sought unspecified damages, interest, attorneys’ fees, and other costs.</w:t>
      </w:r>
    </w:p>
    <w:p>
      <w:pPr>
        <w:spacing w:after="0" w:line="18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We engaged in a vigorous defense of this lawsuit. On June 29, 2015, the court granted our first motion to dismiss the class action litigation without prejudice. The court held that the plaintiffs failed to state a claim upon which relief could be granted and plaintiffs were given 30 days to refile an amended complaint.</w:t>
      </w:r>
    </w:p>
    <w:p>
      <w:pPr>
        <w:spacing w:after="0" w:line="18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On July 29, 2015, the plaintiffs filed an amended complaint and we again moved to dismiss. On April 26, 2016, the court granted a second motion to dismiss, again without prejudice, with leave for plaintiffs to file an amended complaint.</w:t>
      </w:r>
    </w:p>
    <w:p>
      <w:pPr>
        <w:spacing w:after="0" w:line="170"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Should plaintiffs file another amended complaint or appeal, we plan a vigorous defense. We are unable to predict the ultimate outcome of this matter at this time.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jc w:val="both"/>
        <w:ind w:right="80" w:firstLine="913"/>
        <w:spacing w:after="0" w:line="34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24"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225"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22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A significant portion of our sales are to wholesalers in the pharmaceutical industry. Our top three customers accounted for 95% and 94% of gross product sales for the three months ended March 31, 2016 and 2015, respectively, and represented 95% and 94% of the gross accounts receivable balance as of March 31, 2016 and 2015,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22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have not yet reached profitability. For the fiscal years ended December 31, 2015, 2014, and 2013, we reported losses of approximately $149.1 million, $56.4 million, and $166.2 million, respectively, and we had an accumulated deficit as of December 31, 2015 of $1.1 billion. For the three months ended March 31, 2016 and 2015, we reported losses of approximately $29.8 million and $32.0 million, respectively and we had an accumulated deficit as of March 31, 2016 of $1.1 billion. Substantially all of our operating losses resulted from costs incurred in connection with our research and development programs, from 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ectPr>
          <w:pgSz w:w="11900" w:h="16838" w:orient="portrait"/>
          <w:cols w:equalWidth="0" w:num="1">
            <w:col w:w="11380"/>
          </w:cols>
          <w:pgMar w:left="240" w:top="459" w:right="279" w:bottom="1440" w:gutter="0" w:footer="0" w:header="0"/>
        </w:sectPr>
      </w:pP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80"/>
          </w:cols>
          <w:pgMar w:left="240" w:top="459" w:right="27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225" w:lineRule="exact"/>
        <w:rPr>
          <w:sz w:val="20"/>
          <w:szCs w:val="20"/>
          <w:color w:val="auto"/>
        </w:rPr>
      </w:pPr>
    </w:p>
    <w:p>
      <w:pPr>
        <w:ind w:right="220" w:firstLine="913"/>
        <w:spacing w:after="0" w:line="254" w:lineRule="auto"/>
        <w:rPr>
          <w:sz w:val="20"/>
          <w:szCs w:val="20"/>
          <w:color w:val="auto"/>
        </w:rPr>
      </w:pPr>
      <w:r>
        <w:rPr>
          <w:rFonts w:ascii="Arial" w:cs="Arial" w:eastAsia="Arial" w:hAnsi="Arial"/>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9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170" w:lineRule="exact"/>
        <w:rPr>
          <w:sz w:val="20"/>
          <w:szCs w:val="20"/>
          <w:color w:val="auto"/>
        </w:rPr>
      </w:pPr>
    </w:p>
    <w:p>
      <w:pPr>
        <w:jc w:val="both"/>
        <w:ind w:right="280" w:firstLine="913"/>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77"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75" w:lineRule="exact"/>
        <w:rPr>
          <w:rFonts w:ascii="Arial" w:cs="Arial" w:eastAsia="Arial" w:hAnsi="Arial"/>
          <w:sz w:val="18"/>
          <w:szCs w:val="18"/>
          <w:color w:val="auto"/>
        </w:rPr>
      </w:pPr>
    </w:p>
    <w:p>
      <w:pPr>
        <w:ind w:left="1480" w:right="420" w:hanging="446"/>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 Inc.;</w:t>
      </w:r>
    </w:p>
    <w:p>
      <w:pPr>
        <w:spacing w:after="0" w:line="75" w:lineRule="exact"/>
        <w:rPr>
          <w:rFonts w:ascii="Arial" w:cs="Arial" w:eastAsia="Arial" w:hAnsi="Arial"/>
          <w:sz w:val="18"/>
          <w:szCs w:val="18"/>
          <w:color w:val="auto"/>
        </w:rPr>
      </w:pPr>
    </w:p>
    <w:p>
      <w:pPr>
        <w:ind w:left="1480" w:right="140" w:hanging="446"/>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ability of Eddingpharm to development and commercialize Vascepa in the China Territory, including obtaining necessary regulatory approvals and establishing marketing channels;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the REDUCE-IT study or post-approval studies for Vascepa;</w:t>
      </w:r>
    </w:p>
    <w:p>
      <w:pPr>
        <w:spacing w:after="0" w:line="130" w:lineRule="exact"/>
        <w:rPr>
          <w:rFonts w:ascii="Arial" w:cs="Arial" w:eastAsia="Arial" w:hAnsi="Arial"/>
          <w:sz w:val="18"/>
          <w:szCs w:val="18"/>
          <w:color w:val="auto"/>
        </w:rPr>
      </w:pPr>
    </w:p>
    <w:p>
      <w:pPr>
        <w:ind w:left="1480" w:right="440" w:hanging="446"/>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including our pending FDA determination on regulatory exclusivity, shareholder litigation, regulatory matters and tax matters;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225"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operating as a going concern and growing our business.</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$81.4 million as of March 31, 2016 will be sufficient to fund our projected operations for at least the next twelve months. Depending on the level of cash generated from operations, additional capital may be required to sustain operations.</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generated from the commercial sale of Vascepa;</w:t>
      </w:r>
    </w:p>
    <w:p>
      <w:pPr>
        <w:spacing w:after="0" w:line="130" w:lineRule="exact"/>
        <w:rPr>
          <w:rFonts w:ascii="Arial" w:cs="Arial" w:eastAsia="Arial" w:hAnsi="Arial"/>
          <w:sz w:val="18"/>
          <w:szCs w:val="18"/>
          <w:color w:val="auto"/>
        </w:rPr>
      </w:pPr>
    </w:p>
    <w:p>
      <w:pPr>
        <w:ind w:left="1480" w:right="60" w:hanging="446"/>
        <w:spacing w:after="0" w:line="25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and for additional indications in the United States and in jurisdictions in which we receive regulatory approval, if any, including the cost of sales and marketing capabilities with our new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23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23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7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In January 2012, we issued $150 million in aggregate principal amount of 3.5% exchangeable senior notes due 2032, or the 2012 Notes, $16.2 million of which was subsequently repaid. In May 2014, we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or the 2014 Notes. In the event of physical settlement, the remaining 2012 Notes and 2014 Notes would be exchangeable into a total of 1,714,270 ADSs and 45,666,925 ADSs, respectively.</w:t>
      </w:r>
    </w:p>
    <w:p>
      <w:pPr>
        <w:spacing w:after="0" w:line="173"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In November 2015, we issued $31.3 million in aggregate principal amount of 3.5% exchangeable senior notes due 2032, or the 2015 Notes. In the event of physical settlement, the 2015 Notes would be exchangeable into a total of 12,025,385 ADSs.</w:t>
      </w:r>
    </w:p>
    <w:p>
      <w:pPr>
        <w:spacing w:after="0" w:line="17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22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92" w:lineRule="exact"/>
        <w:rPr>
          <w:sz w:val="20"/>
          <w:szCs w:val="20"/>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As of May 1, 2016 we had 185,124,341 common shares outstanding including 183,096,686 shares held as ADSs and 2,027,655 held as common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March 2015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31"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the European Union or other countries;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25" w:lineRule="exact"/>
        <w:rPr>
          <w:sz w:val="20"/>
          <w:szCs w:val="20"/>
          <w:color w:val="auto"/>
        </w:rPr>
      </w:pPr>
    </w:p>
    <w:p>
      <w:pPr>
        <w:ind w:left="460" w:right="200"/>
        <w:spacing w:after="0" w:line="257" w:lineRule="auto"/>
        <w:rPr>
          <w:sz w:val="20"/>
          <w:szCs w:val="20"/>
          <w:color w:val="auto"/>
        </w:rPr>
      </w:pPr>
      <w:r>
        <w:rPr>
          <w:rFonts w:ascii="Arial" w:cs="Arial" w:eastAsia="Arial" w:hAnsi="Arial"/>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188"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79"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14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16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24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believe it is prudent to assume that we were classified as a PFIC in 2012. We do not believe that we were classified as a PFIC in 2013, 2014 or 2015. Our status as a PFIC is subject to change in 2016 and future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meet our obligations under our Purchase and Sale Agreement with BioPharma could adversely affect our financial results and liquidity.</w:t>
      </w:r>
    </w:p>
    <w:p>
      <w:pPr>
        <w:spacing w:after="0" w:line="260"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24"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88" w:lineRule="exact"/>
        <w:rPr>
          <w:sz w:val="20"/>
          <w:szCs w:val="20"/>
          <w:color w:val="auto"/>
        </w:rPr>
      </w:pPr>
    </w:p>
    <w:p>
      <w:pPr>
        <w:jc w:val="both"/>
        <w:ind w:right="160" w:firstLine="913"/>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w:t>
      </w:r>
    </w:p>
    <w:p>
      <w:pPr>
        <w:ind w:right="40" w:firstLine="8"/>
        <w:spacing w:after="0" w:line="273" w:lineRule="auto"/>
        <w:tabs>
          <w:tab w:leader="none" w:pos="2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9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Our existing indebtedness consists of $165.1 million in aggregate principal amount of 3.5% exchangeable senior notes due 2032, $15.1 million of which relates to the January 2012 notes with provisions for the notes to be put to us on or after January 19, 2017 and $118.7 million of May 2014 notes and $31.3 million of November 2015 notes, both with provisions for the notes to be redeemed by us on or after January 19, 2018 or put to us by the holders on or after January 19, 2019.</w:t>
      </w:r>
    </w:p>
    <w:p>
      <w:pPr>
        <w:spacing w:after="0" w:line="18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Our indebtedness and the related annual debt service requirements may adversely impact our business, operations and financial condition in the future. For example, they could:</w:t>
      </w:r>
    </w:p>
    <w:p>
      <w:pPr>
        <w:spacing w:after="0" w:line="76"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notes, could have a material effect on our reported financial results.</w:t>
      </w:r>
    </w:p>
    <w:p>
      <w:pPr>
        <w:spacing w:after="0" w:line="17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change in control repurchase feature of the notes may delay or prevent an otherwise beneficial takeover attempt of us.</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change in control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87" w:lineRule="exact"/>
        <w:rPr>
          <w:sz w:val="20"/>
          <w:szCs w:val="20"/>
          <w:color w:val="auto"/>
        </w:rPr>
      </w:pPr>
    </w:p>
    <w:p>
      <w:pPr>
        <w:ind w:left="1480" w:hanging="446"/>
        <w:spacing w:after="0" w:line="264"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86" w:lineRule="exact"/>
        <w:rPr>
          <w:rFonts w:ascii="Arial" w:cs="Arial" w:eastAsia="Arial" w:hAnsi="Arial"/>
          <w:sz w:val="18"/>
          <w:szCs w:val="18"/>
          <w:color w:val="auto"/>
        </w:rPr>
      </w:pPr>
    </w:p>
    <w:p>
      <w:pPr>
        <w:ind w:left="1480" w:right="60" w:hanging="446"/>
        <w:spacing w:after="0" w:line="342" w:lineRule="auto"/>
        <w:tabs>
          <w:tab w:leader="none" w:pos="1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29" w:lineRule="exact"/>
        <w:rPr>
          <w:rFonts w:ascii="Arial" w:cs="Arial" w:eastAsia="Arial" w:hAnsi="Arial"/>
          <w:sz w:val="16"/>
          <w:szCs w:val="16"/>
          <w:color w:val="auto"/>
        </w:rPr>
      </w:pPr>
    </w:p>
    <w:p>
      <w:pPr>
        <w:ind w:left="1480" w:right="140" w:hanging="446"/>
        <w:spacing w:after="0" w:line="259"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2" w:lineRule="exact"/>
        <w:rPr>
          <w:rFonts w:ascii="Arial" w:cs="Arial" w:eastAsia="Arial" w:hAnsi="Arial"/>
          <w:sz w:val="18"/>
          <w:szCs w:val="18"/>
          <w:color w:val="auto"/>
        </w:rPr>
      </w:pPr>
    </w:p>
    <w:p>
      <w:pPr>
        <w:ind w:left="1480" w:right="20" w:hanging="446"/>
        <w:spacing w:after="0" w:line="25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93" w:lineRule="exact"/>
        <w:rPr>
          <w:rFonts w:ascii="Arial" w:cs="Arial" w:eastAsia="Arial" w:hAnsi="Arial"/>
          <w:sz w:val="18"/>
          <w:szCs w:val="18"/>
          <w:color w:val="auto"/>
        </w:rPr>
      </w:pPr>
    </w:p>
    <w:p>
      <w:pPr>
        <w:ind w:left="1480" w:hanging="446"/>
        <w:spacing w:after="0" w:line="291" w:lineRule="auto"/>
        <w:tabs>
          <w:tab w:leader="none" w:pos="1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72" w:lineRule="exact"/>
        <w:rPr>
          <w:rFonts w:ascii="Arial" w:cs="Arial" w:eastAsia="Arial" w:hAnsi="Arial"/>
          <w:sz w:val="16"/>
          <w:szCs w:val="16"/>
          <w:color w:val="auto"/>
        </w:rPr>
      </w:pPr>
    </w:p>
    <w:p>
      <w:pPr>
        <w:ind w:left="1480" w:hanging="446"/>
        <w:spacing w:after="0" w:line="25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93" w:lineRule="exact"/>
        <w:rPr>
          <w:rFonts w:ascii="Arial" w:cs="Arial" w:eastAsia="Arial" w:hAnsi="Arial"/>
          <w:sz w:val="18"/>
          <w:szCs w:val="18"/>
          <w:color w:val="auto"/>
        </w:rPr>
      </w:pPr>
    </w:p>
    <w:p>
      <w:pPr>
        <w:ind w:left="1480" w:right="20" w:hanging="446"/>
        <w:spacing w:after="0" w:line="276" w:lineRule="auto"/>
        <w:tabs>
          <w:tab w:leader="none" w:pos="1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225" w:lineRule="exact"/>
        <w:rPr>
          <w:sz w:val="20"/>
          <w:szCs w:val="20"/>
          <w:color w:val="auto"/>
        </w:rPr>
      </w:pPr>
    </w:p>
    <w:p>
      <w:pPr>
        <w:ind w:right="220" w:firstLine="913"/>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65"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17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80" w:type="dxa"/>
            <w:vAlign w:val="bottom"/>
            <w:gridSpan w:val="3"/>
          </w:tcPr>
          <w:p>
            <w:pPr>
              <w:ind w:left="300"/>
              <w:spacing w:after="0"/>
              <w:rPr>
                <w:sz w:val="20"/>
                <w:szCs w:val="20"/>
                <w:color w:val="auto"/>
              </w:rPr>
            </w:pPr>
            <w:r>
              <w:rPr>
                <w:rFonts w:ascii="Arial" w:cs="Arial" w:eastAsia="Arial" w:hAnsi="Arial"/>
                <w:sz w:val="18"/>
                <w:szCs w:val="18"/>
                <w:b w:val="1"/>
                <w:bCs w:val="1"/>
                <w:color w:val="auto"/>
                <w:w w:val="99"/>
              </w:rPr>
              <w:t>Unregistered Sales of Equity Securities and Use of Proceeds</w:t>
            </w:r>
          </w:p>
        </w:tc>
        <w:tc>
          <w:tcPr>
            <w:tcW w:w="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2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5480" w:type="dxa"/>
            <w:vAlign w:val="bottom"/>
            <w:gridSpan w:val="3"/>
          </w:tcPr>
          <w:p>
            <w:pPr>
              <w:ind w:left="180"/>
              <w:spacing w:after="0"/>
              <w:rPr>
                <w:sz w:val="20"/>
                <w:szCs w:val="20"/>
                <w:color w:val="auto"/>
              </w:rPr>
            </w:pPr>
            <w:r>
              <w:rPr>
                <w:rFonts w:ascii="Arial" w:cs="Arial" w:eastAsia="Arial" w:hAnsi="Arial"/>
                <w:sz w:val="18"/>
                <w:szCs w:val="18"/>
                <w:color w:val="auto"/>
              </w:rPr>
              <w:t>Shares purchased in the first quarter of 2016 are as follows:</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0" w:type="dxa"/>
            <w:vAlign w:val="bottom"/>
          </w:tcPr>
          <w:p>
            <w:pPr>
              <w:spacing w:after="0"/>
              <w:rPr>
                <w:sz w:val="24"/>
                <w:szCs w:val="24"/>
                <w:color w:val="auto"/>
              </w:rPr>
            </w:pPr>
          </w:p>
        </w:tc>
        <w:tc>
          <w:tcPr>
            <w:tcW w:w="5480" w:type="dxa"/>
            <w:vAlign w:val="bottom"/>
            <w:gridSpan w:val="3"/>
            <w:vMerge w:val="restart"/>
          </w:tcPr>
          <w:p>
            <w:pPr>
              <w:ind w:left="640"/>
              <w:spacing w:after="0"/>
              <w:rPr>
                <w:sz w:val="20"/>
                <w:szCs w:val="20"/>
                <w:color w:val="auto"/>
              </w:rPr>
            </w:pPr>
            <w:r>
              <w:rPr>
                <w:rFonts w:ascii="Arial" w:cs="Arial" w:eastAsia="Arial" w:hAnsi="Arial"/>
                <w:sz w:val="14"/>
                <w:szCs w:val="14"/>
                <w:i w:val="1"/>
                <w:iCs w:val="1"/>
                <w:color w:val="auto"/>
              </w:rPr>
              <w:t>Period</w:t>
            </w:r>
          </w:p>
        </w:tc>
        <w:tc>
          <w:tcPr>
            <w:tcW w:w="600" w:type="dxa"/>
            <w:vAlign w:val="bottom"/>
          </w:tcPr>
          <w:p>
            <w:pPr>
              <w:spacing w:after="0"/>
              <w:rPr>
                <w:sz w:val="24"/>
                <w:szCs w:val="24"/>
                <w:color w:val="auto"/>
              </w:rPr>
            </w:pPr>
          </w:p>
        </w:tc>
        <w:tc>
          <w:tcPr>
            <w:tcW w:w="1300" w:type="dxa"/>
            <w:vAlign w:val="bottom"/>
          </w:tcPr>
          <w:p>
            <w:pPr>
              <w:jc w:val="right"/>
              <w:ind w:right="54"/>
              <w:spacing w:after="0"/>
              <w:rPr>
                <w:sz w:val="20"/>
                <w:szCs w:val="20"/>
                <w:color w:val="auto"/>
              </w:rPr>
            </w:pPr>
            <w:r>
              <w:rPr>
                <w:rFonts w:ascii="Arial" w:cs="Arial" w:eastAsia="Arial" w:hAnsi="Arial"/>
                <w:sz w:val="14"/>
                <w:szCs w:val="14"/>
                <w:b w:val="1"/>
                <w:bCs w:val="1"/>
                <w:color w:val="auto"/>
              </w:rPr>
              <w:t>Total Number of</w:t>
            </w:r>
          </w:p>
        </w:tc>
        <w:tc>
          <w:tcPr>
            <w:tcW w:w="92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5480" w:type="dxa"/>
            <w:vAlign w:val="bottom"/>
            <w:gridSpan w:val="3"/>
            <w:vMerge w:val="continue"/>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Shares Purchased </w:t>
            </w:r>
            <w:r>
              <w:rPr>
                <w:rFonts w:ascii="Arial" w:cs="Arial" w:eastAsia="Arial" w:hAnsi="Arial"/>
                <w:sz w:val="12"/>
                <w:szCs w:val="12"/>
                <w:b w:val="1"/>
                <w:bCs w:val="1"/>
                <w:color w:val="auto"/>
              </w:rPr>
              <w:t>(1)</w:t>
            </w:r>
          </w:p>
        </w:tc>
        <w:tc>
          <w:tcPr>
            <w:tcW w:w="1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Paid per Share</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31, 2016</w:t>
            </w:r>
          </w:p>
        </w:tc>
        <w:tc>
          <w:tcPr>
            <w:tcW w:w="60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471,440</w:t>
            </w:r>
          </w:p>
        </w:tc>
        <w:tc>
          <w:tcPr>
            <w:tcW w:w="9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February 1 – 29, 2016</w:t>
            </w:r>
          </w:p>
        </w:tc>
        <w:tc>
          <w:tcPr>
            <w:tcW w:w="60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31, 2016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34,801</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480" w:type="dxa"/>
            <w:vAlign w:val="bottom"/>
            <w:gridSpan w:val="3"/>
          </w:tcPr>
          <w:p>
            <w:pPr>
              <w:ind w:left="64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506,241</w:t>
            </w:r>
          </w:p>
        </w:tc>
        <w:tc>
          <w:tcPr>
            <w:tcW w:w="9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220" w:hanging="452"/>
        <w:spacing w:after="0" w:line="277"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20" w:type="dxa"/>
            <w:vAlign w:val="bottom"/>
            <w:gridSpan w:val="3"/>
          </w:tcPr>
          <w:p>
            <w:pPr>
              <w:ind w:left="1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620" w:type="dxa"/>
            <w:vAlign w:val="bottom"/>
            <w:gridSpan w:val="3"/>
            <w:vMerge w:val="restart"/>
          </w:tcPr>
          <w:p>
            <w:pPr>
              <w:ind w:left="5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6"/>
                <w:szCs w:val="16"/>
                <w:color w:val="auto"/>
              </w:rPr>
            </w:pPr>
          </w:p>
        </w:tc>
        <w:tc>
          <w:tcPr>
            <w:tcW w:w="106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w w:val="92"/>
              </w:rPr>
              <w:t>Certification of President and Chief Executive Officer (Principal Executive Officer and Principal Financial Officer) pursuant to Section 302 of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w w:val="92"/>
              </w:rPr>
              <w:t>Certification of President and Chief Executive Officer (Principal Executive Officer and Principal Financial Officer) pursuant to Section 906 of</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62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Pr>
          <w:p>
            <w:pPr>
              <w:ind w:left="4820"/>
              <w:spacing w:after="0"/>
              <w:rPr>
                <w:sz w:val="20"/>
                <w:szCs w:val="20"/>
                <w:color w:val="auto"/>
              </w:rPr>
            </w:pPr>
            <w:r>
              <w:rPr>
                <w:rFonts w:ascii="Arial" w:cs="Arial" w:eastAsia="Arial" w:hAnsi="Arial"/>
                <w:sz w:val="18"/>
                <w:szCs w:val="18"/>
                <w:color w:val="auto"/>
              </w:rPr>
              <w:t>75</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MARIN</w:t>
      </w:r>
      <w:r>
        <w:rPr>
          <w:rFonts w:ascii="Arial" w:cs="Arial" w:eastAsia="Arial" w:hAnsi="Arial"/>
          <w:sz w:val="18"/>
          <w:szCs w:val="18"/>
          <w:color w:val="auto"/>
        </w:rPr>
        <w:t xml:space="preserve"> C</w:t>
      </w:r>
      <w:r>
        <w:rPr>
          <w:rFonts w:ascii="Arial" w:cs="Arial" w:eastAsia="Arial" w:hAnsi="Arial"/>
          <w:sz w:val="15"/>
          <w:szCs w:val="15"/>
          <w:color w:val="auto"/>
        </w:rPr>
        <w:t>ORPORATION</w:t>
      </w:r>
      <w:r>
        <w:rPr>
          <w:rFonts w:ascii="Arial" w:cs="Arial" w:eastAsia="Arial" w:hAnsi="Arial"/>
          <w:sz w:val="18"/>
          <w:szCs w:val="18"/>
          <w:color w:val="auto"/>
        </w:rPr>
        <w:t xml:space="preserve"> P</w:t>
      </w:r>
      <w:r>
        <w:rPr>
          <w:rFonts w:ascii="Arial" w:cs="Arial" w:eastAsia="Arial" w:hAnsi="Arial"/>
          <w:sz w:val="15"/>
          <w:szCs w:val="15"/>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9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Executive Officer and Principal Financial</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240" w:top="459" w:right="67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3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May 5, 2016</w:t>
            </w:r>
          </w:p>
        </w:tc>
        <w:tc>
          <w:tcPr>
            <w:tcW w:w="546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/s/  John F. Thero</w:t>
            </w:r>
          </w:p>
        </w:tc>
      </w:tr>
      <w:tr>
        <w:trPr>
          <w:trHeight w:val="195"/>
        </w:trPr>
        <w:tc>
          <w:tcPr>
            <w:tcW w:w="5960" w:type="dxa"/>
            <w:vAlign w:val="bottom"/>
          </w:tcPr>
          <w:p>
            <w:pPr>
              <w:spacing w:after="0"/>
              <w:rPr>
                <w:sz w:val="16"/>
                <w:szCs w:val="16"/>
                <w:color w:val="auto"/>
              </w:rPr>
            </w:pPr>
          </w:p>
        </w:tc>
        <w:tc>
          <w:tcPr>
            <w:tcW w:w="54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89"/>
              </w:rPr>
              <w:t>John F. Thero</w:t>
            </w:r>
          </w:p>
        </w:tc>
      </w:tr>
      <w:tr>
        <w:trPr>
          <w:trHeight w:val="216"/>
        </w:trPr>
        <w:tc>
          <w:tcPr>
            <w:tcW w:w="5960" w:type="dxa"/>
            <w:vAlign w:val="bottom"/>
          </w:tcPr>
          <w:p>
            <w:pPr>
              <w:spacing w:after="0"/>
              <w:rPr>
                <w:sz w:val="18"/>
                <w:szCs w:val="18"/>
                <w:color w:val="auto"/>
              </w:rPr>
            </w:pPr>
          </w:p>
        </w:tc>
        <w:tc>
          <w:tcPr>
            <w:tcW w:w="5460" w:type="dxa"/>
            <w:vAlign w:val="bottom"/>
          </w:tcPr>
          <w:p>
            <w:pPr>
              <w:jc w:val="center"/>
              <w:ind w:left="10"/>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5960" w:type="dxa"/>
            <w:vAlign w:val="bottom"/>
          </w:tcPr>
          <w:p>
            <w:pPr>
              <w:spacing w:after="0"/>
              <w:rPr>
                <w:sz w:val="20"/>
                <w:szCs w:val="20"/>
                <w:color w:val="auto"/>
              </w:rPr>
            </w:pPr>
          </w:p>
        </w:tc>
        <w:tc>
          <w:tcPr>
            <w:tcW w:w="5460" w:type="dxa"/>
            <w:vAlign w:val="bottom"/>
          </w:tcPr>
          <w:p>
            <w:pPr>
              <w:jc w:val="center"/>
              <w:ind w:left="10"/>
              <w:spacing w:after="0"/>
              <w:rPr>
                <w:sz w:val="20"/>
                <w:szCs w:val="20"/>
                <w:color w:val="auto"/>
              </w:rPr>
            </w:pPr>
            <w:r>
              <w:rPr>
                <w:rFonts w:ascii="Arial" w:cs="Arial" w:eastAsia="Arial" w:hAnsi="Arial"/>
                <w:sz w:val="18"/>
                <w:szCs w:val="18"/>
                <w:color w:val="auto"/>
                <w:w w:val="93"/>
              </w:rPr>
              <w:t>(Principal Executive Officer and Principal Financial Officer)</w:t>
            </w:r>
          </w:p>
        </w:tc>
      </w:tr>
    </w:tbl>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and Principal Financial Officer) of Amarin Corporation plc (the “Company”), hereby certifies that, to the best of his knowledge:</w:t>
      </w:r>
    </w:p>
    <w:p>
      <w:pPr>
        <w:spacing w:after="0" w:line="87" w:lineRule="exact"/>
        <w:rPr>
          <w:sz w:val="20"/>
          <w:szCs w:val="20"/>
          <w:color w:val="auto"/>
        </w:rPr>
      </w:pPr>
    </w:p>
    <w:p>
      <w:pPr>
        <w:ind w:left="460" w:right="540" w:hanging="452"/>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2016, to which this Certification is attached as Exhibit 32.1 (the “Quarterly Report”) fully complies with the requirements of Section 13(a) or 15(d) of the Securities Exchange Act of 1934; and</w:t>
      </w:r>
    </w:p>
    <w:p>
      <w:pPr>
        <w:spacing w:after="0" w:line="51" w:lineRule="exact"/>
        <w:rPr>
          <w:rFonts w:ascii="Arial" w:cs="Arial" w:eastAsia="Arial" w:hAnsi="Arial"/>
          <w:sz w:val="17"/>
          <w:szCs w:val="17"/>
          <w:color w:val="auto"/>
        </w:rPr>
      </w:pPr>
    </w:p>
    <w:p>
      <w:pPr>
        <w:ind w:left="460" w:right="56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May 5, 2016</w:t>
            </w:r>
          </w:p>
        </w:tc>
        <w:tc>
          <w:tcPr>
            <w:tcW w:w="536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Executive Officer and Principal Financial Officer)</w:t>
            </w:r>
          </w:p>
        </w:tc>
      </w:tr>
    </w:tbl>
    <w:p>
      <w:pPr>
        <w:spacing w:after="0" w:line="21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lowerRoman"/>
      <w:start w:val="1"/>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4"/>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6"/>
    </w:lvl>
  </w:abstractNum>
  <w:abstractNum w:abstractNumId="11">
    <w:nsid w:val="79838CB2"/>
    <w:multiLevelType w:val="hybridMultilevel"/>
    <w:lvl w:ilvl="0">
      <w:lvlJc w:val="left"/>
      <w:lvlText w:val="(%1)"/>
      <w:numFmt w:val="decimal"/>
      <w:start w:val="7"/>
    </w:lvl>
  </w:abstractNum>
  <w:abstractNum w:abstractNumId="12">
    <w:nsid w:val="4353D0CD"/>
    <w:multiLevelType w:val="hybridMultilevel"/>
    <w:lvl w:ilvl="0">
      <w:lvlJc w:val="left"/>
      <w:lvlText w:val="(%1)"/>
      <w:numFmt w:val="decimal"/>
      <w:start w:val="8"/>
    </w:lvl>
  </w:abstractNum>
  <w:abstractNum w:abstractNumId="13">
    <w:nsid w:val="B03E0C6"/>
    <w:multiLevelType w:val="hybridMultilevel"/>
    <w:lvl w:ilvl="0">
      <w:lvlJc w:val="left"/>
      <w:lvlText w:val="(%1)"/>
      <w:numFmt w:val="lowerLetter"/>
      <w:start w:val="2"/>
    </w:lvl>
  </w:abstractNum>
  <w:abstractNum w:abstractNumId="14">
    <w:nsid w:val="189A769B"/>
    <w:multiLevelType w:val="hybridMultilevel"/>
    <w:lvl w:ilvl="0">
      <w:lvlJc w:val="left"/>
      <w:lvlText w:val="(%1)"/>
      <w:numFmt w:val="decimal"/>
      <w:start w:val="9"/>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2019-12-29T11:36:56Z</dcterms:created>
  <dcterms:modified xsi:type="dcterms:W3CDTF">2019-12-29T11:36:56Z</dcterms:modified>
</cp:coreProperties>
</file>