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106680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120650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3" w:lineRule="exact"/>
        <w:rPr>
          <w:sz w:val="24"/>
          <w:szCs w:val="24"/>
          <w:color w:val="auto"/>
        </w:rPr>
      </w:pPr>
    </w:p>
    <w:p>
      <w:pPr>
        <w:ind w:left="3660" w:right="1620" w:hanging="3652"/>
        <w:spacing w:after="0" w:line="290" w:lineRule="auto"/>
        <w:tabs>
          <w:tab w:leader="none" w:pos="445"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17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43"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-20320</wp:posOffset>
            </wp:positionV>
            <wp:extent cx="571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Amarin Corporation plc</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4800" w:type="dxa"/>
            <w:vAlign w:val="bottom"/>
          </w:tcPr>
          <w:p>
            <w:pPr>
              <w:jc w:val="center"/>
              <w:ind w:right="1679"/>
              <w:spacing w:after="0"/>
              <w:rPr>
                <w:sz w:val="20"/>
                <w:szCs w:val="20"/>
                <w:color w:val="auto"/>
              </w:rPr>
            </w:pPr>
            <w:r>
              <w:rPr>
                <w:rFonts w:ascii="Arial" w:cs="Arial" w:eastAsia="Arial" w:hAnsi="Arial"/>
                <w:sz w:val="18"/>
                <w:szCs w:val="18"/>
                <w:b w:val="1"/>
                <w:bCs w:val="1"/>
                <w:color w:val="auto"/>
                <w:w w:val="89"/>
              </w:rPr>
              <w:t>England and Wales</w:t>
            </w:r>
          </w:p>
        </w:tc>
        <w:tc>
          <w:tcPr>
            <w:tcW w:w="3120" w:type="dxa"/>
            <w:vAlign w:val="bottom"/>
          </w:tcPr>
          <w:p>
            <w:pPr>
              <w:jc w:val="center"/>
              <w:ind w:left="1721"/>
              <w:spacing w:after="0"/>
              <w:rPr>
                <w:sz w:val="20"/>
                <w:szCs w:val="20"/>
                <w:color w:val="auto"/>
              </w:rPr>
            </w:pPr>
            <w:r>
              <w:rPr>
                <w:rFonts w:ascii="Arial" w:cs="Arial" w:eastAsia="Arial" w:hAnsi="Arial"/>
                <w:sz w:val="18"/>
                <w:szCs w:val="18"/>
                <w:b w:val="1"/>
                <w:bCs w:val="1"/>
                <w:color w:val="auto"/>
                <w:w w:val="90"/>
              </w:rPr>
              <w:t>Not applicable</w:t>
            </w:r>
          </w:p>
        </w:tc>
      </w:tr>
      <w:tr>
        <w:trPr>
          <w:trHeight w:val="193"/>
        </w:trPr>
        <w:tc>
          <w:tcPr>
            <w:tcW w:w="4800" w:type="dxa"/>
            <w:vAlign w:val="bottom"/>
          </w:tcPr>
          <w:p>
            <w:pPr>
              <w:jc w:val="center"/>
              <w:ind w:right="1659"/>
              <w:spacing w:after="0"/>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7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800" w:type="dxa"/>
            <w:vAlign w:val="bottom"/>
          </w:tcPr>
          <w:p>
            <w:pPr>
              <w:jc w:val="center"/>
              <w:ind w:right="1679"/>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jc w:val="center"/>
              <w:ind w:left="1701"/>
              <w:spacing w:after="0"/>
              <w:rPr>
                <w:sz w:val="20"/>
                <w:szCs w:val="20"/>
                <w:color w:val="auto"/>
              </w:rPr>
            </w:pPr>
            <w:r>
              <w:rPr>
                <w:rFonts w:ascii="Arial" w:cs="Arial" w:eastAsia="Arial" w:hAnsi="Arial"/>
                <w:sz w:val="14"/>
                <w:szCs w:val="14"/>
                <w:b w:val="1"/>
                <w:bCs w:val="1"/>
                <w:color w:val="auto"/>
                <w:w w:val="96"/>
              </w:rPr>
              <w:t>Identification No.)</w:t>
            </w:r>
          </w:p>
        </w:tc>
      </w:tr>
      <w:tr>
        <w:trPr>
          <w:trHeight w:val="493"/>
        </w:trPr>
        <w:tc>
          <w:tcPr>
            <w:tcW w:w="4800" w:type="dxa"/>
            <w:vAlign w:val="bottom"/>
          </w:tcPr>
          <w:p>
            <w:pPr>
              <w:jc w:val="center"/>
              <w:ind w:right="1719"/>
              <w:spacing w:after="0"/>
              <w:rPr>
                <w:sz w:val="20"/>
                <w:szCs w:val="20"/>
                <w:color w:val="auto"/>
              </w:rPr>
            </w:pPr>
            <w:r>
              <w:rPr>
                <w:rFonts w:ascii="Arial" w:cs="Arial" w:eastAsia="Arial" w:hAnsi="Arial"/>
                <w:sz w:val="18"/>
                <w:szCs w:val="18"/>
                <w:b w:val="1"/>
                <w:bCs w:val="1"/>
                <w:color w:val="auto"/>
                <w:w w:val="90"/>
              </w:rPr>
              <w:t>77 Sir John Rogerson’s Quay, Block C,</w:t>
            </w:r>
          </w:p>
        </w:tc>
        <w:tc>
          <w:tcPr>
            <w:tcW w:w="3120" w:type="dxa"/>
            <w:vAlign w:val="bottom"/>
          </w:tcPr>
          <w:p>
            <w:pPr>
              <w:jc w:val="center"/>
              <w:ind w:left="1721"/>
              <w:spacing w:after="0"/>
              <w:rPr>
                <w:sz w:val="20"/>
                <w:szCs w:val="20"/>
                <w:color w:val="auto"/>
              </w:rPr>
            </w:pPr>
            <w:r>
              <w:rPr>
                <w:rFonts w:ascii="Arial" w:cs="Arial" w:eastAsia="Arial" w:hAnsi="Arial"/>
                <w:sz w:val="18"/>
                <w:szCs w:val="18"/>
                <w:b w:val="1"/>
                <w:bCs w:val="1"/>
                <w:color w:val="auto"/>
                <w:w w:val="94"/>
              </w:rPr>
              <w:t>Dublin 2, Ireland</w:t>
            </w:r>
          </w:p>
        </w:tc>
      </w:tr>
      <w:tr>
        <w:trPr>
          <w:trHeight w:val="234"/>
        </w:trPr>
        <w:tc>
          <w:tcPr>
            <w:tcW w:w="4800" w:type="dxa"/>
            <w:vAlign w:val="bottom"/>
          </w:tcPr>
          <w:p>
            <w:pPr>
              <w:jc w:val="center"/>
              <w:ind w:right="1679"/>
              <w:spacing w:after="0"/>
              <w:rPr>
                <w:sz w:val="20"/>
                <w:szCs w:val="20"/>
                <w:color w:val="auto"/>
              </w:rPr>
            </w:pPr>
            <w:r>
              <w:rPr>
                <w:rFonts w:ascii="Arial" w:cs="Arial" w:eastAsia="Arial" w:hAnsi="Arial"/>
                <w:sz w:val="18"/>
                <w:szCs w:val="18"/>
                <w:b w:val="1"/>
                <w:bCs w:val="1"/>
                <w:color w:val="auto"/>
                <w:w w:val="92"/>
              </w:rPr>
              <w:t>Grand Canal Docklands</w:t>
            </w:r>
          </w:p>
        </w:tc>
        <w:tc>
          <w:tcPr>
            <w:tcW w:w="3120" w:type="dxa"/>
            <w:vAlign w:val="bottom"/>
          </w:tcPr>
          <w:p>
            <w:pPr>
              <w:spacing w:after="0"/>
              <w:rPr>
                <w:sz w:val="20"/>
                <w:szCs w:val="20"/>
                <w:color w:val="auto"/>
              </w:rPr>
            </w:pPr>
          </w:p>
        </w:tc>
      </w:tr>
      <w:tr>
        <w:trPr>
          <w:trHeight w:val="204"/>
        </w:trPr>
        <w:tc>
          <w:tcPr>
            <w:tcW w:w="4800" w:type="dxa"/>
            <w:vAlign w:val="bottom"/>
          </w:tcPr>
          <w:p>
            <w:pPr>
              <w:jc w:val="center"/>
              <w:ind w:right="16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jc w:val="center"/>
              <w:ind w:left="1701"/>
              <w:spacing w:after="0"/>
              <w:rPr>
                <w:sz w:val="20"/>
                <w:szCs w:val="20"/>
                <w:color w:val="auto"/>
              </w:rPr>
            </w:pPr>
            <w:r>
              <w:rPr>
                <w:rFonts w:ascii="Arial" w:cs="Arial" w:eastAsia="Arial" w:hAnsi="Arial"/>
                <w:sz w:val="14"/>
                <w:szCs w:val="14"/>
                <w:b w:val="1"/>
                <w:bCs w:val="1"/>
                <w:color w:val="auto"/>
                <w:w w:val="95"/>
              </w:rPr>
              <w:t>(Zip Code)</w:t>
            </w:r>
          </w:p>
        </w:tc>
      </w:tr>
    </w:tbl>
    <w:p>
      <w:pPr>
        <w:spacing w:after="0" w:line="2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109220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8"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3"/>
        </w:trPr>
        <w:tc>
          <w:tcPr>
            <w:tcW w:w="4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American Depositary Shares (ADS(s)), each ADS</w:t>
            </w:r>
          </w:p>
        </w:tc>
        <w:tc>
          <w:tcPr>
            <w:tcW w:w="2240" w:type="dxa"/>
            <w:vAlign w:val="bottom"/>
            <w:tcBorders>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r>
      <w:tr>
        <w:trPr>
          <w:trHeight w:val="189"/>
        </w:trPr>
        <w:tc>
          <w:tcPr>
            <w:tcW w:w="4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representing the right to receive one (1) Ordinary Share of</w:t>
            </w:r>
          </w:p>
        </w:tc>
        <w:tc>
          <w:tcPr>
            <w:tcW w:w="2240" w:type="dxa"/>
            <w:vAlign w:val="bottom"/>
            <w:tcBorders>
              <w:right w:val="single" w:sz="8" w:color="auto"/>
            </w:tcBorders>
          </w:tcPr>
          <w:p>
            <w:pPr>
              <w:spacing w:after="0"/>
              <w:rPr>
                <w:sz w:val="16"/>
                <w:szCs w:val="16"/>
                <w:color w:val="auto"/>
              </w:rPr>
            </w:pPr>
          </w:p>
        </w:tc>
        <w:tc>
          <w:tcPr>
            <w:tcW w:w="4460" w:type="dxa"/>
            <w:vAlign w:val="bottom"/>
            <w:tcBorders>
              <w:right w:val="single" w:sz="8" w:color="auto"/>
            </w:tcBorders>
          </w:tcPr>
          <w:p>
            <w:pPr>
              <w:spacing w:after="0"/>
              <w:rPr>
                <w:sz w:val="16"/>
                <w:szCs w:val="16"/>
                <w:color w:val="auto"/>
              </w:rPr>
            </w:pPr>
          </w:p>
        </w:tc>
      </w:tr>
      <w:tr>
        <w:trPr>
          <w:trHeight w:val="219"/>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Amarin Corporation plc</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AMRN</w:t>
            </w:r>
          </w:p>
        </w:tc>
        <w:tc>
          <w:tcPr>
            <w:tcW w:w="4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NASDAQ Stock Market LLC</w:t>
            </w:r>
          </w:p>
        </w:tc>
      </w:tr>
    </w:tbl>
    <w:p>
      <w:pPr>
        <w:spacing w:after="0" w:line="107" w:lineRule="exact"/>
        <w:rPr>
          <w:sz w:val="24"/>
          <w:szCs w:val="24"/>
          <w:color w:val="auto"/>
        </w:rPr>
      </w:pPr>
    </w:p>
    <w:p>
      <w:pPr>
        <w:ind w:right="300"/>
        <w:spacing w:after="0" w:line="23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ind w:right="120"/>
        <w:spacing w:after="0" w:line="23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ind w:right="340"/>
        <w:spacing w:after="0" w:line="27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7"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6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28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19"/>
        </w:trPr>
        <w:tc>
          <w:tcPr>
            <w:tcW w:w="26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28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22" w:lineRule="exact"/>
        <w:rPr>
          <w:sz w:val="24"/>
          <w:szCs w:val="24"/>
          <w:color w:val="auto"/>
        </w:rPr>
      </w:pPr>
    </w:p>
    <w:p>
      <w:pPr>
        <w:ind w:right="16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207" w:lineRule="exact"/>
        <w:tabs>
          <w:tab w:leader="none" w:pos="7580" w:val="left"/>
          <w:tab w:leader="none" w:pos="83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63" w:lineRule="exact"/>
        <w:rPr>
          <w:sz w:val="24"/>
          <w:szCs w:val="24"/>
          <w:color w:val="auto"/>
        </w:rPr>
      </w:pPr>
    </w:p>
    <w:p>
      <w:pPr>
        <w:ind w:right="300"/>
        <w:spacing w:after="0" w:line="293" w:lineRule="auto"/>
        <w:rPr>
          <w:sz w:val="20"/>
          <w:szCs w:val="20"/>
          <w:color w:val="auto"/>
        </w:rPr>
      </w:pPr>
      <w:r>
        <w:rPr>
          <w:rFonts w:ascii="Arial" w:cs="Arial" w:eastAsia="Arial" w:hAnsi="Arial"/>
          <w:sz w:val="18"/>
          <w:szCs w:val="18"/>
          <w:color w:val="auto"/>
        </w:rPr>
        <w:t>395,825,887 common shares were outstanding as of October 29, 2021, including 395,629,060 shares held as American Depositary Shares (ADSs), each representing one Ordinary Share, 50 pence par value per share and 196,827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36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100" w:type="dxa"/>
            <w:vAlign w:val="bottom"/>
            <w:gridSpan w:val="13"/>
          </w:tcPr>
          <w:p>
            <w:pPr>
              <w:jc w:val="center"/>
              <w:ind w:right="1800"/>
              <w:spacing w:after="0"/>
              <w:rPr>
                <w:rFonts w:ascii="Arial" w:cs="Arial" w:eastAsia="Arial" w:hAnsi="Arial"/>
                <w:sz w:val="18"/>
                <w:szCs w:val="18"/>
                <w:b w:val="1"/>
                <w:bCs w:val="1"/>
                <w:color w:val="0000FF"/>
                <w:w w:val="94"/>
              </w:rPr>
            </w:pPr>
            <w:hyperlink w:anchor="page3">
              <w:r>
                <w:rPr>
                  <w:rFonts w:ascii="Arial" w:cs="Arial" w:eastAsia="Arial" w:hAnsi="Arial"/>
                  <w:sz w:val="18"/>
                  <w:szCs w:val="18"/>
                  <w:b w:val="1"/>
                  <w:bCs w:val="1"/>
                  <w:color w:val="0000FF"/>
                  <w:w w:val="94"/>
                </w:rPr>
                <w:t>PART I – Financial Information</w:t>
              </w:r>
            </w:hyperlink>
          </w:p>
        </w:tc>
        <w:tc>
          <w:tcPr>
            <w:tcW w:w="1020" w:type="dxa"/>
            <w:vAlign w:val="bottom"/>
          </w:tcPr>
          <w:p>
            <w:pPr>
              <w:spacing w:after="0"/>
              <w:rPr>
                <w:sz w:val="24"/>
                <w:szCs w:val="24"/>
                <w:color w:val="auto"/>
              </w:rPr>
            </w:pPr>
          </w:p>
        </w:tc>
      </w:tr>
      <w:tr>
        <w:trPr>
          <w:trHeight w:val="439"/>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3180" w:type="dxa"/>
            <w:vAlign w:val="bottom"/>
            <w:gridSpan w:val="6"/>
          </w:tcPr>
          <w:p>
            <w:pPr>
              <w:spacing w:after="0"/>
              <w:rPr>
                <w:sz w:val="20"/>
                <w:szCs w:val="20"/>
                <w:color w:val="auto"/>
              </w:rPr>
            </w:pPr>
            <w:r>
              <w:rPr>
                <w:rFonts w:ascii="Arial" w:cs="Arial" w:eastAsia="Arial" w:hAnsi="Arial"/>
                <w:sz w:val="18"/>
                <w:szCs w:val="18"/>
                <w:color w:val="auto"/>
              </w:rPr>
              <w:t>Financial Statements (unaudited):</w:t>
            </w:r>
          </w:p>
        </w:tc>
        <w:tc>
          <w:tcPr>
            <w:tcW w:w="2460" w:type="dxa"/>
            <w:vAlign w:val="bottom"/>
            <w:tcBorders>
              <w:top w:val="single" w:sz="8" w:color="0000FF"/>
            </w:tcBorders>
            <w:gridSpan w:val="6"/>
          </w:tcPr>
          <w:p>
            <w:pPr>
              <w:spacing w:after="0"/>
              <w:rPr>
                <w:sz w:val="24"/>
                <w:szCs w:val="24"/>
                <w:color w:val="auto"/>
              </w:rPr>
            </w:pPr>
          </w:p>
        </w:tc>
        <w:tc>
          <w:tcPr>
            <w:tcW w:w="322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6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September 30, 2021 and December 31, 2020</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60" w:type="dxa"/>
            <w:vAlign w:val="bottom"/>
            <w:gridSpan w:val="18"/>
          </w:tcPr>
          <w:p>
            <w:pPr>
              <w:spacing w:after="0"/>
              <w:rPr>
                <w:rFonts w:ascii="Arial" w:cs="Arial" w:eastAsia="Arial" w:hAnsi="Arial"/>
                <w:sz w:val="18"/>
                <w:szCs w:val="18"/>
                <w:color w:val="0000FF"/>
                <w:w w:val="92"/>
              </w:rPr>
            </w:pPr>
            <w:hyperlink w:anchor="page4">
              <w:r>
                <w:rPr>
                  <w:rFonts w:ascii="Arial" w:cs="Arial" w:eastAsia="Arial" w:hAnsi="Arial"/>
                  <w:sz w:val="18"/>
                  <w:szCs w:val="18"/>
                  <w:color w:val="0000FF"/>
                  <w:w w:val="92"/>
                </w:rPr>
                <w:t>Condensed Consolidated Statements of Operations for the three and nine months ended September 30, 2021 and 2020</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60" w:type="dxa"/>
            <w:vAlign w:val="bottom"/>
            <w:gridSpan w:val="18"/>
          </w:tcPr>
          <w:p>
            <w:pPr>
              <w:spacing w:after="0"/>
              <w:rPr>
                <w:rFonts w:ascii="Arial" w:cs="Arial" w:eastAsia="Arial" w:hAnsi="Arial"/>
                <w:sz w:val="18"/>
                <w:szCs w:val="18"/>
                <w:color w:val="0000FF"/>
                <w:w w:val="92"/>
              </w:rPr>
            </w:pPr>
            <w:hyperlink w:anchor="page5">
              <w:r>
                <w:rPr>
                  <w:rFonts w:ascii="Arial" w:cs="Arial" w:eastAsia="Arial" w:hAnsi="Arial"/>
                  <w:sz w:val="18"/>
                  <w:szCs w:val="18"/>
                  <w:color w:val="0000FF"/>
                  <w:w w:val="92"/>
                </w:rPr>
                <w:t>Condensed Consolidated Statement of Changes in Stockholders’ Equity for the nine months ended September 30, 2021</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400" w:type="dxa"/>
            <w:vAlign w:val="bottom"/>
            <w:tcBorders>
              <w:top w:val="single" w:sz="8" w:color="0000FF"/>
            </w:tcBorders>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and 2020</w:t>
              </w:r>
            </w:hyperlink>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6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for the nine months ended September 30, 2021 and 2020</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60" w:type="dxa"/>
            <w:vAlign w:val="bottom"/>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8860" w:type="dxa"/>
            <w:vAlign w:val="bottom"/>
            <w:gridSpan w:val="18"/>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Management’s Discussion and Analysis of Financial Condition and Results of Operations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8860" w:type="dxa"/>
            <w:vAlign w:val="bottom"/>
            <w:gridSpan w:val="18"/>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Quantitative and Qualitative Disclosures about Market Risk</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8860" w:type="dxa"/>
            <w:vAlign w:val="bottom"/>
            <w:gridSpan w:val="18"/>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Controls and Procedures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9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20" w:type="dxa"/>
            <w:vAlign w:val="bottom"/>
          </w:tcPr>
          <w:p>
            <w:pPr>
              <w:spacing w:after="0"/>
              <w:rPr>
                <w:sz w:val="24"/>
                <w:szCs w:val="24"/>
                <w:color w:val="auto"/>
              </w:rPr>
            </w:pPr>
          </w:p>
        </w:tc>
        <w:tc>
          <w:tcPr>
            <w:tcW w:w="5680" w:type="dxa"/>
            <w:vAlign w:val="bottom"/>
            <w:gridSpan w:val="12"/>
          </w:tcPr>
          <w:p>
            <w:pPr>
              <w:jc w:val="center"/>
              <w:ind w:right="3200"/>
              <w:spacing w:after="0"/>
              <w:rPr>
                <w:rFonts w:ascii="Arial" w:cs="Arial" w:eastAsia="Arial" w:hAnsi="Arial"/>
                <w:sz w:val="18"/>
                <w:szCs w:val="18"/>
                <w:b w:val="1"/>
                <w:bCs w:val="1"/>
                <w:color w:val="0000FF"/>
                <w:w w:val="96"/>
              </w:rPr>
            </w:pPr>
            <w:hyperlink w:anchor="page41">
              <w:r>
                <w:rPr>
                  <w:rFonts w:ascii="Arial" w:cs="Arial" w:eastAsia="Arial" w:hAnsi="Arial"/>
                  <w:sz w:val="18"/>
                  <w:szCs w:val="18"/>
                  <w:b w:val="1"/>
                  <w:bCs w:val="1"/>
                  <w:color w:val="0000FF"/>
                  <w:w w:val="96"/>
                </w:rPr>
                <w:t>PART II – Other Information</w:t>
              </w:r>
            </w:hyperlink>
          </w:p>
        </w:tc>
        <w:tc>
          <w:tcPr>
            <w:tcW w:w="1020" w:type="dxa"/>
            <w:vAlign w:val="bottom"/>
          </w:tcPr>
          <w:p>
            <w:pPr>
              <w:spacing w:after="0"/>
              <w:rPr>
                <w:sz w:val="24"/>
                <w:szCs w:val="24"/>
                <w:color w:val="auto"/>
              </w:rPr>
            </w:pPr>
          </w:p>
        </w:tc>
      </w:tr>
      <w:tr>
        <w:trPr>
          <w:trHeight w:val="398"/>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3280" w:type="dxa"/>
            <w:vAlign w:val="bottom"/>
            <w:gridSpan w:val="7"/>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Legal Proceedings</w:t>
              </w:r>
            </w:hyperlink>
          </w:p>
        </w:tc>
        <w:tc>
          <w:tcPr>
            <w:tcW w:w="2280" w:type="dxa"/>
            <w:vAlign w:val="bottom"/>
            <w:tcBorders>
              <w:top w:val="single" w:sz="8" w:color="0000FF"/>
            </w:tcBorders>
            <w:gridSpan w:val="4"/>
          </w:tcPr>
          <w:p>
            <w:pPr>
              <w:spacing w:after="0"/>
              <w:rPr>
                <w:sz w:val="24"/>
                <w:szCs w:val="24"/>
                <w:color w:val="auto"/>
              </w:rPr>
            </w:pPr>
          </w:p>
        </w:tc>
        <w:tc>
          <w:tcPr>
            <w:tcW w:w="3300" w:type="dxa"/>
            <w:vAlign w:val="bottom"/>
            <w:gridSpan w:val="7"/>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040" w:type="dxa"/>
            <w:vAlign w:val="bottom"/>
            <w:tcBorders>
              <w:left w:val="single" w:sz="8" w:color="0000FF"/>
            </w:tcBorders>
            <w:gridSpan w:val="6"/>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8860" w:type="dxa"/>
            <w:vAlign w:val="bottom"/>
            <w:gridSpan w:val="18"/>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Risk Factors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8860" w:type="dxa"/>
            <w:vAlign w:val="bottom"/>
            <w:gridSpan w:val="18"/>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Unregistered Sales of Equity Securities and Use of Proceeds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6"/>
            <w:shd w:val="clear" w:color="auto" w:fill="0000FF"/>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8860" w:type="dxa"/>
            <w:vAlign w:val="bottom"/>
            <w:gridSpan w:val="18"/>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Other Information</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560" w:type="dxa"/>
            <w:vAlign w:val="bottom"/>
            <w:gridSpan w:val="1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6"/>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8860" w:type="dxa"/>
            <w:vAlign w:val="bottom"/>
            <w:gridSpan w:val="18"/>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Exhibits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99"/>
        </w:trPr>
        <w:tc>
          <w:tcPr>
            <w:tcW w:w="1360" w:type="dxa"/>
            <w:vAlign w:val="bottom"/>
            <w:gridSpan w:val="3"/>
          </w:tcPr>
          <w:p>
            <w:pPr>
              <w:ind w:left="20"/>
              <w:spacing w:after="0"/>
              <w:rPr>
                <w:rFonts w:ascii="Arial" w:cs="Arial" w:eastAsia="Arial" w:hAnsi="Arial"/>
                <w:sz w:val="18"/>
                <w:szCs w:val="18"/>
                <w:color w:val="0000FF"/>
              </w:rPr>
            </w:pPr>
            <w:hyperlink w:anchor="page85">
              <w:r>
                <w:rPr>
                  <w:rFonts w:ascii="Arial" w:cs="Arial" w:eastAsia="Arial" w:hAnsi="Arial"/>
                  <w:sz w:val="18"/>
                  <w:szCs w:val="18"/>
                  <w:color w:val="0000FF"/>
                </w:rPr>
                <w:t>SIGNATURES</w:t>
              </w:r>
            </w:hyperlink>
          </w:p>
        </w:tc>
        <w:tc>
          <w:tcPr>
            <w:tcW w:w="2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72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gridSpan w:val="10"/>
          </w:tcPr>
          <w:p>
            <w:pPr>
              <w:jc w:val="right"/>
              <w:ind w:right="40"/>
              <w:spacing w:after="0"/>
              <w:rPr>
                <w:sz w:val="20"/>
                <w:szCs w:val="20"/>
                <w:color w:val="auto"/>
              </w:rPr>
            </w:pPr>
            <w:r>
              <w:rPr>
                <w:rFonts w:ascii="Arial" w:cs="Arial" w:eastAsia="Arial" w:hAnsi="Arial"/>
                <w:sz w:val="18"/>
                <w:szCs w:val="18"/>
                <w:color w:val="auto"/>
              </w:rPr>
              <w:t>2</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September 30, 2021</w:t>
            </w:r>
          </w:p>
        </w:tc>
        <w:tc>
          <w:tcPr>
            <w:tcW w:w="220" w:type="dxa"/>
            <w:vAlign w:val="bottom"/>
          </w:tcPr>
          <w:p>
            <w:pPr>
              <w:spacing w:after="0"/>
              <w:rPr>
                <w:sz w:val="16"/>
                <w:szCs w:val="16"/>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December 31, 2020</w:t>
            </w:r>
          </w:p>
        </w:tc>
      </w:tr>
      <w:tr>
        <w:trPr>
          <w:trHeight w:val="256"/>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22"/>
                <w:szCs w:val="22"/>
                <w:color w:val="auto"/>
              </w:rPr>
            </w:pPr>
          </w:p>
        </w:tc>
        <w:tc>
          <w:tcPr>
            <w:tcW w:w="142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162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48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222,875</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186,964</w:t>
            </w:r>
          </w:p>
        </w:tc>
        <w:tc>
          <w:tcPr>
            <w:tcW w:w="100" w:type="dxa"/>
            <w:vAlign w:val="bottom"/>
            <w:shd w:val="clear" w:color="auto" w:fill="CFF0FC"/>
          </w:tcPr>
          <w:p>
            <w:pPr>
              <w:spacing w:after="0"/>
              <w:rPr>
                <w:sz w:val="22"/>
                <w:szCs w:val="22"/>
                <w:color w:val="auto"/>
              </w:rPr>
            </w:pPr>
          </w:p>
        </w:tc>
      </w:tr>
      <w:tr>
        <w:trPr>
          <w:trHeight w:val="250"/>
        </w:trPr>
        <w:tc>
          <w:tcPr>
            <w:tcW w:w="748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3,917</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3,915</w:t>
            </w:r>
          </w:p>
        </w:tc>
        <w:tc>
          <w:tcPr>
            <w:tcW w:w="100" w:type="dxa"/>
            <w:vAlign w:val="bottom"/>
          </w:tcPr>
          <w:p>
            <w:pPr>
              <w:spacing w:after="0"/>
              <w:rPr>
                <w:sz w:val="21"/>
                <w:szCs w:val="21"/>
                <w:color w:val="auto"/>
              </w:rPr>
            </w:pPr>
          </w:p>
        </w:tc>
      </w:tr>
      <w:tr>
        <w:trPr>
          <w:trHeight w:val="263"/>
        </w:trPr>
        <w:tc>
          <w:tcPr>
            <w:tcW w:w="7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256,267</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313,969</w:t>
            </w:r>
          </w:p>
        </w:tc>
        <w:tc>
          <w:tcPr>
            <w:tcW w:w="100" w:type="dxa"/>
            <w:vAlign w:val="bottom"/>
            <w:shd w:val="clear" w:color="auto" w:fill="CFF0FC"/>
          </w:tcPr>
          <w:p>
            <w:pPr>
              <w:spacing w:after="0"/>
              <w:rPr>
                <w:sz w:val="22"/>
                <w:szCs w:val="22"/>
                <w:color w:val="auto"/>
              </w:rPr>
            </w:pPr>
          </w:p>
        </w:tc>
      </w:tr>
      <w:tr>
        <w:trPr>
          <w:trHeight w:val="250"/>
        </w:trPr>
        <w:tc>
          <w:tcPr>
            <w:tcW w:w="748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149,361</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154,574</w:t>
            </w:r>
          </w:p>
        </w:tc>
        <w:tc>
          <w:tcPr>
            <w:tcW w:w="100" w:type="dxa"/>
            <w:vAlign w:val="bottom"/>
          </w:tcPr>
          <w:p>
            <w:pPr>
              <w:spacing w:after="0"/>
              <w:rPr>
                <w:sz w:val="21"/>
                <w:szCs w:val="21"/>
                <w:color w:val="auto"/>
              </w:rPr>
            </w:pPr>
          </w:p>
        </w:tc>
      </w:tr>
      <w:tr>
        <w:trPr>
          <w:trHeight w:val="263"/>
        </w:trPr>
        <w:tc>
          <w:tcPr>
            <w:tcW w:w="7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309,268</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188,864</w:t>
            </w:r>
          </w:p>
        </w:tc>
        <w:tc>
          <w:tcPr>
            <w:tcW w:w="100" w:type="dxa"/>
            <w:vAlign w:val="bottom"/>
            <w:shd w:val="clear" w:color="auto" w:fill="CFF0FC"/>
          </w:tcPr>
          <w:p>
            <w:pPr>
              <w:spacing w:after="0"/>
              <w:rPr>
                <w:sz w:val="22"/>
                <w:szCs w:val="22"/>
                <w:color w:val="auto"/>
              </w:rPr>
            </w:pPr>
          </w:p>
        </w:tc>
      </w:tr>
      <w:tr>
        <w:trPr>
          <w:trHeight w:val="250"/>
        </w:trPr>
        <w:tc>
          <w:tcPr>
            <w:tcW w:w="74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21,345</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30,947</w:t>
            </w:r>
          </w:p>
        </w:tc>
        <w:tc>
          <w:tcPr>
            <w:tcW w:w="100" w:type="dxa"/>
            <w:vAlign w:val="bottom"/>
          </w:tcPr>
          <w:p>
            <w:pPr>
              <w:spacing w:after="0"/>
              <w:rPr>
                <w:sz w:val="21"/>
                <w:szCs w:val="21"/>
                <w:color w:val="auto"/>
              </w:rPr>
            </w:pPr>
          </w:p>
        </w:tc>
      </w:tr>
      <w:tr>
        <w:trPr>
          <w:trHeight w:val="250"/>
        </w:trPr>
        <w:tc>
          <w:tcPr>
            <w:tcW w:w="74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963,033</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879,233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480" w:type="dxa"/>
            <w:vAlign w:val="bottom"/>
          </w:tcPr>
          <w:p>
            <w:pPr>
              <w:ind w:left="3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1,569</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r>
      <w:tr>
        <w:trPr>
          <w:trHeight w:val="263"/>
        </w:trPr>
        <w:tc>
          <w:tcPr>
            <w:tcW w:w="7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Long-term investments</w:t>
            </w: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38,802</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62,469</w:t>
            </w:r>
          </w:p>
        </w:tc>
        <w:tc>
          <w:tcPr>
            <w:tcW w:w="100" w:type="dxa"/>
            <w:vAlign w:val="bottom"/>
            <w:shd w:val="clear" w:color="auto" w:fill="CFF0FC"/>
          </w:tcPr>
          <w:p>
            <w:pPr>
              <w:spacing w:after="0"/>
              <w:rPr>
                <w:sz w:val="22"/>
                <w:szCs w:val="22"/>
                <w:color w:val="auto"/>
              </w:rPr>
            </w:pPr>
          </w:p>
        </w:tc>
      </w:tr>
      <w:tr>
        <w:trPr>
          <w:trHeight w:val="250"/>
        </w:trPr>
        <w:tc>
          <w:tcPr>
            <w:tcW w:w="7480" w:type="dxa"/>
            <w:vAlign w:val="bottom"/>
          </w:tcPr>
          <w:p>
            <w:pPr>
              <w:ind w:left="380"/>
              <w:spacing w:after="0"/>
              <w:rPr>
                <w:sz w:val="20"/>
                <w:szCs w:val="20"/>
                <w:color w:val="auto"/>
              </w:rPr>
            </w:pPr>
            <w:r>
              <w:rPr>
                <w:rFonts w:ascii="Arial" w:cs="Arial" w:eastAsia="Arial" w:hAnsi="Arial"/>
                <w:sz w:val="18"/>
                <w:szCs w:val="18"/>
                <w:color w:val="auto"/>
              </w:rPr>
              <w:t>Operating lease right-of-use asset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7,762</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8,054</w:t>
            </w:r>
          </w:p>
        </w:tc>
        <w:tc>
          <w:tcPr>
            <w:tcW w:w="100" w:type="dxa"/>
            <w:vAlign w:val="bottom"/>
          </w:tcPr>
          <w:p>
            <w:pPr>
              <w:spacing w:after="0"/>
              <w:rPr>
                <w:sz w:val="21"/>
                <w:szCs w:val="21"/>
                <w:color w:val="auto"/>
              </w:rPr>
            </w:pPr>
          </w:p>
        </w:tc>
      </w:tr>
      <w:tr>
        <w:trPr>
          <w:trHeight w:val="263"/>
        </w:trPr>
        <w:tc>
          <w:tcPr>
            <w:tcW w:w="7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long-term assets</w:t>
            </w: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FF0FC"/>
          </w:tcPr>
          <w:p>
            <w:pPr>
              <w:spacing w:after="0"/>
              <w:rPr>
                <w:sz w:val="22"/>
                <w:szCs w:val="22"/>
                <w:color w:val="auto"/>
              </w:rPr>
            </w:pPr>
          </w:p>
        </w:tc>
      </w:tr>
      <w:tr>
        <w:trPr>
          <w:trHeight w:val="250"/>
        </w:trPr>
        <w:tc>
          <w:tcPr>
            <w:tcW w:w="7480" w:type="dxa"/>
            <w:vAlign w:val="bottom"/>
          </w:tcPr>
          <w:p>
            <w:pPr>
              <w:ind w:left="380"/>
              <w:spacing w:after="0"/>
              <w:rPr>
                <w:sz w:val="20"/>
                <w:szCs w:val="20"/>
                <w:color w:val="auto"/>
              </w:rPr>
            </w:pPr>
            <w:r>
              <w:rPr>
                <w:rFonts w:ascii="Arial" w:cs="Arial" w:eastAsia="Arial" w:hAnsi="Arial"/>
                <w:sz w:val="18"/>
                <w:szCs w:val="18"/>
                <w:color w:val="auto"/>
              </w:rPr>
              <w:t>Intangible asset, net</w:t>
            </w: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24,183</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13,817</w:t>
            </w:r>
          </w:p>
        </w:tc>
        <w:tc>
          <w:tcPr>
            <w:tcW w:w="100" w:type="dxa"/>
            <w:vAlign w:val="bottom"/>
          </w:tcPr>
          <w:p>
            <w:pPr>
              <w:spacing w:after="0"/>
              <w:rPr>
                <w:sz w:val="21"/>
                <w:szCs w:val="21"/>
                <w:color w:val="auto"/>
              </w:rPr>
            </w:pPr>
          </w:p>
        </w:tc>
      </w:tr>
      <w:tr>
        <w:trPr>
          <w:trHeight w:val="290"/>
        </w:trPr>
        <w:tc>
          <w:tcPr>
            <w:tcW w:w="74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1,035,805</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966,021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7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4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72,415</w:t>
            </w:r>
          </w:p>
        </w:tc>
        <w:tc>
          <w:tcPr>
            <w:tcW w:w="26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105,876</w:t>
            </w:r>
          </w:p>
        </w:tc>
        <w:tc>
          <w:tcPr>
            <w:tcW w:w="100" w:type="dxa"/>
            <w:vAlign w:val="bottom"/>
          </w:tcPr>
          <w:p>
            <w:pPr>
              <w:spacing w:after="0"/>
              <w:rPr>
                <w:sz w:val="21"/>
                <w:szCs w:val="21"/>
                <w:color w:val="auto"/>
              </w:rPr>
            </w:pPr>
          </w:p>
        </w:tc>
      </w:tr>
      <w:tr>
        <w:trPr>
          <w:trHeight w:val="263"/>
        </w:trPr>
        <w:tc>
          <w:tcPr>
            <w:tcW w:w="7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289,684</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198,641</w:t>
            </w:r>
          </w:p>
        </w:tc>
        <w:tc>
          <w:tcPr>
            <w:tcW w:w="100" w:type="dxa"/>
            <w:vAlign w:val="bottom"/>
            <w:shd w:val="clear" w:color="auto" w:fill="CFF0FC"/>
          </w:tcPr>
          <w:p>
            <w:pPr>
              <w:spacing w:after="0"/>
              <w:rPr>
                <w:sz w:val="22"/>
                <w:szCs w:val="22"/>
                <w:color w:val="auto"/>
              </w:rPr>
            </w:pPr>
          </w:p>
        </w:tc>
      </w:tr>
      <w:tr>
        <w:trPr>
          <w:trHeight w:val="250"/>
        </w:trPr>
        <w:tc>
          <w:tcPr>
            <w:tcW w:w="7480" w:type="dxa"/>
            <w:vAlign w:val="bottom"/>
          </w:tcPr>
          <w:p>
            <w:pPr>
              <w:ind w:left="380"/>
              <w:spacing w:after="0"/>
              <w:rPr>
                <w:sz w:val="20"/>
                <w:szCs w:val="20"/>
                <w:color w:val="auto"/>
              </w:rPr>
            </w:pPr>
            <w:r>
              <w:rPr>
                <w:rFonts w:ascii="Arial" w:cs="Arial" w:eastAsia="Arial" w:hAnsi="Arial"/>
                <w:sz w:val="18"/>
                <w:szCs w:val="18"/>
                <w:color w:val="auto"/>
              </w:rPr>
              <w:t>Current deferred revenue</w:t>
            </w: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w:t>
            </w:r>
          </w:p>
        </w:tc>
        <w:tc>
          <w:tcPr>
            <w:tcW w:w="100" w:type="dxa"/>
            <w:vAlign w:val="bottom"/>
          </w:tcPr>
          <w:p>
            <w:pPr>
              <w:spacing w:after="0"/>
              <w:rPr>
                <w:sz w:val="21"/>
                <w:szCs w:val="21"/>
                <w:color w:val="auto"/>
              </w:rPr>
            </w:pPr>
          </w:p>
        </w:tc>
      </w:tr>
      <w:tr>
        <w:trPr>
          <w:trHeight w:val="250"/>
        </w:trPr>
        <w:tc>
          <w:tcPr>
            <w:tcW w:w="74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364,745</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307,443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480" w:type="dxa"/>
            <w:vAlign w:val="bottom"/>
          </w:tcPr>
          <w:p>
            <w:pPr>
              <w:ind w:left="200"/>
              <w:spacing w:after="0"/>
              <w:rPr>
                <w:sz w:val="20"/>
                <w:szCs w:val="20"/>
                <w:color w:val="auto"/>
              </w:rPr>
            </w:pPr>
            <w:r>
              <w:rPr>
                <w:rFonts w:ascii="Arial" w:cs="Arial" w:eastAsia="Arial" w:hAnsi="Arial"/>
                <w:sz w:val="18"/>
                <w:szCs w:val="18"/>
                <w:color w:val="auto"/>
              </w:rPr>
              <w:t>Long-Term Liabilities:</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Long-term deferred revenue</w:t>
            </w: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14,486</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15,706</w:t>
            </w:r>
          </w:p>
        </w:tc>
        <w:tc>
          <w:tcPr>
            <w:tcW w:w="100" w:type="dxa"/>
            <w:vAlign w:val="bottom"/>
            <w:shd w:val="clear" w:color="auto" w:fill="CFF0FC"/>
          </w:tcPr>
          <w:p>
            <w:pPr>
              <w:spacing w:after="0"/>
              <w:rPr>
                <w:sz w:val="22"/>
                <w:szCs w:val="22"/>
                <w:color w:val="auto"/>
              </w:rPr>
            </w:pPr>
          </w:p>
        </w:tc>
      </w:tr>
      <w:tr>
        <w:trPr>
          <w:trHeight w:val="250"/>
        </w:trPr>
        <w:tc>
          <w:tcPr>
            <w:tcW w:w="7480" w:type="dxa"/>
            <w:vAlign w:val="bottom"/>
          </w:tcPr>
          <w:p>
            <w:pPr>
              <w:ind w:left="380"/>
              <w:spacing w:after="0"/>
              <w:rPr>
                <w:sz w:val="20"/>
                <w:szCs w:val="20"/>
                <w:color w:val="auto"/>
              </w:rPr>
            </w:pPr>
            <w:r>
              <w:rPr>
                <w:rFonts w:ascii="Arial" w:cs="Arial" w:eastAsia="Arial" w:hAnsi="Arial"/>
                <w:sz w:val="18"/>
                <w:szCs w:val="18"/>
                <w:color w:val="auto"/>
              </w:rPr>
              <w:t>Long-term operating lease liability</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8,729</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9,153</w:t>
            </w:r>
          </w:p>
        </w:tc>
        <w:tc>
          <w:tcPr>
            <w:tcW w:w="100" w:type="dxa"/>
            <w:vAlign w:val="bottom"/>
          </w:tcPr>
          <w:p>
            <w:pPr>
              <w:spacing w:after="0"/>
              <w:rPr>
                <w:sz w:val="21"/>
                <w:szCs w:val="21"/>
                <w:color w:val="auto"/>
              </w:rPr>
            </w:pPr>
          </w:p>
        </w:tc>
      </w:tr>
      <w:tr>
        <w:trPr>
          <w:trHeight w:val="257"/>
        </w:trPr>
        <w:tc>
          <w:tcPr>
            <w:tcW w:w="74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5,350</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480" w:type="dxa"/>
            <w:vAlign w:val="bottom"/>
          </w:tcPr>
          <w:p>
            <w:pPr>
              <w:ind w:left="7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393,310</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338,516</w:t>
            </w:r>
          </w:p>
        </w:tc>
        <w:tc>
          <w:tcPr>
            <w:tcW w:w="100" w:type="dxa"/>
            <w:vAlign w:val="bottom"/>
          </w:tcPr>
          <w:p>
            <w:pPr>
              <w:spacing w:after="0"/>
              <w:rPr>
                <w:sz w:val="21"/>
                <w:szCs w:val="21"/>
                <w:color w:val="auto"/>
              </w:rPr>
            </w:pPr>
          </w:p>
        </w:tc>
      </w:tr>
      <w:tr>
        <w:trPr>
          <w:trHeight w:val="257"/>
        </w:trPr>
        <w:tc>
          <w:tcPr>
            <w:tcW w:w="7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Commitments and contingencies (Note 5)</w:t>
            </w:r>
          </w:p>
        </w:tc>
        <w:tc>
          <w:tcPr>
            <w:tcW w:w="14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480" w:type="dxa"/>
            <w:vAlign w:val="bottom"/>
          </w:tcPr>
          <w:p>
            <w:pPr>
              <w:ind w:left="20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74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1"/>
              </w:rPr>
              <w:t>Common stock, £0.50 par, unlimited authorized; 402,772,229 shares issued, 395,613,406 shares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7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as of September 30, 2021; 398,425,000 shares issued, 392,538,081 shares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as of December 31, 2020</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293,140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290,115</w:t>
            </w:r>
          </w:p>
        </w:tc>
        <w:tc>
          <w:tcPr>
            <w:tcW w:w="100" w:type="dxa"/>
            <w:vAlign w:val="bottom"/>
            <w:shd w:val="clear" w:color="auto" w:fill="CFF0FC"/>
          </w:tcPr>
          <w:p>
            <w:pPr>
              <w:spacing w:after="0"/>
              <w:rPr>
                <w:sz w:val="21"/>
                <w:szCs w:val="21"/>
                <w:color w:val="auto"/>
              </w:rPr>
            </w:pPr>
          </w:p>
        </w:tc>
      </w:tr>
      <w:tr>
        <w:trPr>
          <w:trHeight w:val="250"/>
        </w:trPr>
        <w:tc>
          <w:tcPr>
            <w:tcW w:w="748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1,845,103</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1,817,649</w:t>
            </w:r>
          </w:p>
        </w:tc>
        <w:tc>
          <w:tcPr>
            <w:tcW w:w="100" w:type="dxa"/>
            <w:vAlign w:val="bottom"/>
          </w:tcPr>
          <w:p>
            <w:pPr>
              <w:spacing w:after="0"/>
              <w:rPr>
                <w:sz w:val="21"/>
                <w:szCs w:val="21"/>
                <w:color w:val="auto"/>
              </w:rPr>
            </w:pPr>
          </w:p>
        </w:tc>
      </w:tr>
      <w:tr>
        <w:trPr>
          <w:trHeight w:val="249"/>
        </w:trPr>
        <w:tc>
          <w:tcPr>
            <w:tcW w:w="74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3"/>
              </w:rPr>
              <w:t>Treasury stock; 7,158,823 shares as of September 30, 2021; 5,886,919 shares as of December</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7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31, 2020</w:t>
            </w:r>
          </w:p>
        </w:tc>
        <w:tc>
          <w:tcPr>
            <w:tcW w:w="1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(59,602 )</w:t>
            </w:r>
          </w:p>
        </w:tc>
        <w:tc>
          <w:tcPr>
            <w:tcW w:w="22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(51,082 )</w:t>
            </w:r>
          </w:p>
        </w:tc>
      </w:tr>
      <w:tr>
        <w:trPr>
          <w:trHeight w:val="250"/>
        </w:trPr>
        <w:tc>
          <w:tcPr>
            <w:tcW w:w="748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(1,436,146 )</w:t>
            </w:r>
          </w:p>
        </w:tc>
        <w:tc>
          <w:tcPr>
            <w:tcW w:w="2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(1,429,177 )</w:t>
            </w:r>
          </w:p>
        </w:tc>
      </w:tr>
      <w:tr>
        <w:trPr>
          <w:trHeight w:val="250"/>
        </w:trPr>
        <w:tc>
          <w:tcPr>
            <w:tcW w:w="74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642,495</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627,505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480" w:type="dxa"/>
            <w:vAlign w:val="bottom"/>
          </w:tcPr>
          <w:p>
            <w:pPr>
              <w:ind w:left="56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1,035,805</w:t>
            </w:r>
          </w:p>
        </w:tc>
        <w:tc>
          <w:tcPr>
            <w:tcW w:w="26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966,021</w:t>
            </w:r>
          </w:p>
        </w:tc>
        <w:tc>
          <w:tcPr>
            <w:tcW w:w="100" w:type="dxa"/>
            <w:vAlign w:val="bottom"/>
          </w:tcPr>
          <w:p>
            <w:pPr>
              <w:spacing w:after="0"/>
              <w:rPr>
                <w:sz w:val="21"/>
                <w:szCs w:val="21"/>
                <w:color w:val="auto"/>
              </w:rPr>
            </w:pPr>
          </w:p>
        </w:tc>
      </w:tr>
      <w:tr>
        <w:trPr>
          <w:trHeight w:val="20"/>
        </w:trPr>
        <w:tc>
          <w:tcPr>
            <w:tcW w:w="7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-4625340</wp:posOffset>
            </wp:positionV>
            <wp:extent cx="17145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-4625340</wp:posOffset>
            </wp:positionV>
            <wp:extent cx="5969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-3634105</wp:posOffset>
            </wp:positionV>
            <wp:extent cx="1714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-3616960</wp:posOffset>
            </wp:positionV>
            <wp:extent cx="1714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-3634105</wp:posOffset>
            </wp:positionV>
            <wp:extent cx="596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-3616960</wp:posOffset>
            </wp:positionV>
            <wp:extent cx="59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-2619375</wp:posOffset>
            </wp:positionV>
            <wp:extent cx="17145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-2619375</wp:posOffset>
            </wp:positionV>
            <wp:extent cx="5969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-1959610</wp:posOffset>
            </wp:positionV>
            <wp:extent cx="17145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-1959610</wp:posOffset>
            </wp:positionV>
            <wp:extent cx="5969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-193675</wp:posOffset>
            </wp:positionV>
            <wp:extent cx="17145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16"/>
                <w:szCs w:val="16"/>
                <w:color w:val="auto"/>
              </w:rPr>
            </w:pPr>
          </w:p>
        </w:tc>
        <w:tc>
          <w:tcPr>
            <w:tcW w:w="24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96"/>
        </w:trPr>
        <w:tc>
          <w:tcPr>
            <w:tcW w:w="55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 net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141,442</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155,190</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436,598</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441,118</w:t>
            </w:r>
          </w:p>
        </w:tc>
        <w:tc>
          <w:tcPr>
            <w:tcW w:w="80" w:type="dxa"/>
            <w:vAlign w:val="bottom"/>
            <w:shd w:val="clear" w:color="auto" w:fill="CFF0FC"/>
          </w:tcPr>
          <w:p>
            <w:pPr>
              <w:spacing w:after="0"/>
              <w:rPr>
                <w:sz w:val="22"/>
                <w:szCs w:val="22"/>
                <w:color w:val="auto"/>
              </w:rPr>
            </w:pPr>
          </w:p>
        </w:tc>
      </w:tr>
      <w:tr>
        <w:trPr>
          <w:trHeight w:val="250"/>
        </w:trPr>
        <w:tc>
          <w:tcPr>
            <w:tcW w:w="5580" w:type="dxa"/>
            <w:vAlign w:val="bottom"/>
          </w:tcPr>
          <w:p>
            <w:pPr>
              <w:spacing w:after="0"/>
              <w:rPr>
                <w:sz w:val="20"/>
                <w:szCs w:val="20"/>
                <w:color w:val="auto"/>
              </w:rPr>
            </w:pPr>
            <w:r>
              <w:rPr>
                <w:rFonts w:ascii="Arial" w:cs="Arial" w:eastAsia="Arial" w:hAnsi="Arial"/>
                <w:sz w:val="18"/>
                <w:szCs w:val="18"/>
                <w:color w:val="auto"/>
              </w:rPr>
              <w:t>Licensing and royalty revenue</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5,691</w:t>
            </w:r>
          </w:p>
        </w:tc>
        <w:tc>
          <w:tcPr>
            <w:tcW w:w="80" w:type="dxa"/>
            <w:vAlign w:val="bottom"/>
          </w:tcPr>
          <w:p>
            <w:pPr>
              <w:spacing w:after="0"/>
              <w:rPr>
                <w:sz w:val="21"/>
                <w:szCs w:val="21"/>
                <w:color w:val="auto"/>
              </w:rPr>
            </w:pPr>
          </w:p>
        </w:tc>
      </w:tr>
      <w:tr>
        <w:trPr>
          <w:trHeight w:val="257"/>
        </w:trPr>
        <w:tc>
          <w:tcPr>
            <w:tcW w:w="5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revenue, net</w:t>
            </w: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142,038</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156,499</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438,696</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446,809</w:t>
            </w:r>
          </w:p>
        </w:tc>
        <w:tc>
          <w:tcPr>
            <w:tcW w:w="80" w:type="dxa"/>
            <w:vAlign w:val="bottom"/>
            <w:shd w:val="clear" w:color="auto" w:fill="CFF0FC"/>
          </w:tcPr>
          <w:p>
            <w:pPr>
              <w:spacing w:after="0"/>
              <w:rPr>
                <w:sz w:val="22"/>
                <w:szCs w:val="22"/>
                <w:color w:val="auto"/>
              </w:rPr>
            </w:pPr>
          </w:p>
        </w:tc>
      </w:tr>
      <w:tr>
        <w:trPr>
          <w:trHeight w:val="250"/>
        </w:trPr>
        <w:tc>
          <w:tcPr>
            <w:tcW w:w="5580" w:type="dxa"/>
            <w:vAlign w:val="bottom"/>
          </w:tcPr>
          <w:p>
            <w:pPr>
              <w:spacing w:after="0"/>
              <w:rPr>
                <w:sz w:val="20"/>
                <w:szCs w:val="20"/>
                <w:color w:val="auto"/>
              </w:rPr>
            </w:pPr>
            <w:r>
              <w:rPr>
                <w:rFonts w:ascii="Arial" w:cs="Arial" w:eastAsia="Arial" w:hAnsi="Arial"/>
                <w:sz w:val="18"/>
                <w:szCs w:val="18"/>
                <w:color w:val="auto"/>
              </w:rPr>
              <w:t>Less: Cost of goods sold</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30,211</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33,071</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90,692</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96,676</w:t>
            </w:r>
          </w:p>
        </w:tc>
        <w:tc>
          <w:tcPr>
            <w:tcW w:w="80" w:type="dxa"/>
            <w:vAlign w:val="bottom"/>
          </w:tcPr>
          <w:p>
            <w:pPr>
              <w:spacing w:after="0"/>
              <w:rPr>
                <w:sz w:val="21"/>
                <w:szCs w:val="21"/>
                <w:color w:val="auto"/>
              </w:rPr>
            </w:pPr>
          </w:p>
        </w:tc>
      </w:tr>
      <w:tr>
        <w:trPr>
          <w:trHeight w:val="250"/>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margin</w:t>
            </w:r>
          </w:p>
        </w:tc>
        <w:tc>
          <w:tcPr>
            <w:tcW w:w="1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111,827</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123,428</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348,004</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350,133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50"/>
        </w:trPr>
        <w:tc>
          <w:tcPr>
            <w:tcW w:w="558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5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102,965</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120,164</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315,966</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346,496</w:t>
            </w:r>
          </w:p>
        </w:tc>
        <w:tc>
          <w:tcPr>
            <w:tcW w:w="80" w:type="dxa"/>
            <w:vAlign w:val="bottom"/>
            <w:shd w:val="clear" w:color="auto" w:fill="CFF0FC"/>
          </w:tcPr>
          <w:p>
            <w:pPr>
              <w:spacing w:after="0"/>
              <w:rPr>
                <w:sz w:val="22"/>
                <w:szCs w:val="22"/>
                <w:color w:val="auto"/>
              </w:rPr>
            </w:pPr>
          </w:p>
        </w:tc>
      </w:tr>
      <w:tr>
        <w:trPr>
          <w:trHeight w:val="250"/>
        </w:trPr>
        <w:tc>
          <w:tcPr>
            <w:tcW w:w="55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7,820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10,204</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23,554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30,450</w:t>
            </w:r>
          </w:p>
        </w:tc>
        <w:tc>
          <w:tcPr>
            <w:tcW w:w="80" w:type="dxa"/>
            <w:vAlign w:val="bottom"/>
          </w:tcPr>
          <w:p>
            <w:pPr>
              <w:spacing w:after="0"/>
              <w:rPr>
                <w:sz w:val="21"/>
                <w:szCs w:val="21"/>
                <w:color w:val="auto"/>
              </w:rPr>
            </w:pPr>
          </w:p>
        </w:tc>
      </w:tr>
      <w:tr>
        <w:trPr>
          <w:trHeight w:val="257"/>
        </w:trPr>
        <w:tc>
          <w:tcPr>
            <w:tcW w:w="5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Restructuring</w:t>
            </w: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14,115</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14,115</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5580" w:type="dxa"/>
            <w:vAlign w:val="bottom"/>
            <w:tcBorders>
              <w:top w:val="single" w:sz="8" w:color="CFF0FC"/>
            </w:tcBorders>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124,900</w:t>
            </w:r>
          </w:p>
        </w:tc>
        <w:tc>
          <w:tcPr>
            <w:tcW w:w="24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130,368</w:t>
            </w:r>
          </w:p>
        </w:tc>
        <w:tc>
          <w:tcPr>
            <w:tcW w:w="240" w:type="dxa"/>
            <w:vAlign w:val="bottom"/>
            <w:tcBorders>
              <w:top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353,635</w:t>
            </w:r>
          </w:p>
        </w:tc>
        <w:tc>
          <w:tcPr>
            <w:tcW w:w="220" w:type="dxa"/>
            <w:vAlign w:val="bottom"/>
            <w:tcBorders>
              <w:top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376,946</w:t>
            </w:r>
          </w:p>
        </w:tc>
        <w:tc>
          <w:tcPr>
            <w:tcW w:w="80" w:type="dxa"/>
            <w:vAlign w:val="bottom"/>
            <w:tcBorders>
              <w:top w:val="single" w:sz="8" w:color="CFF0FC"/>
            </w:tcBorders>
          </w:tcPr>
          <w:p>
            <w:pPr>
              <w:spacing w:after="0"/>
              <w:rPr>
                <w:sz w:val="21"/>
                <w:szCs w:val="21"/>
                <w:color w:val="auto"/>
              </w:rPr>
            </w:pPr>
          </w:p>
        </w:tc>
      </w:tr>
      <w:tr>
        <w:trPr>
          <w:trHeight w:val="257"/>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(13,073 )</w:t>
            </w:r>
          </w:p>
        </w:tc>
        <w:tc>
          <w:tcPr>
            <w:tcW w:w="2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(6,940 )</w:t>
            </w:r>
          </w:p>
        </w:tc>
        <w:tc>
          <w:tcPr>
            <w:tcW w:w="14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(5,631 )</w:t>
            </w:r>
          </w:p>
        </w:tc>
        <w:tc>
          <w:tcPr>
            <w:tcW w:w="26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(26,813 )</w:t>
            </w:r>
          </w:p>
        </w:tc>
      </w:tr>
      <w:tr>
        <w:trPr>
          <w:trHeight w:val="250"/>
        </w:trPr>
        <w:tc>
          <w:tcPr>
            <w:tcW w:w="5580" w:type="dxa"/>
            <w:vAlign w:val="bottom"/>
          </w:tcPr>
          <w:p>
            <w:pPr>
              <w:spacing w:after="0"/>
              <w:rPr>
                <w:sz w:val="20"/>
                <w:szCs w:val="20"/>
                <w:color w:val="auto"/>
              </w:rPr>
            </w:pPr>
            <w:r>
              <w:rPr>
                <w:rFonts w:ascii="Arial" w:cs="Arial" w:eastAsia="Arial" w:hAnsi="Arial"/>
                <w:sz w:val="18"/>
                <w:szCs w:val="18"/>
                <w:color w:val="auto"/>
              </w:rPr>
              <w:t>Interest income, net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549</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1,908</w:t>
            </w:r>
          </w:p>
        </w:tc>
        <w:tc>
          <w:tcPr>
            <w:tcW w:w="80" w:type="dxa"/>
            <w:vAlign w:val="bottom"/>
          </w:tcPr>
          <w:p>
            <w:pPr>
              <w:spacing w:after="0"/>
              <w:rPr>
                <w:sz w:val="21"/>
                <w:szCs w:val="21"/>
                <w:color w:val="auto"/>
              </w:rPr>
            </w:pPr>
          </w:p>
        </w:tc>
      </w:tr>
      <w:tr>
        <w:trPr>
          <w:trHeight w:val="256"/>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16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(57 )</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(390 )</w:t>
            </w: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FF0FC"/>
          </w:tcPr>
          <w:p>
            <w:pPr>
              <w:spacing w:after="0"/>
              <w:rPr>
                <w:sz w:val="22"/>
                <w:szCs w:val="22"/>
                <w:color w:val="auto"/>
              </w:rPr>
            </w:pPr>
          </w:p>
        </w:tc>
      </w:tr>
      <w:tr>
        <w:trPr>
          <w:trHeight w:val="20"/>
        </w:trPr>
        <w:tc>
          <w:tcPr>
            <w:tcW w:w="55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50"/>
        </w:trPr>
        <w:tc>
          <w:tcPr>
            <w:tcW w:w="5580" w:type="dxa"/>
            <w:vAlign w:val="bottom"/>
          </w:tcPr>
          <w:p>
            <w:pPr>
              <w:spacing w:after="0"/>
              <w:rPr>
                <w:sz w:val="20"/>
                <w:szCs w:val="20"/>
                <w:color w:val="auto"/>
              </w:rPr>
            </w:pPr>
            <w:r>
              <w:rPr>
                <w:rFonts w:ascii="Arial" w:cs="Arial" w:eastAsia="Arial" w:hAnsi="Arial"/>
                <w:sz w:val="18"/>
                <w:szCs w:val="18"/>
                <w:color w:val="auto"/>
              </w:rPr>
              <w:t>Loss from operations before taxes</w:t>
            </w:r>
          </w:p>
        </w:tc>
        <w:tc>
          <w:tcPr>
            <w:tcW w:w="1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(12,967 )</w:t>
            </w:r>
          </w:p>
        </w:tc>
        <w:tc>
          <w:tcPr>
            <w:tcW w:w="2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(6,358 )</w:t>
            </w: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(5,102 )</w:t>
            </w:r>
          </w:p>
        </w:tc>
        <w:tc>
          <w:tcPr>
            <w:tcW w:w="2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(24,855 )</w:t>
            </w:r>
          </w:p>
        </w:tc>
      </w:tr>
      <w:tr>
        <w:trPr>
          <w:trHeight w:val="256"/>
        </w:trPr>
        <w:tc>
          <w:tcPr>
            <w:tcW w:w="5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Income tax (provision) benefit</w:t>
            </w:r>
          </w:p>
        </w:tc>
        <w:tc>
          <w:tcPr>
            <w:tcW w:w="16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(184 )</w:t>
            </w:r>
          </w:p>
        </w:tc>
        <w:tc>
          <w:tcPr>
            <w:tcW w:w="2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(430 )</w:t>
            </w:r>
          </w:p>
        </w:tc>
        <w:tc>
          <w:tcPr>
            <w:tcW w:w="14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(1,867 )</w:t>
            </w: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1,929</w:t>
            </w:r>
          </w:p>
        </w:tc>
        <w:tc>
          <w:tcPr>
            <w:tcW w:w="80" w:type="dxa"/>
            <w:vAlign w:val="bottom"/>
            <w:shd w:val="clear" w:color="auto" w:fill="CFF0FC"/>
          </w:tcPr>
          <w:p>
            <w:pPr>
              <w:spacing w:after="0"/>
              <w:rPr>
                <w:sz w:val="22"/>
                <w:szCs w:val="22"/>
                <w:color w:val="auto"/>
              </w:rPr>
            </w:pPr>
          </w:p>
        </w:tc>
      </w:tr>
      <w:tr>
        <w:trPr>
          <w:trHeight w:val="20"/>
        </w:trPr>
        <w:tc>
          <w:tcPr>
            <w:tcW w:w="55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50"/>
        </w:trPr>
        <w:tc>
          <w:tcPr>
            <w:tcW w:w="558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(13,151 )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(6,788 )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(6,969 )</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(22,926 )</w:t>
            </w:r>
          </w:p>
        </w:tc>
      </w:tr>
      <w:tr>
        <w:trPr>
          <w:trHeight w:val="20"/>
        </w:trPr>
        <w:tc>
          <w:tcPr>
            <w:tcW w:w="5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3"/>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Loss per share:</w:t>
            </w: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5580" w:type="dxa"/>
            <w:vAlign w:val="bottom"/>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(0.03 )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(0.02 )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(0.02 )</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(0.06 )</w:t>
            </w:r>
          </w:p>
        </w:tc>
      </w:tr>
      <w:tr>
        <w:trPr>
          <w:trHeight w:val="263"/>
        </w:trPr>
        <w:tc>
          <w:tcPr>
            <w:tcW w:w="5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(0.03 )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(0.02 )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(0.02 )</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(0.06 )</w:t>
            </w:r>
          </w:p>
        </w:tc>
      </w:tr>
      <w:tr>
        <w:trPr>
          <w:trHeight w:val="250"/>
        </w:trPr>
        <w:tc>
          <w:tcPr>
            <w:tcW w:w="5580" w:type="dxa"/>
            <w:vAlign w:val="bottom"/>
          </w:tcPr>
          <w:p>
            <w:pPr>
              <w:spacing w:after="0"/>
              <w:rPr>
                <w:sz w:val="20"/>
                <w:szCs w:val="20"/>
                <w:color w:val="auto"/>
              </w:rPr>
            </w:pPr>
            <w:r>
              <w:rPr>
                <w:rFonts w:ascii="Arial" w:cs="Arial" w:eastAsia="Arial" w:hAnsi="Arial"/>
                <w:sz w:val="18"/>
                <w:szCs w:val="18"/>
                <w:color w:val="auto"/>
              </w:rPr>
              <w:t>Weighted average shares:</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5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396,618</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389,699</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395,681</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378,770</w:t>
            </w:r>
          </w:p>
        </w:tc>
        <w:tc>
          <w:tcPr>
            <w:tcW w:w="80" w:type="dxa"/>
            <w:vAlign w:val="bottom"/>
            <w:shd w:val="clear" w:color="auto" w:fill="CFF0FC"/>
          </w:tcPr>
          <w:p>
            <w:pPr>
              <w:spacing w:after="0"/>
              <w:rPr>
                <w:sz w:val="22"/>
                <w:szCs w:val="22"/>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396,618</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389,699</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395,681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378,770</w:t>
            </w: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4317365</wp:posOffset>
            </wp:positionH>
            <wp:positionV relativeFrom="paragraph">
              <wp:posOffset>-2825115</wp:posOffset>
            </wp:positionV>
            <wp:extent cx="15430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-2825115</wp:posOffset>
            </wp:positionV>
            <wp:extent cx="15430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-2825115</wp:posOffset>
            </wp:positionV>
            <wp:extent cx="13716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-2825115</wp:posOffset>
            </wp:positionV>
            <wp:extent cx="5969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-2165350</wp:posOffset>
            </wp:positionV>
            <wp:extent cx="15430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-2165350</wp:posOffset>
            </wp:positionV>
            <wp:extent cx="15430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-2165350</wp:posOffset>
            </wp:positionV>
            <wp:extent cx="13716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-2165350</wp:posOffset>
            </wp:positionV>
            <wp:extent cx="5969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-1496695</wp:posOffset>
            </wp:positionV>
            <wp:extent cx="15430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-1496695</wp:posOffset>
            </wp:positionV>
            <wp:extent cx="15430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-1496695</wp:posOffset>
            </wp:positionV>
            <wp:extent cx="13716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-1496695</wp:posOffset>
            </wp:positionV>
            <wp:extent cx="5969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-1162050</wp:posOffset>
            </wp:positionV>
            <wp:extent cx="15430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-1162050</wp:posOffset>
            </wp:positionV>
            <wp:extent cx="15430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-1162050</wp:posOffset>
            </wp:positionV>
            <wp:extent cx="13716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-1162050</wp:posOffset>
            </wp:positionV>
            <wp:extent cx="5969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364"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Preferred</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8"/>
              </w:rPr>
              <w:t>Common</w:t>
            </w: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Preferred</w:t>
            </w:r>
          </w:p>
        </w:tc>
        <w:tc>
          <w:tcPr>
            <w:tcW w:w="120" w:type="dxa"/>
            <w:vAlign w:val="bottom"/>
          </w:tcPr>
          <w:p>
            <w:pPr>
              <w:spacing w:after="0"/>
              <w:rPr>
                <w:sz w:val="14"/>
                <w:szCs w:val="14"/>
                <w:color w:val="auto"/>
              </w:rPr>
            </w:pPr>
          </w:p>
        </w:tc>
        <w:tc>
          <w:tcPr>
            <w:tcW w:w="660" w:type="dxa"/>
            <w:vAlign w:val="bottom"/>
          </w:tcPr>
          <w:p>
            <w:pPr>
              <w:jc w:val="center"/>
              <w:ind w:right="49"/>
              <w:spacing w:after="0"/>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Paid-in</w:t>
            </w:r>
          </w:p>
        </w:tc>
        <w:tc>
          <w:tcPr>
            <w:tcW w:w="12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Treasury</w:t>
            </w:r>
          </w:p>
        </w:tc>
        <w:tc>
          <w:tcPr>
            <w:tcW w:w="10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38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8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84"/>
              </w:rPr>
              <w:t>Stock</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4"/>
              </w:rPr>
              <w:t>Stock</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5"/>
              </w:rPr>
              <w:t>Deficit</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December 31, 2020</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398,425,000</w:t>
            </w:r>
          </w:p>
        </w:tc>
        <w:tc>
          <w:tcPr>
            <w:tcW w:w="120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(5,886,919 )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290,115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1,817,649</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b w:val="1"/>
                <w:bCs w:val="1"/>
                <w:color w:val="auto"/>
              </w:rPr>
              <w:t>(51,082 )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b w:val="1"/>
                <w:bCs w:val="1"/>
                <w:color w:val="auto"/>
                <w:w w:val="95"/>
              </w:rPr>
              <w:t>(1,429,177 )</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627,505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8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783,320</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of restricted stock units</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2,447,405</w:t>
            </w:r>
          </w:p>
        </w:tc>
        <w:tc>
          <w:tcPr>
            <w:tcW w:w="120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(1,003,965 )</w:t>
            </w: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(1,709 )</w:t>
            </w: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(7,252 )</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(7,252 )</w:t>
            </w:r>
          </w:p>
        </w:tc>
        <w:tc>
          <w:tcPr>
            <w:tcW w:w="0" w:type="dxa"/>
            <w:vAlign w:val="bottom"/>
          </w:tcPr>
          <w:p>
            <w:pPr>
              <w:spacing w:after="0"/>
              <w:rPr>
                <w:sz w:val="1"/>
                <w:szCs w:val="1"/>
                <w:color w:val="auto"/>
              </w:rPr>
            </w:pPr>
          </w:p>
        </w:tc>
      </w:tr>
      <w:tr>
        <w:trPr>
          <w:trHeight w:val="197"/>
        </w:trPr>
        <w:tc>
          <w:tcPr>
            <w:tcW w:w="23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13,925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13,925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Loss for the period</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(1,626 )</w:t>
            </w:r>
          </w:p>
        </w:tc>
        <w:tc>
          <w:tcPr>
            <w:tcW w:w="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(1,626 )</w:t>
            </w:r>
          </w:p>
        </w:tc>
        <w:tc>
          <w:tcPr>
            <w:tcW w:w="0" w:type="dxa"/>
            <w:vAlign w:val="bottom"/>
          </w:tcPr>
          <w:p>
            <w:pPr>
              <w:spacing w:after="0"/>
              <w:rPr>
                <w:sz w:val="1"/>
                <w:szCs w:val="1"/>
                <w:color w:val="auto"/>
              </w:rPr>
            </w:pPr>
          </w:p>
        </w:tc>
      </w:tr>
      <w:tr>
        <w:trPr>
          <w:trHeight w:val="20"/>
        </w:trPr>
        <w:tc>
          <w:tcPr>
            <w:tcW w:w="23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Pr>
          <w:p>
            <w:pPr>
              <w:ind w:left="20"/>
              <w:spacing w:after="0"/>
              <w:rPr>
                <w:sz w:val="20"/>
                <w:szCs w:val="20"/>
                <w:color w:val="auto"/>
              </w:rPr>
            </w:pPr>
            <w:r>
              <w:rPr>
                <w:rFonts w:ascii="Arial" w:cs="Arial" w:eastAsia="Arial" w:hAnsi="Arial"/>
                <w:sz w:val="14"/>
                <w:szCs w:val="14"/>
                <w:b w:val="1"/>
                <w:bCs w:val="1"/>
                <w:color w:val="auto"/>
              </w:rPr>
              <w:t>March 31, 2021</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401,655,725</w:t>
            </w:r>
          </w:p>
        </w:tc>
        <w:tc>
          <w:tcPr>
            <w:tcW w:w="1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(6,890,884 )</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292,360</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1,831,388</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(58,334 )</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(1,430,803 )</w:t>
            </w: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634,611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common stock under</w:t>
            </w:r>
          </w:p>
        </w:tc>
        <w:tc>
          <w:tcPr>
            <w:tcW w:w="11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226,402</w:t>
            </w:r>
          </w:p>
        </w:tc>
        <w:tc>
          <w:tcPr>
            <w:tcW w:w="160" w:type="dxa"/>
            <w:vAlign w:val="bottom"/>
            <w:shd w:val="clear" w:color="auto" w:fill="CFF0FC"/>
          </w:tcPr>
          <w:p>
            <w:pPr>
              <w:spacing w:after="0"/>
              <w:rPr>
                <w:sz w:val="14"/>
                <w:szCs w:val="14"/>
                <w:color w:val="auto"/>
              </w:rPr>
            </w:pPr>
          </w:p>
        </w:tc>
        <w:tc>
          <w:tcPr>
            <w:tcW w:w="10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867</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1,028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380" w:type="dxa"/>
            <w:vAlign w:val="bottom"/>
            <w:vMerge w:val="restart"/>
            <w:shd w:val="clear" w:color="auto" w:fill="CFF0FC"/>
          </w:tcPr>
          <w:p>
            <w:pPr>
              <w:ind w:left="20"/>
              <w:spacing w:after="0"/>
              <w:rPr>
                <w:sz w:val="20"/>
                <w:szCs w:val="20"/>
                <w:color w:val="auto"/>
              </w:rPr>
            </w:pPr>
            <w:r>
              <w:rPr>
                <w:rFonts w:ascii="Arial" w:cs="Arial" w:eastAsia="Arial" w:hAnsi="Arial"/>
                <w:sz w:val="14"/>
                <w:szCs w:val="14"/>
                <w:color w:val="auto"/>
              </w:rPr>
              <w:t>employee stock purchase plan</w:t>
            </w:r>
          </w:p>
        </w:tc>
        <w:tc>
          <w:tcPr>
            <w:tcW w:w="1120" w:type="dxa"/>
            <w:vAlign w:val="bottom"/>
            <w:gridSpan w:val="2"/>
            <w:vMerge w:val="continue"/>
            <w:shd w:val="clear" w:color="auto" w:fill="CFF0FC"/>
          </w:tcPr>
          <w:p>
            <w:pPr>
              <w:spacing w:after="0"/>
              <w:rPr>
                <w:sz w:val="7"/>
                <w:szCs w:val="7"/>
                <w:color w:val="auto"/>
              </w:rPr>
            </w:pPr>
          </w:p>
        </w:tc>
        <w:tc>
          <w:tcPr>
            <w:tcW w:w="940" w:type="dxa"/>
            <w:vAlign w:val="bottom"/>
            <w:vMerge w:val="continue"/>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040" w:type="dxa"/>
            <w:vAlign w:val="bottom"/>
            <w:gridSpan w:val="2"/>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40" w:type="dxa"/>
            <w:vAlign w:val="bottom"/>
            <w:gridSpan w:val="2"/>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6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20" w:type="dxa"/>
            <w:vAlign w:val="bottom"/>
            <w:vMerge w:val="continue"/>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780" w:type="dxa"/>
            <w:vAlign w:val="bottom"/>
            <w:gridSpan w:val="2"/>
            <w:vMerge w:val="continue"/>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840" w:type="dxa"/>
            <w:vAlign w:val="bottom"/>
            <w:gridSpan w:val="2"/>
            <w:vMerge w:val="continue"/>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660" w:type="dxa"/>
            <w:vAlign w:val="bottom"/>
            <w:vMerge w:val="continue"/>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380" w:type="dxa"/>
            <w:vAlign w:val="bottom"/>
            <w:vMerge w:val="continue"/>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38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27,139</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of restricted stock units</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346,010</w:t>
            </w:r>
          </w:p>
        </w:tc>
        <w:tc>
          <w:tcPr>
            <w:tcW w:w="120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(142,204 )</w:t>
            </w: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(242 )</w:t>
            </w: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(677 )</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(677 )</w:t>
            </w:r>
          </w:p>
        </w:tc>
        <w:tc>
          <w:tcPr>
            <w:tcW w:w="0" w:type="dxa"/>
            <w:vAlign w:val="bottom"/>
          </w:tcPr>
          <w:p>
            <w:pPr>
              <w:spacing w:after="0"/>
              <w:rPr>
                <w:sz w:val="1"/>
                <w:szCs w:val="1"/>
                <w:color w:val="auto"/>
              </w:rPr>
            </w:pPr>
          </w:p>
        </w:tc>
      </w:tr>
      <w:tr>
        <w:trPr>
          <w:trHeight w:val="197"/>
        </w:trPr>
        <w:tc>
          <w:tcPr>
            <w:tcW w:w="23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2,479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Income for the period</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7,808</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7,808</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80" w:type="dxa"/>
            <w:vAlign w:val="bottom"/>
          </w:tcPr>
          <w:p>
            <w:pPr>
              <w:ind w:left="20"/>
              <w:spacing w:after="0"/>
              <w:rPr>
                <w:sz w:val="20"/>
                <w:szCs w:val="20"/>
                <w:color w:val="auto"/>
              </w:rPr>
            </w:pPr>
            <w:r>
              <w:rPr>
                <w:rFonts w:ascii="Arial" w:cs="Arial" w:eastAsia="Arial" w:hAnsi="Arial"/>
                <w:sz w:val="14"/>
                <w:szCs w:val="14"/>
                <w:b w:val="1"/>
                <w:bCs w:val="1"/>
                <w:color w:val="auto"/>
              </w:rPr>
              <w:t>June 30, 2021</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402,255,276</w:t>
            </w:r>
          </w:p>
        </w:tc>
        <w:tc>
          <w:tcPr>
            <w:tcW w:w="1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(7,033,088 )</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292,782</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1,834,548</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(59,011 )</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(1,422,995 )</w:t>
            </w: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645,324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Exercise of stock options</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184,462</w:t>
            </w:r>
          </w:p>
        </w:tc>
        <w:tc>
          <w:tcPr>
            <w:tcW w:w="1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353</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481</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8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332,491</w:t>
            </w:r>
          </w:p>
        </w:tc>
        <w:tc>
          <w:tcPr>
            <w:tcW w:w="1200" w:type="dxa"/>
            <w:vAlign w:val="bottom"/>
            <w:gridSpan w:val="3"/>
          </w:tcPr>
          <w:p>
            <w:pPr>
              <w:jc w:val="right"/>
              <w:ind w:right="100"/>
              <w:spacing w:after="0"/>
              <w:rPr>
                <w:sz w:val="20"/>
                <w:szCs w:val="20"/>
                <w:color w:val="auto"/>
              </w:rPr>
            </w:pPr>
            <w:r>
              <w:rPr>
                <w:rFonts w:ascii="Arial" w:cs="Arial" w:eastAsia="Arial" w:hAnsi="Arial"/>
                <w:sz w:val="14"/>
                <w:szCs w:val="14"/>
                <w:color w:val="auto"/>
              </w:rPr>
              <w:t>(125,735 )</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(230 )</w:t>
            </w:r>
          </w:p>
        </w:tc>
        <w:tc>
          <w:tcPr>
            <w:tcW w:w="1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(591 )</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(591 )</w:t>
            </w: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10,432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10,432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80" w:type="dxa"/>
            <w:vAlign w:val="bottom"/>
          </w:tcPr>
          <w:p>
            <w:pPr>
              <w:ind w:left="20"/>
              <w:spacing w:after="0"/>
              <w:rPr>
                <w:sz w:val="20"/>
                <w:szCs w:val="20"/>
                <w:color w:val="auto"/>
              </w:rPr>
            </w:pPr>
            <w:r>
              <w:rPr>
                <w:rFonts w:ascii="Arial" w:cs="Arial" w:eastAsia="Arial" w:hAnsi="Arial"/>
                <w:sz w:val="14"/>
                <w:szCs w:val="14"/>
                <w:color w:val="auto"/>
              </w:rPr>
              <w:t>Loss for the period</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(13,151 )</w:t>
            </w:r>
          </w:p>
        </w:tc>
        <w:tc>
          <w:tcPr>
            <w:tcW w:w="1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(13,151 )</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3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September 30, 2021</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402,772,229</w:t>
            </w: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(7,158,823 )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293,140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1,845,103</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b w:val="1"/>
                <w:bCs w:val="1"/>
                <w:color w:val="auto"/>
              </w:rPr>
              <w:t>(59,602 )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b w:val="1"/>
                <w:bCs w:val="1"/>
                <w:color w:val="auto"/>
                <w:w w:val="95"/>
              </w:rPr>
              <w:t>(1,436,146 )</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642,495</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38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Preferred</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8"/>
              </w:rPr>
              <w:t>Common</w:t>
            </w: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Preferred</w:t>
            </w:r>
          </w:p>
        </w:tc>
        <w:tc>
          <w:tcPr>
            <w:tcW w:w="120" w:type="dxa"/>
            <w:vAlign w:val="bottom"/>
          </w:tcPr>
          <w:p>
            <w:pPr>
              <w:spacing w:after="0"/>
              <w:rPr>
                <w:sz w:val="14"/>
                <w:szCs w:val="14"/>
                <w:color w:val="auto"/>
              </w:rPr>
            </w:pPr>
          </w:p>
        </w:tc>
        <w:tc>
          <w:tcPr>
            <w:tcW w:w="660" w:type="dxa"/>
            <w:vAlign w:val="bottom"/>
          </w:tcPr>
          <w:p>
            <w:pPr>
              <w:jc w:val="center"/>
              <w:ind w:right="49"/>
              <w:spacing w:after="0"/>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Paid-in</w:t>
            </w:r>
          </w:p>
        </w:tc>
        <w:tc>
          <w:tcPr>
            <w:tcW w:w="12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Treasury</w:t>
            </w:r>
          </w:p>
        </w:tc>
        <w:tc>
          <w:tcPr>
            <w:tcW w:w="10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38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8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4"/>
              </w:rPr>
              <w:t>Stock</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4"/>
              </w:rPr>
              <w:t>Stock</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5"/>
              </w:rPr>
              <w:t>Deficit</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80" w:type="dxa"/>
            <w:vAlign w:val="bottom"/>
          </w:tcPr>
          <w:p>
            <w:pPr>
              <w:ind w:left="20"/>
              <w:spacing w:after="0"/>
              <w:rPr>
                <w:sz w:val="20"/>
                <w:szCs w:val="20"/>
                <w:color w:val="auto"/>
              </w:rPr>
            </w:pPr>
            <w:r>
              <w:rPr>
                <w:rFonts w:ascii="Arial" w:cs="Arial" w:eastAsia="Arial" w:hAnsi="Arial"/>
                <w:sz w:val="14"/>
                <w:szCs w:val="14"/>
                <w:b w:val="1"/>
                <w:bCs w:val="1"/>
                <w:color w:val="auto"/>
              </w:rPr>
              <w:t>December 31, 2019</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289,317,460</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365,014,893</w:t>
            </w:r>
          </w:p>
        </w:tc>
        <w:tc>
          <w:tcPr>
            <w:tcW w:w="12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(4,910,992 )</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21,850</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269,173</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1,764,317</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(35,900 )</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(1,411,177 )</w:t>
            </w: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608,263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Exercise of stock options</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412,465</w:t>
            </w: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1,306</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38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1,951,448</w:t>
            </w:r>
          </w:p>
        </w:tc>
        <w:tc>
          <w:tcPr>
            <w:tcW w:w="1200" w:type="dxa"/>
            <w:vAlign w:val="bottom"/>
            <w:gridSpan w:val="3"/>
          </w:tcPr>
          <w:p>
            <w:pPr>
              <w:jc w:val="right"/>
              <w:ind w:right="100"/>
              <w:spacing w:after="0"/>
              <w:rPr>
                <w:sz w:val="20"/>
                <w:szCs w:val="20"/>
                <w:color w:val="auto"/>
              </w:rPr>
            </w:pPr>
            <w:r>
              <w:rPr>
                <w:rFonts w:ascii="Arial" w:cs="Arial" w:eastAsia="Arial" w:hAnsi="Arial"/>
                <w:sz w:val="14"/>
                <w:szCs w:val="14"/>
                <w:color w:val="auto"/>
              </w:rPr>
              <w:t>(759,832 )</w:t>
            </w:r>
          </w:p>
        </w:tc>
        <w:tc>
          <w:tcPr>
            <w:tcW w:w="1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1,274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(1,274 )</w:t>
            </w:r>
          </w:p>
        </w:tc>
        <w:tc>
          <w:tcPr>
            <w:tcW w:w="1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(13,831 )</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(13,831 )</w:t>
            </w:r>
          </w:p>
        </w:tc>
        <w:tc>
          <w:tcPr>
            <w:tcW w:w="0" w:type="dxa"/>
            <w:vAlign w:val="bottom"/>
          </w:tcPr>
          <w:p>
            <w:pPr>
              <w:spacing w:after="0"/>
              <w:rPr>
                <w:sz w:val="1"/>
                <w:szCs w:val="1"/>
                <w:color w:val="auto"/>
              </w:rPr>
            </w:pPr>
          </w:p>
        </w:tc>
      </w:tr>
      <w:tr>
        <w:trPr>
          <w:trHeight w:val="208"/>
        </w:trPr>
        <w:tc>
          <w:tcPr>
            <w:tcW w:w="2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10,591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10,591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380" w:type="dxa"/>
            <w:vAlign w:val="bottom"/>
          </w:tcPr>
          <w:p>
            <w:pPr>
              <w:ind w:left="20"/>
              <w:spacing w:after="0"/>
              <w:rPr>
                <w:sz w:val="20"/>
                <w:szCs w:val="20"/>
                <w:color w:val="auto"/>
              </w:rPr>
            </w:pPr>
            <w:r>
              <w:rPr>
                <w:rFonts w:ascii="Arial" w:cs="Arial" w:eastAsia="Arial" w:hAnsi="Arial"/>
                <w:sz w:val="14"/>
                <w:szCs w:val="14"/>
                <w:color w:val="auto"/>
              </w:rPr>
              <w:t>Loss for the period</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(20,553 )</w:t>
            </w:r>
          </w:p>
        </w:tc>
        <w:tc>
          <w:tcPr>
            <w:tcW w:w="1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(20,553 )</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3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March 31, 2020</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289,317,460</w:t>
            </w: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367,378,806</w:t>
            </w: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(5,670,824 )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21,850</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270,716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1,774,671</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b w:val="1"/>
                <w:bCs w:val="1"/>
                <w:color w:val="auto"/>
              </w:rPr>
              <w:t>(49,731 )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b w:val="1"/>
                <w:bCs w:val="1"/>
                <w:color w:val="auto"/>
                <w:w w:val="95"/>
              </w:rPr>
              <w:t>(1,431,730 )</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585,776</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38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Issuance of common stock under</w:t>
            </w:r>
          </w:p>
        </w:tc>
        <w:tc>
          <w:tcPr>
            <w:tcW w:w="94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38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123,608</w:t>
            </w: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772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848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Conversion of Series A Convertible</w:t>
            </w:r>
          </w:p>
        </w:tc>
        <w:tc>
          <w:tcPr>
            <w:tcW w:w="9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 net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(237,713,680 )</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23,771,368</w:t>
            </w:r>
          </w:p>
        </w:tc>
        <w:tc>
          <w:tcPr>
            <w:tcW w:w="1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(14,684 )</w:t>
            </w: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14,684</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(238 )</w:t>
            </w: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(238 )</w:t>
            </w:r>
          </w:p>
        </w:tc>
        <w:tc>
          <w:tcPr>
            <w:tcW w:w="0" w:type="dxa"/>
            <w:vAlign w:val="bottom"/>
          </w:tcPr>
          <w:p>
            <w:pPr>
              <w:spacing w:after="0"/>
              <w:rPr>
                <w:sz w:val="1"/>
                <w:szCs w:val="1"/>
                <w:color w:val="auto"/>
              </w:rPr>
            </w:pPr>
          </w:p>
        </w:tc>
      </w:tr>
      <w:tr>
        <w:trPr>
          <w:trHeight w:val="197"/>
        </w:trPr>
        <w:tc>
          <w:tcPr>
            <w:tcW w:w="238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148,290</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of restricted stock units</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167,240</w:t>
            </w:r>
          </w:p>
        </w:tc>
        <w:tc>
          <w:tcPr>
            <w:tcW w:w="120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(70,971 )</w:t>
            </w: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(104 )</w:t>
            </w: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(521 )</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(521 )</w:t>
            </w:r>
          </w:p>
        </w:tc>
        <w:tc>
          <w:tcPr>
            <w:tcW w:w="0" w:type="dxa"/>
            <w:vAlign w:val="bottom"/>
          </w:tcPr>
          <w:p>
            <w:pPr>
              <w:spacing w:after="0"/>
              <w:rPr>
                <w:sz w:val="1"/>
                <w:szCs w:val="1"/>
                <w:color w:val="auto"/>
              </w:rPr>
            </w:pPr>
          </w:p>
        </w:tc>
      </w:tr>
      <w:tr>
        <w:trPr>
          <w:trHeight w:val="197"/>
        </w:trPr>
        <w:tc>
          <w:tcPr>
            <w:tcW w:w="23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12,131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12,131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Income for the period</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4,415</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4,415</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80" w:type="dxa"/>
            <w:vAlign w:val="bottom"/>
          </w:tcPr>
          <w:p>
            <w:pPr>
              <w:ind w:left="20"/>
              <w:spacing w:after="0"/>
              <w:rPr>
                <w:sz w:val="20"/>
                <w:szCs w:val="20"/>
                <w:color w:val="auto"/>
              </w:rPr>
            </w:pPr>
            <w:r>
              <w:rPr>
                <w:rFonts w:ascii="Arial" w:cs="Arial" w:eastAsia="Arial" w:hAnsi="Arial"/>
                <w:sz w:val="14"/>
                <w:szCs w:val="14"/>
                <w:b w:val="1"/>
                <w:bCs w:val="1"/>
                <w:color w:val="auto"/>
              </w:rPr>
              <w:t>June 30, 2020</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51,603,780</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391,589,312</w:t>
            </w:r>
          </w:p>
        </w:tc>
        <w:tc>
          <w:tcPr>
            <w:tcW w:w="12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(5,741,795 )</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7,166</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285,672</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1,787,492</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(50,252 )</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(1,427,315 )</w:t>
            </w: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602,763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Conversion of Series A Convertible</w:t>
            </w:r>
          </w:p>
        </w:tc>
        <w:tc>
          <w:tcPr>
            <w:tcW w:w="9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 net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(27,753,000 )</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2,775,300</w:t>
            </w:r>
          </w:p>
        </w:tc>
        <w:tc>
          <w:tcPr>
            <w:tcW w:w="1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(1,732 )</w:t>
            </w: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1,732</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(28 )</w:t>
            </w: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(28 )</w:t>
            </w:r>
          </w:p>
        </w:tc>
        <w:tc>
          <w:tcPr>
            <w:tcW w:w="0" w:type="dxa"/>
            <w:vAlign w:val="bottom"/>
          </w:tcPr>
          <w:p>
            <w:pPr>
              <w:spacing w:after="0"/>
              <w:rPr>
                <w:sz w:val="1"/>
                <w:szCs w:val="1"/>
                <w:color w:val="auto"/>
              </w:rPr>
            </w:pPr>
          </w:p>
        </w:tc>
      </w:tr>
      <w:tr>
        <w:trPr>
          <w:trHeight w:val="197"/>
        </w:trPr>
        <w:tc>
          <w:tcPr>
            <w:tcW w:w="238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82,001</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of restricted stock units</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195,466</w:t>
            </w:r>
          </w:p>
        </w:tc>
        <w:tc>
          <w:tcPr>
            <w:tcW w:w="120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(71,590 )</w:t>
            </w: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(128 )</w:t>
            </w: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(476 )</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(476 )</w:t>
            </w:r>
          </w:p>
        </w:tc>
        <w:tc>
          <w:tcPr>
            <w:tcW w:w="0" w:type="dxa"/>
            <w:vAlign w:val="bottom"/>
          </w:tcPr>
          <w:p>
            <w:pPr>
              <w:spacing w:after="0"/>
              <w:rPr>
                <w:sz w:val="1"/>
                <w:szCs w:val="1"/>
                <w:color w:val="auto"/>
              </w:rPr>
            </w:pPr>
          </w:p>
        </w:tc>
      </w:tr>
      <w:tr>
        <w:trPr>
          <w:trHeight w:val="197"/>
        </w:trPr>
        <w:tc>
          <w:tcPr>
            <w:tcW w:w="23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11,583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11,583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Loss for the period</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(6,788 )</w:t>
            </w:r>
          </w:p>
        </w:tc>
        <w:tc>
          <w:tcPr>
            <w:tcW w:w="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(6,788 )</w:t>
            </w:r>
          </w:p>
        </w:tc>
        <w:tc>
          <w:tcPr>
            <w:tcW w:w="0" w:type="dxa"/>
            <w:vAlign w:val="bottom"/>
          </w:tcPr>
          <w:p>
            <w:pPr>
              <w:spacing w:after="0"/>
              <w:rPr>
                <w:sz w:val="1"/>
                <w:szCs w:val="1"/>
                <w:color w:val="auto"/>
              </w:rPr>
            </w:pPr>
          </w:p>
        </w:tc>
      </w:tr>
      <w:tr>
        <w:trPr>
          <w:trHeight w:val="20"/>
        </w:trPr>
        <w:tc>
          <w:tcPr>
            <w:tcW w:w="23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Pr>
          <w:p>
            <w:pPr>
              <w:ind w:left="20"/>
              <w:spacing w:after="0"/>
              <w:rPr>
                <w:sz w:val="20"/>
                <w:szCs w:val="20"/>
                <w:color w:val="auto"/>
              </w:rPr>
            </w:pPr>
            <w:r>
              <w:rPr>
                <w:rFonts w:ascii="Arial" w:cs="Arial" w:eastAsia="Arial" w:hAnsi="Arial"/>
                <w:sz w:val="14"/>
                <w:szCs w:val="14"/>
                <w:b w:val="1"/>
                <w:bCs w:val="1"/>
                <w:color w:val="auto"/>
              </w:rPr>
              <w:t>September 30, 2020</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23,850,780</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394,642,079</w:t>
            </w:r>
          </w:p>
        </w:tc>
        <w:tc>
          <w:tcPr>
            <w:tcW w:w="1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(5,813,385 )</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5,434</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287,585</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1,799,069</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(50,728 )</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(1,434,103 )</w:t>
            </w: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607,257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-5114290</wp:posOffset>
            </wp:positionV>
            <wp:extent cx="10287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-5114290</wp:posOffset>
            </wp:positionV>
            <wp:extent cx="10287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-5114290</wp:posOffset>
            </wp:positionV>
            <wp:extent cx="10287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-5114290</wp:posOffset>
            </wp:positionV>
            <wp:extent cx="11112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-5114290</wp:posOffset>
            </wp:positionV>
            <wp:extent cx="8572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-5114290</wp:posOffset>
            </wp:positionV>
            <wp:extent cx="9461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-5114290</wp:posOffset>
            </wp:positionV>
            <wp:extent cx="9398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-5114290</wp:posOffset>
            </wp:positionV>
            <wp:extent cx="9461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-5114290</wp:posOffset>
            </wp:positionV>
            <wp:extent cx="4318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-4196715</wp:posOffset>
            </wp:positionV>
            <wp:extent cx="10287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-4196715</wp:posOffset>
            </wp:positionV>
            <wp:extent cx="10287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-4196715</wp:posOffset>
            </wp:positionV>
            <wp:extent cx="10287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-4196715</wp:posOffset>
            </wp:positionV>
            <wp:extent cx="11112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-4196715</wp:posOffset>
            </wp:positionV>
            <wp:extent cx="8572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-4196715</wp:posOffset>
            </wp:positionV>
            <wp:extent cx="9461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-4196715</wp:posOffset>
            </wp:positionV>
            <wp:extent cx="9398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-4196715</wp:posOffset>
            </wp:positionV>
            <wp:extent cx="9461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-4196715</wp:posOffset>
            </wp:positionV>
            <wp:extent cx="4318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-3385185</wp:posOffset>
            </wp:positionV>
            <wp:extent cx="1028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-3368040</wp:posOffset>
            </wp:positionV>
            <wp:extent cx="1028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-3385185</wp:posOffset>
            </wp:positionV>
            <wp:extent cx="1028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-3368040</wp:posOffset>
            </wp:positionV>
            <wp:extent cx="1028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-3385185</wp:posOffset>
            </wp:positionV>
            <wp:extent cx="1028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-3368040</wp:posOffset>
            </wp:positionV>
            <wp:extent cx="1028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-3385185</wp:posOffset>
            </wp:positionV>
            <wp:extent cx="1111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-3368040</wp:posOffset>
            </wp:positionV>
            <wp:extent cx="1111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-3385185</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-3368040</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-3385185</wp:posOffset>
            </wp:positionV>
            <wp:extent cx="946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-3368040</wp:posOffset>
            </wp:positionV>
            <wp:extent cx="946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-3385185</wp:posOffset>
            </wp:positionV>
            <wp:extent cx="939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-3368040</wp:posOffset>
            </wp:positionV>
            <wp:extent cx="939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-3385185</wp:posOffset>
            </wp:positionV>
            <wp:extent cx="946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-3368040</wp:posOffset>
            </wp:positionV>
            <wp:extent cx="946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-3385185</wp:posOffset>
            </wp:positionV>
            <wp:extent cx="431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-3368040</wp:posOffset>
            </wp:positionV>
            <wp:extent cx="431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-2099310</wp:posOffset>
            </wp:positionV>
            <wp:extent cx="1111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-2082165</wp:posOffset>
            </wp:positionV>
            <wp:extent cx="1111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-2099310</wp:posOffset>
            </wp:positionV>
            <wp:extent cx="1028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-2082165</wp:posOffset>
            </wp:positionV>
            <wp:extent cx="1028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-2099310</wp:posOffset>
            </wp:positionV>
            <wp:extent cx="1028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-2082165</wp:posOffset>
            </wp:positionV>
            <wp:extent cx="1028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-2099310</wp:posOffset>
            </wp:positionV>
            <wp:extent cx="120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-2082165</wp:posOffset>
            </wp:positionV>
            <wp:extent cx="120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-2099310</wp:posOffset>
            </wp:positionV>
            <wp:extent cx="857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-2082165</wp:posOffset>
            </wp:positionV>
            <wp:extent cx="857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-2099310</wp:posOffset>
            </wp:positionV>
            <wp:extent cx="946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-2082165</wp:posOffset>
            </wp:positionV>
            <wp:extent cx="946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-2099310</wp:posOffset>
            </wp:positionV>
            <wp:extent cx="939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-2082165</wp:posOffset>
            </wp:positionV>
            <wp:extent cx="939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-2099310</wp:posOffset>
            </wp:positionV>
            <wp:extent cx="946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-2082165</wp:posOffset>
            </wp:positionV>
            <wp:extent cx="946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-2099310</wp:posOffset>
            </wp:positionV>
            <wp:extent cx="431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-2082165</wp:posOffset>
            </wp:positionV>
            <wp:extent cx="431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-1076325</wp:posOffset>
            </wp:positionV>
            <wp:extent cx="11112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-1076325</wp:posOffset>
            </wp:positionV>
            <wp:extent cx="10287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-1076325</wp:posOffset>
            </wp:positionV>
            <wp:extent cx="10287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-1076325</wp:posOffset>
            </wp:positionV>
            <wp:extent cx="12001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-1076325</wp:posOffset>
            </wp:positionV>
            <wp:extent cx="8572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-1076325</wp:posOffset>
            </wp:positionV>
            <wp:extent cx="9461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-1076325</wp:posOffset>
            </wp:positionV>
            <wp:extent cx="939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-1076325</wp:posOffset>
            </wp:positionV>
            <wp:extent cx="9461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-1076325</wp:posOffset>
            </wp:positionV>
            <wp:extent cx="4318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-159385</wp:posOffset>
            </wp:positionV>
            <wp:extent cx="11112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-159385</wp:posOffset>
            </wp:positionV>
            <wp:extent cx="10287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-159385</wp:posOffset>
            </wp:positionV>
            <wp:extent cx="10287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-159385</wp:posOffset>
            </wp:positionV>
            <wp:extent cx="12001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-159385</wp:posOffset>
            </wp:positionV>
            <wp:extent cx="8572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-159385</wp:posOffset>
            </wp:positionV>
            <wp:extent cx="9461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-159385</wp:posOffset>
            </wp:positionV>
            <wp:extent cx="9398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-159385</wp:posOffset>
            </wp:positionV>
            <wp:extent cx="9461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68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82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(6,969 )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(22,926 )</w:t>
            </w:r>
          </w:p>
        </w:tc>
        <w:tc>
          <w:tcPr>
            <w:tcW w:w="0" w:type="dxa"/>
            <w:vAlign w:val="bottom"/>
          </w:tcPr>
          <w:p>
            <w:pPr>
              <w:spacing w:after="0"/>
              <w:rPr>
                <w:sz w:val="1"/>
                <w:szCs w:val="1"/>
                <w:color w:val="auto"/>
              </w:rPr>
            </w:pPr>
          </w:p>
        </w:tc>
      </w:tr>
      <w:tr>
        <w:trPr>
          <w:trHeight w:val="263"/>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loss to net cash (used in) provided by operating activities:</w:t>
            </w: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8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443</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Amortization of investments</w:t>
            </w: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w:t>
            </w: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8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26,836</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Amortization of debt discount and debt issuance costs</w:t>
            </w:r>
          </w:p>
        </w:tc>
        <w:tc>
          <w:tcPr>
            <w:tcW w:w="32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820" w:type="dxa"/>
            <w:vAlign w:val="bottom"/>
          </w:tcPr>
          <w:p>
            <w:pPr>
              <w:ind w:left="180"/>
              <w:spacing w:after="0"/>
              <w:rPr>
                <w:sz w:val="20"/>
                <w:szCs w:val="20"/>
                <w:color w:val="auto"/>
              </w:rPr>
            </w:pPr>
            <w:r>
              <w:rPr>
                <w:rFonts w:ascii="Arial" w:cs="Arial" w:eastAsia="Arial" w:hAnsi="Arial"/>
                <w:sz w:val="18"/>
                <w:szCs w:val="18"/>
                <w:color w:val="auto"/>
              </w:rPr>
              <w:t>Amortization of intangible asset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1,633</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82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5,213</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(30,862 )</w:t>
            </w:r>
          </w:p>
        </w:tc>
        <w:tc>
          <w:tcPr>
            <w:tcW w:w="0" w:type="dxa"/>
            <w:vAlign w:val="bottom"/>
          </w:tcPr>
          <w:p>
            <w:pPr>
              <w:spacing w:after="0"/>
              <w:rPr>
                <w:sz w:val="1"/>
                <w:szCs w:val="1"/>
                <w:color w:val="auto"/>
              </w:rPr>
            </w:pPr>
          </w:p>
        </w:tc>
      </w:tr>
      <w:tr>
        <w:trPr>
          <w:trHeight w:val="263"/>
        </w:trPr>
        <w:tc>
          <w:tcPr>
            <w:tcW w:w="6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(120,404 )</w:t>
            </w:r>
          </w:p>
        </w:tc>
        <w:tc>
          <w:tcPr>
            <w:tcW w:w="3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(71,762 )</w:t>
            </w:r>
          </w:p>
        </w:tc>
        <w:tc>
          <w:tcPr>
            <w:tcW w:w="0" w:type="dxa"/>
            <w:vAlign w:val="bottom"/>
          </w:tcPr>
          <w:p>
            <w:pPr>
              <w:spacing w:after="0"/>
              <w:rPr>
                <w:sz w:val="1"/>
                <w:szCs w:val="1"/>
                <w:color w:val="auto"/>
              </w:rPr>
            </w:pPr>
          </w:p>
        </w:tc>
      </w:tr>
      <w:tr>
        <w:trPr>
          <w:trHeight w:val="250"/>
        </w:trPr>
        <w:tc>
          <w:tcPr>
            <w:tcW w:w="6820" w:type="dxa"/>
            <w:vAlign w:val="bottom"/>
          </w:tcPr>
          <w:p>
            <w:pPr>
              <w:ind w:left="18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9,601</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(13,023 )</w:t>
            </w:r>
          </w:p>
        </w:tc>
        <w:tc>
          <w:tcPr>
            <w:tcW w:w="0" w:type="dxa"/>
            <w:vAlign w:val="bottom"/>
          </w:tcPr>
          <w:p>
            <w:pPr>
              <w:spacing w:after="0"/>
              <w:rPr>
                <w:sz w:val="1"/>
                <w:szCs w:val="1"/>
                <w:color w:val="auto"/>
              </w:rPr>
            </w:pPr>
          </w:p>
        </w:tc>
      </w:tr>
      <w:tr>
        <w:trPr>
          <w:trHeight w:val="263"/>
        </w:trPr>
        <w:tc>
          <w:tcPr>
            <w:tcW w:w="6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long-term assets</w:t>
            </w:r>
          </w:p>
        </w:tc>
        <w:tc>
          <w:tcPr>
            <w:tcW w:w="32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(24 )</w:t>
            </w:r>
          </w:p>
        </w:tc>
        <w:tc>
          <w:tcPr>
            <w:tcW w:w="3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820" w:type="dxa"/>
            <w:vAlign w:val="bottom"/>
          </w:tcPr>
          <w:p>
            <w:pPr>
              <w:ind w:left="180"/>
              <w:spacing w:after="0"/>
              <w:rPr>
                <w:sz w:val="20"/>
                <w:szCs w:val="20"/>
                <w:color w:val="auto"/>
              </w:rPr>
            </w:pPr>
            <w:r>
              <w:rPr>
                <w:rFonts w:ascii="Arial" w:cs="Arial" w:eastAsia="Arial" w:hAnsi="Arial"/>
                <w:sz w:val="18"/>
                <w:szCs w:val="18"/>
                <w:color w:val="auto"/>
              </w:rPr>
              <w:t>Interest receivable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723</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(1,732 )</w:t>
            </w:r>
          </w:p>
        </w:tc>
        <w:tc>
          <w:tcPr>
            <w:tcW w:w="0" w:type="dxa"/>
            <w:vAlign w:val="bottom"/>
          </w:tcPr>
          <w:p>
            <w:pPr>
              <w:spacing w:after="0"/>
              <w:rPr>
                <w:sz w:val="1"/>
                <w:szCs w:val="1"/>
                <w:color w:val="auto"/>
              </w:rPr>
            </w:pPr>
          </w:p>
        </w:tc>
      </w:tr>
      <w:tr>
        <w:trPr>
          <w:trHeight w:val="263"/>
        </w:trPr>
        <w:tc>
          <w:tcPr>
            <w:tcW w:w="6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Accrued interest payable</w:t>
            </w:r>
          </w:p>
        </w:tc>
        <w:tc>
          <w:tcPr>
            <w:tcW w:w="32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(348 )</w:t>
            </w:r>
          </w:p>
        </w:tc>
        <w:tc>
          <w:tcPr>
            <w:tcW w:w="0" w:type="dxa"/>
            <w:vAlign w:val="bottom"/>
          </w:tcPr>
          <w:p>
            <w:pPr>
              <w:spacing w:after="0"/>
              <w:rPr>
                <w:sz w:val="1"/>
                <w:szCs w:val="1"/>
                <w:color w:val="auto"/>
              </w:rPr>
            </w:pPr>
          </w:p>
        </w:tc>
      </w:tr>
      <w:tr>
        <w:trPr>
          <w:trHeight w:val="250"/>
        </w:trPr>
        <w:tc>
          <w:tcPr>
            <w:tcW w:w="68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(1,500 )</w:t>
            </w:r>
          </w:p>
        </w:tc>
        <w:tc>
          <w:tcPr>
            <w:tcW w:w="34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(1,941 )</w:t>
            </w:r>
          </w:p>
        </w:tc>
        <w:tc>
          <w:tcPr>
            <w:tcW w:w="0" w:type="dxa"/>
            <w:vAlign w:val="bottom"/>
          </w:tcPr>
          <w:p>
            <w:pPr>
              <w:spacing w:after="0"/>
              <w:rPr>
                <w:sz w:val="1"/>
                <w:szCs w:val="1"/>
                <w:color w:val="auto"/>
              </w:rPr>
            </w:pPr>
          </w:p>
        </w:tc>
      </w:tr>
      <w:tr>
        <w:trPr>
          <w:trHeight w:val="263"/>
        </w:trPr>
        <w:tc>
          <w:tcPr>
            <w:tcW w:w="6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Accounts payable and other current liabilities</w:t>
            </w: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45,582</w:t>
            </w: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121,240</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82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(995 )</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shd w:val="clear" w:color="auto" w:fill="CFF0FC"/>
          </w:tcPr>
          <w:p>
            <w:pPr>
              <w:ind w:left="540"/>
              <w:spacing w:after="0"/>
              <w:rPr>
                <w:sz w:val="20"/>
                <w:szCs w:val="20"/>
                <w:color w:val="auto"/>
              </w:rPr>
            </w:pPr>
            <w:r>
              <w:rPr>
                <w:rFonts w:ascii="Arial" w:cs="Arial" w:eastAsia="Arial" w:hAnsi="Arial"/>
                <w:sz w:val="18"/>
                <w:szCs w:val="18"/>
                <w:color w:val="auto"/>
              </w:rPr>
              <w:t>Net cash (used in) provided by operating activities</w:t>
            </w:r>
          </w:p>
        </w:tc>
        <w:tc>
          <w:tcPr>
            <w:tcW w:w="3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(38,297 )</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2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Sale and maturities of securities</w:t>
            </w: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312,150</w:t>
            </w: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186,714</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820" w:type="dxa"/>
            <w:vAlign w:val="bottom"/>
          </w:tcPr>
          <w:p>
            <w:pPr>
              <w:ind w:left="180"/>
              <w:spacing w:after="0"/>
              <w:rPr>
                <w:sz w:val="20"/>
                <w:szCs w:val="20"/>
                <w:color w:val="auto"/>
              </w:rPr>
            </w:pPr>
            <w:r>
              <w:rPr>
                <w:rFonts w:ascii="Arial" w:cs="Arial" w:eastAsia="Arial" w:hAnsi="Arial"/>
                <w:sz w:val="18"/>
                <w:szCs w:val="18"/>
                <w:color w:val="auto"/>
              </w:rPr>
              <w:t>Purchases of securities</w:t>
            </w:r>
          </w:p>
        </w:tc>
        <w:tc>
          <w:tcPr>
            <w:tcW w:w="32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(233,067 )</w:t>
            </w:r>
          </w:p>
        </w:tc>
        <w:tc>
          <w:tcPr>
            <w:tcW w:w="34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(587,111 )</w:t>
            </w:r>
          </w:p>
        </w:tc>
        <w:tc>
          <w:tcPr>
            <w:tcW w:w="0" w:type="dxa"/>
            <w:vAlign w:val="bottom"/>
          </w:tcPr>
          <w:p>
            <w:pPr>
              <w:spacing w:after="0"/>
              <w:rPr>
                <w:sz w:val="1"/>
                <w:szCs w:val="1"/>
                <w:color w:val="auto"/>
              </w:rPr>
            </w:pPr>
          </w:p>
        </w:tc>
      </w:tr>
      <w:tr>
        <w:trPr>
          <w:trHeight w:val="257"/>
        </w:trPr>
        <w:tc>
          <w:tcPr>
            <w:tcW w:w="6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Disposal (purchase) of furniture, fixtures and equipment</w:t>
            </w: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(252 )</w:t>
            </w:r>
          </w:p>
        </w:tc>
        <w:tc>
          <w:tcPr>
            <w:tcW w:w="0" w:type="dxa"/>
            <w:vAlign w:val="bottom"/>
          </w:tcPr>
          <w:p>
            <w:pPr>
              <w:spacing w:after="0"/>
              <w:rPr>
                <w:sz w:val="1"/>
                <w:szCs w:val="1"/>
                <w:color w:val="auto"/>
              </w:rPr>
            </w:pPr>
          </w:p>
        </w:tc>
      </w:tr>
      <w:tr>
        <w:trPr>
          <w:trHeight w:val="20"/>
        </w:trPr>
        <w:tc>
          <w:tcPr>
            <w:tcW w:w="68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Pr>
          <w:p>
            <w:pPr>
              <w:ind w:left="54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79,087</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(400,649 )</w:t>
            </w:r>
          </w:p>
        </w:tc>
        <w:tc>
          <w:tcPr>
            <w:tcW w:w="0" w:type="dxa"/>
            <w:vAlign w:val="bottom"/>
          </w:tcPr>
          <w:p>
            <w:pPr>
              <w:spacing w:after="0"/>
              <w:rPr>
                <w:sz w:val="1"/>
                <w:szCs w:val="1"/>
                <w:color w:val="auto"/>
              </w:rPr>
            </w:pPr>
          </w:p>
        </w:tc>
      </w:tr>
      <w:tr>
        <w:trPr>
          <w:trHeight w:val="257"/>
        </w:trPr>
        <w:tc>
          <w:tcPr>
            <w:tcW w:w="6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top w:val="single" w:sz="8" w:color="auto"/>
            </w:tcBorders>
            <w:shd w:val="clear" w:color="auto" w:fill="CFF0FC"/>
          </w:tcPr>
          <w:p>
            <w:pPr>
              <w:spacing w:after="0"/>
              <w:rPr>
                <w:sz w:val="22"/>
                <w:szCs w:val="22"/>
                <w:color w:val="auto"/>
              </w:rPr>
            </w:pPr>
          </w:p>
        </w:tc>
        <w:tc>
          <w:tcPr>
            <w:tcW w:w="116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40" w:type="dxa"/>
            <w:vAlign w:val="bottom"/>
            <w:tcBorders>
              <w:top w:val="single" w:sz="8" w:color="auto"/>
            </w:tcBorders>
            <w:shd w:val="clear" w:color="auto" w:fill="CFF0FC"/>
          </w:tcPr>
          <w:p>
            <w:pPr>
              <w:spacing w:after="0"/>
              <w:rPr>
                <w:sz w:val="22"/>
                <w:szCs w:val="22"/>
                <w:color w:val="auto"/>
              </w:rPr>
            </w:pPr>
          </w:p>
        </w:tc>
        <w:tc>
          <w:tcPr>
            <w:tcW w:w="1100" w:type="dxa"/>
            <w:vAlign w:val="bottom"/>
            <w:tcBorders>
              <w:top w:val="single" w:sz="8" w:color="auto"/>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820" w:type="dxa"/>
            <w:vAlign w:val="bottom"/>
          </w:tcPr>
          <w:p>
            <w:pPr>
              <w:ind w:left="180"/>
              <w:spacing w:after="0"/>
              <w:rPr>
                <w:sz w:val="20"/>
                <w:szCs w:val="20"/>
                <w:color w:val="auto"/>
              </w:rPr>
            </w:pPr>
            <w:r>
              <w:rPr>
                <w:rFonts w:ascii="Arial" w:cs="Arial" w:eastAsia="Arial" w:hAnsi="Arial"/>
                <w:sz w:val="18"/>
                <w:szCs w:val="18"/>
                <w:color w:val="auto"/>
              </w:rPr>
              <w:t>Proceeds from issuance of common stock, net of transaction costs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1,028</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Proceeds from exercise of stock options, net of transaction costs</w:t>
            </w: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2,615</w:t>
            </w: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820" w:type="dxa"/>
            <w:vAlign w:val="bottom"/>
          </w:tcPr>
          <w:p>
            <w:pPr>
              <w:ind w:left="180"/>
              <w:spacing w:after="0"/>
              <w:rPr>
                <w:sz w:val="20"/>
                <w:szCs w:val="20"/>
                <w:color w:val="auto"/>
              </w:rPr>
            </w:pPr>
            <w:r>
              <w:rPr>
                <w:rFonts w:ascii="Arial" w:cs="Arial" w:eastAsia="Arial" w:hAnsi="Arial"/>
                <w:sz w:val="18"/>
                <w:szCs w:val="18"/>
                <w:color w:val="auto"/>
              </w:rPr>
              <w:t>Payment of transaction costs for conversion of preferred stock</w:t>
            </w:r>
          </w:p>
        </w:tc>
        <w:tc>
          <w:tcPr>
            <w:tcW w:w="32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(266 )</w:t>
            </w:r>
          </w:p>
        </w:tc>
        <w:tc>
          <w:tcPr>
            <w:tcW w:w="0" w:type="dxa"/>
            <w:vAlign w:val="bottom"/>
          </w:tcPr>
          <w:p>
            <w:pPr>
              <w:spacing w:after="0"/>
              <w:rPr>
                <w:sz w:val="1"/>
                <w:szCs w:val="1"/>
                <w:color w:val="auto"/>
              </w:rPr>
            </w:pPr>
          </w:p>
        </w:tc>
      </w:tr>
      <w:tr>
        <w:trPr>
          <w:trHeight w:val="263"/>
        </w:trPr>
        <w:tc>
          <w:tcPr>
            <w:tcW w:w="6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Payment on debt from royalty-bearing instrument</w:t>
            </w:r>
          </w:p>
        </w:tc>
        <w:tc>
          <w:tcPr>
            <w:tcW w:w="32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(40,916 )</w:t>
            </w:r>
          </w:p>
        </w:tc>
        <w:tc>
          <w:tcPr>
            <w:tcW w:w="0" w:type="dxa"/>
            <w:vAlign w:val="bottom"/>
          </w:tcPr>
          <w:p>
            <w:pPr>
              <w:spacing w:after="0"/>
              <w:rPr>
                <w:sz w:val="1"/>
                <w:szCs w:val="1"/>
                <w:color w:val="auto"/>
              </w:rPr>
            </w:pPr>
          </w:p>
        </w:tc>
      </w:tr>
      <w:tr>
        <w:trPr>
          <w:trHeight w:val="250"/>
        </w:trPr>
        <w:tc>
          <w:tcPr>
            <w:tcW w:w="6820" w:type="dxa"/>
            <w:vAlign w:val="bottom"/>
          </w:tcPr>
          <w:p>
            <w:pPr>
              <w:ind w:left="180"/>
              <w:spacing w:after="0"/>
              <w:rPr>
                <w:sz w:val="20"/>
                <w:szCs w:val="20"/>
                <w:color w:val="auto"/>
              </w:rPr>
            </w:pPr>
            <w:r>
              <w:rPr>
                <w:rFonts w:ascii="Arial" w:cs="Arial" w:eastAsia="Arial" w:hAnsi="Arial"/>
                <w:sz w:val="18"/>
                <w:szCs w:val="18"/>
                <w:color w:val="auto"/>
              </w:rPr>
              <w:t>Taxes paid related to stock-based awards</w:t>
            </w:r>
          </w:p>
        </w:tc>
        <w:tc>
          <w:tcPr>
            <w:tcW w:w="32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(8,520 )</w:t>
            </w:r>
          </w:p>
        </w:tc>
        <w:tc>
          <w:tcPr>
            <w:tcW w:w="34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(14,828 )</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shd w:val="clear" w:color="auto" w:fill="CFF0FC"/>
          </w:tcPr>
          <w:p>
            <w:pPr>
              <w:ind w:left="5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(4,877 )</w:t>
            </w: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(53,301 )</w:t>
            </w:r>
          </w:p>
        </w:tc>
        <w:tc>
          <w:tcPr>
            <w:tcW w:w="0" w:type="dxa"/>
            <w:vAlign w:val="bottom"/>
          </w:tcPr>
          <w:p>
            <w:pPr>
              <w:spacing w:after="0"/>
              <w:rPr>
                <w:sz w:val="1"/>
                <w:szCs w:val="1"/>
                <w:color w:val="auto"/>
              </w:rPr>
            </w:pPr>
          </w:p>
        </w:tc>
      </w:tr>
      <w:tr>
        <w:trPr>
          <w:trHeight w:val="242"/>
        </w:trPr>
        <w:tc>
          <w:tcPr>
            <w:tcW w:w="68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NET INCREASE (DECREASE) IN CASH AND CASH EQUIVALENTS AND</w:t>
            </w: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2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35,913</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(437,373 )</w:t>
            </w:r>
          </w:p>
        </w:tc>
        <w:tc>
          <w:tcPr>
            <w:tcW w:w="0" w:type="dxa"/>
            <w:vAlign w:val="bottom"/>
          </w:tcPr>
          <w:p>
            <w:pPr>
              <w:spacing w:after="0"/>
              <w:rPr>
                <w:sz w:val="1"/>
                <w:szCs w:val="1"/>
                <w:color w:val="auto"/>
              </w:rPr>
            </w:pPr>
          </w:p>
        </w:tc>
      </w:tr>
      <w:tr>
        <w:trPr>
          <w:trHeight w:val="249"/>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AND RESTRICTED CASH, BEGINNING OF</w:t>
            </w:r>
          </w:p>
        </w:tc>
        <w:tc>
          <w:tcPr>
            <w:tcW w:w="320" w:type="dxa"/>
            <w:vAlign w:val="bottom"/>
            <w:shd w:val="clear" w:color="auto" w:fill="CFF0FC"/>
          </w:tcPr>
          <w:p>
            <w:pPr>
              <w:spacing w:after="0"/>
              <w:rPr>
                <w:sz w:val="21"/>
                <w:szCs w:val="21"/>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190,879</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648,495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PERIOD</w:t>
            </w: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820" w:type="dxa"/>
            <w:vAlign w:val="bottom"/>
          </w:tcPr>
          <w:p>
            <w:pPr>
              <w:spacing w:after="0"/>
              <w:rPr>
                <w:sz w:val="20"/>
                <w:szCs w:val="20"/>
                <w:color w:val="auto"/>
              </w:rPr>
            </w:pPr>
            <w:r>
              <w:rPr>
                <w:rFonts w:ascii="Arial" w:cs="Arial" w:eastAsia="Arial" w:hAnsi="Arial"/>
                <w:sz w:val="18"/>
                <w:szCs w:val="18"/>
                <w:color w:val="auto"/>
              </w:rPr>
              <w:t>CASH AND CASH EQUIVALENTS AND RESTRICTED CASH,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226,792</w:t>
            </w:r>
          </w:p>
        </w:tc>
        <w:tc>
          <w:tcPr>
            <w:tcW w:w="24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211,122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cash flow information:</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20" w:type="dxa"/>
            <w:vAlign w:val="bottom"/>
          </w:tcPr>
          <w:p>
            <w:pPr>
              <w:ind w:left="180"/>
              <w:spacing w:after="0"/>
              <w:rPr>
                <w:sz w:val="20"/>
                <w:szCs w:val="20"/>
                <w:color w:val="auto"/>
              </w:rPr>
            </w:pPr>
            <w:r>
              <w:rPr>
                <w:rFonts w:ascii="Arial" w:cs="Arial" w:eastAsia="Arial" w:hAnsi="Arial"/>
                <w:sz w:val="18"/>
                <w:szCs w:val="18"/>
                <w:color w:val="auto"/>
              </w:rPr>
              <w:t>Cash received (paid) during the year for:</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8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Interest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(1,882 )</w:t>
            </w: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2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3,670</w:t>
            </w:r>
          </w:p>
        </w:tc>
        <w:tc>
          <w:tcPr>
            <w:tcW w:w="2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transactions: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20" w:type="dxa"/>
            <w:vAlign w:val="bottom"/>
          </w:tcPr>
          <w:p>
            <w:pPr>
              <w:ind w:left="360"/>
              <w:spacing w:after="0"/>
              <w:rPr>
                <w:sz w:val="20"/>
                <w:szCs w:val="20"/>
                <w:color w:val="auto"/>
              </w:rPr>
            </w:pPr>
            <w:r>
              <w:rPr>
                <w:rFonts w:ascii="Arial" w:cs="Arial" w:eastAsia="Arial" w:hAnsi="Arial"/>
                <w:sz w:val="18"/>
                <w:szCs w:val="18"/>
                <w:color w:val="auto"/>
              </w:rPr>
              <w:t>Laxdale Milestone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12,000</w:t>
            </w:r>
          </w:p>
        </w:tc>
        <w:tc>
          <w:tcPr>
            <w:tcW w:w="2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-3853815</wp:posOffset>
            </wp:positionV>
            <wp:extent cx="15430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-3853815</wp:posOffset>
            </wp:positionV>
            <wp:extent cx="6858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-3194050</wp:posOffset>
            </wp:positionV>
            <wp:extent cx="15430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-3194050</wp:posOffset>
            </wp:positionV>
            <wp:extent cx="685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-1864995</wp:posOffset>
            </wp:positionV>
            <wp:extent cx="15430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-1864995</wp:posOffset>
            </wp:positionV>
            <wp:extent cx="6858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-1247775</wp:posOffset>
            </wp:positionV>
            <wp:extent cx="15430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-1247775</wp:posOffset>
            </wp:positionV>
            <wp:extent cx="6858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-565150</wp:posOffset>
            </wp:positionV>
            <wp:extent cx="1543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-548005</wp:posOffset>
            </wp:positionV>
            <wp:extent cx="1543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-565150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-548005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64" w:right="89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AMARIN CORPORATION PLC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ordinary shares may also be referred to as “common shares” or “common stock.”</w:t>
      </w:r>
    </w:p>
    <w:p>
      <w:pPr>
        <w:spacing w:after="0" w:line="32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Nature of Business and Basis of Presentation</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Nature of Business</w:t>
      </w:r>
    </w:p>
    <w:p>
      <w:pPr>
        <w:spacing w:after="0" w:line="13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Amarin Corporation plc, or Amarin, or the Company, is a pharmaceutical company focused on the commercialization and development of therapeutics to improve cardiovascular health and reduce cardiovascular risk. Most of the Company’s historical revenue and sales, marketing and administrative activities and costs have been associated with commercial operations in the United States, or U.S. In 2021 the Company began to increase pre-launch commercial activities throughout Europe. As of September 1, 2021, product was made available in Germany and as of October 1, 2021 was included in the country's electronic prescribing system. The Company’s operations outside of the U.S. and Europe are in early stages of development with reliance on third-party commercial partners in select geographies, including China where regulatory approval for the Company’s lead product is being actively sought.</w:t>
      </w:r>
    </w:p>
    <w:p>
      <w:pPr>
        <w:spacing w:after="0" w:line="46"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The Company’s lead product, VASCEPA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(icosapent ethyl), was first approved by the U.S. Food and Drug Administration, or U.S. FDA, in July 2012 for use as an adjunct to diet to reduce triglyceride, or TG, levels in adult patients with severe (</w:t>
      </w:r>
      <w:r>
        <w:rPr>
          <w:rFonts w:ascii="Arial" w:cs="Arial" w:eastAsia="Arial" w:hAnsi="Arial"/>
          <w:sz w:val="17"/>
          <w:szCs w:val="17"/>
          <w:u w:val="single" w:color="auto"/>
          <w:color w:val="auto"/>
        </w:rPr>
        <w:t>&gt;</w:t>
      </w:r>
      <w:r>
        <w:rPr>
          <w:rFonts w:ascii="Arial" w:cs="Arial" w:eastAsia="Arial" w:hAnsi="Arial"/>
          <w:sz w:val="17"/>
          <w:szCs w:val="17"/>
          <w:color w:val="auto"/>
        </w:rPr>
        <w:t>500 mg/dL) hypertriglyceridemia. In January 2013, the Company launched 1-gram size VASCEPA in the U.S. and in October 2016, introduced a smaller 0.5-gram capsule size. On December 13, 2019, the U.S. FDA approved an indication and label expansion for VASCEPA based on the results of the Company’s long-term cardiovascular outcomes trial, REDUCE-IT</w:t>
      </w:r>
      <w:r>
        <w:rPr>
          <w:rFonts w:ascii="Arial" w:cs="Arial" w:eastAsia="Arial" w:hAnsi="Arial"/>
          <w:sz w:val="23"/>
          <w:szCs w:val="23"/>
          <w:color w:val="auto"/>
          <w:vertAlign w:val="superscript"/>
        </w:rPr>
        <w:t>®</w:t>
      </w:r>
      <w:r>
        <w:rPr>
          <w:rFonts w:ascii="Arial" w:cs="Arial" w:eastAsia="Arial" w:hAnsi="Arial"/>
          <w:sz w:val="17"/>
          <w:szCs w:val="17"/>
          <w:color w:val="auto"/>
        </w:rPr>
        <w:t>, or Reduction of Cardiovascular Events with EPA – Intervention Trial. VASCEPA is approved by the U.S. FDA as an adjunct to maximally tolerated statin therapy for reducing persistent cardiovascular risk in select high risk patients. VASCEPA is also available for sale by prescription only in Canada, Lebanon and the United Arab Emirates through collaborations and is also in development in other jurisdictions.</w:t>
      </w:r>
    </w:p>
    <w:p>
      <w:pPr>
        <w:spacing w:after="0" w:line="9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and certain of their affiliates, or, collectively, the Defendants, that declared as invalid several of the Company's patents covering the first FDA-approved use of its drug, for use to reduce severely high triglyceride levels, which is known as the MARINE indication. The Company sought appeals of the Nevada Court judgment up to the United States Supreme Court, but the Company was unsuccessful. Most recently, on June 18, 2021, the Company was notified that its petition for writ of certiorari to the United States Supreme Court was denied.</w:t>
      </w:r>
    </w:p>
    <w:p>
      <w:pPr>
        <w:spacing w:after="0" w:line="68"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auto"/>
        </w:rPr>
        <w:t>On May 22, 2020, Hikma received U.S. FDA approval to market its generic version of VASCEPA for the MARINE indication of VASCEPA. In November 2020, Hikma launched their generic version of VASCEPA on a limited scale. On August 10, 2020, Dr. Reddy's received U.S. FDA approval to market its generic version for the MARINE indication of VASCEPA. In June 2021, Dr. Reddy’s launched its generic version of VASCEPA with labeling that is substantially similar to labeling of the Hikma generic product. On September 11, 2020, Teva Pharmaceuticals USA, Inc’s., or Teva’s, abbreviated new drug application, or ANDA, was approved by the U.S. FDA and on June 30, 2021, Apotex, Inc.'s, or Apotex's, ANDA was approved by the U.S. FDA.</w:t>
      </w:r>
    </w:p>
    <w:p>
      <w:pPr>
        <w:spacing w:after="0" w:line="5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August 2020, the Company announced plans to launch icosapent ethyl under the brand name VAZKEPA, hereinafter along with the U.S. brand name VASCEPA, collectively referred to as VASCEPA, in major markets in Europe through the Company’s new European sales and marketing teams. On January 29, 2021, the Committee for Medicinal Products for Human Use, or CHMP, of the European Medicines Agency, or EMA, adopted a positive opinion, recommending that a marketing authorization be granted to icosapent ethyl in the European Union, or EU, for the reduction of risk of cardiovascular events in patients at high cardiovascular risk. On March 26, 2021, the European Commission, or EC, approved the marketing authorization application for VAZKEPA in the EU to reduce the risk of cardiovascular events in high-risk, statin-treated adult patients who have elevated triglycerides (</w:t>
      </w:r>
      <w:r>
        <w:rPr>
          <w:rFonts w:ascii="Arial" w:cs="Arial" w:eastAsia="Arial" w:hAnsi="Arial"/>
          <w:sz w:val="17"/>
          <w:szCs w:val="17"/>
          <w:u w:val="single" w:color="auto"/>
          <w:color w:val="auto"/>
        </w:rPr>
        <w:t>&gt;</w:t>
      </w:r>
      <w:r>
        <w:rPr>
          <w:rFonts w:ascii="Arial" w:cs="Arial" w:eastAsia="Arial" w:hAnsi="Arial"/>
          <w:sz w:val="17"/>
          <w:szCs w:val="17"/>
          <w:color w:val="auto"/>
        </w:rPr>
        <w:t>150 mg/dL) and either established cardiovascular disease or diabetes and at least one additional cardiovascular risk event. On September 13, 2021, the Company launched VAZKEPA in Germany, representing the Company's first European launch of VAZKEPA. On April 22, 2021, the Company announced that the Medicines and Healthcare Products Regulatory Agency, or MHRA, approved VAZKEPA in England, Scotland and Wales to reduce cardiovascular risk through MHRA’s new ‘reliance’ route following the end of the BREXIT transition period. Collectively CHMP, EMA, EC and MHRA are referred to herein as the European Regulatory Authorities.</w:t>
      </w:r>
    </w:p>
    <w:p>
      <w:pPr>
        <w:spacing w:after="0" w:line="70"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In November 2020, the Company announced topline results from the Phase 3 clinical trial of VASCEPA conducted by the Company’s partner in China. On February 9, 2021, the Company announced that regulatory review processes for approval of VASCEPA in Mainland China and Hong Kong have commenced. The Chinese National Medical Products Administration, or NMPA, has accepted for review the new drug application for VASCEPA based on the results from the Phase 3 clinical trial and the results from the Company’s prior studies of VASCEPA. The Hong Kong Department of Health is evaluating VASCEPA based on current approvals in the United States and Canada.</w:t>
      </w:r>
    </w:p>
    <w:p>
      <w:pPr>
        <w:spacing w:after="0" w:line="83"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color w:val="auto"/>
        </w:rPr>
        <w:t>The Company currently has strategic collaborations to develop and commercialize VASCEPA in select territories outside the United States. Amarin is responsible for supplying VASCEPA to all markets in which the product is sold, including the United States and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7" w:name="page8"/>
    <w:bookmarkEnd w:id="7"/>
    <w:p>
      <w:pPr>
        <w:jc w:val="both"/>
        <w:ind w:right="140"/>
        <w:spacing w:after="0" w:line="279" w:lineRule="auto"/>
        <w:rPr>
          <w:sz w:val="20"/>
          <w:szCs w:val="20"/>
          <w:color w:val="auto"/>
        </w:rPr>
      </w:pPr>
      <w:r>
        <w:rPr>
          <w:rFonts w:ascii="Arial" w:cs="Arial" w:eastAsia="Arial" w:hAnsi="Arial"/>
          <w:sz w:val="18"/>
          <w:szCs w:val="18"/>
          <w:color w:val="auto"/>
        </w:rPr>
        <w:t>Germany, as well as, in Canada, Lebanon and the United Arab Emirates where the drug is promoted and sold via collaboration with third-party companies that compensate Amarin for such supply. Amarin is not responsible for providing any generic company with drug product. The Company operates in one business segment.</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31"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The condensed consolidated financial statements included herein have been prepared by the Company in accordance with accounting principles generally accepted in the United States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or the Form 10-K, filed with the SEC. The balance sheet amounts in this report were derived from the Company’s audited consolidated financial statements included in the Form 10-K.</w:t>
      </w:r>
    </w:p>
    <w:p>
      <w:pPr>
        <w:spacing w:after="0" w:line="73"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U.S. Generally Accepted Accounting Principles, or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and nine months ended September 30, 2021 and 2020 are not necessarily indicative of the results for any future period. Certain numbers presented throughout this document may not add precisely to the totals provided due to rounding. Absolute and percentage changes are calculated using the underlying amounts in thousands. The condensed consolidated financial statements include the accounts of the Company and its wholly-owned subsidiaries. All intercompany accounts and transactions have been eliminated in consolidation.</w:t>
      </w:r>
    </w:p>
    <w:p>
      <w:pPr>
        <w:spacing w:after="0" w:line="70" w:lineRule="exact"/>
        <w:rPr>
          <w:sz w:val="20"/>
          <w:szCs w:val="20"/>
          <w:color w:val="auto"/>
        </w:rPr>
      </w:pPr>
    </w:p>
    <w:p>
      <w:pPr>
        <w:jc w:val="both"/>
        <w:ind w:right="220"/>
        <w:spacing w:after="0" w:line="279" w:lineRule="auto"/>
        <w:rPr>
          <w:sz w:val="20"/>
          <w:szCs w:val="20"/>
          <w:color w:val="auto"/>
        </w:rPr>
      </w:pPr>
      <w:r>
        <w:rPr>
          <w:rFonts w:ascii="Arial" w:cs="Arial" w:eastAsia="Arial" w:hAnsi="Arial"/>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 as well as the current global pandemic, COVID-19.</w:t>
      </w:r>
    </w:p>
    <w:p>
      <w:pPr>
        <w:spacing w:after="0" w:line="75" w:lineRule="exact"/>
        <w:rPr>
          <w:sz w:val="20"/>
          <w:szCs w:val="20"/>
          <w:color w:val="auto"/>
        </w:rPr>
      </w:pPr>
    </w:p>
    <w:p>
      <w:pPr>
        <w:ind w:right="160"/>
        <w:spacing w:after="0" w:line="296" w:lineRule="auto"/>
        <w:rPr>
          <w:sz w:val="20"/>
          <w:szCs w:val="20"/>
          <w:color w:val="auto"/>
        </w:rPr>
      </w:pPr>
      <w:r>
        <w:rPr>
          <w:rFonts w:ascii="Arial" w:cs="Arial" w:eastAsia="Arial" w:hAnsi="Arial"/>
          <w:sz w:val="17"/>
          <w:szCs w:val="17"/>
          <w:color w:val="auto"/>
        </w:rPr>
        <w:t>At September 30, 2021, the Company had Total assets of $1,035.8 million, of which $517.9 million consisted of cash and liquid short-term and long-term investments. More specifically, the Company had Current assets of $963.0 million, including Cash and cash equivalents of $222.9 million, Short-term investments of $256.3 million, Accounts receivable, net, of $149.4 million and Inventory of $309.3 million. In addition, as of September 30, 2021, the Company had Long-term investments of $38.8 million. As of September 30, 2021, the Company had no debt outstanding.</w:t>
      </w:r>
    </w:p>
    <w:p>
      <w:pPr>
        <w:spacing w:after="0" w:line="27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Significant Accounting Policies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In accordance with Accounting Standards Codification, or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or Topic 606, the Company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Note 8—Revenue Recognition.</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Cash and Cash Equivalents and Restricted Cash</w:t>
      </w:r>
    </w:p>
    <w:p>
      <w:pPr>
        <w:spacing w:after="0" w:line="13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Cash and cash equivalents consist of cash, deposits with banks and short-term highly liquid money market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 w:name="page9"/>
    <w:bookmarkEnd w:id="8"/>
    <w:p>
      <w:pPr>
        <w:ind w:left="260"/>
        <w:spacing w:after="0"/>
        <w:rPr>
          <w:sz w:val="20"/>
          <w:szCs w:val="20"/>
          <w:color w:val="auto"/>
        </w:rPr>
      </w:pPr>
      <w:r>
        <w:rPr>
          <w:rFonts w:ascii="Arial" w:cs="Arial" w:eastAsia="Arial" w:hAnsi="Arial"/>
          <w:sz w:val="18"/>
          <w:szCs w:val="18"/>
          <w:b w:val="1"/>
          <w:bCs w:val="1"/>
          <w:i w:val="1"/>
          <w:iCs w:val="1"/>
          <w:u w:val="single" w:color="auto"/>
          <w:color w:val="auto"/>
        </w:rPr>
        <w:t>Accounts Receivable, net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Accounts receivable, net, comprised of trade receivables, are generally due within 30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significant credit losses. All customer accounts are actively managed and no losses in excess of amounts reserved are currently expected; however, the Company is monitoring the potential negative impact of COVID-19 on the Company’s customers’ ability to meet their financial obligations.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impact of accounts receivable reserves on the gross trade accounts receivable balances as of September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8"/>
        </w:trPr>
        <w:tc>
          <w:tcPr>
            <w:tcW w:w="50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7"/>
                <w:szCs w:val="17"/>
                <w:color w:val="auto"/>
              </w:rPr>
            </w:pPr>
          </w:p>
        </w:tc>
        <w:tc>
          <w:tcPr>
            <w:tcW w:w="1100" w:type="dxa"/>
            <w:vAlign w:val="bottom"/>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2020</w:t>
            </w:r>
          </w:p>
        </w:tc>
      </w:tr>
      <w:tr>
        <w:trPr>
          <w:trHeight w:val="25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Gross trade accounts receivable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229,138</w:t>
            </w:r>
          </w:p>
        </w:tc>
        <w:tc>
          <w:tcPr>
            <w:tcW w:w="260" w:type="dxa"/>
            <w:vAlign w:val="bottom"/>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203,875</w:t>
            </w:r>
          </w:p>
        </w:tc>
        <w:tc>
          <w:tcPr>
            <w:tcW w:w="140" w:type="dxa"/>
            <w:vAlign w:val="bottom"/>
            <w:shd w:val="clear" w:color="auto" w:fill="CFF0FC"/>
          </w:tcPr>
          <w:p>
            <w:pPr>
              <w:spacing w:after="0"/>
              <w:rPr>
                <w:sz w:val="21"/>
                <w:szCs w:val="21"/>
                <w:color w:val="auto"/>
              </w:rPr>
            </w:pPr>
          </w:p>
        </w:tc>
      </w:tr>
      <w:tr>
        <w:trPr>
          <w:trHeight w:val="250"/>
        </w:trPr>
        <w:tc>
          <w:tcPr>
            <w:tcW w:w="5040" w:type="dxa"/>
            <w:vAlign w:val="bottom"/>
          </w:tcPr>
          <w:p>
            <w:pPr>
              <w:spacing w:after="0"/>
              <w:rPr>
                <w:sz w:val="20"/>
                <w:szCs w:val="20"/>
                <w:color w:val="auto"/>
              </w:rPr>
            </w:pPr>
            <w:r>
              <w:rPr>
                <w:rFonts w:ascii="Arial" w:cs="Arial" w:eastAsia="Arial" w:hAnsi="Arial"/>
                <w:sz w:val="18"/>
                <w:szCs w:val="18"/>
                <w:color w:val="auto"/>
              </w:rPr>
              <w:t>Trade allowances</w:t>
            </w:r>
          </w:p>
        </w:tc>
        <w:tc>
          <w:tcPr>
            <w:tcW w:w="1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(64,857 )</w:t>
            </w:r>
          </w:p>
        </w:tc>
        <w:tc>
          <w:tcPr>
            <w:tcW w:w="34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(36,242 )</w:t>
            </w:r>
          </w:p>
        </w:tc>
      </w:tr>
      <w:tr>
        <w:trPr>
          <w:trHeight w:val="26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Chargebacks</w:t>
            </w:r>
          </w:p>
        </w:tc>
        <w:tc>
          <w:tcPr>
            <w:tcW w:w="12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(13,975 )</w:t>
            </w:r>
          </w:p>
        </w:tc>
        <w:tc>
          <w:tcPr>
            <w:tcW w:w="34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(12,114 )</w:t>
            </w:r>
          </w:p>
        </w:tc>
      </w:tr>
      <w:tr>
        <w:trPr>
          <w:trHeight w:val="250"/>
        </w:trPr>
        <w:tc>
          <w:tcPr>
            <w:tcW w:w="50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(945 )</w:t>
            </w:r>
          </w:p>
        </w:tc>
        <w:tc>
          <w:tcPr>
            <w:tcW w:w="34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(945 )</w:t>
            </w:r>
          </w:p>
        </w:tc>
      </w:tr>
      <w:tr>
        <w:trPr>
          <w:trHeight w:val="290"/>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149,361</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154,574</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1631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1631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131" w:lineRule="exact"/>
        <w:rPr>
          <w:sz w:val="20"/>
          <w:szCs w:val="20"/>
          <w:color w:val="auto"/>
        </w:rPr>
      </w:pPr>
    </w:p>
    <w:p>
      <w:pPr>
        <w:ind w:right="60"/>
        <w:spacing w:after="0" w:line="308" w:lineRule="auto"/>
        <w:rPr>
          <w:sz w:val="20"/>
          <w:szCs w:val="20"/>
          <w:color w:val="auto"/>
        </w:rPr>
      </w:pPr>
      <w:r>
        <w:rPr>
          <w:rFonts w:ascii="Arial" w:cs="Arial" w:eastAsia="Arial" w:hAnsi="Arial"/>
          <w:sz w:val="16"/>
          <w:szCs w:val="16"/>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active pharmaceutical ingredient, or API.</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 Deferred tax assets and liabilities are classified as non-current in the condensed consolidated balance sheet.</w:t>
      </w:r>
    </w:p>
    <w:p>
      <w:pPr>
        <w:spacing w:after="0" w:line="77"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 as applicable.</w:t>
      </w:r>
    </w:p>
    <w:p>
      <w:pPr>
        <w:spacing w:after="0" w:line="77" w:lineRule="exact"/>
        <w:rPr>
          <w:sz w:val="20"/>
          <w:szCs w:val="20"/>
          <w:color w:val="auto"/>
        </w:rPr>
      </w:pPr>
    </w:p>
    <w:p>
      <w:pPr>
        <w:ind w:right="480"/>
        <w:spacing w:after="0" w:line="279" w:lineRule="auto"/>
        <w:rPr>
          <w:sz w:val="20"/>
          <w:szCs w:val="20"/>
          <w:color w:val="auto"/>
        </w:rPr>
      </w:pPr>
      <w:r>
        <w:rPr>
          <w:rFonts w:ascii="Arial" w:cs="Arial" w:eastAsia="Arial" w:hAnsi="Arial"/>
          <w:sz w:val="18"/>
          <w:szCs w:val="18"/>
          <w:color w:val="auto"/>
        </w:rPr>
        <w:t>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w:t>
      </w:r>
    </w:p>
    <w:p>
      <w:pPr>
        <w:spacing w:after="0" w:line="75" w:lineRule="exact"/>
        <w:rPr>
          <w:sz w:val="20"/>
          <w:szCs w:val="20"/>
          <w:color w:val="auto"/>
        </w:rPr>
      </w:pPr>
    </w:p>
    <w:p>
      <w:pPr>
        <w:ind w:right="240"/>
        <w:spacing w:after="0" w:line="329" w:lineRule="auto"/>
        <w:rPr>
          <w:sz w:val="20"/>
          <w:szCs w:val="20"/>
          <w:color w:val="auto"/>
        </w:rPr>
      </w:pPr>
      <w:r>
        <w:rPr>
          <w:rFonts w:ascii="Arial" w:cs="Arial" w:eastAsia="Arial" w:hAnsi="Arial"/>
          <w:sz w:val="16"/>
          <w:szCs w:val="16"/>
          <w:color w:val="auto"/>
        </w:rPr>
        <w:t>Excess tax benefits and deficiencies that arise upon vesting or exercise of share-based payments are recognized as an income tax benefit and expense, respectively, in the condensed consolidated statement of operations. Excess income tax benefits are classified as cash flows from operating activities and cash paid to taxing authorities arising from the withholding of shares from employees are classified as cash flows from financing activities.</w:t>
      </w:r>
    </w:p>
    <w:p>
      <w:pPr>
        <w:spacing w:after="0" w:line="40"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Company’s and its subsidiaries’ income tax returns are periodically examined by various tax authorities, including the Internal Revenue Service, or IRS, and states. The Company is currently under audit by the IRS for the Company’s 2018 U.S. income tax return and by the New Jersey Department of Treasury for the years 2012 to 2015 and the New York State Department of Taxation and Finance for the years 2017 and 2018. Although the outcome of tax audits is always uncertain and could result in significant cash tax payments, the Company does not believe the outcome of these audits will have a material adverse effect on its consolidated financial position or results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9" w:name="page10"/>
    <w:bookmarkEnd w:id="9"/>
    <w:p>
      <w:pPr>
        <w:ind w:left="20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131"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calculated using the treasury stock method and preferred stock using the “if-converted” method. In periods with reported net operating losses, all common stock options and preferred stock outstanding are deemed anti-dilutive such that basic and diluted net loss per share are equal.</w:t>
      </w:r>
    </w:p>
    <w:p>
      <w:pPr>
        <w:spacing w:after="0" w:line="83" w:lineRule="exact"/>
        <w:rPr>
          <w:sz w:val="20"/>
          <w:szCs w:val="20"/>
          <w:color w:val="auto"/>
        </w:rPr>
      </w:pPr>
    </w:p>
    <w:p>
      <w:pPr>
        <w:spacing w:after="0" w:line="319" w:lineRule="auto"/>
        <w:rPr>
          <w:sz w:val="20"/>
          <w:szCs w:val="20"/>
          <w:color w:val="auto"/>
        </w:rPr>
      </w:pPr>
      <w:r>
        <w:rPr>
          <w:rFonts w:ascii="Arial" w:cs="Arial" w:eastAsia="Arial" w:hAnsi="Arial"/>
          <w:sz w:val="16"/>
          <w:szCs w:val="16"/>
          <w:color w:val="auto"/>
        </w:rPr>
        <w:t>The Company’s preferred stock, of which none is outstanding as of September 30, 2021 and December 31, 2020, was entitled to receive dividends on an as-if-converted basis in the same form as dividends actually paid on common shares. Accordingly, the preferred stock was considered a participating security and the Company was required to apply the two-class method to consider the impact of the preferred stock on the calculation of basic and diluted earnings per share. The Company is in a net loss position for all of the periods presented and is therefore not required to present the two-class method.</w:t>
      </w:r>
    </w:p>
    <w:p>
      <w:pPr>
        <w:spacing w:after="0" w:line="48"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color w:val="auto"/>
        </w:rPr>
        <w:t>The calculation of net loss and the number of shares used to compute basic and diluted net loss per share for the three and nine months ended September 30, 2021 and 2020 are as follows:</w:t>
      </w:r>
    </w:p>
    <w:p>
      <w:pPr>
        <w:spacing w:after="0" w:line="67"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3040" w:type="dxa"/>
            <w:vAlign w:val="bottom"/>
            <w:gridSpan w:val="6"/>
          </w:tcPr>
          <w:p>
            <w:pPr>
              <w:ind w:left="40"/>
              <w:spacing w:after="0"/>
              <w:rPr>
                <w:sz w:val="20"/>
                <w:szCs w:val="20"/>
                <w:color w:val="auto"/>
              </w:rPr>
            </w:pPr>
            <w:r>
              <w:rPr>
                <w:rFonts w:ascii="Arial" w:cs="Arial" w:eastAsia="Arial" w:hAnsi="Arial"/>
                <w:sz w:val="14"/>
                <w:szCs w:val="14"/>
                <w:b w:val="1"/>
                <w:bCs w:val="1"/>
                <w:color w:val="auto"/>
              </w:rPr>
              <w:t>For the Three Months Ended September 30,</w:t>
            </w:r>
          </w:p>
        </w:tc>
        <w:tc>
          <w:tcPr>
            <w:tcW w:w="2780" w:type="dxa"/>
            <w:vAlign w:val="bottom"/>
            <w:gridSpan w:val="6"/>
          </w:tcPr>
          <w:p>
            <w:pPr>
              <w:ind w:left="20"/>
              <w:spacing w:after="0"/>
              <w:rPr>
                <w:sz w:val="20"/>
                <w:szCs w:val="20"/>
                <w:color w:val="auto"/>
              </w:rPr>
            </w:pPr>
            <w:r>
              <w:rPr>
                <w:rFonts w:ascii="Arial" w:cs="Arial" w:eastAsia="Arial" w:hAnsi="Arial"/>
                <w:sz w:val="14"/>
                <w:szCs w:val="14"/>
                <w:b w:val="1"/>
                <w:bCs w:val="1"/>
                <w:color w:val="auto"/>
                <w:w w:val="97"/>
              </w:rPr>
              <w:t>For the Nine Months Ended September 30,</w:t>
            </w:r>
          </w:p>
        </w:tc>
      </w:tr>
      <w:tr>
        <w:trPr>
          <w:trHeight w:val="202"/>
        </w:trPr>
        <w:tc>
          <w:tcPr>
            <w:tcW w:w="42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loss—basic and diluted</w:t>
            </w:r>
          </w:p>
        </w:tc>
        <w:tc>
          <w:tcPr>
            <w:tcW w:w="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(13,151 )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(6,788 )</w:t>
            </w: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(6,969 )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(22,926 )</w:t>
            </w:r>
          </w:p>
        </w:tc>
      </w:tr>
      <w:tr>
        <w:trPr>
          <w:trHeight w:val="250"/>
        </w:trPr>
        <w:tc>
          <w:tcPr>
            <w:tcW w:w="4280" w:type="dxa"/>
            <w:vAlign w:val="bottom"/>
          </w:tcPr>
          <w:p>
            <w:pPr>
              <w:spacing w:after="0"/>
              <w:rPr>
                <w:sz w:val="20"/>
                <w:szCs w:val="20"/>
                <w:color w:val="auto"/>
              </w:rPr>
            </w:pPr>
            <w:r>
              <w:rPr>
                <w:rFonts w:ascii="Arial" w:cs="Arial" w:eastAsia="Arial" w:hAnsi="Arial"/>
                <w:sz w:val="18"/>
                <w:szCs w:val="18"/>
                <w:color w:val="auto"/>
                <w:w w:val="93"/>
              </w:rPr>
              <w:t>Weighted average shares outstanding—basic and diluted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396,618</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389,699</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395,681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378,770</w:t>
            </w:r>
          </w:p>
        </w:tc>
        <w:tc>
          <w:tcPr>
            <w:tcW w:w="100" w:type="dxa"/>
            <w:vAlign w:val="bottom"/>
          </w:tcPr>
          <w:p>
            <w:pPr>
              <w:spacing w:after="0"/>
              <w:rPr>
                <w:sz w:val="21"/>
                <w:szCs w:val="21"/>
                <w:color w:val="auto"/>
              </w:rPr>
            </w:pPr>
          </w:p>
        </w:tc>
      </w:tr>
      <w:tr>
        <w:trPr>
          <w:trHeight w:val="26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share—basic and diluted</w:t>
            </w:r>
          </w:p>
        </w:tc>
        <w:tc>
          <w:tcPr>
            <w:tcW w:w="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(0.03 )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(0.02 )</w:t>
            </w: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(0.02 )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(0.06 )</w:t>
            </w:r>
          </w:p>
        </w:tc>
      </w:tr>
    </w:tbl>
    <w:p>
      <w:pPr>
        <w:spacing w:after="0" w:line="337" w:lineRule="exact"/>
        <w:rPr>
          <w:sz w:val="20"/>
          <w:szCs w:val="20"/>
          <w:color w:val="auto"/>
        </w:rPr>
      </w:pPr>
    </w:p>
    <w:p>
      <w:pPr>
        <w:ind w:right="20"/>
        <w:spacing w:after="0" w:line="359" w:lineRule="auto"/>
        <w:rPr>
          <w:sz w:val="20"/>
          <w:szCs w:val="20"/>
          <w:color w:val="auto"/>
        </w:rPr>
      </w:pPr>
      <w:r>
        <w:rPr>
          <w:rFonts w:ascii="Arial" w:cs="Arial" w:eastAsia="Arial" w:hAnsi="Arial"/>
          <w:sz w:val="16"/>
          <w:szCs w:val="16"/>
          <w:color w:val="auto"/>
        </w:rPr>
        <w:t>For the three and nine months ended September 30, 2021 and 2020, the following potentially dilutive securities were not included in the computation of net loss per share because the effect would be anti-dilutive or because performance criteria were not yet met for awards contingent upon such measures:</w:t>
      </w:r>
    </w:p>
    <w:p>
      <w:pPr>
        <w:spacing w:after="0" w:line="143"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3320" w:type="dxa"/>
            <w:vAlign w:val="bottom"/>
          </w:tcPr>
          <w:p>
            <w:pPr>
              <w:spacing w:after="0"/>
              <w:rPr>
                <w:sz w:val="15"/>
                <w:szCs w:val="15"/>
                <w:color w:val="auto"/>
              </w:rPr>
            </w:pPr>
          </w:p>
        </w:tc>
        <w:tc>
          <w:tcPr>
            <w:tcW w:w="2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For the Three Months Ended</w:t>
            </w:r>
          </w:p>
        </w:tc>
        <w:tc>
          <w:tcPr>
            <w:tcW w:w="240" w:type="dxa"/>
            <w:vAlign w:val="bottom"/>
          </w:tcPr>
          <w:p>
            <w:pPr>
              <w:spacing w:after="0"/>
              <w:rPr>
                <w:sz w:val="15"/>
                <w:szCs w:val="15"/>
                <w:color w:val="auto"/>
              </w:rPr>
            </w:pPr>
          </w:p>
        </w:tc>
        <w:tc>
          <w:tcPr>
            <w:tcW w:w="204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For the Nine Months Ended</w:t>
            </w:r>
          </w:p>
        </w:tc>
        <w:tc>
          <w:tcPr>
            <w:tcW w:w="120" w:type="dxa"/>
            <w:vAlign w:val="bottom"/>
          </w:tcPr>
          <w:p>
            <w:pPr>
              <w:spacing w:after="0"/>
              <w:rPr>
                <w:sz w:val="15"/>
                <w:szCs w:val="15"/>
                <w:color w:val="auto"/>
              </w:rPr>
            </w:pPr>
          </w:p>
        </w:tc>
      </w:tr>
      <w:tr>
        <w:trPr>
          <w:trHeight w:val="192"/>
        </w:trPr>
        <w:tc>
          <w:tcPr>
            <w:tcW w:w="3320" w:type="dxa"/>
            <w:vAlign w:val="bottom"/>
          </w:tcPr>
          <w:p>
            <w:pPr>
              <w:spacing w:after="0"/>
              <w:rPr>
                <w:sz w:val="16"/>
                <w:szCs w:val="16"/>
                <w:color w:val="auto"/>
              </w:rPr>
            </w:pPr>
          </w:p>
        </w:tc>
        <w:tc>
          <w:tcPr>
            <w:tcW w:w="1520" w:type="dxa"/>
            <w:vAlign w:val="bottom"/>
            <w:tcBorders>
              <w:bottom w:val="single" w:sz="8" w:color="auto"/>
            </w:tcBorders>
            <w:gridSpan w:val="3"/>
          </w:tcPr>
          <w:p>
            <w:pPr>
              <w:jc w:val="center"/>
              <w:ind w:left="559"/>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r>
      <w:tr>
        <w:trPr>
          <w:trHeight w:val="202"/>
        </w:trPr>
        <w:tc>
          <w:tcPr>
            <w:tcW w:w="33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7"/>
                <w:szCs w:val="17"/>
                <w:color w:val="auto"/>
              </w:rPr>
            </w:pPr>
          </w:p>
        </w:tc>
        <w:tc>
          <w:tcPr>
            <w:tcW w:w="9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196"/>
        </w:trPr>
        <w:tc>
          <w:tcPr>
            <w:tcW w:w="3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11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r>
      <w:tr>
        <w:trPr>
          <w:trHeight w:val="257"/>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19,146</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17,479</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19,146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17,479</w:t>
            </w:r>
          </w:p>
        </w:tc>
        <w:tc>
          <w:tcPr>
            <w:tcW w:w="120" w:type="dxa"/>
            <w:vAlign w:val="bottom"/>
            <w:shd w:val="clear" w:color="auto" w:fill="CFF0FC"/>
          </w:tcPr>
          <w:p>
            <w:pPr>
              <w:spacing w:after="0"/>
              <w:rPr>
                <w:sz w:val="22"/>
                <w:szCs w:val="22"/>
                <w:color w:val="auto"/>
              </w:rPr>
            </w:pPr>
          </w:p>
        </w:tc>
      </w:tr>
      <w:tr>
        <w:trPr>
          <w:trHeight w:val="250"/>
        </w:trPr>
        <w:tc>
          <w:tcPr>
            <w:tcW w:w="3320" w:type="dxa"/>
            <w:vAlign w:val="bottom"/>
          </w:tcPr>
          <w:p>
            <w:pPr>
              <w:spacing w:after="0"/>
              <w:rPr>
                <w:sz w:val="20"/>
                <w:szCs w:val="20"/>
                <w:color w:val="auto"/>
              </w:rPr>
            </w:pPr>
            <w:r>
              <w:rPr>
                <w:rFonts w:ascii="Arial" w:cs="Arial" w:eastAsia="Arial" w:hAnsi="Arial"/>
                <w:sz w:val="18"/>
                <w:szCs w:val="18"/>
                <w:color w:val="auto"/>
                <w:w w:val="99"/>
              </w:rPr>
              <w:t>Restricted stock and restricted stock units</w:t>
            </w:r>
          </w:p>
        </w:tc>
        <w:tc>
          <w:tcPr>
            <w:tcW w:w="960" w:type="dxa"/>
            <w:vAlign w:val="bottom"/>
          </w:tcPr>
          <w:p>
            <w:pPr>
              <w:jc w:val="right"/>
              <w:spacing w:after="0"/>
              <w:rPr>
                <w:sz w:val="20"/>
                <w:szCs w:val="20"/>
                <w:color w:val="auto"/>
              </w:rPr>
            </w:pPr>
            <w:r>
              <w:rPr>
                <w:rFonts w:ascii="Arial" w:cs="Arial" w:eastAsia="Arial" w:hAnsi="Arial"/>
                <w:sz w:val="18"/>
                <w:szCs w:val="18"/>
                <w:color w:val="auto"/>
              </w:rPr>
              <w:t>10,307</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7,727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10,307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7,727</w:t>
            </w:r>
          </w:p>
        </w:tc>
        <w:tc>
          <w:tcPr>
            <w:tcW w:w="120" w:type="dxa"/>
            <w:vAlign w:val="bottom"/>
          </w:tcPr>
          <w:p>
            <w:pPr>
              <w:spacing w:after="0"/>
              <w:rPr>
                <w:sz w:val="21"/>
                <w:szCs w:val="21"/>
                <w:color w:val="auto"/>
              </w:rPr>
            </w:pPr>
          </w:p>
        </w:tc>
      </w:tr>
      <w:tr>
        <w:trPr>
          <w:trHeight w:val="263"/>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(if converted)</w:t>
            </w:r>
          </w:p>
        </w:tc>
        <w:tc>
          <w:tcPr>
            <w:tcW w:w="1520" w:type="dxa"/>
            <w:vAlign w:val="bottom"/>
            <w:gridSpan w:val="3"/>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2,385</w:t>
            </w:r>
          </w:p>
        </w:tc>
        <w:tc>
          <w:tcPr>
            <w:tcW w:w="120" w:type="dxa"/>
            <w:vAlign w:val="bottom"/>
            <w:shd w:val="clear" w:color="auto" w:fill="CFF0FC"/>
          </w:tcPr>
          <w:p>
            <w:pPr>
              <w:spacing w:after="0"/>
              <w:rPr>
                <w:sz w:val="22"/>
                <w:szCs w:val="22"/>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Stock options are anti-dilutive during periods of net earnings when the exercise price of the stock options exceeds the market price of the underlying shares on the last day of the reporting period. Restricted stock and restricted stock units are anti-dilutive during periods of net earnings when underlying performance-based vesting requirements were not achieved as of the last day of the reporting period.</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short-term and long-term investments, and accounts receivable. The Company maintains substantially all of its cash and cash equivalents and short-term and long-term investments, in financial institutions believed to be of high-credit quality.</w:t>
      </w:r>
    </w:p>
    <w:p>
      <w:pPr>
        <w:spacing w:after="0" w:line="7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27%, 37%, and 28%, respectively, of gross product sales for the nine months ended September 30, 2021, and represented 34%, 37%, and 21%, respectively, of the gross accounts receivable balance as of September 30, 2021. Customers A, B, and C accounted for 25%, 37%, and 30%, respectively, of gross product sales for the nine months ended September 30, 2020 and represented 37%, 32%, and 25%, respectively, of the gross accounts receivable balance as of September 30, 2020. The Company has not experienced any significant write-offs of its accounts receivable. All customer accounts are actively managed and no losses in excess of amounts reserved are currently expected; however, the Company is monitoring the potential negative impact of COVID-19 on the Company’s customers’ ability to meet their financial obligations.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 w:name="page11"/>
    <w:bookmarkEnd w:id="10"/>
    <w:p>
      <w:pPr>
        <w:ind w:left="260"/>
        <w:spacing w:after="0"/>
        <w:rPr>
          <w:sz w:val="20"/>
          <w:szCs w:val="20"/>
          <w:color w:val="auto"/>
        </w:rPr>
      </w:pPr>
      <w:r>
        <w:rPr>
          <w:rFonts w:ascii="Arial" w:cs="Arial" w:eastAsia="Arial" w:hAnsi="Arial"/>
          <w:sz w:val="18"/>
          <w:szCs w:val="18"/>
          <w:b w:val="1"/>
          <w:bCs w:val="1"/>
          <w:i w:val="1"/>
          <w:iCs w:val="1"/>
          <w:u w:val="single" w:color="auto"/>
          <w:color w:val="auto"/>
        </w:rPr>
        <w:t>Concentration of Suppliers</w:t>
      </w:r>
    </w:p>
    <w:p>
      <w:pPr>
        <w:spacing w:after="0" w:line="131" w:lineRule="exact"/>
        <w:rPr>
          <w:sz w:val="20"/>
          <w:szCs w:val="20"/>
          <w:color w:val="auto"/>
        </w:rPr>
      </w:pPr>
    </w:p>
    <w:p>
      <w:pPr>
        <w:ind w:right="200"/>
        <w:spacing w:after="0" w:line="279" w:lineRule="auto"/>
        <w:rPr>
          <w:sz w:val="20"/>
          <w:szCs w:val="20"/>
          <w:color w:val="auto"/>
        </w:rPr>
      </w:pPr>
      <w:r>
        <w:rPr>
          <w:rFonts w:ascii="Arial" w:cs="Arial" w:eastAsia="Arial" w:hAnsi="Arial"/>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75"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disruption or termination of the Company’s current supply chain, including as a result of COVID-19, or the Company’s failure to enter into new and similar agreements in a timely fashion, if needed, could have a material adverse effect on its business, condition (financial and other), prospects or results of operations.</w:t>
      </w:r>
    </w:p>
    <w:p>
      <w:pPr>
        <w:spacing w:after="0" w:line="62"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color w:val="auto"/>
        </w:rPr>
        <w:t>The Company currently has manufacturing agreements with multiple independent API manufacturers and several independent API encapsulators and packagers for VASCEPA manufacturing. Each of these API manufacturers, encapsulators and packagers is U.S. FDA-approved and certain of these API manufacturers, encapsulators and packagers are also approved for the European Regulatory Authorities for the VAZKEPA manufacturing in Europe, with plans to expand such qualification in Europe to others of these suppliers. These suppliers are also used by the Company to source supply to meet the clinical trial and commercial demands of its partners in other countries. Each of these companies has qualified and validated its manufacturing processes. There can be no guarantee that these or other suppliers with which the Company may contract in the future to manufacture VASCEPA or VASCEPA API will remain qualified to do so to its specifications or that these and any future suppliers will have the manufacturing capacity to meet potential global demand for VASCEPA.</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131" w:lineRule="exact"/>
        <w:rPr>
          <w:sz w:val="20"/>
          <w:szCs w:val="20"/>
          <w:color w:val="auto"/>
        </w:rPr>
      </w:pPr>
    </w:p>
    <w:p>
      <w:pPr>
        <w:ind w:right="180"/>
        <w:spacing w:after="0" w:line="329"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40" w:lineRule="exact"/>
        <w:rPr>
          <w:sz w:val="20"/>
          <w:szCs w:val="20"/>
          <w:color w:val="auto"/>
        </w:rPr>
      </w:pPr>
    </w:p>
    <w:p>
      <w:pPr>
        <w:ind w:right="880"/>
        <w:spacing w:after="0" w:line="293"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62" w:lineRule="exact"/>
        <w:rPr>
          <w:sz w:val="20"/>
          <w:szCs w:val="20"/>
          <w:color w:val="auto"/>
        </w:rPr>
      </w:pPr>
    </w:p>
    <w:p>
      <w:pPr>
        <w:ind w:right="20"/>
        <w:spacing w:after="0" w:line="303" w:lineRule="auto"/>
        <w:rPr>
          <w:sz w:val="20"/>
          <w:szCs w:val="20"/>
          <w:color w:val="auto"/>
        </w:rPr>
      </w:pPr>
      <w:r>
        <w:rPr>
          <w:rFonts w:ascii="Arial" w:cs="Arial" w:eastAsia="Arial" w:hAnsi="Arial"/>
          <w:sz w:val="17"/>
          <w:szCs w:val="17"/>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Level 3—Unobservable inputs that reflect the Company’s estimates of the assumptions that market participants would use in pricing the asset or liability.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develops these inputs based on the best information available, including its own data.</w:t>
      </w:r>
    </w:p>
    <w:p>
      <w:pPr>
        <w:spacing w:after="0" w:line="130"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The following tables present information about the estimated fair value of the Company’s assets and liabilities as of September 30, 2021 and December 31, 2020 and indicate the fair value hierarchy of the valuation techniques the Company utilized to determine such fair value: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2021</w:t>
            </w: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02"/>
        </w:trPr>
        <w:tc>
          <w:tcPr>
            <w:tcW w:w="58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50"/>
        </w:trPr>
        <w:tc>
          <w:tcPr>
            <w:tcW w:w="580" w:type="dxa"/>
            <w:vAlign w:val="bottom"/>
          </w:tcPr>
          <w:p>
            <w:pPr>
              <w:spacing w:after="0"/>
              <w:rPr>
                <w:sz w:val="21"/>
                <w:szCs w:val="21"/>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Money Market Fund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116,456</w:t>
            </w: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116,456</w:t>
            </w:r>
          </w:p>
        </w:tc>
        <w:tc>
          <w:tcPr>
            <w:tcW w:w="7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ind w:left="9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U.S. Treasury Shares</w:t>
            </w: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22,214</w:t>
            </w: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22,214</w:t>
            </w:r>
          </w:p>
        </w:tc>
        <w:tc>
          <w:tcPr>
            <w:tcW w:w="2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Corporate Bonds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95,771</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95,771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ind w:left="9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126,832</w:t>
            </w: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126,832</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Agency Securities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6,748</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6,748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ind w:left="9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Repo Securities</w:t>
            </w: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w:t>
            </w: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Asset Backed Securities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9,895</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9,895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ind w:left="9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w:t>
            </w: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21,575</w:t>
            </w: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21,575</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6"/>
        </w:trPr>
        <w:tc>
          <w:tcPr>
            <w:tcW w:w="580" w:type="dxa"/>
            <w:vAlign w:val="bottom"/>
          </w:tcPr>
          <w:p>
            <w:pPr>
              <w:spacing w:after="0"/>
              <w:rPr>
                <w:sz w:val="22"/>
                <w:szCs w:val="22"/>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Non-US Government</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11,523</w:t>
            </w:r>
          </w:p>
        </w:tc>
        <w:tc>
          <w:tcPr>
            <w:tcW w:w="2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11,523</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90"/>
        </w:trPr>
        <w:tc>
          <w:tcPr>
            <w:tcW w:w="580" w:type="dxa"/>
            <w:vAlign w:val="bottom"/>
          </w:tcPr>
          <w:p>
            <w:pPr>
              <w:spacing w:after="0"/>
              <w:rPr>
                <w:sz w:val="24"/>
                <w:szCs w:val="24"/>
                <w:color w:val="auto"/>
              </w:rPr>
            </w:pPr>
          </w:p>
        </w:tc>
        <w:tc>
          <w:tcPr>
            <w:tcW w:w="3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420,014</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center"/>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138,670</w:t>
            </w:r>
          </w:p>
        </w:tc>
        <w:tc>
          <w:tcPr>
            <w:tcW w:w="2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281,344</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439"/>
        </w:trPr>
        <w:tc>
          <w:tcPr>
            <w:tcW w:w="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w w:val="89"/>
              </w:rPr>
              <w:t>11</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1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-393700</wp:posOffset>
            </wp:positionV>
            <wp:extent cx="1631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-376555</wp:posOffset>
            </wp:positionV>
            <wp:extent cx="1631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-393700</wp:posOffset>
            </wp:positionV>
            <wp:extent cx="1454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-376555</wp:posOffset>
            </wp:positionV>
            <wp:extent cx="1454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-393700</wp:posOffset>
            </wp:positionV>
            <wp:extent cx="1454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-376555</wp:posOffset>
            </wp:positionV>
            <wp:extent cx="1454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-393700</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-376555</wp:posOffset>
            </wp:positionV>
            <wp:extent cx="514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1" w:name="page12"/>
    <w:bookmarkEnd w:id="11"/>
    <w:tbl>
      <w:tblPr>
        <w:tblLayout w:type="fixed"/>
        <w:tblInd w:w="58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December 31, 2020</w:t>
            </w: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31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7"/>
                <w:szCs w:val="17"/>
                <w:color w:val="auto"/>
              </w:rPr>
            </w:pPr>
          </w:p>
        </w:tc>
      </w:tr>
      <w:tr>
        <w:trPr>
          <w:trHeight w:val="243"/>
        </w:trPr>
        <w:tc>
          <w:tcPr>
            <w:tcW w:w="3160" w:type="dxa"/>
            <w:vAlign w:val="bottom"/>
          </w:tcPr>
          <w:p>
            <w:pPr>
              <w:spacing w:after="0"/>
              <w:rPr>
                <w:sz w:val="20"/>
                <w:szCs w:val="20"/>
                <w:color w:val="auto"/>
              </w:rPr>
            </w:pPr>
            <w:r>
              <w:rPr>
                <w:rFonts w:ascii="Arial" w:cs="Arial" w:eastAsia="Arial" w:hAnsi="Arial"/>
                <w:sz w:val="18"/>
                <w:szCs w:val="18"/>
                <w:b w:val="1"/>
                <w:bCs w:val="1"/>
                <w:color w:val="auto"/>
              </w:rPr>
              <w:t>Asset:</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88,266</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88,266</w:t>
            </w:r>
          </w:p>
        </w:tc>
        <w:tc>
          <w:tcPr>
            <w:tcW w:w="7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2"/>
                <w:szCs w:val="22"/>
                <w:color w:val="auto"/>
              </w:rPr>
            </w:pPr>
          </w:p>
        </w:tc>
      </w:tr>
      <w:tr>
        <w:trPr>
          <w:trHeight w:val="250"/>
        </w:trPr>
        <w:tc>
          <w:tcPr>
            <w:tcW w:w="3160" w:type="dxa"/>
            <w:vAlign w:val="bottom"/>
          </w:tcPr>
          <w:p>
            <w:pPr>
              <w:spacing w:after="0"/>
              <w:rPr>
                <w:sz w:val="20"/>
                <w:szCs w:val="20"/>
                <w:color w:val="auto"/>
              </w:rPr>
            </w:pPr>
            <w:r>
              <w:rPr>
                <w:rFonts w:ascii="Arial" w:cs="Arial" w:eastAsia="Arial" w:hAnsi="Arial"/>
                <w:sz w:val="18"/>
                <w:szCs w:val="18"/>
                <w:color w:val="auto"/>
              </w:rPr>
              <w:t>U.S. Treasury Shares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48,356</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48,356</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r>
      <w:tr>
        <w:trPr>
          <w:trHeight w:val="263"/>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179,864</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179,864</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2"/>
                <w:szCs w:val="22"/>
                <w:color w:val="auto"/>
              </w:rPr>
            </w:pPr>
          </w:p>
        </w:tc>
      </w:tr>
      <w:tr>
        <w:trPr>
          <w:trHeight w:val="250"/>
        </w:trPr>
        <w:tc>
          <w:tcPr>
            <w:tcW w:w="3160" w:type="dxa"/>
            <w:vAlign w:val="bottom"/>
          </w:tcPr>
          <w:p>
            <w:pPr>
              <w:spacing w:after="0"/>
              <w:rPr>
                <w:sz w:val="20"/>
                <w:szCs w:val="20"/>
                <w:color w:val="auto"/>
              </w:rPr>
            </w:pPr>
            <w:r>
              <w:rPr>
                <w:rFonts w:ascii="Arial" w:cs="Arial" w:eastAsia="Arial" w:hAnsi="Arial"/>
                <w:sz w:val="18"/>
                <w:szCs w:val="18"/>
                <w:color w:val="auto"/>
              </w:rPr>
              <w:t>Commercial Paper</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106,650</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106,650</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r>
      <w:tr>
        <w:trPr>
          <w:trHeight w:val="263"/>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Agency Securities</w:t>
            </w: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20,782</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20,782</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2"/>
                <w:szCs w:val="22"/>
                <w:color w:val="auto"/>
              </w:rPr>
            </w:pPr>
          </w:p>
        </w:tc>
      </w:tr>
      <w:tr>
        <w:trPr>
          <w:trHeight w:val="250"/>
        </w:trPr>
        <w:tc>
          <w:tcPr>
            <w:tcW w:w="3160" w:type="dxa"/>
            <w:vAlign w:val="bottom"/>
          </w:tcPr>
          <w:p>
            <w:pPr>
              <w:spacing w:after="0"/>
              <w:rPr>
                <w:sz w:val="20"/>
                <w:szCs w:val="20"/>
                <w:color w:val="auto"/>
              </w:rPr>
            </w:pPr>
            <w:r>
              <w:rPr>
                <w:rFonts w:ascii="Arial" w:cs="Arial" w:eastAsia="Arial" w:hAnsi="Arial"/>
                <w:sz w:val="18"/>
                <w:szCs w:val="18"/>
                <w:color w:val="auto"/>
              </w:rPr>
              <w:t>Repo Securities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r>
      <w:tr>
        <w:trPr>
          <w:trHeight w:val="263"/>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Asset Backed Securities</w:t>
            </w: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8,599</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8,599</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2"/>
                <w:szCs w:val="22"/>
                <w:color w:val="auto"/>
              </w:rPr>
            </w:pPr>
          </w:p>
        </w:tc>
      </w:tr>
      <w:tr>
        <w:trPr>
          <w:trHeight w:val="250"/>
        </w:trPr>
        <w:tc>
          <w:tcPr>
            <w:tcW w:w="3160" w:type="dxa"/>
            <w:vAlign w:val="bottom"/>
          </w:tcPr>
          <w:p>
            <w:pPr>
              <w:spacing w:after="0"/>
              <w:rPr>
                <w:sz w:val="20"/>
                <w:szCs w:val="20"/>
                <w:color w:val="auto"/>
              </w:rPr>
            </w:pPr>
            <w:r>
              <w:rPr>
                <w:rFonts w:ascii="Arial" w:cs="Arial" w:eastAsia="Arial" w:hAnsi="Arial"/>
                <w:sz w:val="18"/>
                <w:szCs w:val="18"/>
                <w:color w:val="auto"/>
              </w:rPr>
              <w:t>Certificate of Deposit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6,125</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6,125</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r>
      <w:tr>
        <w:trPr>
          <w:trHeight w:val="263"/>
        </w:trPr>
        <w:tc>
          <w:tcPr>
            <w:tcW w:w="3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Non-US Government</w:t>
            </w:r>
          </w:p>
        </w:tc>
        <w:tc>
          <w:tcPr>
            <w:tcW w:w="36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5,240</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5,240</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31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473,882</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136,622</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337,260</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r>
      <w:tr>
        <w:trPr>
          <w:trHeight w:val="20"/>
        </w:trPr>
        <w:tc>
          <w:tcPr>
            <w:tcW w:w="3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-193675</wp:posOffset>
            </wp:positionV>
            <wp:extent cx="16256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-193675</wp:posOffset>
            </wp:positionV>
            <wp:extent cx="16256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-193675</wp:posOffset>
            </wp:positionV>
            <wp:extent cx="15430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-193675</wp:posOffset>
            </wp:positionV>
            <wp:extent cx="5143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31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carrying amount of the Company’s cash and cash equivalents approximates fair value because of their short-term nature. The cash and cash equivalents consist of cash, deposits with banks and short-term highly liquid money market instruments with remaining maturities at the date of the purchase of 90 days or less.</w:t>
      </w:r>
    </w:p>
    <w:p>
      <w:pPr>
        <w:spacing w:after="0" w:line="75"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The Company’s held-to-maturity investments are stated at amortized cost, which approximates fair value. The Company does not intend to sell these investment securities and the contractual maturities are not greater than 24 months. Those with maturities greater than 90 days and less than 12 months are included in short-term investments on its condensed consolidated balance sheet. Those with remaining maturities in excess of 12 months are included in long-term investments on its condensed consolidated balance sheet.</w:t>
      </w:r>
    </w:p>
    <w:p>
      <w:pPr>
        <w:spacing w:after="0" w:line="77"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Unrealized gains or losses on held-to-maturity securities are not recognized until maturity, except other-than-temporary unrealized losses which are recognized in earnings in the period incurred. The Company evaluates securities with unrealized losses to determine whether such losses are other than temporary. The unrealized gain for the nine months ended September 30, 2021 and 2020 was $0.1 million and $0.9 million, respectively. Interest on investments is reported in interest income.</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131" w:lineRule="exact"/>
        <w:rPr>
          <w:sz w:val="20"/>
          <w:szCs w:val="20"/>
          <w:color w:val="auto"/>
        </w:rPr>
      </w:pPr>
    </w:p>
    <w:p>
      <w:pPr>
        <w:ind w:right="120"/>
        <w:spacing w:after="0" w:line="292"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Restructuring</w:t>
      </w:r>
    </w:p>
    <w:p>
      <w:pPr>
        <w:spacing w:after="0" w:line="13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On September 22, 2021, the Company announced a new Go-to-Market strategy for VASCEPA, or the Plan, which aims to expand healthcare professional engagement through a new omnichannel platform, enhance managed care access and optimize VASCEPA prescriptions for cardiovascular risk reduction. As part of the process, the Company reduced its field force to approximately 300 sales representatives and completed this reduction during the three months ended September 30, 2021. The Company estimates that it will incur approximately $14.1 million in charges related to the reduction in force, substantially all of which are cash expenditures for one-time termination benefits and associated costs. During the three and nine months ended September 30, 2021 the Company recognized approximately $14.1 million within Restructuring expense in the condensed consolidated statements of operations.</w:t>
      </w:r>
    </w:p>
    <w:p>
      <w:pPr>
        <w:spacing w:after="0" w:line="55"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color w:val="auto"/>
        </w:rPr>
        <w:t>The following table shows the change in restructuring liability, associated with the Plan, which is included within accrued expenses and other current liabilities:</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98"/>
        </w:trPr>
        <w:tc>
          <w:tcPr>
            <w:tcW w:w="57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76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tcPr>
          <w:p>
            <w:pPr>
              <w:jc w:val="right"/>
              <w:ind w:right="1293"/>
              <w:spacing w:after="0"/>
              <w:rPr>
                <w:sz w:val="20"/>
                <w:szCs w:val="20"/>
                <w:color w:val="auto"/>
              </w:rPr>
            </w:pPr>
            <w:r>
              <w:rPr>
                <w:rFonts w:ascii="Arial" w:cs="Arial" w:eastAsia="Arial" w:hAnsi="Arial"/>
                <w:sz w:val="14"/>
                <w:szCs w:val="14"/>
                <w:b w:val="1"/>
                <w:bCs w:val="1"/>
                <w:color w:val="auto"/>
              </w:rPr>
              <w:t>Restructuring Liability</w:t>
            </w:r>
          </w:p>
        </w:tc>
        <w:tc>
          <w:tcPr>
            <w:tcW w:w="120" w:type="dxa"/>
            <w:vAlign w:val="bottom"/>
          </w:tcPr>
          <w:p>
            <w:pPr>
              <w:spacing w:after="0"/>
              <w:rPr>
                <w:sz w:val="17"/>
                <w:szCs w:val="17"/>
                <w:color w:val="auto"/>
              </w:rPr>
            </w:pPr>
          </w:p>
        </w:tc>
      </w:tr>
      <w:tr>
        <w:trPr>
          <w:trHeight w:val="25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76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3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5780" w:type="dxa"/>
            <w:vAlign w:val="bottom"/>
          </w:tcPr>
          <w:p>
            <w:pPr>
              <w:ind w:left="140"/>
              <w:spacing w:after="0"/>
              <w:rPr>
                <w:sz w:val="20"/>
                <w:szCs w:val="20"/>
                <w:color w:val="auto"/>
              </w:rPr>
            </w:pPr>
            <w:r>
              <w:rPr>
                <w:rFonts w:ascii="Arial" w:cs="Arial" w:eastAsia="Arial" w:hAnsi="Arial"/>
                <w:sz w:val="18"/>
                <w:szCs w:val="18"/>
                <w:color w:val="auto"/>
              </w:rPr>
              <w:t>Costs incurred</w:t>
            </w:r>
          </w:p>
        </w:tc>
        <w:tc>
          <w:tcPr>
            <w:tcW w:w="760" w:type="dxa"/>
            <w:vAlign w:val="bottom"/>
          </w:tcPr>
          <w:p>
            <w:pPr>
              <w:spacing w:after="0"/>
              <w:rPr>
                <w:sz w:val="21"/>
                <w:szCs w:val="21"/>
                <w:color w:val="auto"/>
              </w:rPr>
            </w:pPr>
          </w:p>
        </w:tc>
        <w:tc>
          <w:tcPr>
            <w:tcW w:w="3440" w:type="dxa"/>
            <w:vAlign w:val="bottom"/>
          </w:tcPr>
          <w:p>
            <w:pPr>
              <w:jc w:val="right"/>
              <w:spacing w:after="0"/>
              <w:rPr>
                <w:sz w:val="20"/>
                <w:szCs w:val="20"/>
                <w:color w:val="auto"/>
              </w:rPr>
            </w:pPr>
            <w:r>
              <w:rPr>
                <w:rFonts w:ascii="Arial" w:cs="Arial" w:eastAsia="Arial" w:hAnsi="Arial"/>
                <w:sz w:val="18"/>
                <w:szCs w:val="18"/>
                <w:color w:val="auto"/>
              </w:rPr>
              <w:t>14,115</w:t>
            </w:r>
          </w:p>
        </w:tc>
        <w:tc>
          <w:tcPr>
            <w:tcW w:w="120" w:type="dxa"/>
            <w:vAlign w:val="bottom"/>
          </w:tcPr>
          <w:p>
            <w:pPr>
              <w:spacing w:after="0"/>
              <w:rPr>
                <w:sz w:val="21"/>
                <w:szCs w:val="21"/>
                <w:color w:val="auto"/>
              </w:rPr>
            </w:pPr>
          </w:p>
        </w:tc>
      </w:tr>
      <w:tr>
        <w:trPr>
          <w:trHeight w:val="263"/>
        </w:trPr>
        <w:tc>
          <w:tcPr>
            <w:tcW w:w="5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Payments</w:t>
            </w:r>
          </w:p>
        </w:tc>
        <w:tc>
          <w:tcPr>
            <w:tcW w:w="760" w:type="dxa"/>
            <w:vAlign w:val="bottom"/>
            <w:shd w:val="clear" w:color="auto" w:fill="CFF0FC"/>
          </w:tcPr>
          <w:p>
            <w:pPr>
              <w:spacing w:after="0"/>
              <w:rPr>
                <w:sz w:val="22"/>
                <w:szCs w:val="22"/>
                <w:color w:val="auto"/>
              </w:rPr>
            </w:pPr>
          </w:p>
        </w:tc>
        <w:tc>
          <w:tcPr>
            <w:tcW w:w="3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6"/>
        </w:trPr>
        <w:tc>
          <w:tcPr>
            <w:tcW w:w="5780" w:type="dxa"/>
            <w:vAlign w:val="bottom"/>
          </w:tcPr>
          <w:p>
            <w:pPr>
              <w:ind w:left="140"/>
              <w:spacing w:after="0" w:line="257"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4"/>
                <w:szCs w:val="24"/>
                <w:color w:val="auto"/>
                <w:vertAlign w:val="superscript"/>
              </w:rPr>
              <w:t>(1)</w:t>
            </w:r>
          </w:p>
        </w:tc>
        <w:tc>
          <w:tcPr>
            <w:tcW w:w="760" w:type="dxa"/>
            <w:vAlign w:val="bottom"/>
          </w:tcPr>
          <w:p>
            <w:pPr>
              <w:spacing w:after="0"/>
              <w:rPr>
                <w:sz w:val="22"/>
                <w:szCs w:val="22"/>
                <w:color w:val="auto"/>
              </w:rPr>
            </w:pPr>
          </w:p>
        </w:tc>
        <w:tc>
          <w:tcPr>
            <w:tcW w:w="3560" w:type="dxa"/>
            <w:vAlign w:val="bottom"/>
            <w:gridSpan w:val="2"/>
          </w:tcPr>
          <w:p>
            <w:pPr>
              <w:jc w:val="right"/>
              <w:ind w:right="40"/>
              <w:spacing w:after="0"/>
              <w:rPr>
                <w:sz w:val="20"/>
                <w:szCs w:val="20"/>
                <w:color w:val="auto"/>
              </w:rPr>
            </w:pPr>
            <w:r>
              <w:rPr>
                <w:rFonts w:ascii="Arial" w:cs="Arial" w:eastAsia="Arial" w:hAnsi="Arial"/>
                <w:sz w:val="18"/>
                <w:szCs w:val="18"/>
                <w:color w:val="auto"/>
              </w:rPr>
              <w:t>(306 )</w:t>
            </w:r>
          </w:p>
        </w:tc>
      </w:tr>
      <w:tr>
        <w:trPr>
          <w:trHeight w:val="284"/>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2021</w:t>
            </w:r>
          </w:p>
        </w:tc>
        <w:tc>
          <w:tcPr>
            <w:tcW w:w="76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3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13,809</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540" w:right="3520" w:hanging="4768"/>
        <w:spacing w:after="0" w:line="293" w:lineRule="auto"/>
        <w:tabs>
          <w:tab w:leader="none" w:pos="1032" w:val="left"/>
        </w:tabs>
        <w:numPr>
          <w:ilvl w:val="0"/>
          <w:numId w:val="3"/>
        </w:numPr>
        <w:rPr>
          <w:rFonts w:ascii="Arial" w:cs="Arial" w:eastAsia="Arial" w:hAnsi="Arial"/>
          <w:sz w:val="18"/>
          <w:szCs w:val="18"/>
          <w:color w:val="auto"/>
        </w:rPr>
      </w:pPr>
      <w:r>
        <w:rPr>
          <w:rFonts w:ascii="Arial" w:cs="Arial" w:eastAsia="Arial" w:hAnsi="Arial"/>
          <w:sz w:val="18"/>
          <w:szCs w:val="18"/>
          <w:color w:val="auto"/>
        </w:rPr>
        <w:t>- Represents the acceleration of expense associated with the vesting of certain equity awards.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76" w:lineRule="exact"/>
        <w:rPr>
          <w:sz w:val="20"/>
          <w:szCs w:val="20"/>
          <w:color w:val="auto"/>
        </w:rPr>
      </w:pPr>
    </w:p>
    <w:p>
      <w:pPr>
        <w:ind w:right="240"/>
        <w:spacing w:after="0" w:line="272"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simplifies the accounting for income taxes by eliminating certain exceptions to the guidance in ASC 740 related to the approach for intraperiod tax allocation, the methodology for calculating income taxes in an interim period, the recognition of deferred tax liabilities for outside basis differences, among other simplifications. The Company adopted this standard effective January 1, 2021, which did not have an impact on the Company’s condensed consolidated financial statements.</w:t>
      </w:r>
    </w:p>
    <w:p>
      <w:pPr>
        <w:spacing w:after="0" w:line="83" w:lineRule="exact"/>
        <w:rPr>
          <w:sz w:val="20"/>
          <w:szCs w:val="20"/>
          <w:color w:val="auto"/>
        </w:rPr>
      </w:pPr>
    </w:p>
    <w:p>
      <w:pPr>
        <w:ind w:right="420"/>
        <w:spacing w:after="0" w:line="359" w:lineRule="auto"/>
        <w:rPr>
          <w:sz w:val="20"/>
          <w:szCs w:val="20"/>
          <w:color w:val="auto"/>
        </w:rPr>
      </w:pPr>
      <w:r>
        <w:rPr>
          <w:rFonts w:ascii="Arial" w:cs="Arial" w:eastAsia="Arial" w:hAnsi="Arial"/>
          <w:sz w:val="16"/>
          <w:szCs w:val="16"/>
          <w:color w:val="auto"/>
        </w:rPr>
        <w:t>The Company believes that the impact of other recently issued but not yet adopted accounting pronouncements will not have a material impact on the Company’s condensed consolidated financial position, results of operations, and cash flows, or do not apply to the Company’s operations.</w:t>
      </w:r>
    </w:p>
    <w:p>
      <w:pPr>
        <w:spacing w:after="0" w:line="22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Intangible Asset</w:t>
      </w:r>
    </w:p>
    <w:p>
      <w:pPr>
        <w:spacing w:after="0" w:line="135"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Intangible asset consists of milestone payments to the former shareholders of Laxdale related to the 2004 acquisition of the rights to VASCEPA, which is the result of VASCEPA receiving marketing approval in the U.S. for the first indication in 2012, the expanded label in 2019 and marketing approval in Europe in 2021. Upon approval of the marketing authorization application for VAZKEPA in March 2021, a milestone for £7.5 million was achieved, which resulted in the Intangible asset increasing by $12.0 million. Refer to Note 5 – Commitments and Contingencies for further details. In accordance with ASC 350, the Company evaluates the remaining useful life of the intangible asset at each reporting period to determine if any events or circumstances warrant a revision to the remaining period of amortization. As of September 30, 2021, the intangible asset has an estimated weighted-average remaining life of 9.5 years. The carrying value as of September 30, 2021 and December 31, 2020 is as follows:</w:t>
      </w:r>
    </w:p>
    <w:p>
      <w:pPr>
        <w:spacing w:after="0" w:line="199" w:lineRule="exact"/>
        <w:rPr>
          <w:sz w:val="20"/>
          <w:szCs w:val="20"/>
          <w:color w:val="auto"/>
        </w:rPr>
      </w:pPr>
    </w:p>
    <w:tbl>
      <w:tblPr>
        <w:tblLayout w:type="fixed"/>
        <w:tblInd w:w="1700" w:type="dxa"/>
        <w:tblCellMar>
          <w:top w:w="0" w:type="dxa"/>
          <w:left w:w="0" w:type="dxa"/>
          <w:bottom w:w="0" w:type="dxa"/>
          <w:right w:w="0" w:type="dxa"/>
        </w:tblCellMar>
      </w:tblPr>
      <w:tr>
        <w:trPr>
          <w:trHeight w:val="198"/>
        </w:trPr>
        <w:tc>
          <w:tcPr>
            <w:tcW w:w="49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5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September 30, 2021</w:t>
            </w:r>
          </w:p>
        </w:tc>
        <w:tc>
          <w:tcPr>
            <w:tcW w:w="13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December 31, 2020</w:t>
            </w:r>
          </w:p>
        </w:tc>
      </w:tr>
      <w:tr>
        <w:trPr>
          <w:trHeight w:val="25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Technology rights</w:t>
            </w:r>
          </w:p>
        </w:tc>
        <w:tc>
          <w:tcPr>
            <w:tcW w:w="440" w:type="dxa"/>
            <w:vAlign w:val="bottom"/>
            <w:tcBorders>
              <w:top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32,081</w:t>
            </w:r>
          </w:p>
        </w:tc>
        <w:tc>
          <w:tcPr>
            <w:tcW w:w="240" w:type="dxa"/>
            <w:vAlign w:val="bottom"/>
            <w:shd w:val="clear" w:color="auto" w:fill="CFF0FC"/>
          </w:tcPr>
          <w:p>
            <w:pPr>
              <w:spacing w:after="0"/>
              <w:rPr>
                <w:sz w:val="21"/>
                <w:szCs w:val="21"/>
                <w:color w:val="auto"/>
              </w:rPr>
            </w:pPr>
          </w:p>
        </w:tc>
        <w:tc>
          <w:tcPr>
            <w:tcW w:w="420" w:type="dxa"/>
            <w:vAlign w:val="bottom"/>
            <w:tcBorders>
              <w:top w:val="single" w:sz="8" w:color="auto"/>
            </w:tcBorders>
            <w:shd w:val="clear" w:color="auto" w:fill="CFF0FC"/>
          </w:tcPr>
          <w:p>
            <w:pPr>
              <w:jc w:val="right"/>
              <w:ind w:right="23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20,081</w:t>
            </w:r>
          </w:p>
        </w:tc>
        <w:tc>
          <w:tcPr>
            <w:tcW w:w="120" w:type="dxa"/>
            <w:vAlign w:val="bottom"/>
            <w:shd w:val="clear" w:color="auto" w:fill="CFF0FC"/>
          </w:tcPr>
          <w:p>
            <w:pPr>
              <w:spacing w:after="0"/>
              <w:rPr>
                <w:sz w:val="21"/>
                <w:szCs w:val="21"/>
                <w:color w:val="auto"/>
              </w:rPr>
            </w:pPr>
          </w:p>
        </w:tc>
      </w:tr>
      <w:tr>
        <w:trPr>
          <w:trHeight w:val="250"/>
        </w:trPr>
        <w:tc>
          <w:tcPr>
            <w:tcW w:w="49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4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(7,898 )</w:t>
            </w:r>
          </w:p>
        </w:tc>
        <w:tc>
          <w:tcPr>
            <w:tcW w:w="4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(6,264 )</w:t>
            </w:r>
          </w:p>
        </w:tc>
      </w:tr>
      <w:tr>
        <w:trPr>
          <w:trHeight w:val="290"/>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 net</w:t>
            </w:r>
          </w:p>
        </w:tc>
        <w:tc>
          <w:tcPr>
            <w:tcW w:w="440" w:type="dxa"/>
            <w:vAlign w:val="bottom"/>
            <w:tcBorders>
              <w:top w:val="single" w:sz="8" w:color="auto"/>
              <w:bottom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24,183</w:t>
            </w:r>
          </w:p>
        </w:tc>
        <w:tc>
          <w:tcPr>
            <w:tcW w:w="2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13,817</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1460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1460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Inventory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The Company capitalizes its purchases of saleable inventory of VASCEPA from suppliers that have been qualified by the U.S. FDA. Inventories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December 31, 2020 consist of the following:</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98"/>
        </w:trPr>
        <w:tc>
          <w:tcPr>
            <w:tcW w:w="49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September 30, 2021</w:t>
            </w:r>
          </w:p>
        </w:tc>
        <w:tc>
          <w:tcPr>
            <w:tcW w:w="200" w:type="dxa"/>
            <w:vAlign w:val="bottom"/>
          </w:tcPr>
          <w:p>
            <w:pPr>
              <w:spacing w:after="0"/>
              <w:rPr>
                <w:sz w:val="17"/>
                <w:szCs w:val="17"/>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 2020</w:t>
            </w:r>
          </w:p>
        </w:tc>
        <w:tc>
          <w:tcPr>
            <w:tcW w:w="80" w:type="dxa"/>
            <w:vAlign w:val="bottom"/>
          </w:tcPr>
          <w:p>
            <w:pPr>
              <w:spacing w:after="0"/>
              <w:rPr>
                <w:sz w:val="17"/>
                <w:szCs w:val="17"/>
                <w:color w:val="auto"/>
              </w:rPr>
            </w:pPr>
          </w:p>
        </w:tc>
      </w:tr>
      <w:tr>
        <w:trPr>
          <w:trHeight w:val="25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420" w:type="dxa"/>
            <w:vAlign w:val="bottom"/>
            <w:shd w:val="clear" w:color="auto" w:fill="CFF0FC"/>
          </w:tcPr>
          <w:p>
            <w:pPr>
              <w:jc w:val="right"/>
              <w:ind w:right="23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71,838</w:t>
            </w:r>
          </w:p>
        </w:tc>
        <w:tc>
          <w:tcPr>
            <w:tcW w:w="60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50,657</w:t>
            </w:r>
          </w:p>
        </w:tc>
        <w:tc>
          <w:tcPr>
            <w:tcW w:w="80" w:type="dxa"/>
            <w:vAlign w:val="bottom"/>
            <w:shd w:val="clear" w:color="auto" w:fill="CFF0FC"/>
          </w:tcPr>
          <w:p>
            <w:pPr>
              <w:spacing w:after="0"/>
              <w:rPr>
                <w:sz w:val="21"/>
                <w:szCs w:val="21"/>
                <w:color w:val="auto"/>
              </w:rPr>
            </w:pPr>
          </w:p>
        </w:tc>
      </w:tr>
      <w:tr>
        <w:trPr>
          <w:trHeight w:val="250"/>
        </w:trPr>
        <w:tc>
          <w:tcPr>
            <w:tcW w:w="4940" w:type="dxa"/>
            <w:vAlign w:val="bottom"/>
          </w:tcPr>
          <w:p>
            <w:pPr>
              <w:spacing w:after="0"/>
              <w:rPr>
                <w:sz w:val="20"/>
                <w:szCs w:val="20"/>
                <w:color w:val="auto"/>
              </w:rPr>
            </w:pPr>
            <w:r>
              <w:rPr>
                <w:rFonts w:ascii="Arial" w:cs="Arial" w:eastAsia="Arial" w:hAnsi="Arial"/>
                <w:sz w:val="18"/>
                <w:szCs w:val="18"/>
                <w:color w:val="auto"/>
              </w:rPr>
              <w:t>Work in process</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39,521</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30,388</w:t>
            </w:r>
          </w:p>
        </w:tc>
        <w:tc>
          <w:tcPr>
            <w:tcW w:w="80" w:type="dxa"/>
            <w:vAlign w:val="bottom"/>
          </w:tcPr>
          <w:p>
            <w:pPr>
              <w:spacing w:after="0"/>
              <w:rPr>
                <w:sz w:val="21"/>
                <w:szCs w:val="21"/>
                <w:color w:val="auto"/>
              </w:rPr>
            </w:pPr>
          </w:p>
        </w:tc>
      </w:tr>
      <w:tr>
        <w:trPr>
          <w:trHeight w:val="257"/>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4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197,909</w:t>
            </w:r>
          </w:p>
        </w:tc>
        <w:tc>
          <w:tcPr>
            <w:tcW w:w="2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107,819</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4940" w:type="dxa"/>
            <w:vAlign w:val="bottom"/>
          </w:tcPr>
          <w:p>
            <w:pPr>
              <w:spacing w:after="0"/>
              <w:rPr>
                <w:sz w:val="20"/>
                <w:szCs w:val="20"/>
                <w:color w:val="auto"/>
              </w:rPr>
            </w:pPr>
            <w:r>
              <w:rPr>
                <w:rFonts w:ascii="Arial" w:cs="Arial" w:eastAsia="Arial" w:hAnsi="Arial"/>
                <w:sz w:val="18"/>
                <w:szCs w:val="18"/>
                <w:color w:val="auto"/>
              </w:rPr>
              <w:t>Total inventory</w:t>
            </w:r>
          </w:p>
        </w:tc>
        <w:tc>
          <w:tcPr>
            <w:tcW w:w="420" w:type="dxa"/>
            <w:vAlign w:val="bottom"/>
          </w:tcPr>
          <w:p>
            <w:pPr>
              <w:jc w:val="right"/>
              <w:ind w:right="23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309,268</w:t>
            </w:r>
          </w:p>
        </w:tc>
        <w:tc>
          <w:tcPr>
            <w:tcW w:w="60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188,864</w:t>
            </w:r>
          </w:p>
        </w:tc>
        <w:tc>
          <w:tcPr>
            <w:tcW w:w="80" w:type="dxa"/>
            <w:vAlign w:val="bottom"/>
          </w:tcPr>
          <w:p>
            <w:pPr>
              <w:spacing w:after="0"/>
              <w:rPr>
                <w:sz w:val="21"/>
                <w:szCs w:val="21"/>
                <w:color w:val="auto"/>
              </w:rPr>
            </w:pPr>
          </w:p>
        </w:tc>
      </w:tr>
      <w:tr>
        <w:trPr>
          <w:trHeight w:val="20"/>
        </w:trPr>
        <w:tc>
          <w:tcPr>
            <w:tcW w:w="49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-193675</wp:posOffset>
            </wp:positionV>
            <wp:extent cx="12890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-193675</wp:posOffset>
            </wp:positionV>
            <wp:extent cx="4318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Commitments and Contingencies</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Litigation – U.S. ANDAs</w:t>
      </w:r>
    </w:p>
    <w:p>
      <w:pPr>
        <w:spacing w:after="0" w:line="131"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On March 30, 2020, the United States District Court for the District of Nevada, or the Nevada Court, ruled in favor of two generics companies, Hikma and Dr. Reddy’s, in Amarin’s patent litigation related to its ANDAs that sought U.S. FDA approval for sale of generic versions of VASCEPA for the original indication of VASCEPA as an adjunct to diet to reduce TG levels in adult patients with severe (&gt;500 mg/dL) hypertriglyceridemia. On September 3, 2020, the U.S. Court of Appeals for the Federal Circuit, or the Federal Circuit, upheld the March ruling by the Nevada Court in favor of the two generics companies. On October 2, 2020, the Company filed a combined petition for panel rehearing or rehearing en banc. On November 4, 2020, the Company’s rehearing and en banc petitions were denied. On February 11, 2021, Amarin filed a petition for a writ of certiorari with the United States Supreme Court to ask the Court to hear the Company’s appeal in this litigation, which was denied on June 18, 2021.</w:t>
      </w:r>
    </w:p>
    <w:p>
      <w:pPr>
        <w:spacing w:after="0" w:line="73"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On May 22, 2020 and August 10, 2020, Hikma and Dr. Reddy’s, respectively, received U.S. FDA approval to market its generic versions of VASCEPA. During the ANDA litigation, the Company reached agreements with Teva and Apotex, under which they received royalty-free license agreements to promote a generic version of icosapent ethyl in the U.S. under certain circumstances, one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13" w:name="page14"/>
    <w:bookmarkEnd w:id="13"/>
    <w:p>
      <w:pPr>
        <w:spacing w:after="0" w:line="287" w:lineRule="auto"/>
        <w:rPr>
          <w:sz w:val="20"/>
          <w:szCs w:val="20"/>
          <w:color w:val="auto"/>
        </w:rPr>
      </w:pPr>
      <w:r>
        <w:rPr>
          <w:rFonts w:ascii="Arial" w:cs="Arial" w:eastAsia="Arial" w:hAnsi="Arial"/>
          <w:sz w:val="17"/>
          <w:szCs w:val="17"/>
          <w:color w:val="auto"/>
        </w:rPr>
        <w:t>of which circumstances was achieved when the Federal Circuit upheld the ruling by the Nevada Court and Hikma launched its generic version of icosapent ethyl. On September 11, 2020, and June 30, 2021, Teva and Apotex, respectively, received U.S. FDA approval to market their respective generic versions of icosapent ethyl. In November 2020, Hikma priced and launched its generic version of icosapent ethyl. In June 2021, following the denial to hear the Company’s appeal by the U.S. Supreme Court, Dr. Reddy’s announced the price of its generic version of icosapent ethyl and launched its generic version of icosapent ethyl. The generic versions of icosapent ethyl as approved by the U.S. FDA for both Hikma and Dr. Reddy’s pertains to the MARINE indication of VASCEPA, lowering of TG levels in patients with very high TG (</w:t>
      </w:r>
      <w:r>
        <w:rPr>
          <w:rFonts w:ascii="Arial" w:cs="Arial" w:eastAsia="Arial" w:hAnsi="Arial"/>
          <w:sz w:val="17"/>
          <w:szCs w:val="17"/>
          <w:u w:val="single" w:color="auto"/>
          <w:color w:val="auto"/>
        </w:rPr>
        <w:t>&gt;</w:t>
      </w:r>
      <w:r>
        <w:rPr>
          <w:rFonts w:ascii="Arial" w:cs="Arial" w:eastAsia="Arial" w:hAnsi="Arial"/>
          <w:sz w:val="17"/>
          <w:szCs w:val="17"/>
          <w:color w:val="auto"/>
        </w:rPr>
        <w:t>500 mg/dL). As of September 30, 2021, neither Teva or Apotex had announced pricing or launched a generic version of icosapent ethyl. Current generic competition, together with past and on-going litigation related to such generic versions of icosapent ethyl are applicable to the U.S. only. The Company did not seek, nor is VAZKEPA approved in Europe for lowering of TG levels in patients with very high TG (</w:t>
      </w:r>
      <w:r>
        <w:rPr>
          <w:rFonts w:ascii="Arial" w:cs="Arial" w:eastAsia="Arial" w:hAnsi="Arial"/>
          <w:sz w:val="17"/>
          <w:szCs w:val="17"/>
          <w:u w:val="single" w:color="auto"/>
          <w:color w:val="auto"/>
        </w:rPr>
        <w:t>&gt;</w:t>
      </w:r>
      <w:r>
        <w:rPr>
          <w:rFonts w:ascii="Arial" w:cs="Arial" w:eastAsia="Arial" w:hAnsi="Arial"/>
          <w:sz w:val="17"/>
          <w:szCs w:val="17"/>
          <w:color w:val="auto"/>
        </w:rPr>
        <w:t>500 mg/dL).</w:t>
      </w:r>
    </w:p>
    <w:p>
      <w:pPr>
        <w:spacing w:after="0" w:line="70"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The active pharmaceutical ingredient in VASCEPA is difficult and time consuming to manufacture, often requires considerable advanced planning and long-term financial commitment, including to manufacturing infrastructure such as dedicated facilities, to ensure sufficient capacity is available when needed. The Company has invested over a decade to develop with individual members of its third-party, active pharmaceutical ingredient supply chain the technical knowhow, manufacturing processes and related regulatory approvals that have helped enable the Company’s suppliers to supply the Company’s need for clinical and commercial supply globally. Based on statements made by generic competitors, Hikma and Dr. Reddy’s, the active pharmaceutical ingredient of VASCEPA needed to manufacture their generic versions of VASCEPA is in limited supply to them. The Company believes all icosapent ethyl generic manufacturers are similarly situated. The Company believes the limited supply of generic icosapent ethyl may be due to such companies’ lack of adequate planning, investment, knowhow and expertise regarding this fragile active ingredient.</w:t>
      </w:r>
    </w:p>
    <w:p>
      <w:pPr>
        <w:spacing w:after="0" w:line="74"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In November 2020, the Company filed a patent infringement lawsuit against Hikma in the United States District Court in Delaware. The complaint alleges that Hikma induced the infringement of VASCEPA-related cardiovascular risk reduction U.S. Patent Nos. 9,700,537 (Composition for preventing the occurrence of cardiovascular event in multiple risk patient), 8,642,077 (Stable pharmaceutical composition and methods of using same), and 10,568,861 (Methods of reducing the risk of a cardiovascular event in a subject at risk for cardiovascular disease) by making, selling, offering to sell and importing generic icosapent ethyl capsules in or into the United States. The Company is seeking remedies including a permanent injunction against Hikma’s unlawful inducement of infringing uses of its generic product to reduce cardiovascular risk and monetary damages in an amount sufficient to compensate the Company for such infringement.</w:t>
      </w:r>
    </w:p>
    <w:p>
      <w:pPr>
        <w:spacing w:after="0" w:line="84"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In January 2021, the Company expanded the scope of the VASCEPA CV risk reduction patent infringement lawsuit against Hikma to include a health care insurance provider in the United States, Health Net, LLC or Health Net. Through insurance coverage and economic incentives the Company alleges that Health Net has actively induced pharmacies to dispense, and patients to use, Hikma generic icosapent ethyl capsules in infringement of the related patents. In the complaint, the Company is seeking remedies including a permanent injunction against the unlawful inducement by Hikma and Health Net of infringing uses of the Hikma generic product, i.e., uses to reduce cardiovascular risk as detailed in the patents, and monetary damages in an amount sufficient to compensate the Company for such infringement. The Company is considering its legal options against parties similarly situated to Health Net and Hikma and acting in concert with either by making or selling any drug product or component thereof covered by the subject patents, or inducing others to do the same.</w:t>
      </w:r>
    </w:p>
    <w:p>
      <w:pPr>
        <w:spacing w:after="0" w:line="88"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As has been a practice in the generic pharmaceutical industry, on April 27, 2021, Dr. Reddy’s filed a complaint against the Company in the United States District Court for the District of New Jersey, Civil action No.21-cv-10309, alleging various antitrust violations stemming from alleged anticompetitive practices related to the supply of active pharmaceutical ingredient of VASCEPA. The complaint also includes a related state law tortious interference claim. Damages sought include recovery for alleged economic harm to Dr. Reddy’s, payors and consumers, treble damages and other costs and fees. Injunctive relief against the alleged violative activities is also being sought by Dr. Reddy’s. Amarin believes it has valid defenses and will vigorously defend against the claims.</w:t>
      </w:r>
    </w:p>
    <w:p>
      <w:pPr>
        <w:spacing w:after="0" w:line="83" w:lineRule="exact"/>
        <w:rPr>
          <w:sz w:val="20"/>
          <w:szCs w:val="20"/>
          <w:color w:val="auto"/>
        </w:rPr>
      </w:pPr>
    </w:p>
    <w:p>
      <w:pPr>
        <w:jc w:val="both"/>
        <w:ind w:right="100"/>
        <w:spacing w:after="0" w:line="279" w:lineRule="auto"/>
        <w:rPr>
          <w:sz w:val="20"/>
          <w:szCs w:val="20"/>
          <w:color w:val="auto"/>
        </w:rPr>
      </w:pPr>
      <w:r>
        <w:rPr>
          <w:rFonts w:ascii="Arial" w:cs="Arial" w:eastAsia="Arial" w:hAnsi="Arial"/>
          <w:sz w:val="18"/>
          <w:szCs w:val="18"/>
          <w:color w:val="auto"/>
        </w:rPr>
        <w:t>Amarin received a civil investigative demand from the U.S. Federal Trade Commission and a subpoena from the New York Attorney General with respect to information on the same antitrust topic covered in the Dr. Reddy's litigation. The Company believes such contact from the governments may have been prompted by a generic competitor. Amarin is cooperating with the government agencies.</w:t>
      </w:r>
    </w:p>
    <w:p>
      <w:pPr>
        <w:spacing w:after="0" w:line="75"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As has been a practice of class action legal counsel following governmental investigations and litigation by generics companies, Amarin is also named as a defendant in five antitrust class action lawsuits in the District Court for the District of New Jersey. Amarin is a defendant in a class action lawsuit filed by Uniformed Fire Officers Association Family Protection Plan Local 854 and the Uniformed Fire Officers Association for Retired Fire Officers Family Protection Plan, on behalf of indirect purchasers, in the District Court for the District of New Jersey, Civil Action No. 21-12061, alleging Amarin and its co-defendant suppliers violated state and federal antitrust laws by monopolizing and engaging in a conspiracy to restrain trade in the icosapent ethyl drug and API markets. Amarin is a defendant in a class action lawsuit filed by The International Union of Operating Engineers Locals 137, 137A, 137B, 137C, 137R, on behalf of indirect purchasers, in the District Court for the District of New Jersey, Civil Action No. 21-12416, alleging Amarin violated state and federal antitrust laws by monopolizing and engaging in a conspiracy to restrain trade in the icosapent ethyl drug and API markets. Amarin is a defendant in a class action lawsuit filed by KPH Healthcare Services, Inc., on behalf of direct purchasers, in the District Court for the District of New Jersey, Civil Action No. 21-12747, alleging Amarin and its co-defendant suppliers violated state and federal antitrust laws by monopolizing and engaging in a conspiracy to restrain trade in the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4" w:name="page15"/>
    <w:bookmarkEnd w:id="14"/>
    <w:p>
      <w:pPr>
        <w:ind w:right="20"/>
        <w:spacing w:after="0" w:line="272" w:lineRule="auto"/>
        <w:rPr>
          <w:sz w:val="20"/>
          <w:szCs w:val="20"/>
          <w:color w:val="auto"/>
        </w:rPr>
      </w:pPr>
      <w:r>
        <w:rPr>
          <w:rFonts w:ascii="Arial" w:cs="Arial" w:eastAsia="Arial" w:hAnsi="Arial"/>
          <w:sz w:val="18"/>
          <w:szCs w:val="18"/>
          <w:color w:val="auto"/>
        </w:rPr>
        <w:t>icosapent ethyl drug and API markets. Amarin is a defendant in a class action lawsuit filed by Local 464A United Food and Commercial Workers Union Welfare Service Benefit Fund, on behalf of direct purchasers, in the District Court for the District of New Jersey, Civil Action No. 21-13009. Amarin is a defendant in a class action lawsuit filed by Teamsters Health &amp; Welfare Fund of Philadelphia and Vicinity, on behalf of indirect purchasers, in the District Court for the District of New Jersey, Civil Action No. 21-13406, alleging Amarin violated state and federal antitrust laws by monopolizing and engaging in a conspiracy to restrain trade in the icosapent ethyl drug and API markets.</w:t>
      </w:r>
    </w:p>
    <w:p>
      <w:pPr>
        <w:spacing w:after="0" w:line="83" w:lineRule="exact"/>
        <w:rPr>
          <w:sz w:val="20"/>
          <w:szCs w:val="20"/>
          <w:color w:val="auto"/>
        </w:rPr>
      </w:pPr>
    </w:p>
    <w:p>
      <w:pPr>
        <w:jc w:val="both"/>
        <w:ind w:right="240"/>
        <w:spacing w:after="0" w:line="279" w:lineRule="auto"/>
        <w:rPr>
          <w:sz w:val="20"/>
          <w:szCs w:val="20"/>
          <w:color w:val="auto"/>
        </w:rPr>
      </w:pPr>
      <w:r>
        <w:rPr>
          <w:rFonts w:ascii="Arial" w:cs="Arial" w:eastAsia="Arial" w:hAnsi="Arial"/>
          <w:sz w:val="18"/>
          <w:szCs w:val="18"/>
          <w:color w:val="auto"/>
        </w:rPr>
        <w:t>Such antitrust litigation and investigations can be lengthy, costly and could materially affect and disrupt the Company’s business. The Company cannot predict when these matters will be resolved, their outcome or their potential impact on the Company’s business. If a government determines that Amarin has violated antitrust law, the Company could be subject to significant civil fines and penalties.</w:t>
      </w:r>
    </w:p>
    <w:p>
      <w:pPr>
        <w:spacing w:after="0" w:line="75"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The Company intends to vigorously enforce its intellectual property rights relating to VASCEPA, but cannot predict the outcome of these lawsuits or any subsequently filed lawsuits.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Litigation – Other</w:t>
      </w:r>
    </w:p>
    <w:p>
      <w:pPr>
        <w:spacing w:after="0" w:line="13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On February 22, 2019, a purported investor in the Company’s publicly traded securities filed a putative class action lawsuit against Amarin Corporation plc, the chief executive officer and chief scientific officer in the U.S. District Court for the District of New Jersey, Debendra Sharma v. Amarin Corporation plc, John F. Thero and Steven Ketchum, No. 2:19-cv-06601 (D.N.J. Feb. 22, 2019). On March 12, 2019, another purported investor filed a substantially similar lawsuit captioned Richard Borghesi v. Amarin Corporation plc, John F. Thero and Steven Ketchum, No. 3:19-cv-08423 (D.N.J. March 12, 2019). On May 14, 2019 the court consolidated the cases under the caption In re Amarin Corporation PLC Securities Litigation, No. 3:19-cv-06601 and appointed two other purported shareholders, Dan Kotecki and the Gaetano Cecchini Living Trust, as Co-Lead Plaintiffs. Co-Lead Plaintiffs filed a consolidated amended complaint, or Amended Complaint, on July 22, 2019 that added as defendants the Company’s former chief medical officer and the Company’s former chief executive officer. The Amended Complaint alleged that from September 24, 2018 to November 9, 2018 the Company misled investors by releasing topline results for the REDUCE-IT study without disclosing data on biomarker increases in the placebo group as compared with baseline measurement. The Amended Complaint alleged that these data suggest that the mineral oil placebo used in the REDUCE-IT study may have interfered with statin absorption in the placebo group, which they alleged may have increased adverse outcomes in the placebo group. The Amended Complaint further alleged that these purported misrepresentations and omissions inflated the share price. Based on these allegations, the suit asserted claims under the Securities Exchange Act of 1934 and sought unspecified monetary damages and attorneys’ fees and costs.</w:t>
      </w:r>
    </w:p>
    <w:p>
      <w:pPr>
        <w:spacing w:after="0" w:line="62"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 xml:space="preserve">On March 29, 2021, the court granted the Company’s motion to dismiss this litigation for failure to state a valid claim. The litigation was dismissed without prejudice, giving the plaintiffs the right to file an amended complaint. Plaintiffs in this action did not file an amended complaint within the permitted filing deadline. Plaintiffs filed a notice of appeal of the motion to dismiss ruling, which has been denominated </w:t>
      </w:r>
      <w:r>
        <w:rPr>
          <w:rFonts w:ascii="Arial" w:cs="Arial" w:eastAsia="Arial" w:hAnsi="Arial"/>
          <w:sz w:val="17"/>
          <w:szCs w:val="17"/>
          <w:i w:val="1"/>
          <w:iCs w:val="1"/>
          <w:color w:val="auto"/>
        </w:rPr>
        <w:t>In re: Amarin Corp. PLC</w:t>
      </w:r>
      <w:r>
        <w:rPr>
          <w:rFonts w:ascii="Arial" w:cs="Arial" w:eastAsia="Arial" w:hAnsi="Arial"/>
          <w:sz w:val="17"/>
          <w:szCs w:val="17"/>
          <w:color w:val="auto"/>
        </w:rPr>
        <w:t>, case number 21-2071 (3d Cir.). The Company intends to vigorously defend against any future complaint in this matter.</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On October 21, 2021, a purported investor in the Company's publicly traded securities filed a putative class action lawsuit against Amarin Corporation plc, the former chief executive officer and the chief financial officer in the U.S. District Court for the District of New Jersey, Vincent Dang v. Amarin Corporation plc, John F. Thero and Michael W. Kalb, No. 1:21-cv-19212 (D.N.J. Oct. 21, 2021). The complaint alleges that from December 5, 2018 through June 21, 2021 the Company misled investors by allegedly downplaying the risk associated with the ANDA litigation described above and the risk that certain of the Company's patents would be invalidated. Based on these allegations, plaintiff alleges that he purchased securities at an inflated share price and brings claims under the Securities and Exchange Act of 1934 seeking unspecified monetary damages and attorneys' fees and costs. We believe we have valid defenses and will vigorously defend against the claims but cannot predict the outcome.</w:t>
      </w:r>
    </w:p>
    <w:p>
      <w:pPr>
        <w:spacing w:after="0" w:line="73"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In addition to the above, in the ordinary course of business, the Company is from time to time involved in lawsuits, claims, investigations, proceedings, and threats of litigation relating to intellectual property, commercial arrangements and other matters.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Milestone and Supply Purchase Obligations</w:t>
      </w:r>
    </w:p>
    <w:p>
      <w:pPr>
        <w:spacing w:after="0" w:line="131"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The Company entered into long-term supply agreements with multiple API suppliers and encapsulators. The Company is relying on these suppliers to meet current and potential future global demand for its lead product. Certain supply agreements require annual minimum volume commitments by the Company and certain volume shortfalls may require payments for such shortfalls.</w:t>
      </w:r>
    </w:p>
    <w:p>
      <w:pPr>
        <w:spacing w:after="0" w:line="75" w:lineRule="exact"/>
        <w:rPr>
          <w:sz w:val="20"/>
          <w:szCs w:val="20"/>
          <w:color w:val="auto"/>
        </w:rPr>
      </w:pPr>
    </w:p>
    <w:p>
      <w:pPr>
        <w:jc w:val="both"/>
        <w:ind w:right="340"/>
        <w:spacing w:after="0" w:line="279" w:lineRule="auto"/>
        <w:rPr>
          <w:sz w:val="20"/>
          <w:szCs w:val="20"/>
          <w:color w:val="auto"/>
        </w:rPr>
      </w:pPr>
      <w:r>
        <w:rPr>
          <w:rFonts w:ascii="Arial" w:cs="Arial" w:eastAsia="Arial" w:hAnsi="Arial"/>
          <w:sz w:val="18"/>
          <w:szCs w:val="18"/>
          <w:color w:val="auto"/>
        </w:rPr>
        <w:t>These agreements include requirements for the suppliers to meet certain product specifications and qualify their materials and facilities with applicable regulatory authorities, including the U.S. FDA. The Company has incurred certain costs associated with the qualification of product produced by these suppliers.</w:t>
      </w:r>
    </w:p>
    <w:p>
      <w:pPr>
        <w:spacing w:after="0" w:line="75"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Pursuant to the supply agreements, there is a total of approximately $213.0 million that is potentially payable over the term of such agreements based on minimum purchase obligations. The Company continues to meet its contractual purchase obligations.</w:t>
      </w:r>
    </w:p>
    <w:p>
      <w:pPr>
        <w:spacing w:after="0" w:line="62"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On March 26, 2021, the EC approved the marketing authorization application for VAZKEPA. Under the 2004 share repurchase agreement with Laxdale, upon receipt of pricing approval in Europe for the first indication for VASCEPA (or first indication of any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5" w:name="page16"/>
    <w:bookmarkEnd w:id="15"/>
    <w:p>
      <w:pPr>
        <w:ind w:right="180"/>
        <w:spacing w:after="0" w:line="279" w:lineRule="auto"/>
        <w:rPr>
          <w:sz w:val="20"/>
          <w:szCs w:val="20"/>
          <w:color w:val="auto"/>
        </w:rPr>
      </w:pPr>
      <w:r>
        <w:rPr>
          <w:rFonts w:ascii="Arial" w:cs="Arial" w:eastAsia="Arial" w:hAnsi="Arial"/>
          <w:sz w:val="18"/>
          <w:szCs w:val="18"/>
          <w:color w:val="auto"/>
        </w:rPr>
        <w:t>product containing intellectual property acquired from Laxdale in 2004), the Company must make an aggregate stock or cash payment to the former shareholders of Laxdale (at the sole option of each of the sellers) of £7.5 million. The Company recorded a liability of $12.0 million in Accrued expenses and other current liabilities on the condensed consolidated balance sheet as of September 30, 2021.</w:t>
      </w:r>
    </w:p>
    <w:p>
      <w:pPr>
        <w:spacing w:after="0" w:line="75"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Also under the Laxdale agreement, upon receipt of a marketing approval in Europe for a further indication of VASCEPA (or further indication of any other product acquired from Laxdale in 2004), the Company must make an aggregate stock or cash payment (at the sole option of each of the sellers) of £5 million (approximately $6.7 million as of September 30, 2021) for the potential market approval.</w:t>
      </w:r>
    </w:p>
    <w:p>
      <w:pPr>
        <w:spacing w:after="0" w:line="75"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color w:val="auto"/>
        </w:rPr>
        <w:t>The Company has no provision for any of these obligations, except as noted above, since the amounts are either not paid or payable as of September 30, 2021.</w:t>
      </w:r>
    </w:p>
    <w:p>
      <w:pPr>
        <w:spacing w:after="0" w:line="26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Equity</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In March 2015, the Company entered into subscription agreements with both existing and new investors, or the Purchasers, for the private placement of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total of 391,017,970 restricted American Depositary Shares, or ADSs, each representing one share of Amarin’s Series A Convertible Preference Shares, par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value £0.05 per share, in the capital of the Company, or Series A Preference Shares. For each restricted ADS, the Purchasers paid a negotiated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$0.15 (equating to $1.50 on an as-if-converted-to-ordinary-shares basis), resulting in gross proceeds to the Company of approximately $58.6 million before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deducting estimated offering expenses of approximately $0.7 million. At the request of the holders and provided certain conditions were met, each ten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Series A Preference Shares were able to be consolidated and redesignated as one ordinary share, par value £0.50 per share, in the capital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each ordinary share to be represented by ADSs. During the years ended December 31, 2020, 2018, and 2015, the Company issued 28,931,746, 3,886,718,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6,283,333 ADSs, respectively, upon consolidation and redesignation of Series A Preference Shares at the request of the holders, such that no Series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Preference Shares remained outstanding as of September 30, 2021 and December 31, 2020. Refer to the Company’s Annual Report on Form 10-K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31, 2020 for a more complete background.</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131" w:lineRule="exact"/>
        <w:rPr>
          <w:sz w:val="20"/>
          <w:szCs w:val="20"/>
          <w:color w:val="auto"/>
        </w:rPr>
      </w:pPr>
    </w:p>
    <w:p>
      <w:pPr>
        <w:jc w:val="both"/>
        <w:ind w:right="320"/>
        <w:spacing w:after="0" w:line="279" w:lineRule="auto"/>
        <w:rPr>
          <w:sz w:val="20"/>
          <w:szCs w:val="20"/>
          <w:color w:val="auto"/>
        </w:rPr>
      </w:pPr>
      <w:r>
        <w:rPr>
          <w:rFonts w:ascii="Arial" w:cs="Arial" w:eastAsia="Arial" w:hAnsi="Arial"/>
          <w:sz w:val="18"/>
          <w:szCs w:val="18"/>
          <w:color w:val="auto"/>
        </w:rPr>
        <w:t xml:space="preserve">During the nine months ended September 30, 2021 and 2020, in addition to ordinary shares issued as described in </w:t>
      </w:r>
      <w:r>
        <w:rPr>
          <w:rFonts w:ascii="Arial" w:cs="Arial" w:eastAsia="Arial" w:hAnsi="Arial"/>
          <w:sz w:val="18"/>
          <w:szCs w:val="18"/>
          <w:i w:val="1"/>
          <w:iCs w:val="1"/>
          <w:color w:val="auto"/>
        </w:rPr>
        <w:t>Preferred Stock</w:t>
      </w:r>
      <w:r>
        <w:rPr>
          <w:rFonts w:ascii="Arial" w:cs="Arial" w:eastAsia="Arial" w:hAnsi="Arial"/>
          <w:sz w:val="18"/>
          <w:szCs w:val="18"/>
          <w:color w:val="auto"/>
        </w:rPr>
        <w:t xml:space="preserve"> above and </w:t>
      </w:r>
      <w:r>
        <w:rPr>
          <w:rFonts w:ascii="Arial" w:cs="Arial" w:eastAsia="Arial" w:hAnsi="Arial"/>
          <w:sz w:val="18"/>
          <w:szCs w:val="18"/>
          <w:i w:val="1"/>
          <w:iCs w:val="1"/>
          <w:color w:val="auto"/>
        </w:rPr>
        <w:t>Incentive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 Awards </w:t>
      </w:r>
      <w:r>
        <w:rPr>
          <w:rFonts w:ascii="Arial" w:cs="Arial" w:eastAsia="Arial" w:hAnsi="Arial"/>
          <w:sz w:val="18"/>
          <w:szCs w:val="18"/>
          <w:color w:val="auto"/>
        </w:rPr>
        <w:t>below, the Company issued 226,402 and 123,608 ordinary shares, respectively, under the Amarin Corporation plc 2017 Employee Stock</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Plan.</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Incentive Equity Awards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aggregate number of stock options and restricted stock units, or RSUs, outstanding under the Amarin Corporation plc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Stock Incentive Plan, or the 2020 Plan, as of September 30, 2021:</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344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rPr>
              <w:t>September 30, 2021</w:t>
            </w:r>
          </w:p>
        </w:tc>
      </w:tr>
      <w:tr>
        <w:trPr>
          <w:trHeight w:val="249"/>
        </w:trPr>
        <w:tc>
          <w:tcPr>
            <w:tcW w:w="7800" w:type="dxa"/>
            <w:vAlign w:val="bottom"/>
          </w:tcPr>
          <w:p>
            <w:pPr>
              <w:ind w:left="20"/>
              <w:spacing w:after="0"/>
              <w:rPr>
                <w:sz w:val="20"/>
                <w:szCs w:val="20"/>
                <w:color w:val="auto"/>
              </w:rPr>
            </w:pPr>
            <w:r>
              <w:rPr>
                <w:rFonts w:ascii="Arial" w:cs="Arial" w:eastAsia="Arial" w:hAnsi="Arial"/>
                <w:sz w:val="18"/>
                <w:szCs w:val="18"/>
                <w:color w:val="auto"/>
              </w:rPr>
              <w:t>Outstanding Stock Options</w:t>
            </w:r>
          </w:p>
        </w:tc>
        <w:tc>
          <w:tcPr>
            <w:tcW w:w="3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19,145,833</w:t>
            </w:r>
          </w:p>
        </w:tc>
        <w:tc>
          <w:tcPr>
            <w:tcW w:w="240" w:type="dxa"/>
            <w:vAlign w:val="bottom"/>
          </w:tcPr>
          <w:p>
            <w:pPr>
              <w:spacing w:after="0"/>
              <w:rPr>
                <w:sz w:val="21"/>
                <w:szCs w:val="21"/>
                <w:color w:val="auto"/>
              </w:rPr>
            </w:pPr>
          </w:p>
        </w:tc>
      </w:tr>
      <w:tr>
        <w:trPr>
          <w:trHeight w:val="263"/>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of Outstanding Shares</w:t>
            </w:r>
          </w:p>
        </w:tc>
        <w:tc>
          <w:tcPr>
            <w:tcW w:w="3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5 %</w:t>
            </w:r>
          </w:p>
        </w:tc>
      </w:tr>
      <w:tr>
        <w:trPr>
          <w:trHeight w:val="250"/>
        </w:trPr>
        <w:tc>
          <w:tcPr>
            <w:tcW w:w="7800" w:type="dxa"/>
            <w:vAlign w:val="bottom"/>
          </w:tcPr>
          <w:p>
            <w:pPr>
              <w:ind w:left="20"/>
              <w:spacing w:after="0"/>
              <w:rPr>
                <w:sz w:val="20"/>
                <w:szCs w:val="20"/>
                <w:color w:val="auto"/>
              </w:rPr>
            </w:pPr>
            <w:r>
              <w:rPr>
                <w:rFonts w:ascii="Arial" w:cs="Arial" w:eastAsia="Arial" w:hAnsi="Arial"/>
                <w:sz w:val="18"/>
                <w:szCs w:val="18"/>
                <w:color w:val="auto"/>
              </w:rPr>
              <w:t>Outstanding RSUs</w:t>
            </w:r>
          </w:p>
        </w:tc>
        <w:tc>
          <w:tcPr>
            <w:tcW w:w="3200" w:type="dxa"/>
            <w:vAlign w:val="bottom"/>
          </w:tcPr>
          <w:p>
            <w:pPr>
              <w:jc w:val="right"/>
              <w:spacing w:after="0"/>
              <w:rPr>
                <w:sz w:val="20"/>
                <w:szCs w:val="20"/>
                <w:color w:val="auto"/>
              </w:rPr>
            </w:pPr>
            <w:r>
              <w:rPr>
                <w:rFonts w:ascii="Arial" w:cs="Arial" w:eastAsia="Arial" w:hAnsi="Arial"/>
                <w:sz w:val="18"/>
                <w:szCs w:val="18"/>
                <w:color w:val="auto"/>
              </w:rPr>
              <w:t>10,307,168</w:t>
            </w:r>
          </w:p>
        </w:tc>
        <w:tc>
          <w:tcPr>
            <w:tcW w:w="240" w:type="dxa"/>
            <w:vAlign w:val="bottom"/>
          </w:tcPr>
          <w:p>
            <w:pPr>
              <w:spacing w:after="0"/>
              <w:rPr>
                <w:sz w:val="21"/>
                <w:szCs w:val="21"/>
                <w:color w:val="auto"/>
              </w:rPr>
            </w:pPr>
          </w:p>
        </w:tc>
      </w:tr>
      <w:tr>
        <w:trPr>
          <w:trHeight w:val="263"/>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of Outstanding Shares</w:t>
            </w:r>
          </w:p>
        </w:tc>
        <w:tc>
          <w:tcPr>
            <w:tcW w:w="3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2 %</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equity awards activity during the nine months ended September 30, 2021 and 2020:</w:t>
      </w:r>
    </w:p>
    <w:p>
      <w:pPr>
        <w:spacing w:after="0" w:line="325"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23495</wp:posOffset>
            </wp:positionV>
            <wp:extent cx="33947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03" w:lineRule="exact"/>
        <w:rPr>
          <w:sz w:val="20"/>
          <w:szCs w:val="20"/>
          <w:color w:val="auto"/>
        </w:rPr>
      </w:pPr>
    </w:p>
    <w:p>
      <w:pPr>
        <w:ind w:left="6920"/>
        <w:spacing w:after="0"/>
        <w:tabs>
          <w:tab w:leader="none" w:pos="97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 Options Issued</w:t>
      </w:r>
    </w:p>
    <w:p>
      <w:pPr>
        <w:spacing w:after="0" w:line="50" w:lineRule="exact"/>
        <w:rPr>
          <w:sz w:val="20"/>
          <w:szCs w:val="20"/>
          <w:color w:val="auto"/>
        </w:rPr>
      </w:pPr>
    </w:p>
    <w:p>
      <w:pPr>
        <w:ind w:left="20"/>
        <w:spacing w:after="0"/>
        <w:tabs>
          <w:tab w:leader="none" w:pos="5800" w:val="left"/>
        </w:tabs>
        <w:rPr>
          <w:sz w:val="20"/>
          <w:szCs w:val="20"/>
          <w:color w:val="auto"/>
        </w:rPr>
      </w:pPr>
      <w:r>
        <w:rPr>
          <w:rFonts w:ascii="Arial" w:cs="Arial" w:eastAsia="Arial" w:hAnsi="Arial"/>
          <w:sz w:val="18"/>
          <w:szCs w:val="18"/>
          <w:color w:val="auto"/>
        </w:rPr>
        <w:t>Gross Proceeds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Shares Issued in settlement of RSUs Vested</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Shares retained for settlement of employee tax obligations ─ RSUs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Common Shares Issued in settlement of Performance-Based RSUs Vested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62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0" w:lineRule="exact"/>
        <w:rPr>
          <w:sz w:val="20"/>
          <w:szCs w:val="20"/>
          <w:color w:val="auto"/>
        </w:rPr>
      </w:pPr>
    </w:p>
    <w:p>
      <w:pPr>
        <w:ind w:left="20" w:right="1440"/>
        <w:spacing w:after="0" w:line="274" w:lineRule="auto"/>
        <w:rPr>
          <w:sz w:val="20"/>
          <w:szCs w:val="20"/>
          <w:color w:val="auto"/>
        </w:rPr>
      </w:pPr>
      <w:r>
        <w:rPr>
          <w:rFonts w:ascii="Arial" w:cs="Arial" w:eastAsia="Arial" w:hAnsi="Arial"/>
          <w:sz w:val="18"/>
          <w:szCs w:val="18"/>
          <w:color w:val="auto"/>
        </w:rPr>
        <w:t>Shares retained for settlement of employee tax obligations ─ Performance-Based RSUs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994,921</w:t>
            </w:r>
          </w:p>
        </w:tc>
        <w:tc>
          <w:tcPr>
            <w:tcW w:w="1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642,756</w:t>
            </w:r>
          </w:p>
        </w:tc>
      </w:tr>
      <w:tr>
        <w:trPr>
          <w:trHeight w:val="256"/>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2,616,050</w:t>
            </w:r>
          </w:p>
        </w:tc>
        <w:tc>
          <w:tcPr>
            <w:tcW w:w="11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1,861,000</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1,202,590</w:t>
            </w:r>
          </w:p>
        </w:tc>
        <w:tc>
          <w:tcPr>
            <w:tcW w:w="1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1,206,494</w:t>
            </w:r>
          </w:p>
        </w:tc>
      </w:tr>
      <w:tr>
        <w:trPr>
          <w:trHeight w:val="256"/>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454,973</w:t>
            </w:r>
          </w:p>
        </w:tc>
        <w:tc>
          <w:tcPr>
            <w:tcW w:w="1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440,573</w:t>
            </w:r>
          </w:p>
        </w:tc>
      </w:tr>
      <w:tr>
        <w:trPr>
          <w:trHeight w:val="256"/>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1,923,316</w:t>
            </w:r>
          </w:p>
        </w:tc>
        <w:tc>
          <w:tcPr>
            <w:tcW w:w="1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1,107,660</w:t>
            </w:r>
          </w:p>
        </w:tc>
      </w:tr>
      <w:tr>
        <w:trPr>
          <w:trHeight w:val="365"/>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816,931</w:t>
            </w:r>
          </w:p>
        </w:tc>
        <w:tc>
          <w:tcPr>
            <w:tcW w:w="1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461,820</w:t>
            </w:r>
          </w:p>
        </w:tc>
      </w:tr>
    </w:tbl>
    <w:p>
      <w:pPr>
        <w:spacing w:after="0" w:line="242" w:lineRule="exact"/>
        <w:rPr>
          <w:sz w:val="20"/>
          <w:szCs w:val="20"/>
          <w:color w:val="auto"/>
        </w:rPr>
      </w:pPr>
    </w:p>
    <w:p>
      <w:pPr>
        <w:sectPr>
          <w:pgSz w:w="11900" w:h="16838" w:orient="portrait"/>
          <w:cols w:equalWidth="0" w:num="2">
            <w:col w:w="6860" w:space="720"/>
            <w:col w:w="3660"/>
          </w:cols>
          <w:pgMar w:left="320" w:top="476" w:right="339" w:bottom="1440" w:gutter="0" w:footer="0" w:header="0"/>
          <w:type w:val="continuous"/>
        </w:sectPr>
      </w:pPr>
    </w:p>
    <w:p>
      <w:pPr>
        <w:ind w:left="700" w:right="200" w:hanging="319"/>
        <w:spacing w:after="0" w:line="282" w:lineRule="auto"/>
        <w:tabs>
          <w:tab w:leader="none" w:pos="680" w:val="left"/>
        </w:tabs>
        <w:rPr>
          <w:sz w:val="20"/>
          <w:szCs w:val="20"/>
          <w:color w:val="auto"/>
        </w:rPr>
      </w:pPr>
      <w:r>
        <w:rPr>
          <w:rFonts w:ascii="Arial" w:cs="Arial" w:eastAsia="Arial" w:hAnsi="Arial"/>
          <w:sz w:val="17"/>
          <w:szCs w:val="17"/>
          <w:color w:val="auto"/>
        </w:rPr>
        <w:t>(1)</w:t>
        <w:tab/>
        <w:t>Performance-based RSUs vested in connection with the achievement of certain regulatory and sales performance conditions associated with the REDUCE-IT clinical trial and subsequent revenue growth. These performance-based RSUs have fully vested as of August 2021.</w:t>
      </w: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6" w:name="page17"/>
    <w:bookmarkEnd w:id="16"/>
    <w:p>
      <w:pPr>
        <w:ind w:right="20"/>
        <w:spacing w:after="0" w:line="311" w:lineRule="auto"/>
        <w:rPr>
          <w:sz w:val="20"/>
          <w:szCs w:val="20"/>
          <w:color w:val="auto"/>
        </w:rPr>
      </w:pPr>
      <w:r>
        <w:rPr>
          <w:rFonts w:ascii="Arial" w:cs="Arial" w:eastAsia="Arial" w:hAnsi="Arial"/>
          <w:sz w:val="16"/>
          <w:szCs w:val="16"/>
          <w:color w:val="auto"/>
        </w:rPr>
        <w:t>On June 14, 2021, the Company granted a total of 218,000 RSUs and 278,271 stock options to members of the Company’s Board of Directors under the 2020 Plan. The RSUs vest in equal installments over a three-year period upon the earlier of the anniversary of the grant date or the Company’s annual general meeting of shareholders in such anniversary year, and are subject to deferred settlement upon the Director’s separation of service with the Company.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5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On January 4, 2021, the Company granted a total of 3,265,700 RSUs and 3,100,200 stock options to employees under the 2020 Plan. The RSUs vest annually over a three-year period and the stock options vest quarterly over a four-year period with a one-year cliff vesting. Also on January 4, 2021, the Company granted a total of 1,345,800 RSUs to certain employees under the 2020 Plan that vest upon the achievement of specified operational performance conditions.</w:t>
      </w:r>
    </w:p>
    <w:p>
      <w:pPr>
        <w:spacing w:after="0" w:line="77"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color w:val="auto"/>
        </w:rPr>
        <w:t>On June 1, 2020, the Company granted a total of 782,520 RSUs to employees under the Amarin Corporation plc 2011 Stock Incentive Plan, or the 2011 Plan. The RSUs vest quarterly over a three-year period.</w:t>
      </w:r>
    </w:p>
    <w:p>
      <w:pPr>
        <w:spacing w:after="0" w:line="62" w:lineRule="exact"/>
        <w:rPr>
          <w:sz w:val="20"/>
          <w:szCs w:val="20"/>
          <w:color w:val="auto"/>
        </w:rPr>
      </w:pPr>
    </w:p>
    <w:p>
      <w:pPr>
        <w:ind w:right="140"/>
        <w:spacing w:after="0" w:line="356" w:lineRule="auto"/>
        <w:rPr>
          <w:sz w:val="20"/>
          <w:szCs w:val="20"/>
          <w:color w:val="auto"/>
        </w:rPr>
      </w:pPr>
      <w:r>
        <w:rPr>
          <w:rFonts w:ascii="Arial" w:cs="Arial" w:eastAsia="Arial" w:hAnsi="Arial"/>
          <w:sz w:val="16"/>
          <w:szCs w:val="16"/>
          <w:color w:val="auto"/>
        </w:rPr>
        <w:t>On March 2, 2020 and February 3, 2020, the Company granted a total of 821,950 RSUs and 1,875,000 stock options, respectively, to employees under the 2011 Plan. The RSUs vest annually over a three-year period and the stock options vest quarterly over a four-year period. Also on February 3, 2020, the Company granted a total of 1,253,400 RSUs to employees under the 2011 Plan that vest upon the achievement of specified sales performance conditions.</w:t>
      </w:r>
    </w:p>
    <w:p>
      <w:pPr>
        <w:spacing w:after="0" w:line="23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Co-Promotion Agreement</w:t>
      </w:r>
    </w:p>
    <w:p>
      <w:pPr>
        <w:spacing w:after="0" w:line="135" w:lineRule="exact"/>
        <w:rPr>
          <w:sz w:val="20"/>
          <w:szCs w:val="20"/>
          <w:color w:val="auto"/>
        </w:rPr>
      </w:pPr>
    </w:p>
    <w:p>
      <w:pPr>
        <w:ind w:right="360"/>
        <w:spacing w:after="0" w:line="279" w:lineRule="auto"/>
        <w:rPr>
          <w:sz w:val="20"/>
          <w:szCs w:val="20"/>
          <w:color w:val="auto"/>
        </w:rPr>
      </w:pPr>
      <w:r>
        <w:rPr>
          <w:rFonts w:ascii="Arial" w:cs="Arial" w:eastAsia="Arial" w:hAnsi="Arial"/>
          <w:sz w:val="18"/>
          <w:szCs w:val="18"/>
          <w:color w:val="auto"/>
        </w:rPr>
        <w:t>On March 31, 2014, the Company entered into a Co-Promotion Agreement, or the Agreement, with Kowa Pharmaceuticals America, Inc. related to the commercialization of VASCEPA capsules in the United States. The Company and Kowa Pharmaceuticals America, Inc. intentionally designed the Agreement to naturally end as of December 31, 2018 and mutually agreed not to renew the Agreement.</w:t>
      </w:r>
    </w:p>
    <w:p>
      <w:pPr>
        <w:spacing w:after="0" w:line="75" w:lineRule="exact"/>
        <w:rPr>
          <w:sz w:val="20"/>
          <w:szCs w:val="20"/>
          <w:color w:val="auto"/>
        </w:rPr>
      </w:pPr>
    </w:p>
    <w:p>
      <w:pPr>
        <w:ind w:right="160"/>
        <w:spacing w:after="0" w:line="319" w:lineRule="auto"/>
        <w:rPr>
          <w:sz w:val="20"/>
          <w:szCs w:val="20"/>
          <w:color w:val="auto"/>
        </w:rPr>
      </w:pPr>
      <w:r>
        <w:rPr>
          <w:rFonts w:ascii="Arial" w:cs="Arial" w:eastAsia="Arial" w:hAnsi="Arial"/>
          <w:sz w:val="16"/>
          <w:szCs w:val="16"/>
          <w:color w:val="auto"/>
        </w:rPr>
        <w:t>During 2018, which was the last year of the co-promotion of VASCEPA by Kowa Pharmaceuticals America, Inc., the Company incurred expense for co-promotion tail payments which are calculated as a percentage of the 2018 co-promotion fee, which was eighteen and a half percent (18.5%) of VASCEPA gross margin in 2018. The accrued tail payments are paid over three years with declining amounts each year. Kowa Pharmaceuticals America, Inc. was eligible to receive $17.8 million in co-promotion tail payments, the present value of which $16.6 million, was fully accrued as of December 31, 2018.</w:t>
      </w:r>
    </w:p>
    <w:p>
      <w:pPr>
        <w:spacing w:after="0" w:line="4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As of September 30, 2021, a net payable to Kowa Pharmaceuticals America, Inc. of $1.3 million was classified as current on the condensed consolidated balance sheet, representing the remaining accrued co-promotion tail payments. As of December 31, 2020, a net payable to Kowa Pharmaceuticals America, Inc. of $3.8 million, of which $3.2 million was classified as current on the condensed consolidated balance sheet, represents the remaining accrued co-promotion tail payments.</w:t>
      </w:r>
    </w:p>
    <w:p>
      <w:pPr>
        <w:spacing w:after="0" w:line="28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Revenue Recognition</w:t>
      </w:r>
    </w:p>
    <w:p>
      <w:pPr>
        <w:spacing w:after="0" w:line="135" w:lineRule="exact"/>
        <w:rPr>
          <w:sz w:val="20"/>
          <w:szCs w:val="20"/>
          <w:color w:val="auto"/>
        </w:rPr>
      </w:pPr>
    </w:p>
    <w:p>
      <w:pPr>
        <w:ind w:right="100"/>
        <w:spacing w:after="0" w:line="292" w:lineRule="auto"/>
        <w:rPr>
          <w:sz w:val="20"/>
          <w:szCs w:val="20"/>
          <w:color w:val="auto"/>
        </w:rPr>
      </w:pPr>
      <w:r>
        <w:rPr>
          <w:rFonts w:ascii="Arial" w:cs="Arial" w:eastAsia="Arial" w:hAnsi="Arial"/>
          <w:sz w:val="17"/>
          <w:szCs w:val="17"/>
          <w:color w:val="auto"/>
        </w:rPr>
        <w:t>The Company sells VASCEPA principally to a limited number of major wholesalers, as well as selected regional wholesalers and specialty pharmacy providers in the United States and Europe, or collectively, its distributors or its customers, that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66"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Revenues from product sales are recognized when the distributor obtains control of the Company’s product, which occurs at a point in time, typically upon delivery to the distributor. Payments from distributors are generally received 30-60 days from the date of sale. The Company evaluates the creditworthiness of each of its distributors to determine whether revenues can be recognized upon delivery, subject to satisfaction of the other requirements, or whether recognition is required to be delayed until receipt of payment</w:t>
      </w:r>
      <w:r>
        <w:rPr>
          <w:rFonts w:ascii="Arial" w:cs="Arial" w:eastAsia="Arial" w:hAnsi="Arial"/>
          <w:sz w:val="17"/>
          <w:szCs w:val="17"/>
          <w:color w:val="00B050"/>
        </w:rPr>
        <w:t>.</w:t>
      </w:r>
      <w:r>
        <w:rPr>
          <w:rFonts w:ascii="Arial" w:cs="Arial" w:eastAsia="Arial" w:hAnsi="Arial"/>
          <w:sz w:val="17"/>
          <w:szCs w:val="17"/>
          <w:color w:val="auto"/>
        </w:rPr>
        <w:t xml:space="preserve"> The Company calculates gross product revenues generally based on the wholesale acquisition cost or list price that the Company charges its distributors for VASCEPA.</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Reserves for Variable Consideration</w:t>
      </w:r>
    </w:p>
    <w:p>
      <w:pPr>
        <w:spacing w:after="0" w:line="131"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7" w:name="page18"/>
    <w:bookmarkEnd w:id="17"/>
    <w:p>
      <w:pPr>
        <w:spacing w:after="0" w:line="269" w:lineRule="auto"/>
        <w:rPr>
          <w:sz w:val="20"/>
          <w:szCs w:val="20"/>
          <w:color w:val="auto"/>
        </w:rPr>
      </w:pPr>
      <w:r>
        <w:rPr>
          <w:rFonts w:ascii="Arial" w:cs="Arial" w:eastAsia="Arial" w:hAnsi="Arial"/>
          <w:sz w:val="18"/>
          <w:szCs w:val="18"/>
          <w:color w:val="auto"/>
        </w:rPr>
        <w:t>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88" w:lineRule="exact"/>
        <w:rPr>
          <w:sz w:val="20"/>
          <w:szCs w:val="20"/>
          <w:color w:val="auto"/>
        </w:rPr>
      </w:pPr>
    </w:p>
    <w:p>
      <w:pPr>
        <w:ind w:left="520" w:right="20" w:firstLine="509"/>
        <w:spacing w:after="0" w:line="314" w:lineRule="auto"/>
        <w:rPr>
          <w:sz w:val="20"/>
          <w:szCs w:val="20"/>
          <w:color w:val="auto"/>
        </w:rPr>
      </w:pPr>
      <w:r>
        <w:rPr>
          <w:rFonts w:ascii="Arial" w:cs="Arial" w:eastAsia="Arial" w:hAnsi="Arial"/>
          <w:sz w:val="16"/>
          <w:szCs w:val="16"/>
          <w:i w:val="1"/>
          <w:iCs w:val="1"/>
          <w:color w:val="auto"/>
        </w:rPr>
        <w:t xml:space="preserve">Trade Allowances: </w:t>
      </w:r>
      <w:r>
        <w:rPr>
          <w:rFonts w:ascii="Arial" w:cs="Arial" w:eastAsia="Arial" w:hAnsi="Arial"/>
          <w:sz w:val="16"/>
          <w:szCs w:val="16"/>
          <w:color w:val="auto"/>
        </w:rPr>
        <w:t>The Company generally provides invoice discounts on VASCEPA sales to its distributors for prompt payment and fees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services, such as fees for certain data that distributors provide to the Company. The payment terms for sales to distributors in the U.S. and Germany generally include a 2-3% discount for prompt payment while the fees for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52" w:lineRule="exact"/>
        <w:rPr>
          <w:sz w:val="20"/>
          <w:szCs w:val="20"/>
          <w:color w:val="auto"/>
        </w:rPr>
      </w:pPr>
    </w:p>
    <w:p>
      <w:pPr>
        <w:ind w:left="520" w:right="40" w:firstLine="509"/>
        <w:spacing w:after="0" w:line="285" w:lineRule="auto"/>
        <w:rPr>
          <w:sz w:val="20"/>
          <w:szCs w:val="20"/>
          <w:color w:val="auto"/>
        </w:rPr>
      </w:pPr>
      <w:r>
        <w:rPr>
          <w:rFonts w:ascii="Arial" w:cs="Arial" w:eastAsia="Arial" w:hAnsi="Arial"/>
          <w:sz w:val="17"/>
          <w:szCs w:val="17"/>
          <w:i w:val="1"/>
          <w:iCs w:val="1"/>
          <w:color w:val="auto"/>
        </w:rPr>
        <w:t xml:space="preserve">Rebates, Chargebacks and Discounts: </w:t>
      </w:r>
      <w:r>
        <w:rPr>
          <w:rFonts w:ascii="Arial" w:cs="Arial" w:eastAsia="Arial" w:hAnsi="Arial"/>
          <w:sz w:val="17"/>
          <w:szCs w:val="17"/>
          <w:color w:val="auto"/>
        </w:rPr>
        <w:t>The Company contracts with Medicaid, Medicare, other government agencies and various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organizations, or 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condensed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71" w:lineRule="exact"/>
        <w:rPr>
          <w:sz w:val="20"/>
          <w:szCs w:val="20"/>
          <w:color w:val="auto"/>
        </w:rPr>
      </w:pPr>
    </w:p>
    <w:p>
      <w:pPr>
        <w:ind w:left="520" w:firstLine="509"/>
        <w:spacing w:after="0" w:line="285"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The Company’s distributors have the right to return unopened unprescribed VASCEPA during the 18-month period</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six months prior to the labeled expiration date and ending 12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w:t>
      </w:r>
    </w:p>
    <w:p>
      <w:pPr>
        <w:spacing w:after="0" w:line="74" w:lineRule="exact"/>
        <w:rPr>
          <w:sz w:val="20"/>
          <w:szCs w:val="20"/>
          <w:color w:val="auto"/>
        </w:rPr>
      </w:pPr>
    </w:p>
    <w:p>
      <w:pPr>
        <w:ind w:left="520" w:right="20" w:firstLine="509"/>
        <w:spacing w:after="0" w:line="299"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Other incentives that the Company offers to indirect customers include co-pay mitigation rebates provided by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to 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 The Company adjusts its accruals for co-pay mitigation rebates based on actual redemption activity and estimates regarding the portion of issued co-pay mitigation rebates that it estimates will be redeemed.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The following tables summarize activity in each of the net product revenue allowance and reserve categories described above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Rebates,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9"/>
              </w:rPr>
              <w:t>Trade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Chargebacks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Product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8"/>
        </w:trPr>
        <w:tc>
          <w:tcPr>
            <w:tcW w:w="40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0"/>
              </w:rPr>
              <w:t>Allowances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and Discounts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Returns</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6"/>
              </w:rPr>
              <w:t>Incentives</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120" w:type="dxa"/>
            <w:vAlign w:val="bottom"/>
            <w:gridSpan w:val="2"/>
          </w:tcPr>
          <w:p>
            <w:pPr>
              <w:spacing w:after="0"/>
              <w:rPr>
                <w:sz w:val="17"/>
                <w:szCs w:val="17"/>
                <w:color w:val="auto"/>
              </w:rPr>
            </w:pPr>
          </w:p>
        </w:tc>
      </w:tr>
      <w:tr>
        <w:trPr>
          <w:trHeight w:val="250"/>
        </w:trPr>
        <w:tc>
          <w:tcPr>
            <w:tcW w:w="4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2020</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36,242</w:t>
            </w:r>
          </w:p>
        </w:tc>
        <w:tc>
          <w:tcPr>
            <w:tcW w:w="200" w:type="dxa"/>
            <w:vAlign w:val="bottom"/>
            <w:shd w:val="clear" w:color="auto" w:fill="CFF0FC"/>
          </w:tcPr>
          <w:p>
            <w:pPr>
              <w:spacing w:after="0"/>
              <w:rPr>
                <w:sz w:val="21"/>
                <w:szCs w:val="21"/>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141,201</w:t>
            </w:r>
          </w:p>
        </w:tc>
        <w:tc>
          <w:tcPr>
            <w:tcW w:w="20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7,797</w:t>
            </w:r>
          </w:p>
        </w:tc>
        <w:tc>
          <w:tcPr>
            <w:tcW w:w="160" w:type="dxa"/>
            <w:vAlign w:val="bottom"/>
            <w:shd w:val="clear" w:color="auto" w:fill="CFF0FC"/>
          </w:tcPr>
          <w:p>
            <w:pPr>
              <w:spacing w:after="0"/>
              <w:rPr>
                <w:sz w:val="21"/>
                <w:szCs w:val="21"/>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5,587</w:t>
            </w:r>
          </w:p>
        </w:tc>
        <w:tc>
          <w:tcPr>
            <w:tcW w:w="14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190,827</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4080" w:type="dxa"/>
            <w:vAlign w:val="bottom"/>
          </w:tcPr>
          <w:p>
            <w:pPr>
              <w:ind w:left="180"/>
              <w:spacing w:after="0"/>
              <w:rPr>
                <w:sz w:val="20"/>
                <w:szCs w:val="20"/>
                <w:color w:val="auto"/>
              </w:rPr>
            </w:pPr>
            <w:r>
              <w:rPr>
                <w:rFonts w:ascii="Arial" w:cs="Arial" w:eastAsia="Arial" w:hAnsi="Arial"/>
                <w:sz w:val="18"/>
                <w:szCs w:val="18"/>
                <w:color w:val="auto"/>
              </w:rPr>
              <w:t>Provision related to current period sales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90,761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497,726</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2,647</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36,437</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627,571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Provision related to prior period sales</w:t>
            </w:r>
          </w:p>
        </w:tc>
        <w:tc>
          <w:tcPr>
            <w:tcW w:w="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(854 )</w:t>
            </w:r>
          </w:p>
        </w:tc>
        <w:tc>
          <w:tcPr>
            <w:tcW w:w="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(854 )</w:t>
            </w:r>
          </w:p>
        </w:tc>
      </w:tr>
      <w:tr>
        <w:trPr>
          <w:trHeight w:val="250"/>
        </w:trPr>
        <w:tc>
          <w:tcPr>
            <w:tcW w:w="4080" w:type="dxa"/>
            <w:vAlign w:val="bottom"/>
          </w:tcPr>
          <w:p>
            <w:pPr>
              <w:ind w:left="180"/>
              <w:spacing w:after="0"/>
              <w:rPr>
                <w:sz w:val="20"/>
                <w:szCs w:val="20"/>
                <w:color w:val="auto"/>
              </w:rPr>
            </w:pPr>
            <w:r>
              <w:rPr>
                <w:rFonts w:ascii="Arial" w:cs="Arial" w:eastAsia="Arial" w:hAnsi="Arial"/>
                <w:sz w:val="18"/>
                <w:szCs w:val="18"/>
                <w:color w:val="auto"/>
              </w:rPr>
              <w:t>Credits/payments made for current period sales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(27,635 )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(303,029 )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(31,796 )</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(362,460 )</w:t>
            </w:r>
          </w:p>
        </w:tc>
      </w:tr>
      <w:tr>
        <w:trPr>
          <w:trHeight w:val="257"/>
        </w:trPr>
        <w:tc>
          <w:tcPr>
            <w:tcW w:w="4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Credits/payments made for prior period sales</w:t>
            </w:r>
          </w:p>
        </w:tc>
        <w:tc>
          <w:tcPr>
            <w:tcW w:w="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(34,511 )</w:t>
            </w: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(131,320 )</w:t>
            </w:r>
          </w:p>
        </w:tc>
        <w:tc>
          <w:tcPr>
            <w:tcW w:w="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(958 )</w:t>
            </w: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(5,589 )</w:t>
            </w:r>
          </w:p>
        </w:tc>
        <w:tc>
          <w:tcPr>
            <w:tcW w:w="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w w:val="97"/>
              </w:rPr>
              <w:t>(172,378 )</w:t>
            </w:r>
          </w:p>
        </w:tc>
      </w:tr>
      <w:tr>
        <w:trPr>
          <w:trHeight w:val="250"/>
        </w:trPr>
        <w:tc>
          <w:tcPr>
            <w:tcW w:w="408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Balance as of September 30, 2021</w:t>
            </w:r>
          </w:p>
        </w:tc>
        <w:tc>
          <w:tcPr>
            <w:tcW w:w="40" w:type="dxa"/>
            <w:vAlign w:val="bottom"/>
            <w:tcBorders>
              <w:top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64,857</w:t>
            </w:r>
          </w:p>
        </w:tc>
        <w:tc>
          <w:tcPr>
            <w:tcW w:w="200" w:type="dxa"/>
            <w:vAlign w:val="bottom"/>
            <w:tcBorders>
              <w:top w:val="single" w:sz="8" w:color="CFF0FC"/>
            </w:tcBorders>
          </w:tcPr>
          <w:p>
            <w:pPr>
              <w:spacing w:after="0"/>
              <w:rPr>
                <w:sz w:val="21"/>
                <w:szCs w:val="21"/>
                <w:color w:val="auto"/>
              </w:rPr>
            </w:pPr>
          </w:p>
        </w:tc>
        <w:tc>
          <w:tcPr>
            <w:tcW w:w="2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203,724</w:t>
            </w:r>
          </w:p>
        </w:tc>
        <w:tc>
          <w:tcPr>
            <w:tcW w:w="200" w:type="dxa"/>
            <w:vAlign w:val="bottom"/>
            <w:tcBorders>
              <w:top w:val="single" w:sz="8" w:color="CFF0FC"/>
            </w:tcBorders>
          </w:tcPr>
          <w:p>
            <w:pPr>
              <w:spacing w:after="0"/>
              <w:rPr>
                <w:sz w:val="21"/>
                <w:szCs w:val="21"/>
                <w:color w:val="auto"/>
              </w:rPr>
            </w:pPr>
          </w:p>
        </w:tc>
        <w:tc>
          <w:tcPr>
            <w:tcW w:w="20" w:type="dxa"/>
            <w:vAlign w:val="bottom"/>
            <w:tcBorders>
              <w:top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9,486</w:t>
            </w:r>
          </w:p>
        </w:tc>
        <w:tc>
          <w:tcPr>
            <w:tcW w:w="160" w:type="dxa"/>
            <w:vAlign w:val="bottom"/>
            <w:tcBorders>
              <w:top w:val="single" w:sz="8" w:color="CFF0FC"/>
            </w:tcBorders>
          </w:tcPr>
          <w:p>
            <w:pPr>
              <w:spacing w:after="0"/>
              <w:rPr>
                <w:sz w:val="21"/>
                <w:szCs w:val="21"/>
                <w:color w:val="auto"/>
              </w:rPr>
            </w:pPr>
          </w:p>
        </w:tc>
        <w:tc>
          <w:tcPr>
            <w:tcW w:w="4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4,639</w:t>
            </w:r>
          </w:p>
        </w:tc>
        <w:tc>
          <w:tcPr>
            <w:tcW w:w="140" w:type="dxa"/>
            <w:vAlign w:val="bottom"/>
            <w:tcBorders>
              <w:top w:val="single" w:sz="8" w:color="CFF0FC"/>
            </w:tcBorders>
          </w:tcPr>
          <w:p>
            <w:pPr>
              <w:spacing w:after="0"/>
              <w:rPr>
                <w:sz w:val="21"/>
                <w:szCs w:val="21"/>
                <w:color w:val="auto"/>
              </w:rPr>
            </w:pPr>
          </w:p>
        </w:tc>
        <w:tc>
          <w:tcPr>
            <w:tcW w:w="6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282,706</w:t>
            </w:r>
          </w:p>
        </w:tc>
        <w:tc>
          <w:tcPr>
            <w:tcW w:w="2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0"/>
        </w:trPr>
        <w:tc>
          <w:tcPr>
            <w:tcW w:w="4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6"/>
        </w:trPr>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Rebates,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5"/>
        </w:trPr>
        <w:tc>
          <w:tcPr>
            <w:tcW w:w="4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Trade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Chargebacks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Product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8"/>
        </w:trPr>
        <w:tc>
          <w:tcPr>
            <w:tcW w:w="40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0"/>
              </w:rPr>
              <w:t>Allowances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and Discounts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Returns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0"/>
              </w:rPr>
              <w:t>Incentives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50"/>
        </w:trPr>
        <w:tc>
          <w:tcPr>
            <w:tcW w:w="4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29,261</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90,997</w:t>
            </w:r>
          </w:p>
        </w:tc>
        <w:tc>
          <w:tcPr>
            <w:tcW w:w="200" w:type="dxa"/>
            <w:vAlign w:val="bottom"/>
            <w:shd w:val="clear" w:color="auto" w:fill="CFF0FC"/>
          </w:tcPr>
          <w:p>
            <w:pPr>
              <w:spacing w:after="0"/>
              <w:rPr>
                <w:sz w:val="21"/>
                <w:szCs w:val="21"/>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4,579</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3,720</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tcBorders>
              <w:top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128,557</w:t>
            </w:r>
          </w:p>
        </w:tc>
        <w:tc>
          <w:tcPr>
            <w:tcW w:w="100" w:type="dxa"/>
            <w:vAlign w:val="bottom"/>
            <w:shd w:val="clear" w:color="auto" w:fill="CFF0FC"/>
          </w:tcPr>
          <w:p>
            <w:pPr>
              <w:spacing w:after="0"/>
              <w:rPr>
                <w:sz w:val="21"/>
                <w:szCs w:val="21"/>
                <w:color w:val="auto"/>
              </w:rPr>
            </w:pPr>
          </w:p>
        </w:tc>
      </w:tr>
      <w:tr>
        <w:trPr>
          <w:trHeight w:val="250"/>
        </w:trPr>
        <w:tc>
          <w:tcPr>
            <w:tcW w:w="4080" w:type="dxa"/>
            <w:vAlign w:val="bottom"/>
          </w:tcPr>
          <w:p>
            <w:pPr>
              <w:ind w:left="180"/>
              <w:spacing w:after="0"/>
              <w:rPr>
                <w:sz w:val="20"/>
                <w:szCs w:val="20"/>
                <w:color w:val="auto"/>
              </w:rPr>
            </w:pPr>
            <w:r>
              <w:rPr>
                <w:rFonts w:ascii="Arial" w:cs="Arial" w:eastAsia="Arial" w:hAnsi="Arial"/>
                <w:sz w:val="18"/>
                <w:szCs w:val="18"/>
                <w:color w:val="auto"/>
              </w:rPr>
              <w:t>Provision related to current period sales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95,239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437,030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2,534</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50,403</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585,206</w:t>
            </w:r>
          </w:p>
        </w:tc>
        <w:tc>
          <w:tcPr>
            <w:tcW w:w="100" w:type="dxa"/>
            <w:vAlign w:val="bottom"/>
          </w:tcPr>
          <w:p>
            <w:pPr>
              <w:spacing w:after="0"/>
              <w:rPr>
                <w:sz w:val="21"/>
                <w:szCs w:val="21"/>
                <w:color w:val="auto"/>
              </w:rPr>
            </w:pPr>
          </w:p>
        </w:tc>
      </w:tr>
      <w:tr>
        <w:trPr>
          <w:trHeight w:val="263"/>
        </w:trPr>
        <w:tc>
          <w:tcPr>
            <w:tcW w:w="4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Provision related to prior period sales</w:t>
            </w:r>
          </w:p>
        </w:tc>
        <w:tc>
          <w:tcPr>
            <w:tcW w:w="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(3,872 )</w:t>
            </w:r>
          </w:p>
        </w:tc>
        <w:tc>
          <w:tcPr>
            <w:tcW w:w="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(3,872 )</w:t>
            </w:r>
          </w:p>
        </w:tc>
      </w:tr>
      <w:tr>
        <w:trPr>
          <w:trHeight w:val="250"/>
        </w:trPr>
        <w:tc>
          <w:tcPr>
            <w:tcW w:w="4080" w:type="dxa"/>
            <w:vAlign w:val="bottom"/>
          </w:tcPr>
          <w:p>
            <w:pPr>
              <w:ind w:left="180"/>
              <w:spacing w:after="0"/>
              <w:rPr>
                <w:sz w:val="20"/>
                <w:szCs w:val="20"/>
                <w:color w:val="auto"/>
              </w:rPr>
            </w:pPr>
            <w:r>
              <w:rPr>
                <w:rFonts w:ascii="Arial" w:cs="Arial" w:eastAsia="Arial" w:hAnsi="Arial"/>
                <w:sz w:val="18"/>
                <w:szCs w:val="18"/>
                <w:color w:val="auto"/>
              </w:rPr>
              <w:t>Credits/payments made for current period sales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(32,364 )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(304,903 )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(46,768 )</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(384,035 )</w:t>
            </w:r>
          </w:p>
        </w:tc>
      </w:tr>
      <w:tr>
        <w:trPr>
          <w:trHeight w:val="257"/>
        </w:trPr>
        <w:tc>
          <w:tcPr>
            <w:tcW w:w="4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Credits/payments made for prior period sales</w:t>
            </w:r>
          </w:p>
        </w:tc>
        <w:tc>
          <w:tcPr>
            <w:tcW w:w="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(29,067 )</w:t>
            </w: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(85,731 )</w:t>
            </w:r>
          </w:p>
        </w:tc>
        <w:tc>
          <w:tcPr>
            <w:tcW w:w="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(223 )</w:t>
            </w: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(3,721 )</w:t>
            </w:r>
          </w:p>
        </w:tc>
        <w:tc>
          <w:tcPr>
            <w:tcW w:w="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99"/>
              </w:rPr>
              <w:t>(118,742 )</w:t>
            </w:r>
          </w:p>
        </w:tc>
      </w:tr>
      <w:tr>
        <w:trPr>
          <w:trHeight w:val="250"/>
        </w:trPr>
        <w:tc>
          <w:tcPr>
            <w:tcW w:w="408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Balance as of September 30, 2020</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63,069</w:t>
            </w:r>
          </w:p>
        </w:tc>
        <w:tc>
          <w:tcPr>
            <w:tcW w:w="20" w:type="dxa"/>
            <w:vAlign w:val="bottom"/>
            <w:tcBorders>
              <w:top w:val="single" w:sz="8" w:color="CFF0FC"/>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133,521</w:t>
            </w:r>
          </w:p>
        </w:tc>
        <w:tc>
          <w:tcPr>
            <w:tcW w:w="20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6,890</w:t>
            </w:r>
          </w:p>
        </w:tc>
        <w:tc>
          <w:tcPr>
            <w:tcW w:w="40" w:type="dxa"/>
            <w:vAlign w:val="bottom"/>
            <w:tcBorders>
              <w:top w:val="single" w:sz="8" w:color="CFF0FC"/>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3,634</w:t>
            </w:r>
          </w:p>
        </w:tc>
        <w:tc>
          <w:tcPr>
            <w:tcW w:w="40" w:type="dxa"/>
            <w:vAlign w:val="bottom"/>
            <w:tcBorders>
              <w:top w:val="single" w:sz="8" w:color="CFF0FC"/>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207,114</w:t>
            </w:r>
          </w:p>
        </w:tc>
        <w:tc>
          <w:tcPr>
            <w:tcW w:w="100" w:type="dxa"/>
            <w:vAlign w:val="bottom"/>
            <w:tcBorders>
              <w:top w:val="single" w:sz="8" w:color="CFF0FC"/>
            </w:tcBorders>
          </w:tcPr>
          <w:p>
            <w:pPr>
              <w:spacing w:after="0"/>
              <w:rPr>
                <w:sz w:val="21"/>
                <w:szCs w:val="21"/>
                <w:color w:val="auto"/>
              </w:rPr>
            </w:pPr>
          </w:p>
        </w:tc>
      </w:tr>
      <w:tr>
        <w:trPr>
          <w:trHeight w:val="20"/>
        </w:trPr>
        <w:tc>
          <w:tcPr>
            <w:tcW w:w="40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-1710690</wp:posOffset>
            </wp:positionV>
            <wp:extent cx="14541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-1710690</wp:posOffset>
            </wp:positionV>
            <wp:extent cx="14541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-1710690</wp:posOffset>
            </wp:positionV>
            <wp:extent cx="12890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-1710690</wp:posOffset>
            </wp:positionV>
            <wp:extent cx="12890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-1710690</wp:posOffset>
            </wp:positionV>
            <wp:extent cx="6858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-193675</wp:posOffset>
            </wp:positionV>
            <wp:extent cx="13716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-193675</wp:posOffset>
            </wp:positionV>
            <wp:extent cx="12001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-193675</wp:posOffset>
            </wp:positionV>
            <wp:extent cx="12001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-193675</wp:posOffset>
            </wp:positionV>
            <wp:extent cx="12001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-193675</wp:posOffset>
            </wp:positionV>
            <wp:extent cx="6032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317" w:lineRule="exact"/>
        <w:rPr>
          <w:sz w:val="20"/>
          <w:szCs w:val="20"/>
          <w:color w:val="auto"/>
        </w:rPr>
      </w:pPr>
    </w:p>
    <w:p>
      <w:pPr>
        <w:ind w:right="280"/>
        <w:spacing w:after="0" w:line="359" w:lineRule="auto"/>
        <w:rPr>
          <w:sz w:val="20"/>
          <w:szCs w:val="20"/>
          <w:color w:val="auto"/>
        </w:rPr>
      </w:pPr>
      <w:r>
        <w:rPr>
          <w:rFonts w:ascii="Arial" w:cs="Arial" w:eastAsia="Arial" w:hAnsi="Arial"/>
          <w:sz w:val="16"/>
          <w:szCs w:val="16"/>
          <w:color w:val="auto"/>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above.</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Licensing Revenue</w:t>
      </w:r>
    </w:p>
    <w:p>
      <w:pPr>
        <w:spacing w:after="0" w:line="131"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 Company enters into licensing agreements which are within the scope of Topic 606,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and royalty revenues.</w:t>
      </w:r>
    </w:p>
    <w:p>
      <w:pPr>
        <w:spacing w:after="0" w:line="83"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83"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77"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i w:val="1"/>
          <w:iCs w:val="1"/>
          <w:color w:val="auto"/>
        </w:rPr>
        <w:t xml:space="preserve">Licenses of intellectual property: </w:t>
      </w:r>
      <w:r>
        <w:rPr>
          <w:rFonts w:ascii="Arial" w:cs="Arial" w:eastAsia="Arial" w:hAnsi="Arial"/>
          <w:sz w:val="18"/>
          <w:szCs w:val="18"/>
          <w:color w:val="auto"/>
        </w:rPr>
        <w:t>If the license to the Company’s intellectual property is determined to be distinct from the other performance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84"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At the inception of each arrangement that includes development, regulatory and commercial milestone payments,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19" w:name="page20"/>
    <w:bookmarkEnd w:id="19"/>
    <w:p>
      <w:pPr>
        <w:ind w:right="120"/>
        <w:spacing w:after="0" w:line="290" w:lineRule="auto"/>
        <w:rPr>
          <w:sz w:val="20"/>
          <w:szCs w:val="20"/>
          <w:color w:val="auto"/>
        </w:rPr>
      </w:pPr>
      <w:r>
        <w:rPr>
          <w:rFonts w:ascii="Arial" w:cs="Arial" w:eastAsia="Arial" w:hAnsi="Arial"/>
          <w:sz w:val="17"/>
          <w:szCs w:val="17"/>
          <w:color w:val="auto"/>
        </w:rPr>
        <w:t>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68" w:lineRule="exact"/>
        <w:rPr>
          <w:sz w:val="20"/>
          <w:szCs w:val="20"/>
          <w:color w:val="auto"/>
        </w:rPr>
      </w:pPr>
    </w:p>
    <w:p>
      <w:pPr>
        <w:jc w:val="both"/>
        <w:ind w:right="120"/>
        <w:spacing w:after="0" w:line="292" w:lineRule="auto"/>
        <w:rPr>
          <w:sz w:val="20"/>
          <w:szCs w:val="20"/>
          <w:color w:val="auto"/>
        </w:rPr>
      </w:pPr>
      <w:r>
        <w:rPr>
          <w:rFonts w:ascii="Arial" w:cs="Arial" w:eastAsia="Arial" w:hAnsi="Arial"/>
          <w:sz w:val="17"/>
          <w:szCs w:val="17"/>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7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Development, Commercialization and Supply Agreements</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In-licenses</w:t>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Mochida Pharmaceutical Co., Ltd.</w:t>
      </w:r>
    </w:p>
    <w:p>
      <w:pPr>
        <w:spacing w:after="0" w:line="13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June 2018, the Company entered into a collaboration with Mochida Pharmaceutical Co., Ltd., or Mochida, related to the development and commercialization of drug products and indications based on the active pharmaceutical ingredient in VASCEPA, the omega-3 acid, EPA, or eicosapentaenoic acid. Among other terms in the agreement, the Company obtained an exclusive license to certain Mochida intellectual property to advance the Company’s interests in the United States and certain other territories and the parties will collaborate to research and develop new products and indications based on EPA for the Company’s commercialization in the United States and certain other territories. The potential new product and indication opportunities contemplated under this agreement are currently in early stages of development.</w:t>
      </w:r>
    </w:p>
    <w:p>
      <w:pPr>
        <w:spacing w:after="0" w:line="83" w:lineRule="exact"/>
        <w:rPr>
          <w:sz w:val="20"/>
          <w:szCs w:val="20"/>
          <w:color w:val="auto"/>
        </w:rPr>
      </w:pPr>
    </w:p>
    <w:p>
      <w:pPr>
        <w:ind w:right="440"/>
        <w:spacing w:after="0" w:line="279" w:lineRule="auto"/>
        <w:rPr>
          <w:sz w:val="20"/>
          <w:szCs w:val="20"/>
          <w:color w:val="auto"/>
        </w:rPr>
      </w:pPr>
      <w:r>
        <w:rPr>
          <w:rFonts w:ascii="Arial" w:cs="Arial" w:eastAsia="Arial" w:hAnsi="Arial"/>
          <w:sz w:val="18"/>
          <w:szCs w:val="18"/>
          <w:color w:val="auto"/>
        </w:rPr>
        <w:t>Upon closing of the collaboration agreement, the Company made a non-refundable, non-creditable upfront payment of approximately $2.7 million. In addition, the agreement provides for the Company to pay milestone payments upon the achievement of certain product development milestones and royalties on net sales of future products arising from the collaboration, if any.</w:t>
      </w:r>
    </w:p>
    <w:p>
      <w:pPr>
        <w:spacing w:after="0" w:line="75"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In January 2021, the Company exercised certain rights under the agreement, resulting in a payment of $1.0 million to Mochida, which was recorded as Research and development expense in the condensed consolidated statement of operations. In January 2020 and December 2020, the Company exercised certain rights under the agreement, resulting in payments of $1.0 million, respectively, to Mochida, which were recorded as Research and development expense in the condensed consolidated statement of operations.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8"/>
          <w:szCs w:val="18"/>
          <w:i w:val="1"/>
          <w:iCs w:val="1"/>
          <w:u w:val="single" w:color="auto"/>
          <w:color w:val="auto"/>
        </w:rPr>
        <w:t>Out-licenses</w:t>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Eddingpharm (Asia) Macao Commercial Offshore Limited</w:t>
      </w:r>
    </w:p>
    <w:p>
      <w:pPr>
        <w:spacing w:after="0" w:line="131"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color w:val="auto"/>
        </w:rPr>
        <w:t>In February 2015, the Company entered into a Development, Commercialization and Supply Agreement, or the DCS Agreement, with Eddingpharm (Asia) Macao Commercial Offshore Limited, or Edding, related to the development and commercialization of VASCEPA in Mainland China, Hong Kong, Macau and Taiwan, or the China Territory. Under the terms of the DCS Agreement, the Company granted to Edding an exclusive (including as to the Company) license with right to sublicense to develop and commercialize VASCEPA in the China Territory for uses that are currently commercialized and under development by the Company based on the Company’s MARINE, ANCHOR and REDUCE-IT clinical trials of VASCEPA.</w:t>
      </w:r>
    </w:p>
    <w:p>
      <w:pPr>
        <w:spacing w:after="0" w:line="66" w:lineRule="exact"/>
        <w:rPr>
          <w:sz w:val="20"/>
          <w:szCs w:val="20"/>
          <w:color w:val="auto"/>
        </w:rPr>
      </w:pPr>
    </w:p>
    <w:p>
      <w:pPr>
        <w:ind w:right="120"/>
        <w:spacing w:after="0" w:line="319" w:lineRule="auto"/>
        <w:rPr>
          <w:sz w:val="20"/>
          <w:szCs w:val="20"/>
          <w:color w:val="auto"/>
        </w:rPr>
      </w:pPr>
      <w:r>
        <w:rPr>
          <w:rFonts w:ascii="Arial" w:cs="Arial" w:eastAsia="Arial" w:hAnsi="Arial"/>
          <w:sz w:val="16"/>
          <w:szCs w:val="16"/>
          <w:color w:val="auto"/>
        </w:rPr>
        <w:t>Under the DCS Agreement, Edding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 agreed to certain restrictions regarding the commercialization of competitive products globally and the Company agreed to certain restrictions regarding the commercialization of competitive products in the China Territory.</w:t>
      </w:r>
    </w:p>
    <w:p>
      <w:pPr>
        <w:spacing w:after="0" w:line="48"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The Company and Edding agreed to form a joint development committee to oversee regulatory and development activities for VASCEPA in the China Territory in accordance with a negotiated development plan and formed a separate joint commercialization committee in advance of expected approval in the China Territory to oversee VASCEPA planning and pre-launch commercialization activities in the China Territory. Development costs are paid by Edding to the extent such costs are incurred in connection with the negotiated development plan or otherwise incurred by Edding. Edding is responsible for preparing and filing regulatory applications in all countries of the China Territory at Edding’s cost with the Company’s assistance. The DCS Agreement also contains customary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0" w:name="page21"/>
    <w:bookmarkEnd w:id="20"/>
    <w:p>
      <w:pPr>
        <w:ind w:right="140"/>
        <w:spacing w:after="0" w:line="293" w:lineRule="auto"/>
        <w:rPr>
          <w:sz w:val="20"/>
          <w:szCs w:val="20"/>
          <w:color w:val="auto"/>
        </w:rPr>
      </w:pPr>
      <w:r>
        <w:rPr>
          <w:rFonts w:ascii="Arial" w:cs="Arial" w:eastAsia="Arial" w:hAnsi="Arial"/>
          <w:sz w:val="18"/>
          <w:szCs w:val="18"/>
          <w:color w:val="auto"/>
        </w:rPr>
        <w:t>provisions regarding indemnification, supply, record keeping, audit rights, reporting obligations, and representations and warranties that are customary for an arrangement of this type.</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The term of the DCS Agreement expires, on a product-by-product basis, upon the later of (i) the date on which such product is no longer covered by a valid claim under a licensed patent in the China Territory, or (ii) the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 has the right to terminate the DCS Agreement for convenience with 12 months’ prior notice. Neither party may assign or transfer the DCS Agreement without the prior consent of the other party, provided that the Company may assign the DCS Agreement in the event of a change of control transaction.</w:t>
      </w:r>
    </w:p>
    <w:p>
      <w:pPr>
        <w:spacing w:after="0" w:line="68"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color w:val="auto"/>
        </w:rPr>
        <w:t>Upon closing of the DCS Agreement, the Company received a non-refundable $15.0 million up-front payment. In March 2016, Edding submitted its clinical trial application, or CTA, with respect to the MARINE indication for VASCEPA to the Chinese regulatory authority. Following the CTA submission, the Company received a non-refundable $1.0 million milestone payment. In March 2017, the CTA was approved by the Chinese regulatory authority, and, in December 2017, Edding commenced a pivotal clinical trial aimed to support the regulatory approval of the first indication of VASCEPA in a patient population with severe hypertriglyceridemia in Mainland China. In November 2020, the Company announced statistically significant topline results from the Phase 3 clinical trial of VASCEPA conducted by Edding, which is being used to seek regulatory approval in Mainland China. Edding is also seeking regulatory approval of VASCEPA in Hong Kong.</w:t>
      </w:r>
    </w:p>
    <w:p>
      <w:pPr>
        <w:spacing w:after="0" w:line="73"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$2.0 million to $15.0 million for a total of $33.0 million. The 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70"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The Company assessed this arrangement in accordance with Topic 606 and concluded that the contract counterparty, Edding,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and (3) ongoing development and regulatory assistance. Based on the analysis performed, the Company concluded that the identified performance obligations are not distinct and therefore a combined performance obligation.</w:t>
      </w:r>
    </w:p>
    <w:p>
      <w:pPr>
        <w:spacing w:after="0" w:line="66"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The transaction price includes the $15.0 million up-front consideration received and the $1.0 million milestone payment received related to the successful submission of the CTA for the MARINE indication. None of the other clinical or regulatory milestones have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84"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color w:val="auto"/>
        </w:rPr>
        <w:t>During the nine months ended September 30, 2021 and 2020, the Company recognized $0.8 million and $2.2 million, respectively, as licensing revenue related to the up-front and milestone payments received in connection with the Edding agreement. From contract inception through September 30, 2021 and December 31, 2020, the Company recognized $6.9 million and $6.1 million, respectively, as licensing revenue under the DCS Agreement concurrent with the input measure of support hours provided by Amarin to Edding in achieving the combined development and regulatory performance obligation, which in the Company’s judgment is the best measure of progress towards satisfying this performance obligation. The remaining transaction price of $10.0 million and $10.8 million is recorded in deferred revenue as of September 30, 2021 and December 31, 2020, respectively, on the condensed consolidated balance sheets and will be recognized as revenue over the remaining period of 13 years.</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Biologix FZCo</w:t>
      </w:r>
    </w:p>
    <w:p>
      <w:pPr>
        <w:spacing w:after="0" w:line="13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In March 2016, the Company entered into an agreement with Biologix FZCo, or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all payments based 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1" w:name="page22"/>
    <w:bookmarkEnd w:id="21"/>
    <w:p>
      <w:pPr>
        <w:ind w:right="60"/>
        <w:spacing w:after="0" w:line="293" w:lineRule="auto"/>
        <w:rPr>
          <w:sz w:val="20"/>
          <w:szCs w:val="20"/>
          <w:color w:val="auto"/>
        </w:rPr>
      </w:pPr>
      <w:r>
        <w:rPr>
          <w:rFonts w:ascii="Arial" w:cs="Arial" w:eastAsia="Arial" w:hAnsi="Arial"/>
          <w:sz w:val="18"/>
          <w:szCs w:val="18"/>
          <w:color w:val="auto"/>
        </w:rPr>
        <w:t>total product sales and pays Biologix a service fee in exchange for its services, whereby the service fee represents a percentage of gross selling price which is subject to a minimum floor price.</w:t>
      </w:r>
    </w:p>
    <w:p>
      <w:pPr>
        <w:spacing w:after="0" w:line="62" w:lineRule="exact"/>
        <w:rPr>
          <w:sz w:val="20"/>
          <w:szCs w:val="20"/>
          <w:color w:val="auto"/>
        </w:rPr>
      </w:pPr>
    </w:p>
    <w:p>
      <w:pPr>
        <w:ind w:right="240"/>
        <w:spacing w:after="0" w:line="279" w:lineRule="auto"/>
        <w:rPr>
          <w:sz w:val="20"/>
          <w:szCs w:val="20"/>
          <w:color w:val="auto"/>
        </w:rPr>
      </w:pPr>
      <w:r>
        <w:rPr>
          <w:rFonts w:ascii="Arial" w:cs="Arial" w:eastAsia="Arial" w:hAnsi="Arial"/>
          <w:sz w:val="18"/>
          <w:szCs w:val="18"/>
          <w:color w:val="auto"/>
        </w:rPr>
        <w:t>The Company received approval of VASCEPA as a prescription medication for use in Lebanon in March 2018, in United Arab Emirates in July 2018, in Qatar in January 2020 and in Bahrain in December 2020 as an adjunct to diet to reduce triglyceride levels in adult patients with severe hypertriglyceridemia. VASCEPA was launched in Lebanon in June 2018 and in United Arab Emirates in February 2019.</w:t>
      </w:r>
    </w:p>
    <w:p>
      <w:pPr>
        <w:spacing w:after="0" w:line="75" w:lineRule="exact"/>
        <w:rPr>
          <w:sz w:val="20"/>
          <w:szCs w:val="20"/>
          <w:color w:val="auto"/>
        </w:rPr>
      </w:pPr>
    </w:p>
    <w:p>
      <w:pPr>
        <w:ind w:right="280"/>
        <w:spacing w:after="0" w:line="324" w:lineRule="auto"/>
        <w:rPr>
          <w:sz w:val="20"/>
          <w:szCs w:val="20"/>
          <w:color w:val="auto"/>
        </w:rPr>
      </w:pPr>
      <w:r>
        <w:rPr>
          <w:rFonts w:ascii="Arial" w:cs="Arial" w:eastAsia="Arial" w:hAnsi="Arial"/>
          <w:sz w:val="17"/>
          <w:szCs w:val="17"/>
          <w:color w:val="auto"/>
        </w:rPr>
        <w:t>The Company recognized net product revenue of approximately $0.5 million and $1.0 million for the three and nine months ended September 30, 2021, respectively, and $0.5 million for the three and nine months ended September 30, 2020, respectively, related to sales to Biologix.</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HLS Therapeutics, Inc.</w:t>
      </w:r>
    </w:p>
    <w:p>
      <w:pPr>
        <w:spacing w:after="0" w:line="131"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auto"/>
        </w:rPr>
        <w:t>In September 2017, the Company entered into an agreement with HLS Therapeutics Inc., or HLS, a company incorporated under the laws of Canada, to register, commercialize and distribute VASCEPA in Canada. Under the agreement, HLS will be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48"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Upon closing of the agreement, the Company received one-half of a non-refundable $5.0 million up-front payment, and received the remaining half on the six-month anniversary of the closing. Following achievement of the REDUCE-IT trial primary endpoint, which was announced in September 2018, the Company received a non-refundable $2.5 million milestone payment. Following approval from Health Canada in December 2019, the Company received a non-refundable milestone payment of $2.5 million in February 2020. In addition, in January 2020 HLS obtained regulatory exclusivity from the Office of Patented Medicines and Liaison, or OPML, as a result the Company received a non-refundable $3.8 million milestone payment. In addition to the non-refundable, up-front and regulatory milestone payments just described, the Company is entitled to receive certain sales-based milestone payments of up to an additional $50.0 million, as well as tiered double-digit royalties on net sales of VASCEPA in Canada.</w:t>
      </w:r>
    </w:p>
    <w:p>
      <w:pPr>
        <w:spacing w:after="0" w:line="73"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and (3) participate in various steering committees. Based on the analysis performed, the Company concluded that the identified performance obligations in the agreement are not distinct and therefore a combined performance obligation.</w:t>
      </w:r>
    </w:p>
    <w:p>
      <w:pPr>
        <w:spacing w:after="0" w:line="48"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The transaction price includes the $5.0 million up-front consideration, the $2.5 million milestone related to the achievement of the REDUCE-IT trial primary endpoint, the $2.5 million milestone related to obtaining approval from Health Canada and $3.8 million milestone related to obtaining regulatory exclusivity from the OPML.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83"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auto"/>
        </w:rPr>
        <w:t>During the nine months ended September 30, 2021 and 2020, the Company recognized $0.7 million and $3.5 million, respectively, as licensing revenue related to up-front and milestone payments received in connection with the HLS agreement. From the contract’s inception through September 30, 2021 and December 31, 2020, the Company has recognized $7.3 million and $6.6 million, respectively, as licensing revenue is recognized under the agreement concurrent with the input measure of support hours provided by Amarin to HLS in achieving this performance obligation, which in the Company’s judgment is the best measure of progress towards satisfying the combined development and regulatory performance obligation. The remaining transaction price of $6.4 million and $7.1 million is recorded in deferred revenue as of September 30, 2021 and December 31, 2020, respectively, on the condensed consolidated balance sheets and will be recognized as revenue over the remaining period of 9 years.</w:t>
      </w:r>
    </w:p>
    <w:p>
      <w:pPr>
        <w:spacing w:after="0" w:line="56"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Company recognized net product revenue of nil for the three months ended September 30, 2021 and 2020, respectively, and nil and $8.5 million for the nine months ended September 30, 2021 and 2020, respectively, related to HLS.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2" w:name="page23"/>
    <w:bookmarkEnd w:id="22"/>
    <w:p>
      <w:pPr>
        <w:ind w:right="20"/>
        <w:spacing w:after="0" w:line="293" w:lineRule="auto"/>
        <w:rPr>
          <w:sz w:val="20"/>
          <w:szCs w:val="20"/>
          <w:color w:val="auto"/>
        </w:rPr>
      </w:pPr>
      <w:r>
        <w:rPr>
          <w:rFonts w:ascii="Arial" w:cs="Arial" w:eastAsia="Arial" w:hAnsi="Arial"/>
          <w:sz w:val="18"/>
          <w:szCs w:val="18"/>
          <w:color w:val="auto"/>
        </w:rPr>
        <w:t>The following table presents changes in the balances of the Company’s contract assets and liabilities during the nine months ended September 30, 2021 and 2020:</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Beginning of</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ind w:right="376"/>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5"/>
                <w:szCs w:val="15"/>
                <w:color w:val="auto"/>
              </w:rPr>
            </w:pPr>
          </w:p>
        </w:tc>
      </w:tr>
      <w:tr>
        <w:trPr>
          <w:trHeight w:val="198"/>
        </w:trPr>
        <w:tc>
          <w:tcPr>
            <w:tcW w:w="44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7"/>
                <w:szCs w:val="17"/>
                <w:color w:val="auto"/>
              </w:rPr>
            </w:pPr>
          </w:p>
        </w:tc>
        <w:tc>
          <w:tcPr>
            <w:tcW w:w="128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Period</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Deductions</w:t>
            </w:r>
          </w:p>
        </w:tc>
        <w:tc>
          <w:tcPr>
            <w:tcW w:w="320" w:type="dxa"/>
            <w:vAlign w:val="bottom"/>
          </w:tcPr>
          <w:p>
            <w:pPr>
              <w:spacing w:after="0"/>
              <w:rPr>
                <w:sz w:val="17"/>
                <w:szCs w:val="17"/>
                <w:color w:val="auto"/>
              </w:rPr>
            </w:pPr>
          </w:p>
        </w:tc>
        <w:tc>
          <w:tcPr>
            <w:tcW w:w="1340" w:type="dxa"/>
            <w:vAlign w:val="bottom"/>
          </w:tcPr>
          <w:p>
            <w:pPr>
              <w:jc w:val="right"/>
              <w:ind w:right="276"/>
              <w:spacing w:after="0"/>
              <w:rPr>
                <w:sz w:val="20"/>
                <w:szCs w:val="20"/>
                <w:color w:val="auto"/>
              </w:rPr>
            </w:pPr>
            <w:r>
              <w:rPr>
                <w:rFonts w:ascii="Arial" w:cs="Arial" w:eastAsia="Arial" w:hAnsi="Arial"/>
                <w:sz w:val="14"/>
                <w:szCs w:val="14"/>
                <w:b w:val="1"/>
                <w:bCs w:val="1"/>
                <w:color w:val="auto"/>
              </w:rPr>
              <w:t>End of Period</w:t>
            </w:r>
          </w:p>
        </w:tc>
        <w:tc>
          <w:tcPr>
            <w:tcW w:w="100" w:type="dxa"/>
            <w:vAlign w:val="bottom"/>
          </w:tcPr>
          <w:p>
            <w:pPr>
              <w:spacing w:after="0"/>
              <w:rPr>
                <w:sz w:val="17"/>
                <w:szCs w:val="17"/>
                <w:color w:val="auto"/>
              </w:rPr>
            </w:pPr>
          </w:p>
        </w:tc>
      </w:tr>
      <w:tr>
        <w:trPr>
          <w:trHeight w:val="25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 2021:</w:t>
            </w: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250"/>
        </w:trPr>
        <w:tc>
          <w:tcPr>
            <w:tcW w:w="440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9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50"/>
        </w:trPr>
        <w:tc>
          <w:tcPr>
            <w:tcW w:w="440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18,632</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92</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(1,592 )</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17,132</w:t>
            </w:r>
          </w:p>
        </w:tc>
        <w:tc>
          <w:tcPr>
            <w:tcW w:w="100" w:type="dxa"/>
            <w:vAlign w:val="bottom"/>
          </w:tcPr>
          <w:p>
            <w:pPr>
              <w:spacing w:after="0"/>
              <w:rPr>
                <w:sz w:val="21"/>
                <w:szCs w:val="21"/>
                <w:color w:val="auto"/>
              </w:rPr>
            </w:pPr>
          </w:p>
        </w:tc>
      </w:tr>
      <w:tr>
        <w:trPr>
          <w:trHeight w:val="290"/>
        </w:trPr>
        <w:tc>
          <w:tcPr>
            <w:tcW w:w="4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77"/>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 2020:</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r>
        <w:trPr>
          <w:trHeight w:val="250"/>
        </w:trPr>
        <w:tc>
          <w:tcPr>
            <w:tcW w:w="440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20,846</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(5,691 )</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18,905</w:t>
            </w:r>
          </w:p>
        </w:tc>
        <w:tc>
          <w:tcPr>
            <w:tcW w:w="100" w:type="dxa"/>
            <w:vAlign w:val="bottom"/>
            <w:shd w:val="clear" w:color="auto" w:fill="CCEEFF"/>
          </w:tcPr>
          <w:p>
            <w:pPr>
              <w:spacing w:after="0"/>
              <w:rPr>
                <w:sz w:val="22"/>
                <w:szCs w:val="22"/>
                <w:color w:val="auto"/>
              </w:rPr>
            </w:pPr>
          </w:p>
        </w:tc>
      </w:tr>
    </w:tbl>
    <w:p>
      <w:pPr>
        <w:spacing w:after="0" w:line="337"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color w:val="auto"/>
        </w:rPr>
        <w:t>During the nine months ended September 30, 2021 and 2020, the Company recognized the following revenues as a result of changes in the contract asset and contract liability balances in the respective periods: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18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Nine months ended September 30,</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Revenue recognized in the period from:</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included in contract liability at the beginning of the period</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460" w:type="dxa"/>
            <w:vAlign w:val="bottom"/>
            <w:gridSpan w:val="2"/>
            <w:shd w:val="clear" w:color="auto" w:fill="CCEEFF"/>
          </w:tcPr>
          <w:p>
            <w:pPr>
              <w:jc w:val="right"/>
              <w:ind w:right="9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00" w:type="dxa"/>
            <w:vAlign w:val="bottom"/>
            <w:shd w:val="clear" w:color="auto" w:fill="CCEEFF"/>
          </w:tcPr>
          <w:p>
            <w:pPr>
              <w:spacing w:after="0"/>
              <w:rPr>
                <w:sz w:val="21"/>
                <w:szCs w:val="2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Performance obligations satisfied in previous periods</w:t>
            </w:r>
          </w:p>
        </w:tc>
        <w:tc>
          <w:tcPr>
            <w:tcW w:w="1160" w:type="dxa"/>
            <w:vAlign w:val="bottom"/>
          </w:tcPr>
          <w:p>
            <w:pPr>
              <w:jc w:val="right"/>
              <w:ind w:right="97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1460" w:type="dxa"/>
            <w:vAlign w:val="bottom"/>
            <w:gridSpan w:val="2"/>
          </w:tcPr>
          <w:p>
            <w:pPr>
              <w:jc w:val="right"/>
              <w:ind w:right="96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35"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74"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condensed consolidated financial statements.</w:t>
      </w:r>
    </w:p>
    <w:p>
      <w:pPr>
        <w:spacing w:after="0" w:line="8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February 5, 2019, the Company entered into a lease agreement for new office space in Bridgewater, New Jersey, or the Lease. The Lease commenced on August 15, 2019, or the Commencement Date, for an 11-year period, with two five-year renewal options. Subject to the terms of the Lease, Amarin will have a one-time option to terminate the agreement effective on the first day of the 97</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month after the Commencement Date upon advance written notice and a termination payment specified in the Lease. Under the Lease, the Company paid monthly rent of approximately $0.1 million for the first year following the Commencement Date, and such rent increases by a nominal percentage every year following the first anniversary of the Commencement Date. In addition, Amarin receives certain abatements subject to the limitations in the Lease. The operating lease liability is $10.5 million and $10.6 million and the operating lease right-of-use asset is $7.8 million and $8.1 million, as of September 30, 2021 and December 31, 2020, respectively.</w:t>
      </w:r>
    </w:p>
    <w:p>
      <w:pPr>
        <w:spacing w:after="0" w:line="6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The lease expense for the three and nine months ended September 30, 2021 is approximately $0.5 million and $1.5 million, respectively. The lease expense for the three and nine months ended September 30, 2020 is approximately $0.4 million and $1.2 million, respectively.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3" w:name="page24"/>
    <w:bookmarkEnd w:id="23"/>
    <w:p>
      <w:pPr>
        <w:ind w:right="400"/>
        <w:spacing w:after="0" w:line="293" w:lineRule="auto"/>
        <w:rPr>
          <w:sz w:val="20"/>
          <w:szCs w:val="20"/>
          <w:color w:val="auto"/>
        </w:rPr>
      </w:pPr>
      <w:r>
        <w:rPr>
          <w:rFonts w:ascii="Arial" w:cs="Arial" w:eastAsia="Arial" w:hAnsi="Arial"/>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September 30,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Undiscounted</w:t>
            </w:r>
          </w:p>
        </w:tc>
      </w:tr>
      <w:tr>
        <w:trPr>
          <w:trHeight w:val="175"/>
        </w:trPr>
        <w:tc>
          <w:tcPr>
            <w:tcW w:w="40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lease</w:t>
            </w:r>
          </w:p>
        </w:tc>
      </w:tr>
      <w:tr>
        <w:trPr>
          <w:trHeight w:val="176"/>
        </w:trPr>
        <w:tc>
          <w:tcPr>
            <w:tcW w:w="40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payments</w:t>
            </w:r>
          </w:p>
        </w:tc>
      </w:tr>
      <w:tr>
        <w:trPr>
          <w:trHeight w:val="192"/>
        </w:trPr>
        <w:tc>
          <w:tcPr>
            <w:tcW w:w="4020" w:type="dxa"/>
            <w:vAlign w:val="bottom"/>
            <w:tcBorders>
              <w:bottom w:val="single" w:sz="8" w:color="auto"/>
            </w:tcBorders>
          </w:tcPr>
          <w:p>
            <w:pPr>
              <w:spacing w:after="0"/>
              <w:rPr>
                <w:sz w:val="16"/>
                <w:szCs w:val="16"/>
                <w:color w:val="auto"/>
              </w:rPr>
            </w:pPr>
          </w:p>
        </w:tc>
        <w:tc>
          <w:tcPr>
            <w:tcW w:w="49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91"/>
              </w:rPr>
              <w:t>($000s)</w:t>
            </w:r>
          </w:p>
        </w:tc>
        <w:tc>
          <w:tcPr>
            <w:tcW w:w="100" w:type="dxa"/>
            <w:vAlign w:val="bottom"/>
          </w:tcPr>
          <w:p>
            <w:pPr>
              <w:spacing w:after="0"/>
              <w:rPr>
                <w:sz w:val="16"/>
                <w:szCs w:val="16"/>
                <w:color w:val="auto"/>
              </w:rPr>
            </w:pPr>
          </w:p>
        </w:tc>
      </w:tr>
      <w:tr>
        <w:trPr>
          <w:trHeight w:val="25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2021</w:t>
            </w:r>
          </w:p>
        </w:tc>
        <w:tc>
          <w:tcPr>
            <w:tcW w:w="550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FF0FC"/>
          </w:tcPr>
          <w:p>
            <w:pPr>
              <w:spacing w:after="0"/>
              <w:rPr>
                <w:sz w:val="22"/>
                <w:szCs w:val="22"/>
                <w:color w:val="auto"/>
              </w:rPr>
            </w:pPr>
          </w:p>
        </w:tc>
      </w:tr>
      <w:tr>
        <w:trPr>
          <w:trHeight w:val="250"/>
        </w:trPr>
        <w:tc>
          <w:tcPr>
            <w:tcW w:w="4020" w:type="dxa"/>
            <w:vAlign w:val="bottom"/>
          </w:tcPr>
          <w:p>
            <w:pPr>
              <w:ind w:left="20"/>
              <w:spacing w:after="0"/>
              <w:rPr>
                <w:sz w:val="20"/>
                <w:szCs w:val="20"/>
                <w:color w:val="auto"/>
              </w:rPr>
            </w:pPr>
            <w:r>
              <w:rPr>
                <w:rFonts w:ascii="Arial" w:cs="Arial" w:eastAsia="Arial" w:hAnsi="Arial"/>
                <w:sz w:val="18"/>
                <w:szCs w:val="18"/>
                <w:color w:val="auto"/>
              </w:rPr>
              <w:t>2022</w:t>
            </w:r>
          </w:p>
        </w:tc>
        <w:tc>
          <w:tcPr>
            <w:tcW w:w="4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1,774</w:t>
            </w:r>
          </w:p>
        </w:tc>
        <w:tc>
          <w:tcPr>
            <w:tcW w:w="100" w:type="dxa"/>
            <w:vAlign w:val="bottom"/>
          </w:tcPr>
          <w:p>
            <w:pPr>
              <w:spacing w:after="0"/>
              <w:rPr>
                <w:sz w:val="21"/>
                <w:szCs w:val="21"/>
                <w:color w:val="auto"/>
              </w:rPr>
            </w:pPr>
          </w:p>
        </w:tc>
      </w:tr>
      <w:tr>
        <w:trPr>
          <w:trHeight w:val="263"/>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49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w:t>
            </w:r>
          </w:p>
        </w:tc>
        <w:tc>
          <w:tcPr>
            <w:tcW w:w="100" w:type="dxa"/>
            <w:vAlign w:val="bottom"/>
            <w:shd w:val="clear" w:color="auto" w:fill="CFF0FC"/>
          </w:tcPr>
          <w:p>
            <w:pPr>
              <w:spacing w:after="0"/>
              <w:rPr>
                <w:sz w:val="22"/>
                <w:szCs w:val="22"/>
                <w:color w:val="auto"/>
              </w:rPr>
            </w:pPr>
          </w:p>
        </w:tc>
      </w:tr>
      <w:tr>
        <w:trPr>
          <w:trHeight w:val="250"/>
        </w:trPr>
        <w:tc>
          <w:tcPr>
            <w:tcW w:w="4020" w:type="dxa"/>
            <w:vAlign w:val="bottom"/>
          </w:tcPr>
          <w:p>
            <w:pPr>
              <w:ind w:left="20"/>
              <w:spacing w:after="0"/>
              <w:rPr>
                <w:sz w:val="20"/>
                <w:szCs w:val="20"/>
                <w:color w:val="auto"/>
              </w:rPr>
            </w:pPr>
            <w:r>
              <w:rPr>
                <w:rFonts w:ascii="Arial" w:cs="Arial" w:eastAsia="Arial" w:hAnsi="Arial"/>
                <w:sz w:val="18"/>
                <w:szCs w:val="18"/>
                <w:color w:val="auto"/>
              </w:rPr>
              <w:t>2024</w:t>
            </w:r>
          </w:p>
        </w:tc>
        <w:tc>
          <w:tcPr>
            <w:tcW w:w="4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21"/>
                <w:szCs w:val="21"/>
                <w:color w:val="auto"/>
              </w:rPr>
            </w:pPr>
          </w:p>
        </w:tc>
      </w:tr>
      <w:tr>
        <w:trPr>
          <w:trHeight w:val="263"/>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49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FF0FC"/>
          </w:tcPr>
          <w:p>
            <w:pPr>
              <w:spacing w:after="0"/>
              <w:rPr>
                <w:sz w:val="22"/>
                <w:szCs w:val="22"/>
                <w:color w:val="auto"/>
              </w:rPr>
            </w:pPr>
          </w:p>
        </w:tc>
      </w:tr>
      <w:tr>
        <w:trPr>
          <w:trHeight w:val="256"/>
        </w:trPr>
        <w:tc>
          <w:tcPr>
            <w:tcW w:w="4020" w:type="dxa"/>
            <w:vAlign w:val="bottom"/>
          </w:tcPr>
          <w:p>
            <w:pPr>
              <w:ind w:left="20"/>
              <w:spacing w:after="0"/>
              <w:rPr>
                <w:sz w:val="20"/>
                <w:szCs w:val="20"/>
                <w:color w:val="auto"/>
              </w:rPr>
            </w:pPr>
            <w:r>
              <w:rPr>
                <w:rFonts w:ascii="Arial" w:cs="Arial" w:eastAsia="Arial" w:hAnsi="Arial"/>
                <w:sz w:val="18"/>
                <w:szCs w:val="18"/>
                <w:color w:val="auto"/>
              </w:rPr>
              <w:t>2026 and thereafter</w:t>
            </w:r>
          </w:p>
        </w:tc>
        <w:tc>
          <w:tcPr>
            <w:tcW w:w="4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9,112</w:t>
            </w:r>
          </w:p>
        </w:tc>
        <w:tc>
          <w:tcPr>
            <w:tcW w:w="100" w:type="dxa"/>
            <w:vAlign w:val="bottom"/>
          </w:tcPr>
          <w:p>
            <w:pPr>
              <w:spacing w:after="0"/>
              <w:rPr>
                <w:sz w:val="22"/>
                <w:szCs w:val="22"/>
                <w:color w:val="auto"/>
              </w:rPr>
            </w:pPr>
          </w:p>
        </w:tc>
      </w:tr>
      <w:tr>
        <w:trPr>
          <w:trHeight w:val="250"/>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undiscounted payments</w:t>
            </w:r>
          </w:p>
        </w:tc>
        <w:tc>
          <w:tcPr>
            <w:tcW w:w="5180" w:type="dxa"/>
            <w:vAlign w:val="bottom"/>
            <w:tcBorders>
              <w:bottom w:val="single" w:sz="8" w:color="CFF0FC"/>
            </w:tcBorders>
            <w:gridSpan w:val="2"/>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4020" w:type="dxa"/>
            <w:vAlign w:val="bottom"/>
          </w:tcPr>
          <w:p>
            <w:pPr>
              <w:ind w:left="20"/>
              <w:spacing w:after="0"/>
              <w:rPr>
                <w:sz w:val="20"/>
                <w:szCs w:val="20"/>
                <w:color w:val="auto"/>
              </w:rPr>
            </w:pPr>
            <w:r>
              <w:rPr>
                <w:rFonts w:ascii="Arial" w:cs="Arial" w:eastAsia="Arial" w:hAnsi="Arial"/>
                <w:sz w:val="18"/>
                <w:szCs w:val="18"/>
                <w:color w:val="auto"/>
              </w:rPr>
              <w:t>Discount Adjustments</w:t>
            </w:r>
          </w:p>
        </w:tc>
        <w:tc>
          <w:tcPr>
            <w:tcW w:w="5180" w:type="dxa"/>
            <w:vAlign w:val="bottom"/>
            <w:gridSpan w:val="2"/>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(6,358 )</w:t>
            </w:r>
          </w:p>
        </w:tc>
      </w:tr>
      <w:tr>
        <w:trPr>
          <w:trHeight w:val="250"/>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operating lease liability</w:t>
            </w:r>
          </w:p>
        </w:tc>
        <w:tc>
          <w:tcPr>
            <w:tcW w:w="5180" w:type="dxa"/>
            <w:vAlign w:val="bottom"/>
            <w:gridSpan w:val="2"/>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FF0FC"/>
          </w:tcPr>
          <w:p>
            <w:pPr>
              <w:spacing w:after="0"/>
              <w:rPr>
                <w:sz w:val="21"/>
                <w:szCs w:val="2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Long-term operating lease liability</w:t>
            </w:r>
          </w:p>
        </w:tc>
        <w:tc>
          <w:tcPr>
            <w:tcW w:w="5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8,729</w:t>
            </w:r>
          </w:p>
        </w:tc>
        <w:tc>
          <w:tcPr>
            <w:tcW w:w="100" w:type="dxa"/>
            <w:vAlign w:val="bottom"/>
          </w:tcPr>
          <w:p>
            <w:pPr>
              <w:spacing w:after="0"/>
              <w:rPr>
                <w:sz w:val="21"/>
                <w:szCs w:val="21"/>
                <w:color w:val="auto"/>
              </w:rPr>
            </w:pPr>
          </w:p>
        </w:tc>
      </w:tr>
      <w:tr>
        <w:trPr>
          <w:trHeight w:val="473"/>
        </w:trPr>
        <w:tc>
          <w:tcPr>
            <w:tcW w:w="4020" w:type="dxa"/>
            <w:vAlign w:val="bottom"/>
          </w:tcPr>
          <w:p>
            <w:pPr>
              <w:spacing w:after="0"/>
              <w:rPr>
                <w:sz w:val="24"/>
                <w:szCs w:val="24"/>
                <w:color w:val="auto"/>
              </w:rPr>
            </w:pPr>
          </w:p>
        </w:tc>
        <w:tc>
          <w:tcPr>
            <w:tcW w:w="4960" w:type="dxa"/>
            <w:vAlign w:val="bottom"/>
          </w:tcPr>
          <w:p>
            <w:pPr>
              <w:jc w:val="right"/>
              <w:ind w:right="317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4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-879475</wp:posOffset>
            </wp:positionV>
            <wp:extent cx="6858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4" w:name="page25"/>
    <w:bookmarkEnd w:id="24"/>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2020 and below under Part II, Item IA, “Risk Factors”.</w:t>
      </w:r>
    </w:p>
    <w:p>
      <w:pPr>
        <w:spacing w:after="0" w:line="7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This Management’s Discussion and Analysis of Financial Condition and Results of Operations, or MD&amp;A, should be read in conjunction with the Part I, Item 1, Business and Part II, Item 7, MD&amp;A included in our Annual Report on Form 10-K for the fiscal year ended December 31, 2020 for additional information on our business.</w:t>
      </w:r>
    </w:p>
    <w:p>
      <w:pPr>
        <w:spacing w:after="0" w:line="76" w:lineRule="exact"/>
        <w:rPr>
          <w:sz w:val="20"/>
          <w:szCs w:val="20"/>
          <w:color w:val="auto"/>
        </w:rPr>
      </w:pPr>
    </w:p>
    <w:p>
      <w:pPr>
        <w:ind w:right="100" w:firstLine="509"/>
        <w:spacing w:after="0" w:line="230" w:lineRule="auto"/>
        <w:rPr>
          <w:sz w:val="20"/>
          <w:szCs w:val="20"/>
          <w:color w:val="auto"/>
        </w:rPr>
      </w:pPr>
      <w:r>
        <w:rPr>
          <w:rFonts w:ascii="Arial" w:cs="Arial" w:eastAsia="Arial" w:hAnsi="Arial"/>
          <w:sz w:val="18"/>
          <w:szCs w:val="18"/>
          <w:color w:val="auto"/>
        </w:rPr>
        <w:t>We are a pharmaceutical company focused on the commercialization and development of therapeutics to improve cardiovascular, or CV, health and reduce CV risk. Our lead product, VASCEPA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(icosapent ethyl) was first approved by the United States Food and Drug Administration, or U.S. FDA, for use as an adjunct to diet to reduce triglyceride, or TG, levels in adult patients with severe (≥500 mg/dL) hypertriglyceridemia. We launched VASCEPA in the United States, or U.S., in January 2013. On December 13, 2019 the U.S. FDA approved an indication and label expansion for VASCEPA based on the landmark results of our cardiovascular outcomes trial, REDUCE-IT</w:t>
      </w:r>
      <w:r>
        <w:rPr>
          <w:rFonts w:ascii="Arial" w:cs="Arial" w:eastAsia="Arial" w:hAnsi="Arial"/>
          <w:sz w:val="24"/>
          <w:szCs w:val="24"/>
          <w:color w:val="auto"/>
          <w:vertAlign w:val="superscript"/>
        </w:rPr>
        <w:t>®</w:t>
      </w:r>
      <w:r>
        <w:rPr>
          <w:rFonts w:ascii="Arial" w:cs="Arial" w:eastAsia="Arial" w:hAnsi="Arial"/>
          <w:sz w:val="18"/>
          <w:szCs w:val="18"/>
          <w:color w:val="auto"/>
        </w:rPr>
        <w:t>, or Reduction of Cardiovascular Events with EPA – Intervention Trial. VASCEPA is the first and only drug approved by the U.S. FDA as an adjunct to maximally tolerated statin therapy for reducing persistent cardiovascular risk in select high risk-patients.</w:t>
      </w:r>
    </w:p>
    <w:p>
      <w:pPr>
        <w:spacing w:after="0" w:line="99"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In August 2020, we announced our plans to launch icosapent ethyl under the brand name VAZKEPA, hereinafter along with the U.S. brand name VASCEPA, collectively referred to as VASCEPA, in major markets in Europe through our own new European sales and marketing teams. On January 28, 2021, the Committee for Medicinal Products for Human Use, or CHMP, of the European Medicines Agency, or EMA, adopted a positive opinion, recommending that a marketing authorization be granted to our drug, icosapent ethyl, in the European Union, or EU, for the reduction of risk of cardiovascular events in patients with high cardiovascular risk. On March 26, 2021, the European Commission, or EC, granted approval of the marketing authorization application in the EU for VAZKEPA which is the first and only EC approved therapy to reduce cardiovascular risk in high-risk statin-treated patients with elevated TG levels. The EC approval provides ten years of market protection in the EU, and we have been issued a patent that expires in 2033 with additional pending applications that could extend exclusivity into 2039. On September 13, 2021, we launched VAZKEPA in Germany, representing our first European launch of VAZKEPA. On April 22, 2021, we announced that we received marketing authorization from the Medicines and Healthcare Products Regulatory Agency, or MHRA, for VAZKEPA in England, Wales and Scotland to reduce cardiovascular risk through MHRA’s new ‘reliance’ route following the end of the BREXIT transition period.</w:t>
      </w:r>
    </w:p>
    <w:p>
      <w:pPr>
        <w:spacing w:after="0" w:line="87" w:lineRule="exact"/>
        <w:rPr>
          <w:sz w:val="20"/>
          <w:szCs w:val="20"/>
          <w:color w:val="auto"/>
        </w:rPr>
      </w:pPr>
    </w:p>
    <w:p>
      <w:pPr>
        <w:ind w:firstLine="539"/>
        <w:spacing w:after="0" w:line="306" w:lineRule="auto"/>
        <w:rPr>
          <w:sz w:val="20"/>
          <w:szCs w:val="20"/>
          <w:color w:val="auto"/>
        </w:rPr>
      </w:pPr>
      <w:r>
        <w:rPr>
          <w:rFonts w:ascii="Arial" w:cs="Arial" w:eastAsia="Arial" w:hAnsi="Arial"/>
          <w:sz w:val="16"/>
          <w:szCs w:val="16"/>
          <w:color w:val="auto"/>
        </w:rPr>
        <w:t>In Europe, launch of VAZKEPA in individual countries is gated by timing of achieving product reimbursement on a country-by-country basis as is typical for new drugs. In seeking market access, we have filed ten dossiers in European countries, including in all of the largest countries in Europe, and expect to file additional dossiers in Europe and select other parts of the world in the coming months. In order to launch impactfully in Europe we have been building a core team of experienced professionals and a highly capable commercial team, who are involved with pre-launch planning and other commercial preparation activities and plan to leverage third-party relationships for various support activities. We are building a digitally native commercial model balancing digital and face-to-face approaches, with more of a focus on a digital environment, which we believe will provide more impact and cost efficiency. Additionally, we are continuing to grow our European staff by hiring Market access and Medical affairs teams, among others, across Europe. On September 1, 2021, VAZKEPA was made available in Germany and was included in the country's electronic prescribing system as of October 1, 2021. The commercial launch in Germany was accompanied by a scientific conference in Berlin titled, “New therapeutic strategies for residual CV risk management,” which highlighted the scientific underpinnings and clinical benefits of VASCEPA/VAZKEPA in reducing cardiovascular risk.</w:t>
      </w:r>
    </w:p>
    <w:p>
      <w:pPr>
        <w:spacing w:after="0" w:line="57" w:lineRule="exact"/>
        <w:rPr>
          <w:sz w:val="20"/>
          <w:szCs w:val="20"/>
          <w:color w:val="auto"/>
        </w:rPr>
      </w:pPr>
    </w:p>
    <w:p>
      <w:pPr>
        <w:ind w:right="60" w:firstLine="539"/>
        <w:spacing w:after="0" w:line="266" w:lineRule="auto"/>
        <w:rPr>
          <w:sz w:val="20"/>
          <w:szCs w:val="20"/>
          <w:color w:val="auto"/>
        </w:rPr>
      </w:pPr>
      <w:r>
        <w:rPr>
          <w:rFonts w:ascii="Arial" w:cs="Arial" w:eastAsia="Arial" w:hAnsi="Arial"/>
          <w:sz w:val="18"/>
          <w:szCs w:val="18"/>
          <w:color w:val="auto"/>
        </w:rPr>
        <w:t>In November 2020, we announced statistically significant topline results from the Phase 3 clinical trial of VASCEPA conducted by our partner in China. On February 9, 2021, we announced that our partner in China commenced the regulatory review processes in Mainland China and Hong Kong. The Chinese National Medical Products Administration, or NMPA, has accepted for review the new</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5" w:right="359" w:bottom="1440" w:gutter="0" w:footer="0" w:header="0"/>
        </w:sectPr>
      </w:pPr>
    </w:p>
    <w:bookmarkStart w:id="25" w:name="page26"/>
    <w:bookmarkEnd w:id="25"/>
    <w:p>
      <w:pPr>
        <w:ind w:right="40"/>
        <w:spacing w:after="0" w:line="275" w:lineRule="auto"/>
        <w:rPr>
          <w:sz w:val="20"/>
          <w:szCs w:val="20"/>
          <w:color w:val="auto"/>
        </w:rPr>
      </w:pPr>
      <w:r>
        <w:rPr>
          <w:rFonts w:ascii="Arial" w:cs="Arial" w:eastAsia="Arial" w:hAnsi="Arial"/>
          <w:sz w:val="18"/>
          <w:szCs w:val="18"/>
          <w:color w:val="auto"/>
        </w:rPr>
        <w:t>drug application for VASCEPA based on the results from the Phase 3 clinical trial and the results from our prior studies of VASCEPA. We expect to receive a decision from the NMPA in Mainland China near the end of 2021. The Hong Kong Department of Health is evaluating VASCEPA based initially on current approvals in the United States and Canada with subsequent notification of the EC approval. The review process in Hong Kong is expected to conclude near the end of 2021.</w:t>
      </w:r>
    </w:p>
    <w:p>
      <w:pPr>
        <w:spacing w:after="0" w:line="77" w:lineRule="exact"/>
        <w:rPr>
          <w:sz w:val="20"/>
          <w:szCs w:val="20"/>
          <w:color w:val="auto"/>
        </w:rPr>
      </w:pPr>
    </w:p>
    <w:p>
      <w:pPr>
        <w:ind w:right="40" w:firstLine="539"/>
        <w:spacing w:after="0" w:line="275" w:lineRule="auto"/>
        <w:rPr>
          <w:sz w:val="20"/>
          <w:szCs w:val="20"/>
          <w:color w:val="auto"/>
        </w:rPr>
      </w:pPr>
      <w:r>
        <w:rPr>
          <w:rFonts w:ascii="Arial" w:cs="Arial" w:eastAsia="Arial" w:hAnsi="Arial"/>
          <w:sz w:val="18"/>
          <w:szCs w:val="18"/>
          <w:color w:val="auto"/>
        </w:rPr>
        <w:t>In addition to the U.S., VASCEPA is currently available by prescription in Germany, Canada, Lebanon and the United Arab Emirates. In Canada, VASCEPA has the benefit of eight years of data protection afforded through Health Canada (until the end of 2027), in addition to separate patent protection with expiration dates that could extend into 2039. In China and the Middle East, we are pursuing such regulatory approvals and subsequent commercialization of VASCEPA with commercial partners.</w:t>
      </w:r>
    </w:p>
    <w:p>
      <w:pPr>
        <w:spacing w:after="0" w:line="77"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Based on REDUCE-IT results, to-date 23 clinical treatment guidelines, consensus statements or scientific statements from medical societies or journals have been updated recommending the use of icosapent ethyl in appropriate at-risk patients, including those statements which we were informed of by our global partners in China and the Middle East as well as guidelines which were newly received during the third quarter through the date of this report as listed below:</w:t>
      </w:r>
    </w:p>
    <w:p>
      <w:pPr>
        <w:spacing w:after="0" w:line="77" w:lineRule="exact"/>
        <w:rPr>
          <w:sz w:val="20"/>
          <w:szCs w:val="20"/>
          <w:color w:val="auto"/>
        </w:rPr>
      </w:pPr>
    </w:p>
    <w:p>
      <w:pPr>
        <w:ind w:left="820" w:right="260"/>
        <w:spacing w:after="0" w:line="314" w:lineRule="auto"/>
        <w:rPr>
          <w:sz w:val="20"/>
          <w:szCs w:val="20"/>
          <w:color w:val="auto"/>
        </w:rPr>
      </w:pPr>
      <w:r>
        <w:rPr>
          <w:rFonts w:ascii="Arial" w:cs="Arial" w:eastAsia="Arial" w:hAnsi="Arial"/>
          <w:sz w:val="16"/>
          <w:szCs w:val="16"/>
          <w:color w:val="auto"/>
        </w:rPr>
        <w:t>The Task Force for Coronary Heart Disease of the Chinese Association of Cardiovascular Surgeons, CACS, and the Task Force for Coronary Heart Disease of the Chinese Society of Thoracic and Cardiovascular Surgery, or CSTCVS jointly developed a consensus statement on secondary prevention after coronary artery bypass surgery. The consensus states that for patients with concomitant hypertriglyceridemia following coronary artery bypass surgery, supplementation with high-purity EPA, icosapent ethyl, a unique form of EPA, instead of omega-3 polyunsaturated fatty acids blended with DHA, can be considered for secondary prevention to further reduce CV events.</w:t>
      </w:r>
    </w:p>
    <w:p>
      <w:pPr>
        <w:spacing w:after="0" w:line="52" w:lineRule="exact"/>
        <w:rPr>
          <w:sz w:val="20"/>
          <w:szCs w:val="20"/>
          <w:color w:val="auto"/>
        </w:rPr>
      </w:pPr>
    </w:p>
    <w:p>
      <w:pPr>
        <w:ind w:left="820" w:right="60"/>
        <w:spacing w:after="0" w:line="275" w:lineRule="auto"/>
        <w:rPr>
          <w:sz w:val="20"/>
          <w:szCs w:val="20"/>
          <w:color w:val="auto"/>
        </w:rPr>
      </w:pPr>
      <w:r>
        <w:rPr>
          <w:rFonts w:ascii="Arial" w:cs="Arial" w:eastAsia="Arial" w:hAnsi="Arial"/>
          <w:sz w:val="18"/>
          <w:szCs w:val="18"/>
          <w:color w:val="auto"/>
        </w:rPr>
        <w:t>Hypertension Study Group of the Chinese Society of Cardiology, Chinese Medical Association, published a consensus statement on the management of blood pressure and dyslipidemia in Chinese patients with hypertension. The consensus statement emphasizes the importance of blood lipid management in hypertensive patients for the prevention of ASCVD, and notes that high-dose icosapent ethyl (2g, twice per day) can reduce TG levels and the incidence of CV events “to some extent.”</w:t>
      </w:r>
    </w:p>
    <w:p>
      <w:pPr>
        <w:spacing w:after="0" w:line="77" w:lineRule="exact"/>
        <w:rPr>
          <w:sz w:val="20"/>
          <w:szCs w:val="20"/>
          <w:color w:val="auto"/>
        </w:rPr>
      </w:pPr>
    </w:p>
    <w:p>
      <w:pPr>
        <w:ind w:left="820" w:right="100"/>
        <w:spacing w:after="0" w:line="275" w:lineRule="auto"/>
        <w:rPr>
          <w:sz w:val="20"/>
          <w:szCs w:val="20"/>
          <w:color w:val="auto"/>
        </w:rPr>
      </w:pPr>
      <w:r>
        <w:rPr>
          <w:rFonts w:ascii="Arial" w:cs="Arial" w:eastAsia="Arial" w:hAnsi="Arial"/>
          <w:sz w:val="18"/>
          <w:szCs w:val="18"/>
          <w:color w:val="auto"/>
        </w:rPr>
        <w:t>The European Society of Cardiology, or ESC, published the ESC 2021 Guidelines on Cardiovascular Disease Prevention in Clinical Practice, which includes icosapent ethyl, VAZKEPA, as a new recommendation to address high-risk cardiovascular patients with elevated TG (135 - 499 mg/dL) despite statin treatment and lifestyle measures. The classification is a Level B recommendation, which reflects a relatively high weight of scientific evidence under ESC standards.</w:t>
      </w:r>
    </w:p>
    <w:p>
      <w:pPr>
        <w:spacing w:after="0" w:line="77" w:lineRule="exact"/>
        <w:rPr>
          <w:sz w:val="20"/>
          <w:szCs w:val="20"/>
          <w:color w:val="auto"/>
        </w:rPr>
      </w:pPr>
    </w:p>
    <w:p>
      <w:pPr>
        <w:ind w:left="820"/>
        <w:spacing w:after="0" w:line="359" w:lineRule="auto"/>
        <w:rPr>
          <w:sz w:val="20"/>
          <w:szCs w:val="20"/>
          <w:color w:val="auto"/>
        </w:rPr>
      </w:pPr>
      <w:r>
        <w:rPr>
          <w:rFonts w:ascii="Arial" w:cs="Arial" w:eastAsia="Arial" w:hAnsi="Arial"/>
          <w:sz w:val="16"/>
          <w:szCs w:val="16"/>
          <w:color w:val="auto"/>
        </w:rPr>
        <w:t>The Saudi National Diabetes Center issued the Saudi Diabetes Clinical Practice Guidelines, as a new recommendation for lipid management in patients with diabetes that icosapent ethyl has been shown to reduce cardiovascular events, including deaths, in patients with elevated TG levels.</w:t>
      </w:r>
    </w:p>
    <w:p>
      <w:pPr>
        <w:spacing w:after="0" w:line="17" w:lineRule="exact"/>
        <w:rPr>
          <w:sz w:val="20"/>
          <w:szCs w:val="20"/>
          <w:color w:val="auto"/>
        </w:rPr>
      </w:pPr>
    </w:p>
    <w:p>
      <w:pPr>
        <w:ind w:right="40" w:firstLine="509"/>
        <w:spacing w:after="0" w:line="305" w:lineRule="auto"/>
        <w:rPr>
          <w:sz w:val="20"/>
          <w:szCs w:val="20"/>
          <w:color w:val="auto"/>
        </w:rPr>
      </w:pPr>
      <w:r>
        <w:rPr>
          <w:rFonts w:ascii="Arial" w:cs="Arial" w:eastAsia="Arial" w:hAnsi="Arial"/>
          <w:sz w:val="16"/>
          <w:szCs w:val="16"/>
          <w:color w:val="auto"/>
        </w:rPr>
        <w:t>Based on our analysis of branded cardiovascular drugs in the United States which have positive cardiovascular outcomes studies, we believe the wholesale acquisition cost of VASCEPA is the lowest. In addition, while none of these other cardiovascular drugs compete directly with VASCEPA and no head-to-head studies have been done between VASCEPA and these other drugs and the length and construct of the respective outcomes studies of these drugs vary, analysis of published clinical results from the cardiovascular outcomes studies of these drugs indicates that the number needed to treat, or NNT, for VASCEPA is as low or lower than for these other branded cardiovascular drugs. NNT is a measure of how many patients need to be treated before one patient benefits from the therapy. For VASCEPA, in this analysis, the NNT was based on the 25% relative risk reduction demonstrated for the primary endpoint of the study, the NNT for which is 21, relative to one fewer MACE on average per six patients treated over the five-year study period based on total events. The original pricing for VASCEPA in the United States was established prior to results of the REDUCE-IT cardiovascular outcomes study during a timeframe when VASCEPA was only approved for the original indication as an adjunct to diet to reduce TG levels in adult patients with severe (TG ≥500 mg/dL) hypertriglyceridemia. We believe that this relatively low price for VASCEPA in the United States, together with the demonstrated efficacy and safety of VASCEPA, will help lead to many at-risk patients being treated by VASCEPA.</w:t>
      </w:r>
    </w:p>
    <w:p>
      <w:pPr>
        <w:spacing w:after="0" w:line="61" w:lineRule="exact"/>
        <w:rPr>
          <w:sz w:val="20"/>
          <w:szCs w:val="20"/>
          <w:color w:val="auto"/>
        </w:rPr>
      </w:pPr>
    </w:p>
    <w:p>
      <w:pPr>
        <w:ind w:right="180" w:firstLine="509"/>
        <w:spacing w:after="0" w:line="290" w:lineRule="auto"/>
        <w:rPr>
          <w:sz w:val="20"/>
          <w:szCs w:val="20"/>
          <w:color w:val="auto"/>
        </w:rPr>
      </w:pPr>
      <w:r>
        <w:rPr>
          <w:rFonts w:ascii="Arial" w:cs="Arial" w:eastAsia="Arial" w:hAnsi="Arial"/>
          <w:sz w:val="17"/>
          <w:szCs w:val="17"/>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(formerly known as West-Ward), and certain of their affiliates, or, collectively, the Defendants, that declared as invalid several of our patents covering the first FDA-approved use of our drug, for use to reduce severely high triglyceride levels, which is known as the MARINE indication. We sought appeals of the Nevada Court judgment up to the United States Supreme Court, but we were unsuccessful. Most recently, on June 18, 2021, we were notified that our petition for writ of certiorari to the United States Supreme Court was denied.</w:t>
      </w:r>
    </w:p>
    <w:p>
      <w:pPr>
        <w:spacing w:after="0" w:line="68" w:lineRule="exact"/>
        <w:rPr>
          <w:sz w:val="20"/>
          <w:szCs w:val="20"/>
          <w:color w:val="auto"/>
        </w:rPr>
      </w:pPr>
    </w:p>
    <w:p>
      <w:pPr>
        <w:ind w:firstLine="544"/>
        <w:spacing w:after="0" w:line="266" w:lineRule="auto"/>
        <w:rPr>
          <w:sz w:val="20"/>
          <w:szCs w:val="20"/>
          <w:color w:val="auto"/>
        </w:rPr>
      </w:pPr>
      <w:r>
        <w:rPr>
          <w:rFonts w:ascii="Arial" w:cs="Arial" w:eastAsia="Arial" w:hAnsi="Arial"/>
          <w:sz w:val="18"/>
          <w:szCs w:val="18"/>
          <w:color w:val="auto"/>
        </w:rPr>
        <w:t>On May 22, 2020, Hikma received U.S. FDA approval to market its generic versions of VASCEPA for the MARINE indication of VASCEPA as an adjunct to diet to reduce TG levels in adult patients with severe (≥500 mg/dL) hypertriglyceridemia. In November 2020, Hikma launched their generic version of VASCEPA on a limited scale. On November 30, 2020 we filed a patent infringement lawsuit against Hikma for making, selling, offering to sell and importing generic icosapent ethyl capsules in and into the United States in a manner that we allege has induced the infringement of patents covering the use of VASCEPA to reduce specified cardiovascular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6" w:name="page27"/>
    <w:bookmarkEnd w:id="26"/>
    <w:p>
      <w:pPr>
        <w:jc w:val="both"/>
        <w:ind w:right="120"/>
        <w:spacing w:after="0" w:line="279" w:lineRule="auto"/>
        <w:rPr>
          <w:sz w:val="20"/>
          <w:szCs w:val="20"/>
          <w:color w:val="auto"/>
        </w:rPr>
      </w:pPr>
      <w:r>
        <w:rPr>
          <w:rFonts w:ascii="Arial" w:cs="Arial" w:eastAsia="Arial" w:hAnsi="Arial"/>
          <w:sz w:val="18"/>
          <w:szCs w:val="18"/>
          <w:color w:val="auto"/>
        </w:rPr>
        <w:t>risk. The earlier ANDA litigation did not pertain to our patents covering cardiovascular risk reduction. On January 25, 2021 we expanded the scope of the patent infringement lawsuit to include a health care insurance provider, Health Net, LLC. We intend to vigorously pursue these ongoing litigation matters, but cannot predict the outcomes or the impact on our business.</w:t>
      </w:r>
    </w:p>
    <w:p>
      <w:pPr>
        <w:spacing w:after="0" w:line="75" w:lineRule="exact"/>
        <w:rPr>
          <w:sz w:val="20"/>
          <w:szCs w:val="20"/>
          <w:color w:val="auto"/>
        </w:rPr>
      </w:pPr>
    </w:p>
    <w:p>
      <w:pPr>
        <w:ind w:right="120" w:firstLine="544"/>
        <w:spacing w:after="0" w:line="275" w:lineRule="auto"/>
        <w:rPr>
          <w:sz w:val="20"/>
          <w:szCs w:val="20"/>
          <w:color w:val="auto"/>
        </w:rPr>
      </w:pPr>
      <w:r>
        <w:rPr>
          <w:rFonts w:ascii="Arial" w:cs="Arial" w:eastAsia="Arial" w:hAnsi="Arial"/>
          <w:sz w:val="18"/>
          <w:szCs w:val="18"/>
          <w:color w:val="auto"/>
        </w:rPr>
        <w:t>On August 10, 2020, Dr. Reddy's received U.S. FDA approval to market its generic version for the original indication of VASCEPA. In June 2021, Dr. Reddy’s launched its generic version of VASCEPA with labeling that is substantially similar to labeling of the Hikma generic product. On September 11, 2020, Teva Pharmaceuticals USA, Inc.'s, or Teva's, ANDA was approved by the U.S. FDA and on June 30, 2021, Apotex, Inc.'s, or Apotex's, ANDA was approved by the U.S. FDA.</w:t>
      </w:r>
    </w:p>
    <w:p>
      <w:pPr>
        <w:spacing w:after="0" w:line="77" w:lineRule="exact"/>
        <w:rPr>
          <w:sz w:val="20"/>
          <w:szCs w:val="20"/>
          <w:color w:val="auto"/>
        </w:rPr>
      </w:pPr>
    </w:p>
    <w:p>
      <w:pPr>
        <w:ind w:right="80" w:firstLine="539"/>
        <w:spacing w:after="0" w:line="290" w:lineRule="auto"/>
        <w:rPr>
          <w:sz w:val="20"/>
          <w:szCs w:val="20"/>
          <w:color w:val="auto"/>
        </w:rPr>
      </w:pPr>
      <w:r>
        <w:rPr>
          <w:rFonts w:ascii="Arial" w:cs="Arial" w:eastAsia="Arial" w:hAnsi="Arial"/>
          <w:sz w:val="17"/>
          <w:szCs w:val="17"/>
          <w:color w:val="auto"/>
        </w:rPr>
        <w:t>We are responsible for supplying VASCEPA to all markets in which the branded product is sold, including Canada, Lebanon and the United Arab Emirates where the drug is promoted and sold via collaborations with third-party companies that compensate us for such supply and in the United States and Germany where the drug is promoted and sold by us. Subject to commercial launches in additional countries within Europe and approval in China, we will be responsible for supplying products to those markets as well. We are not responsible for providing any generic company with drug product. Geographies outside the United States in which VASCEPA is sold and under regulatory review are not subject to this U.S. patent litigation and judgment. No similar litigation involving potential generic version of VASCEPA is pending outside the United States.</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Commercialization</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United States</w:t>
      </w:r>
    </w:p>
    <w:p>
      <w:pPr>
        <w:spacing w:after="0" w:line="117" w:lineRule="exact"/>
        <w:rPr>
          <w:sz w:val="20"/>
          <w:szCs w:val="20"/>
          <w:color w:val="auto"/>
        </w:rPr>
      </w:pPr>
    </w:p>
    <w:p>
      <w:pPr>
        <w:ind w:right="420" w:firstLine="509"/>
        <w:spacing w:after="0" w:line="273" w:lineRule="auto"/>
        <w:rPr>
          <w:sz w:val="20"/>
          <w:szCs w:val="20"/>
          <w:color w:val="auto"/>
        </w:rPr>
      </w:pPr>
      <w:r>
        <w:rPr>
          <w:rFonts w:ascii="Arial" w:cs="Arial" w:eastAsia="Arial" w:hAnsi="Arial"/>
          <w:sz w:val="17"/>
          <w:szCs w:val="17"/>
          <w:color w:val="auto"/>
        </w:rPr>
        <w:t>We commenced the commercial launch of VASCEPA in the United States in January 2013 based on the MARINE indication for VASCEPA. In October 2016, in addition to the original 1-gram capsule size for VASCEPA, we introduced a smaller 0.5-gram capsule size. The U.S. FDA-approved dosing for VASCEPA continues to be 4 grams per day, and as expected, the majority of new and existing patients taking VASCEPA continue to be prescribed the 1-gram size VASCEPA capsule. VASCEPA is sold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w:t>
      </w:r>
    </w:p>
    <w:p>
      <w:pPr>
        <w:spacing w:after="0" w:line="83" w:lineRule="exact"/>
        <w:rPr>
          <w:sz w:val="20"/>
          <w:szCs w:val="20"/>
          <w:color w:val="auto"/>
        </w:rPr>
      </w:pPr>
    </w:p>
    <w:p>
      <w:pPr>
        <w:ind w:right="40" w:firstLine="509"/>
        <w:spacing w:after="0" w:line="308" w:lineRule="auto"/>
        <w:rPr>
          <w:sz w:val="20"/>
          <w:szCs w:val="20"/>
          <w:color w:val="auto"/>
        </w:rPr>
      </w:pPr>
      <w:r>
        <w:rPr>
          <w:rFonts w:ascii="Arial" w:cs="Arial" w:eastAsia="Arial" w:hAnsi="Arial"/>
          <w:sz w:val="16"/>
          <w:szCs w:val="16"/>
          <w:color w:val="auto"/>
        </w:rPr>
        <w:t>Based on monthly compilations of data provided by a third party, Symphony Health, the estimated number of normalized total VASCEPA prescriptions in the U.S. for the three months ended September 30, 2021 and 2020 was approximately 1,074,000 and 1,167,000, respectively, whereas the estimated number of normalized total prescriptions for icosapent ethyl were 1,289,000 and 1,167,000 for the same periods, respectively. According to data from another third party, IQVIA, the estimated number of normalized total VASCEPA prescriptions for the three months ended September 30, 2021 and 2020 was approximately 1,014,000 and 1,072,000, respectively, whereas the estimated number of normalized total prescriptions for icosapent ethyl were 1,214,000 and 1,072,000 for the same periods, respectively. 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55"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Companies such as Symphony Health and IQVIA collect and report estimates of weekly, monthly, quarterly and annual prescription information. There is a limited amount of information available to such companies to determine the actual number of total prescriptions for prescription products like VASCEPA during such periods. Each vendor’s estimates utilize a proprietary projection methodology and are based on a combination of data received from pharmacies and other distributors, and historical data when actual data is unavailable. Their calculations of changes in prescription levels between periods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 Data reported by Symphony Health and IQVIA is rarely identical. As such, the resulting conclusions from such sources should be viewed with caution. We are not responsible for the accuracy of these companies’ information and we do not receive prescription data directly from retail pharmacies.</w:t>
      </w:r>
    </w:p>
    <w:p>
      <w:pPr>
        <w:spacing w:after="0" w:line="57" w:lineRule="exact"/>
        <w:rPr>
          <w:sz w:val="20"/>
          <w:szCs w:val="20"/>
          <w:color w:val="auto"/>
        </w:rPr>
      </w:pPr>
    </w:p>
    <w:p>
      <w:pPr>
        <w:ind w:firstLine="509"/>
        <w:spacing w:after="0" w:line="281" w:lineRule="auto"/>
        <w:rPr>
          <w:sz w:val="20"/>
          <w:szCs w:val="20"/>
          <w:color w:val="auto"/>
        </w:rPr>
      </w:pPr>
      <w:r>
        <w:rPr>
          <w:rFonts w:ascii="Arial" w:cs="Arial" w:eastAsia="Arial" w:hAnsi="Arial"/>
          <w:sz w:val="17"/>
          <w:szCs w:val="17"/>
          <w:color w:val="auto"/>
        </w:rPr>
        <w:t>We recognize revenue from product sales when the distributor obtains control of our product, which occurs at a point in time, typically upon delivery to the distributor.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can be generally indicative of current prescription trends, these data are based on estimates and should not be relied upon as definitive. While we expect to be able to grow VASCEPA revenues over time, no guidance should be inferred from the operating metrics described above. We also anticipate that such sales growth will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quarterly changes in distributor purchases, and other factors. We believe investors should consider our results over several quarters, or longer, before making an assessment about potential future performance.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7" w:name="page28"/>
    <w:bookmarkEnd w:id="27"/>
    <w:p>
      <w:pPr>
        <w:ind w:firstLine="509"/>
        <w:spacing w:after="0" w:line="288" w:lineRule="auto"/>
        <w:rPr>
          <w:sz w:val="20"/>
          <w:szCs w:val="20"/>
          <w:color w:val="auto"/>
        </w:rPr>
      </w:pPr>
      <w:r>
        <w:rPr>
          <w:rFonts w:ascii="Arial" w:cs="Arial" w:eastAsia="Arial" w:hAnsi="Arial"/>
          <w:sz w:val="17"/>
          <w:szCs w:val="17"/>
          <w:color w:val="auto"/>
        </w:rPr>
        <w:t>As a result of the COVID-19 pandemic and the related social distancing, in March 2020, we suspended face-to-face interactions between our sales representatives and healthcare professionals. We resumed on a limited basis field-based, face-to-face interactions with healthcare providers beginning in June 2020. During the late part of the summer of 2020, substantially all of our field force personnel were able to resume some level of face-to-face customer interactions in a manner consistent with guidelines from local, state and government health officials in the United States. In the fourth quarter of 2020 and continuing into 2021, the impact of COVID-19 worsened in much of the United States, with some physicians again limiting access to face-to-face interactions with our field force personnel. Although some of these restrictions have been lifted in light of the decrease in cases and the prevalence of the vaccines, such access remains variable and challenging due to COVID-19.</w:t>
      </w:r>
    </w:p>
    <w:p>
      <w:pPr>
        <w:spacing w:after="0" w:line="73"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 xml:space="preserve">We have continued to monitor the effect of COVID-19 and its impact on patient visits to doctors. Our level and type of promotion has varied during the pandemic based on the determination of whether the cost was justified in light of COVID-19's impact at a given time. We anticipate that at-risk patients will increasingly resume visiting their doctors for non-urgent medical care after they are vaccinated for COVID-19, however, we cannot accurately predict when this resumption in visits to doctors will occur and, because many patients have multiple medical issues, we cannot predict the degree to which healthcare professionals will be proactive in seeking to reduce cardiovascular risk in at-risk patients when these patients resume visiting their doctors. The timing is likely to vary by geography. We resumed on a very limited basis, a direct-to-patient campaign in January 2021, including television-based promotion, digital and social media promotion to continue to grow consumer awareness of VASCEPA. In June 2021, we launched an educational campaign, </w:t>
      </w:r>
      <w:r>
        <w:rPr>
          <w:rFonts w:ascii="Arial" w:cs="Arial" w:eastAsia="Arial" w:hAnsi="Arial"/>
          <w:sz w:val="17"/>
          <w:szCs w:val="17"/>
          <w:i w:val="1"/>
          <w:iCs w:val="1"/>
          <w:color w:val="auto"/>
        </w:rPr>
        <w:t>It's Clear to Me Now</w:t>
      </w:r>
      <w:r>
        <w:rPr>
          <w:rFonts w:ascii="Arial" w:cs="Arial" w:eastAsia="Arial" w:hAnsi="Arial"/>
          <w:sz w:val="17"/>
          <w:szCs w:val="17"/>
          <w:color w:val="auto"/>
        </w:rPr>
        <w:t>, to help physicians and patients learn more about the differentiation between VASCEPA and fenofibrates for CV risk reduction. The differentiation is important for physicians and patients as the U.S. FDA removed use with statins for CV risk reduction from the fenofibrates' label based on a failed CV risk outcomes trial. In September 2021, to accelerate growth of VASCEPA in the United States, we announced our new Go-to-Market strategy which contains three key strategic priorities:</w:t>
      </w:r>
    </w:p>
    <w:p>
      <w:pPr>
        <w:spacing w:after="0" w:line="70" w:lineRule="exact"/>
        <w:rPr>
          <w:sz w:val="20"/>
          <w:szCs w:val="20"/>
          <w:color w:val="auto"/>
        </w:rPr>
      </w:pPr>
    </w:p>
    <w:p>
      <w:pPr>
        <w:ind w:left="960" w:right="80"/>
        <w:spacing w:after="0" w:line="272" w:lineRule="auto"/>
        <w:rPr>
          <w:sz w:val="20"/>
          <w:szCs w:val="20"/>
          <w:color w:val="auto"/>
        </w:rPr>
      </w:pPr>
      <w:r>
        <w:rPr>
          <w:rFonts w:ascii="Arial" w:cs="Arial" w:eastAsia="Arial" w:hAnsi="Arial"/>
          <w:sz w:val="18"/>
          <w:szCs w:val="18"/>
          <w:i w:val="1"/>
          <w:iCs w:val="1"/>
          <w:color w:val="auto"/>
        </w:rPr>
        <w:t xml:space="preserve">Expanding healthcare provider engagement: </w:t>
      </w:r>
      <w:r>
        <w:rPr>
          <w:rFonts w:ascii="Arial" w:cs="Arial" w:eastAsia="Arial" w:hAnsi="Arial"/>
          <w:sz w:val="18"/>
          <w:szCs w:val="18"/>
          <w:color w:val="auto"/>
        </w:rPr>
        <w:t>Our omnichannel approach which is designed to enhance our reach to healthcare professionals,</w:t>
      </w:r>
      <w:r>
        <w:rPr>
          <w:rFonts w:ascii="Arial" w:cs="Arial" w:eastAsia="Arial" w:hAnsi="Arial"/>
          <w:sz w:val="18"/>
          <w:szCs w:val="18"/>
          <w:i w:val="1"/>
          <w:iCs w:val="1"/>
          <w:color w:val="auto"/>
        </w:rPr>
        <w:t xml:space="preserve"> </w:t>
      </w:r>
      <w:r>
        <w:rPr>
          <w:rFonts w:ascii="Arial" w:cs="Arial" w:eastAsia="Arial" w:hAnsi="Arial"/>
          <w:sz w:val="18"/>
          <w:szCs w:val="18"/>
          <w:color w:val="auto"/>
        </w:rPr>
        <w:t>and aims to target a far greater number of the almost 700,000 statin prescribers through high frequency, and tailored messaging regarding the significant benefits of VASCEPA for CV risk reduction. We plan to optimize our U.S. field force and focus on the most productive territories. As a result, we reduced our U.S. field force to approximately 300 sales representatives who will remain a critical part of the commercial strategy going forward.</w:t>
      </w:r>
    </w:p>
    <w:p>
      <w:pPr>
        <w:spacing w:after="0" w:line="83" w:lineRule="exact"/>
        <w:rPr>
          <w:sz w:val="20"/>
          <w:szCs w:val="20"/>
          <w:color w:val="auto"/>
        </w:rPr>
      </w:pPr>
    </w:p>
    <w:p>
      <w:pPr>
        <w:ind w:left="960" w:right="240"/>
        <w:spacing w:after="0" w:line="275" w:lineRule="auto"/>
        <w:rPr>
          <w:sz w:val="20"/>
          <w:szCs w:val="20"/>
          <w:color w:val="auto"/>
        </w:rPr>
      </w:pPr>
      <w:r>
        <w:rPr>
          <w:rFonts w:ascii="Arial" w:cs="Arial" w:eastAsia="Arial" w:hAnsi="Arial"/>
          <w:sz w:val="18"/>
          <w:szCs w:val="18"/>
          <w:i w:val="1"/>
          <w:iCs w:val="1"/>
          <w:color w:val="auto"/>
        </w:rPr>
        <w:t xml:space="preserve">Enhancing managed care access: </w:t>
      </w:r>
      <w:r>
        <w:rPr>
          <w:rFonts w:ascii="Arial" w:cs="Arial" w:eastAsia="Arial" w:hAnsi="Arial"/>
          <w:sz w:val="18"/>
          <w:szCs w:val="18"/>
          <w:color w:val="auto"/>
        </w:rPr>
        <w:t>We plan to continue working with payers in an effort to enhance our managed care position and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remove barriers to VASCEPA prescriptions to ensure that patients in need of CV risk reduction receive proper therapy. Importantly, several large Commercial and Medicare Part D payers currently cover VASCEPA as the exclusive icosapent ethyl product due to its cost-effectiveness.</w:t>
      </w:r>
    </w:p>
    <w:p>
      <w:pPr>
        <w:spacing w:after="0" w:line="77" w:lineRule="exact"/>
        <w:rPr>
          <w:sz w:val="20"/>
          <w:szCs w:val="20"/>
          <w:color w:val="auto"/>
        </w:rPr>
      </w:pPr>
    </w:p>
    <w:p>
      <w:pPr>
        <w:ind w:left="960" w:right="40"/>
        <w:spacing w:after="0" w:line="275" w:lineRule="auto"/>
        <w:rPr>
          <w:sz w:val="20"/>
          <w:szCs w:val="20"/>
          <w:color w:val="auto"/>
        </w:rPr>
      </w:pPr>
      <w:r>
        <w:rPr>
          <w:rFonts w:ascii="Arial" w:cs="Arial" w:eastAsia="Arial" w:hAnsi="Arial"/>
          <w:sz w:val="18"/>
          <w:szCs w:val="18"/>
          <w:i w:val="1"/>
          <w:iCs w:val="1"/>
          <w:color w:val="auto"/>
        </w:rPr>
        <w:t xml:space="preserve">Optimizing VASCEPA prescriptions for CV risk reduction: </w:t>
      </w:r>
      <w:r>
        <w:rPr>
          <w:rFonts w:ascii="Arial" w:cs="Arial" w:eastAsia="Arial" w:hAnsi="Arial"/>
          <w:sz w:val="18"/>
          <w:szCs w:val="18"/>
          <w:color w:val="auto"/>
        </w:rPr>
        <w:t>Branded VASCEPA remains the only available U.S. FDA approved icosapent ethyl</w:t>
      </w:r>
      <w:r>
        <w:rPr>
          <w:rFonts w:ascii="Arial" w:cs="Arial" w:eastAsia="Arial" w:hAnsi="Arial"/>
          <w:sz w:val="18"/>
          <w:szCs w:val="18"/>
          <w:i w:val="1"/>
          <w:iCs w:val="1"/>
          <w:color w:val="auto"/>
        </w:rPr>
        <w:t xml:space="preserve"> </w:t>
      </w:r>
      <w:r>
        <w:rPr>
          <w:rFonts w:ascii="Arial" w:cs="Arial" w:eastAsia="Arial" w:hAnsi="Arial"/>
          <w:sz w:val="18"/>
          <w:szCs w:val="18"/>
          <w:color w:val="auto"/>
        </w:rPr>
        <w:t>medication for CV risk reduction. To prevent improper generic substitution for this indication, we continue to aggressively educate critical stakeholders in the prescribing continuum to ensure proper fulfillment at each step. Additionally, we are evaluating various innovative solutions designed to better manage prescriptions for CV risk reduction.</w:t>
      </w:r>
    </w:p>
    <w:p>
      <w:pPr>
        <w:spacing w:after="0" w:line="77" w:lineRule="exact"/>
        <w:rPr>
          <w:sz w:val="20"/>
          <w:szCs w:val="20"/>
          <w:color w:val="auto"/>
        </w:rPr>
      </w:pPr>
    </w:p>
    <w:p>
      <w:pPr>
        <w:ind w:right="160" w:firstLine="509"/>
        <w:spacing w:after="0" w:line="359" w:lineRule="auto"/>
        <w:rPr>
          <w:sz w:val="20"/>
          <w:szCs w:val="20"/>
          <w:color w:val="auto"/>
        </w:rPr>
      </w:pPr>
      <w:r>
        <w:rPr>
          <w:rFonts w:ascii="Arial" w:cs="Arial" w:eastAsia="Arial" w:hAnsi="Arial"/>
          <w:sz w:val="16"/>
          <w:szCs w:val="16"/>
          <w:color w:val="auto"/>
        </w:rPr>
        <w:t>As COVID-19 protocols ease and ordinary course activities continue to resume, we will continue to adjust our promotional initiatives accordingly, including pursuit of increased face-to-face interactions with healthcare professionals and expanding various forms of direct-to-patient promotion.</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Europe</w:t>
      </w:r>
    </w:p>
    <w:p>
      <w:pPr>
        <w:spacing w:after="0" w:line="131" w:lineRule="exact"/>
        <w:rPr>
          <w:sz w:val="20"/>
          <w:szCs w:val="20"/>
          <w:color w:val="auto"/>
        </w:rPr>
      </w:pPr>
    </w:p>
    <w:p>
      <w:pPr>
        <w:ind w:right="60" w:firstLine="544"/>
        <w:spacing w:after="0" w:line="272" w:lineRule="auto"/>
        <w:rPr>
          <w:sz w:val="20"/>
          <w:szCs w:val="20"/>
          <w:color w:val="auto"/>
        </w:rPr>
      </w:pPr>
      <w:r>
        <w:rPr>
          <w:rFonts w:ascii="Arial" w:cs="Arial" w:eastAsia="Arial" w:hAnsi="Arial"/>
          <w:sz w:val="18"/>
          <w:szCs w:val="18"/>
          <w:color w:val="auto"/>
        </w:rPr>
        <w:t>On September 1, 2021 VAZKEPA was made available in Germany and was included in the country's electronic prescribing system as of October 1, 2021. The commercial launch in Germany was accompanied by a scientific conference in Berlin titled, “New therapeutic strategies for residual CV risk management,” which highlighted the scientific underpinnings and clinical benefits of VASCEPA/VAZKEPA in reducing cardiovascular risk. We are building a digitally native commercial model balancing optimally digital and face to face approach for more impact and cost efficiency, which will also be utilized as other countries throughout Europe are launched.</w:t>
      </w:r>
    </w:p>
    <w:p>
      <w:pPr>
        <w:spacing w:after="0" w:line="83" w:lineRule="exact"/>
        <w:rPr>
          <w:sz w:val="20"/>
          <w:szCs w:val="20"/>
          <w:color w:val="auto"/>
        </w:rPr>
      </w:pPr>
    </w:p>
    <w:p>
      <w:pPr>
        <w:ind w:right="140" w:firstLine="544"/>
        <w:spacing w:after="0" w:line="270" w:lineRule="auto"/>
        <w:rPr>
          <w:sz w:val="20"/>
          <w:szCs w:val="20"/>
          <w:color w:val="auto"/>
        </w:rPr>
      </w:pPr>
      <w:r>
        <w:rPr>
          <w:rFonts w:ascii="Arial" w:cs="Arial" w:eastAsia="Arial" w:hAnsi="Arial"/>
          <w:sz w:val="18"/>
          <w:szCs w:val="18"/>
          <w:color w:val="auto"/>
        </w:rPr>
        <w:t>In order to launch impactfully in other countries throughout Europe we are building a core team of experienced professionals and a highly capable commercial team involved with pre-launch planning and other commercial preparation activities and are leveraging third-party relationships for various support activities. In Europe, patients at high risk for cardiovascular disease tend, in comparison to the United States, to be treated more often by specialists, such as cardiologists rather than by physicians who are general practitioners. Privacy laws and other factors impact the availability of data to inform European commercial operations at an individual physician level. Generally, less data is available and at reduced frequencies as compared to the United States. However, this greater concentration of at-risk patients being treated by specialists in Europe should allow for more efficient promotion in Europe than in the United States.</w:t>
      </w:r>
    </w:p>
    <w:p>
      <w:pPr>
        <w:spacing w:after="0" w:line="84" w:lineRule="exact"/>
        <w:rPr>
          <w:sz w:val="20"/>
          <w:szCs w:val="20"/>
          <w:color w:val="auto"/>
        </w:rPr>
      </w:pPr>
    </w:p>
    <w:p>
      <w:pPr>
        <w:ind w:right="100" w:firstLine="544"/>
        <w:spacing w:after="0" w:line="266" w:lineRule="auto"/>
        <w:rPr>
          <w:sz w:val="20"/>
          <w:szCs w:val="20"/>
          <w:color w:val="auto"/>
        </w:rPr>
      </w:pPr>
      <w:r>
        <w:rPr>
          <w:rFonts w:ascii="Arial" w:cs="Arial" w:eastAsia="Arial" w:hAnsi="Arial"/>
          <w:sz w:val="18"/>
          <w:szCs w:val="18"/>
          <w:color w:val="auto"/>
        </w:rPr>
        <w:t>We have been active in preparing for reimbursement negotiations and have filed ten dossiers in European countries, including all of the largest countries in Europe, and expect to file additional dossiers in Europe and other select parts of the world in the coming months. In most European countries, securing product reimbursement is a requisite to launching. In certain countries, such as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8" w:name="page29"/>
    <w:bookmarkEnd w:id="28"/>
    <w:p>
      <w:pPr>
        <w:ind w:right="40"/>
        <w:spacing w:after="0" w:line="319" w:lineRule="auto"/>
        <w:rPr>
          <w:sz w:val="20"/>
          <w:szCs w:val="20"/>
          <w:color w:val="auto"/>
        </w:rPr>
      </w:pPr>
      <w:r>
        <w:rPr>
          <w:rFonts w:ascii="Arial" w:cs="Arial" w:eastAsia="Arial" w:hAnsi="Arial"/>
          <w:sz w:val="16"/>
          <w:szCs w:val="16"/>
          <w:color w:val="auto"/>
        </w:rPr>
        <w:t>Denmark, individual patient reimbursement is allowed prior to national, general organization reimbursement. In all countries, securing adequate reimbursement is a requisite for commercial success of any therapeutic. The time required to secure reimbursement tends to vary from country to country and cannot be reliably predicted at this time. While we believe that we have strong arguments regarding the cost effectiveness of VAZKEPA, the success of such reimbursement negotiations could have a significant impact on the assessment of the commercial opportunity of VAZKEPA in Europe.</w:t>
      </w:r>
    </w:p>
    <w:p>
      <w:pPr>
        <w:spacing w:after="0" w:line="48" w:lineRule="exact"/>
        <w:rPr>
          <w:sz w:val="20"/>
          <w:szCs w:val="20"/>
          <w:color w:val="auto"/>
        </w:rPr>
      </w:pPr>
    </w:p>
    <w:p>
      <w:pPr>
        <w:ind w:right="300" w:firstLine="509"/>
        <w:spacing w:after="0" w:line="324" w:lineRule="auto"/>
        <w:rPr>
          <w:sz w:val="20"/>
          <w:szCs w:val="20"/>
          <w:color w:val="auto"/>
        </w:rPr>
      </w:pPr>
      <w:r>
        <w:rPr>
          <w:rFonts w:ascii="Arial" w:cs="Arial" w:eastAsia="Arial" w:hAnsi="Arial"/>
          <w:sz w:val="17"/>
          <w:szCs w:val="17"/>
          <w:color w:val="auto"/>
        </w:rPr>
        <w:t>We plan to assess other potential partnership opportunities for VASCEPA with partners in other parts of the world. While we believe that there is medical need and opportunity for VASCEPA elsewhere in the world, our current priorities are the geographies described above.</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The results of the REDUCE-IT STROKE subgroup analyses were presented at the International Stroke Conference 2021 from March 17 - 19, 2021. The REDUCE-IT STROKE analyses examined stroke rates across the enrolled patient population (n=8179). Enrolled patients were required to be treated with statins and other conventional therapies, and all patients had either established cardiovascular disease or diabetes and had other cardiovascular risk factors such as elevated triglyceride levels. Event rates for time to first fatal or nonfatal stroke were 2.4% for VASCEPA vs. 3.3% for placebo for a relative risk reduction of 28% (p=0.01). Ischemic stroke time to first event rates were 2.0% for VASCEPA vs. 3.0% for placebo for a relative risk reduction of 36% (p=0.002). Hemorrhagic stroke occurred at low rates with no significant difference for VASCEPA vs. placebo (0.3% vs 0.2%; p=0.55).</w:t>
      </w:r>
    </w:p>
    <w:p>
      <w:pPr>
        <w:spacing w:after="0" w:line="70" w:lineRule="exact"/>
        <w:rPr>
          <w:sz w:val="20"/>
          <w:szCs w:val="20"/>
          <w:color w:val="auto"/>
        </w:rPr>
      </w:pPr>
    </w:p>
    <w:p>
      <w:pPr>
        <w:ind w:right="140" w:firstLine="509"/>
        <w:spacing w:after="0" w:line="285" w:lineRule="auto"/>
        <w:rPr>
          <w:sz w:val="20"/>
          <w:szCs w:val="20"/>
          <w:color w:val="auto"/>
        </w:rPr>
      </w:pPr>
      <w:r>
        <w:rPr>
          <w:rFonts w:ascii="Arial" w:cs="Arial" w:eastAsia="Arial" w:hAnsi="Arial"/>
          <w:sz w:val="17"/>
          <w:szCs w:val="17"/>
          <w:color w:val="auto"/>
        </w:rPr>
        <w:t>Based on our current understanding of the biological effects of a COVID-19 infection, including that patients at high risk of cardiovascular disease are at higher risk of mortality and severe effects from a COVID-19 infection, and based on data related to the mechanism of action and effects of VASCEPA in lowering cardiovascular risk in certain high-risk patients, we believe that VASCEPA could play a beneficial clinical role in helping patients infected by the virus. We are currently supporting investigator initiated studies by providing study drug product and limited financial support to investigators in multiple pilot studies designed to better understand the potential of VASCEPA and its potentially beneficial role. On December 12, 2020, we announced at the National Lipid Association Scientific Sessions 2020 positive clinical results from the first study of VASCEPA in COVID-19 infected outpatients, CardioLink-9. On August 31, 2021, we announced topline results of PREPARE-IT 1, which did not meet the primary and/or other endpoints studied. If the results of the other pilot studies are positive, we will evaluate whether additional studies will be appropriate. The clinical effects of VASCEPA are multi-factorial. Multiple mechanisms of action associated with VASCEPA from clinical and mechanistic studies support the rationale to study its effects in patients with the COVID-19 infection. Additional postulated mechanisms that might play a role in the use of VASCEPA in the patients infected with COVID-19 include potential antiviral/antimicrobial effects, fibrosis and cardiac damage mitigation in animal models and anti-inflammatory effects (acute) in pulmonary/lung tissue.</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 and Clinical Supply</w:t>
      </w:r>
    </w:p>
    <w:p>
      <w:pPr>
        <w:spacing w:after="0" w:line="131"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We manage the manufacturing and supply of VASCEPA internally and have done so since we began clinical development of VASCEPA prior to the drug’s marketing approval by U.S. FDA in 2012. We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U.S. FDA-approved international API suppliers, encapsulators and packagers to support the VASCEPA commercial franchise. We also have multiple international API suppliers, encapsulators and packagers to support the commercialization of VASCEPA in geographies where the drug is approved outside the United States. Not all of our suppliers approved by the U.S. FDA are approved in every other geography. In Europe, while certain of our suppliers are approved, after the impact of COVID-19 subsides and more readily allows for regulatory inspections, we will seek to expand the number of our suppliers approved for use in further product sales in Europe. The amount of supply we seek to purchase in future periods will depend on the level of growth of VASCEPA revenues and minimum purchase commitments with certain suppliers. While our current supply chain is scalable, we continue efforts to expand, diversify and further enhance it.</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Impact of COVID-19</w:t>
      </w:r>
    </w:p>
    <w:p>
      <w:pPr>
        <w:spacing w:after="0" w:line="131"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As of September 30, 2021, according to CDC data, approximately 56% of the U.S. population has been fully vaccinated and approximately 65% of the U.S. population has received at least one dose of a vaccine. While according to CDC data, the populations vaccination rate has increased and the number of new cases has decreased since the beginning of 2021, we continue to monitor and evaluate the pandemic’s effect on patients, distributors, customers and our employees, as well as on our operations and the operations of our business partners and communities. Given the uncertainties regarding the scope, duration and impact of COVID-19 on our sales, supply, research and development efforts and operations, and on the operations of our customers, suppliers, distributors, other partners and patients, COVID-19 has impacted our current performance and continues to represent a risk to our future performance.</w:t>
      </w:r>
    </w:p>
    <w:p>
      <w:pPr>
        <w:spacing w:after="0" w:line="84" w:lineRule="exact"/>
        <w:rPr>
          <w:sz w:val="20"/>
          <w:szCs w:val="20"/>
          <w:color w:val="auto"/>
        </w:rPr>
      </w:pPr>
    </w:p>
    <w:p>
      <w:pPr>
        <w:ind w:right="60" w:firstLine="509"/>
        <w:spacing w:after="0" w:line="266" w:lineRule="auto"/>
        <w:rPr>
          <w:sz w:val="20"/>
          <w:szCs w:val="20"/>
          <w:color w:val="auto"/>
        </w:rPr>
      </w:pPr>
      <w:r>
        <w:rPr>
          <w:rFonts w:ascii="Arial" w:cs="Arial" w:eastAsia="Arial" w:hAnsi="Arial"/>
          <w:sz w:val="18"/>
          <w:szCs w:val="18"/>
          <w:color w:val="auto"/>
        </w:rPr>
        <w:t>Our ability to directly promote VASCEPA to healthcare professionals has been limited due to appropriate social distancing practices associated with COVID-19 and by patients electing to forego visiting their doctors for non-urgent medical examinations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 w:name="page30"/>
    <w:bookmarkEnd w:id="29"/>
    <w:p>
      <w:pPr>
        <w:ind w:right="100"/>
        <w:spacing w:after="0" w:line="306" w:lineRule="auto"/>
        <w:rPr>
          <w:sz w:val="20"/>
          <w:szCs w:val="20"/>
          <w:color w:val="auto"/>
        </w:rPr>
      </w:pPr>
      <w:r>
        <w:rPr>
          <w:rFonts w:ascii="Arial" w:cs="Arial" w:eastAsia="Arial" w:hAnsi="Arial"/>
          <w:sz w:val="16"/>
          <w:szCs w:val="16"/>
          <w:color w:val="auto"/>
        </w:rPr>
        <w:t>and/or choosing to not get blood tests which the results of these tests provide useful information to the treatment of cardiovascular risk. These limitations have had a significant impact on slowing VASCEPA prescription and revenue growth. While COVID-19 continues to impact our promotion of VASCEPA, we have seen signs of improvement. As a result of the COVID-19 pandemic and the related social distancing, in March 2020, we suspended face-to-face interactions between our sales representatives and healthcare professionals. We resumed on a limited basis field-based, face-to-face interactions with healthcare providers beginning in June 2020. During the late part of the summer of 2020, substantially all of our field force personnel were able to resume face-to-face customer interactions, in a manner consistent with guidelines from local, state and government health officials in the United States. In the fourth quarter of 2020 and continuing into 2021, the impact of COVID-19 worsened in much of the United States with some physicians again limiting access to face-to-face interactions with our field force personnel. Although some of these restrictions have been lifted in light of the decrease in cases and the prevalence of the vaccines, such access remains variable and challenging due to COVID-19.</w:t>
      </w:r>
    </w:p>
    <w:p>
      <w:pPr>
        <w:spacing w:after="0" w:line="62"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In the United States, in July 2020 we launched our first television-based promotion of VASCEPA emphasizing that it is the first and only U.S. FDA approved drug for the cardiovascular risk reduction indication. In September 2020, we launched a new, nationwide television advertisement campaign in connection with our expanded promotional campaign which was further complemented by additional digital, point-of-care and other forms of healthcare professional and patient educational outreach. As the impact of COVID-19 on much of the United States worsened in the fourth quarter of 2020, we suspended television-based promotion of VASCEPA judging that the cost was not sufficiently justified. We resumed a limited direct-to-consumer campaign in January 2021, including television-based promotion, digital and social media promotion to continue to grow consumer awareness of VASCEPA. We anticipate that at-risk patients will increasingly resume visiting their doctors for non-urgent medical care after they are vaccinated for COVID-19. As more of the population is vaccinated, COVID-19 protocols have eased and ordinary course activities have begun to resume, and as such we will seek to adjust our promotional initiatives accordingly, including pursuing increased face-to-face interactions with health care professionals and expanding various forms of direct-to-patient promotion.</w:t>
      </w:r>
    </w:p>
    <w:p>
      <w:pPr>
        <w:spacing w:after="0" w:line="74"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Thus far, while COVID-19 has created some added logistical challenges regarding supply deliveries, these challenges have been manageable and COVID-19 has not materially impacted our ability to secure and deliver supply of VASCEPA. And, thus far, COVID-19 is not known to have significantly impacted ongoing clinical trials of VASCEPA.</w:t>
      </w:r>
    </w:p>
    <w:p>
      <w:pPr>
        <w:spacing w:after="0" w:line="75"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The ultimate impacts of COVID-19 on our business are unknown; however, we are actively monitoring the situation and may take precautionary and preemptive or reactive actions that we determine are in the best interests of our business. We cannot predict the effects that such actions may have on our business or on our financial results, in particular with respect to demand for or access to VASCEPA.</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the overall morale of our employees is good despite the challenges associated with COVID-19.</w:t>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Management Succession Plans</w:t>
      </w:r>
    </w:p>
    <w:p>
      <w:pPr>
        <w:spacing w:after="0" w:line="131" w:lineRule="exact"/>
        <w:rPr>
          <w:sz w:val="20"/>
          <w:szCs w:val="20"/>
          <w:color w:val="auto"/>
        </w:rPr>
      </w:pPr>
    </w:p>
    <w:p>
      <w:pPr>
        <w:ind w:right="100" w:firstLine="539"/>
        <w:spacing w:after="0" w:line="266" w:lineRule="auto"/>
        <w:rPr>
          <w:sz w:val="20"/>
          <w:szCs w:val="20"/>
          <w:color w:val="auto"/>
        </w:rPr>
      </w:pPr>
      <w:r>
        <w:rPr>
          <w:rFonts w:ascii="Arial" w:cs="Arial" w:eastAsia="Arial" w:hAnsi="Arial"/>
          <w:sz w:val="18"/>
          <w:szCs w:val="18"/>
          <w:color w:val="auto"/>
        </w:rPr>
        <w:t>As announced in April 2021, effective August 1, 2021, John Thero retired from his positions as President and Chief Executive Officer and member of the Board of Directors and is now providing phased transitional and consulting services to us. Effective August 1, 2021, the Board of Directors appointed Karim Mikhail, previously our Senior Vice President, Commercial Head Europe, to succeed Mr. Thero as our President and Chief Executive Officer, as well as, a member of the Board of Directors. In addition, we have announced the appointment of Laurent Abuaf as our new Senior Vice President, and President of Europe to fill the opening left by Mr. Mikhail's promotion. Effective August 1, 2021, Joseph Kennedy has retired from his position of Executive Vice President and General Counsel. Our search to hire a new General Counsel has been completed with Jason Marks joining the Company in August 2021, in the role of Senior Vice President and Chief Legal Officer with Mr. Kennedy supporting this transition and providing consulting support on certain legal matters.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70" w:lineRule="exact"/>
        <w:rPr>
          <w:sz w:val="20"/>
          <w:szCs w:val="20"/>
          <w:color w:val="auto"/>
        </w:rPr>
      </w:pPr>
    </w:p>
    <w:p>
      <w:pPr>
        <w:ind w:right="40" w:firstLine="509"/>
        <w:spacing w:after="0" w:line="306" w:lineRule="auto"/>
        <w:rPr>
          <w:sz w:val="20"/>
          <w:szCs w:val="20"/>
          <w:color w:val="auto"/>
        </w:rPr>
      </w:pPr>
      <w:r>
        <w:rPr>
          <w:rFonts w:ascii="Arial" w:cs="Arial" w:eastAsia="Arial" w:hAnsi="Arial"/>
          <w:sz w:val="16"/>
          <w:szCs w:val="16"/>
          <w:i w:val="1"/>
          <w:iCs w:val="1"/>
          <w:color w:val="auto"/>
        </w:rPr>
        <w:t>Product revenue, net</w:t>
      </w:r>
      <w:r>
        <w:rPr>
          <w:rFonts w:ascii="Arial" w:cs="Arial" w:eastAsia="Arial" w:hAnsi="Arial"/>
          <w:sz w:val="16"/>
          <w:szCs w:val="16"/>
          <w:color w:val="auto"/>
        </w:rPr>
        <w:t>. All of our product revenue is derived from product sales of 1-gram and 0.5-gram size capsules of VASCEPA, net of</w:t>
      </w:r>
      <w:r>
        <w:rPr>
          <w:rFonts w:ascii="Arial" w:cs="Arial" w:eastAsia="Arial" w:hAnsi="Arial"/>
          <w:sz w:val="16"/>
          <w:szCs w:val="16"/>
          <w:i w:val="1"/>
          <w:iCs w:val="1"/>
          <w:color w:val="auto"/>
        </w:rPr>
        <w:t xml:space="preserve"> </w:t>
      </w:r>
      <w:r>
        <w:rPr>
          <w:rFonts w:ascii="Arial" w:cs="Arial" w:eastAsia="Arial" w:hAnsi="Arial"/>
          <w:sz w:val="16"/>
          <w:szCs w:val="16"/>
          <w:color w:val="auto"/>
        </w:rPr>
        <w:t>allowances, discounts, incentives, rebates, chargebacks and returns. In the United States, we sell product to a limited number of major wholesalers, as well as selected regional wholesalers and specialty pharmacy providers, or collectively, our distributors or our customers, who resell the product to retail pharmacies for purposes of their reselling the product to fill patient prescriptions. Revenues from product sales are recognized when the distributor obtains control of our product, which occurs at a point in time, typically upon delivery to the distributor. Timing of shipments to wholesalers, as used for revenue recognition, and timing of prescriptions as estimated by third-party sources such as Symphony Health and IQVIA may differ from period to period. During the quarters ended September 30, 2021 and 2020, our Product revenue, net included adjustment for co-pay mitigation rebates provided by us to commercially insured patients. Such support is intended for offset for a portion of the out-of-pocket expense that patients are required to pay for VASCEPA based upon the benefit design of their prescription drug coverage. Our cost for these co-payment support payments in both of the quarters ended September 30, 2021 and 2020 was up to $150 per 30-day prescription filled and up to $450 per 90-day prescription filled.</w:t>
      </w:r>
    </w:p>
    <w:p>
      <w:pPr>
        <w:spacing w:after="0" w:line="57"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Outside of the United States, currently the majority of our product revenue is derived from the sales of VASCEPA to our commercial partners based on the net price for VASCEPA established in our contracts with such partners. These commercial partners then resell the product in their agreed commercial territory. Revenues from product sales to our international commercial partners are recognized when the commercial partners obtain control of our product, which occurs at a point in time, typically upon delivery to the commercial partner. The net price of VASCEPA sold by us to our customers where we directly sell VASCEPA is generally significantly higher than the net price of VASCEPA that we sell to commercial partners who then incur the cost of promoting and reselling the product in their territories. As a result, even when the net price of VASCEPA to patients is similar in various parts of the world, our gross margin on sales is higher where we sell VASCEPA directly. Currently the majority of our product revenue is derived from direct sales of VASCEPA in the United States.</w:t>
      </w:r>
    </w:p>
    <w:p>
      <w:pPr>
        <w:spacing w:after="0" w:line="223" w:lineRule="exact"/>
        <w:rPr>
          <w:sz w:val="20"/>
          <w:szCs w:val="20"/>
          <w:color w:val="auto"/>
        </w:rPr>
      </w:pPr>
    </w:p>
    <w:p>
      <w:pPr>
        <w:jc w:val="both"/>
        <w:ind w:right="560" w:firstLine="509"/>
        <w:spacing w:after="0" w:line="303" w:lineRule="auto"/>
        <w:rPr>
          <w:sz w:val="20"/>
          <w:szCs w:val="20"/>
          <w:color w:val="auto"/>
        </w:rPr>
      </w:pPr>
      <w:r>
        <w:rPr>
          <w:rFonts w:ascii="Arial" w:cs="Arial" w:eastAsia="Arial" w:hAnsi="Arial"/>
          <w:sz w:val="17"/>
          <w:szCs w:val="17"/>
          <w:i w:val="1"/>
          <w:iCs w:val="1"/>
          <w:color w:val="auto"/>
        </w:rPr>
        <w:t>Licensing and royalty revenue</w:t>
      </w:r>
      <w:r>
        <w:rPr>
          <w:rFonts w:ascii="Arial" w:cs="Arial" w:eastAsia="Arial" w:hAnsi="Arial"/>
          <w:sz w:val="17"/>
          <w:szCs w:val="17"/>
          <w:color w:val="auto"/>
        </w:rPr>
        <w:t>. Licensing and royalty revenue currently consists of revenue attributable to receipt of up-front, non-refundable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milestone payments and sales-based payments related to license and distribution agreements for VASCEPA outside the United States. We recognize revenue from licensing arrangements as we fulfill the performance obligations under each of the agreements.</w:t>
      </w:r>
    </w:p>
    <w:p>
      <w:pPr>
        <w:spacing w:after="0" w:line="191" w:lineRule="exact"/>
        <w:rPr>
          <w:sz w:val="20"/>
          <w:szCs w:val="20"/>
          <w:color w:val="auto"/>
        </w:rPr>
      </w:pPr>
    </w:p>
    <w:p>
      <w:pPr>
        <w:ind w:right="120" w:firstLine="509"/>
        <w:spacing w:after="0" w:line="292" w:lineRule="auto"/>
        <w:rPr>
          <w:sz w:val="20"/>
          <w:szCs w:val="20"/>
          <w:color w:val="auto"/>
        </w:rPr>
      </w:pPr>
      <w:r>
        <w:rPr>
          <w:rFonts w:ascii="Arial" w:cs="Arial" w:eastAsia="Arial" w:hAnsi="Arial"/>
          <w:sz w:val="17"/>
          <w:szCs w:val="17"/>
          <w:i w:val="1"/>
          <w:iCs w:val="1"/>
          <w:color w:val="auto"/>
        </w:rPr>
        <w:t>Cost of goods sold</w:t>
      </w:r>
      <w:r>
        <w:rPr>
          <w:rFonts w:ascii="Arial" w:cs="Arial" w:eastAsia="Arial" w:hAnsi="Arial"/>
          <w:sz w:val="17"/>
          <w:szCs w:val="17"/>
          <w:color w:val="auto"/>
        </w:rPr>
        <w:t>. Cost of goods sold includes the cost of API for VASCEPA on which revenue was recognized during the period, as well as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 Our cost of goods sold is not materially impacted by whether we sell VASCEPA directly in a country or we sell VASCEPA to a commercial partner for resale in a country.</w:t>
      </w:r>
    </w:p>
    <w:p>
      <w:pPr>
        <w:spacing w:after="0" w:line="201" w:lineRule="exact"/>
        <w:rPr>
          <w:sz w:val="20"/>
          <w:szCs w:val="20"/>
          <w:color w:val="auto"/>
        </w:rPr>
      </w:pPr>
    </w:p>
    <w:p>
      <w:pPr>
        <w:ind w:right="140" w:firstLine="509"/>
        <w:spacing w:after="0" w:line="303" w:lineRule="auto"/>
        <w:rPr>
          <w:sz w:val="20"/>
          <w:szCs w:val="20"/>
          <w:color w:val="auto"/>
        </w:rPr>
      </w:pPr>
      <w:r>
        <w:rPr>
          <w:rFonts w:ascii="Arial" w:cs="Arial" w:eastAsia="Arial" w:hAnsi="Arial"/>
          <w:sz w:val="17"/>
          <w:szCs w:val="17"/>
          <w:i w:val="1"/>
          <w:iCs w:val="1"/>
          <w:color w:val="auto"/>
        </w:rPr>
        <w:t>Selling, general and administrative expense</w:t>
      </w:r>
      <w:r>
        <w:rPr>
          <w:rFonts w:ascii="Arial" w:cs="Arial" w:eastAsia="Arial" w:hAnsi="Arial"/>
          <w:sz w:val="17"/>
          <w:szCs w:val="17"/>
          <w:color w:val="auto"/>
        </w:rPr>
        <w:t>. Selling, general and administrative expense consists primarily of salaries and other related costs,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stock-based compensation expense, for personnel in our sales, marketing, executive, business development, finance and information technology functions. Other costs primarily include facility costs and professional fees for accounting, consulting and legal services.</w:t>
      </w:r>
    </w:p>
    <w:p>
      <w:pPr>
        <w:spacing w:after="0" w:line="191" w:lineRule="exact"/>
        <w:rPr>
          <w:sz w:val="20"/>
          <w:szCs w:val="20"/>
          <w:color w:val="auto"/>
        </w:rPr>
      </w:pPr>
    </w:p>
    <w:p>
      <w:pPr>
        <w:ind w:right="40" w:firstLine="509"/>
        <w:spacing w:after="0" w:line="309" w:lineRule="auto"/>
        <w:rPr>
          <w:sz w:val="20"/>
          <w:szCs w:val="20"/>
          <w:color w:val="auto"/>
        </w:rPr>
      </w:pPr>
      <w:r>
        <w:rPr>
          <w:rFonts w:ascii="Arial" w:cs="Arial" w:eastAsia="Arial" w:hAnsi="Arial"/>
          <w:sz w:val="16"/>
          <w:szCs w:val="16"/>
          <w:i w:val="1"/>
          <w:iCs w:val="1"/>
          <w:color w:val="auto"/>
        </w:rPr>
        <w:t>Research and development expense</w:t>
      </w:r>
      <w:r>
        <w:rPr>
          <w:rFonts w:ascii="Arial" w:cs="Arial" w:eastAsia="Arial" w:hAnsi="Arial"/>
          <w:sz w:val="16"/>
          <w:szCs w:val="16"/>
          <w:color w:val="auto"/>
        </w:rPr>
        <w:t>. Research and development expense consists primarily of fees paid to professional service providers in</w:t>
      </w:r>
      <w:r>
        <w:rPr>
          <w:rFonts w:ascii="Arial" w:cs="Arial" w:eastAsia="Arial" w:hAnsi="Arial"/>
          <w:sz w:val="16"/>
          <w:szCs w:val="16"/>
          <w:i w:val="1"/>
          <w:iCs w:val="1"/>
          <w:color w:val="auto"/>
        </w:rPr>
        <w:t xml:space="preserve"> </w:t>
      </w:r>
      <w:r>
        <w:rPr>
          <w:rFonts w:ascii="Arial" w:cs="Arial" w:eastAsia="Arial" w:hAnsi="Arial"/>
          <w:sz w:val="16"/>
          <w:szCs w:val="16"/>
          <w:color w:val="auto"/>
        </w:rPr>
        <w:t>conjunction with independent monitoring of our clinical trials and acquiring and evaluating data in conjunction with our clinical trials, fees paid to independent researchers, costs of qualifying contract manufacturers, costs associated with supporting investigator initiated studies,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We expense research and development costs as incurred.</w:t>
      </w:r>
    </w:p>
    <w:p>
      <w:pPr>
        <w:spacing w:after="0" w:line="191" w:lineRule="exact"/>
        <w:rPr>
          <w:sz w:val="20"/>
          <w:szCs w:val="20"/>
          <w:color w:val="auto"/>
        </w:rPr>
      </w:pPr>
    </w:p>
    <w:p>
      <w:pPr>
        <w:ind w:right="980" w:firstLine="509"/>
        <w:spacing w:after="0" w:line="359" w:lineRule="auto"/>
        <w:rPr>
          <w:sz w:val="20"/>
          <w:szCs w:val="20"/>
          <w:color w:val="auto"/>
        </w:rPr>
      </w:pPr>
      <w:r>
        <w:rPr>
          <w:rFonts w:ascii="Arial" w:cs="Arial" w:eastAsia="Arial" w:hAnsi="Arial"/>
          <w:sz w:val="16"/>
          <w:szCs w:val="16"/>
          <w:i w:val="1"/>
          <w:iCs w:val="1"/>
          <w:color w:val="auto"/>
        </w:rPr>
        <w:t>Restructuring expense</w:t>
      </w:r>
      <w:r>
        <w:rPr>
          <w:rFonts w:ascii="Arial" w:cs="Arial" w:eastAsia="Arial" w:hAnsi="Arial"/>
          <w:sz w:val="16"/>
          <w:szCs w:val="16"/>
          <w:color w:val="auto"/>
        </w:rPr>
        <w:t>. Restructuring expense consists of restructuring costs incurred under our September 2021 Go-to-Market strategy</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implementation, which consists of severance pay, incentive compensation, insurance expense and stock compensation expense.</w:t>
      </w:r>
    </w:p>
    <w:p>
      <w:pPr>
        <w:spacing w:after="0" w:line="152" w:lineRule="exact"/>
        <w:rPr>
          <w:sz w:val="20"/>
          <w:szCs w:val="20"/>
          <w:color w:val="auto"/>
        </w:rPr>
      </w:pPr>
    </w:p>
    <w:p>
      <w:pPr>
        <w:ind w:right="220" w:firstLine="509"/>
        <w:spacing w:after="0" w:line="266" w:lineRule="auto"/>
        <w:rPr>
          <w:sz w:val="20"/>
          <w:szCs w:val="20"/>
          <w:color w:val="auto"/>
        </w:rPr>
      </w:pPr>
      <w:r>
        <w:rPr>
          <w:rFonts w:ascii="Arial" w:cs="Arial" w:eastAsia="Arial" w:hAnsi="Arial"/>
          <w:sz w:val="18"/>
          <w:szCs w:val="18"/>
          <w:i w:val="1"/>
          <w:iCs w:val="1"/>
          <w:color w:val="auto"/>
        </w:rPr>
        <w:t>Interest and other (expense) income, net</w:t>
      </w:r>
      <w:r>
        <w:rPr>
          <w:rFonts w:ascii="Arial" w:cs="Arial" w:eastAsia="Arial" w:hAnsi="Arial"/>
          <w:sz w:val="18"/>
          <w:szCs w:val="18"/>
          <w:color w:val="auto"/>
        </w:rPr>
        <w:t>. Interest expense consists of interest incurred under our December 2012 royalty-bearing instrument</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arrangement, which was calculated based on an estimated repayment schedule and was paid in full in 2020. Interest income consists of interest earned on our cash and cash equivalents, as well as our short-term and long-term investments. Other (expense) income, net, consists primarily of foreign exchange losses and gains.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ind w:right="40" w:firstLine="509"/>
        <w:spacing w:after="0" w:line="273" w:lineRule="auto"/>
        <w:rPr>
          <w:sz w:val="20"/>
          <w:szCs w:val="20"/>
          <w:color w:val="auto"/>
        </w:rPr>
      </w:pPr>
      <w:r>
        <w:rPr>
          <w:rFonts w:ascii="Arial" w:cs="Arial" w:eastAsia="Arial" w:hAnsi="Arial"/>
          <w:sz w:val="17"/>
          <w:szCs w:val="17"/>
          <w:i w:val="1"/>
          <w:iCs w:val="1"/>
          <w:color w:val="auto"/>
        </w:rPr>
        <w:t xml:space="preserve">Income tax (provision) benefit. </w:t>
      </w:r>
      <w:r>
        <w:rPr>
          <w:rFonts w:ascii="Arial" w:cs="Arial" w:eastAsia="Arial" w:hAnsi="Arial"/>
          <w:sz w:val="17"/>
          <w:szCs w:val="17"/>
          <w:color w:val="auto"/>
        </w:rPr>
        <w:t>Income tax (provision) benefit, deferred tax assets and liabilities, and reserves for unrecognized tax benefits reflect</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management’s best assessment of estimated future taxes to be paid. We are subject to income taxes in both the United States and foreign jurisdictions. In applying guidance prescribed under ASC 740 and based on present evidence and conclusions around the realizability of deferred tax assets, we determined that any tax benefit related to the pretax losses generated for the third quarters of 2021 and 2020 are not more likely than not to be realized. On March 27, 2020, the Coronavirus Aid, Relief, and Economic Security Act, or CARES Act, was enacted in the United States. Among other provisions, the CARES Act allows businesses to carry back net operating losses arising in years 2018 to 2020 to the five prior tax years.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35" w:lineRule="exact"/>
        <w:rPr>
          <w:sz w:val="20"/>
          <w:szCs w:val="20"/>
          <w:color w:val="auto"/>
        </w:rPr>
      </w:pPr>
    </w:p>
    <w:p>
      <w:pPr>
        <w:ind w:right="100" w:firstLine="509"/>
        <w:spacing w:after="0" w:line="306" w:lineRule="auto"/>
        <w:rPr>
          <w:sz w:val="20"/>
          <w:szCs w:val="20"/>
          <w:color w:val="auto"/>
        </w:rPr>
      </w:pPr>
      <w:r>
        <w:rPr>
          <w:rFonts w:ascii="Arial" w:cs="Arial" w:eastAsia="Arial" w:hAnsi="Arial"/>
          <w:sz w:val="16"/>
          <w:szCs w:val="16"/>
          <w:color w:val="auto"/>
        </w:rPr>
        <w:t>Our discussion and analysis of our financial condition and results of operations is based on our condensed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Estimates are assessed each period and updated to reflect current information. A summary of our critical accounting policies, significant judgments and estimates is presented in Part II, Item 7 of our Annual Report on Form 10-K for the year ended December 31, 2020. There were no material changes to our critical accounting policies, significant judgments and estimates during the three and nine months ended September 30, 2021 and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right="440" w:firstLine="509"/>
        <w:spacing w:after="0" w:line="293" w:lineRule="auto"/>
        <w:rPr>
          <w:sz w:val="20"/>
          <w:szCs w:val="20"/>
          <w:color w:val="auto"/>
        </w:rPr>
      </w:pPr>
      <w:r>
        <w:rPr>
          <w:rFonts w:ascii="Arial" w:cs="Arial" w:eastAsia="Arial" w:hAnsi="Arial"/>
          <w:sz w:val="18"/>
          <w:szCs w:val="18"/>
          <w:color w:val="auto"/>
        </w:rPr>
        <w:t>For a discussion of recent accounting pronouncements, see Note 2—Significant Accounting Policies in the accompanying Notes to Condensed Consolidated Financial Statements included in Item 1 of this Quarterly Report on Form 10-Q for additional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the impact of inflation on operations has been minimal during the past three years.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2021 and September 30, 2020</w:t>
      </w:r>
    </w:p>
    <w:p>
      <w:pPr>
        <w:spacing w:after="0" w:line="266"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i w:val="1"/>
          <w:iCs w:val="1"/>
          <w:color w:val="auto"/>
        </w:rPr>
        <w:t xml:space="preserve">Total revenue, net. </w:t>
      </w:r>
      <w:r>
        <w:rPr>
          <w:rFonts w:ascii="Arial" w:cs="Arial" w:eastAsia="Arial" w:hAnsi="Arial"/>
          <w:sz w:val="18"/>
          <w:szCs w:val="18"/>
          <w:color w:val="auto"/>
        </w:rPr>
        <w:t>We recorded total revenue, net, of $142.0 million and $156.5 million during the three months ended September 30,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2020, respectively, a decrease of $14.5 million, or 9%. Total revenue, net consists primarily of revenue from the sale of VASCEPA in the United States. In addition to the United States, we also sell VASCEPA by prescription in Germany and is available by prescription in Canada, Lebanon and the United Arab Emirates through collaborations with third-party companies. As further discussed below, this decrease consists of a $13.9 million decrease in U.S. net product revenue and a $0.7 million decrease in licensing and royalty revenue, offset by an increase of $0.2 million in net product revenue from sales of VASCEPA outside of the United States.</w:t>
      </w:r>
    </w:p>
    <w:p>
      <w:pPr>
        <w:spacing w:after="0" w:line="218" w:lineRule="exact"/>
        <w:rPr>
          <w:sz w:val="20"/>
          <w:szCs w:val="20"/>
          <w:color w:val="auto"/>
        </w:rPr>
      </w:pPr>
    </w:p>
    <w:p>
      <w:pPr>
        <w:ind w:right="200" w:firstLine="539"/>
        <w:spacing w:after="0" w:line="293" w:lineRule="auto"/>
        <w:rPr>
          <w:sz w:val="20"/>
          <w:szCs w:val="20"/>
          <w:color w:val="auto"/>
        </w:rPr>
      </w:pPr>
      <w:r>
        <w:rPr>
          <w:rFonts w:ascii="Arial" w:cs="Arial" w:eastAsia="Arial" w:hAnsi="Arial"/>
          <w:sz w:val="18"/>
          <w:szCs w:val="18"/>
          <w:i w:val="1"/>
          <w:iCs w:val="1"/>
          <w:color w:val="auto"/>
        </w:rPr>
        <w:t xml:space="preserve">Product revenue, net. </w:t>
      </w:r>
      <w:r>
        <w:rPr>
          <w:rFonts w:ascii="Arial" w:cs="Arial" w:eastAsia="Arial" w:hAnsi="Arial"/>
          <w:sz w:val="18"/>
          <w:szCs w:val="18"/>
          <w:color w:val="auto"/>
        </w:rPr>
        <w:t>We recorded product revenue, net, of $141.4 million and $155.2 million during the three months ended September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and 2020, respectively, a decrease of $13.7 million, or 9%.</w:t>
      </w:r>
    </w:p>
    <w:p>
      <w:pPr>
        <w:spacing w:after="0" w:line="62" w:lineRule="exact"/>
        <w:rPr>
          <w:sz w:val="20"/>
          <w:szCs w:val="20"/>
          <w:color w:val="auto"/>
        </w:rPr>
      </w:pPr>
    </w:p>
    <w:p>
      <w:pPr>
        <w:ind w:firstLine="539"/>
        <w:spacing w:after="0" w:line="269" w:lineRule="auto"/>
        <w:rPr>
          <w:sz w:val="20"/>
          <w:szCs w:val="20"/>
          <w:color w:val="auto"/>
        </w:rPr>
      </w:pPr>
      <w:r>
        <w:rPr>
          <w:rFonts w:ascii="Arial" w:cs="Arial" w:eastAsia="Arial" w:hAnsi="Arial"/>
          <w:sz w:val="18"/>
          <w:szCs w:val="18"/>
          <w:color w:val="auto"/>
        </w:rPr>
        <w:t>This decrease was driven primarily by volume of VASCEPA sales to our customers in the United States. Inclusive of generic icosapent ethyl, based on prescription levels reported by Symphony Health, the icosapent ethyl market increased for the three months ended September 30, 2021 by 11% as compared to the three months ended September 30, 2020. Based on available data from Symphony Health, generic prescriptions of icosapent ethyl in the three months ended September 30, 2021 were approximately 17% of the total icosapent ethyl prescriptions, which includes the second generic entrant into the market, Dr. Reddy's, late in the second quarter providing additional generic supply, further impacting the volume of branded sales in the three months ended September 30, 2021. The decrease in product revenue is partially offset by a slight increase in international sales, which totaled $0.7 million and $0.5 million, for the three months ended September 30, 2021 and 2020, respectively, as a result of the commercial launch of VAZKEPA in Germany at the end of the third quarter of 2021.</w:t>
      </w:r>
    </w:p>
    <w:p>
      <w:pPr>
        <w:spacing w:after="0" w:line="88" w:lineRule="exact"/>
        <w:rPr>
          <w:sz w:val="20"/>
          <w:szCs w:val="20"/>
          <w:color w:val="auto"/>
        </w:rPr>
      </w:pPr>
    </w:p>
    <w:p>
      <w:pPr>
        <w:ind w:right="20" w:firstLine="539"/>
        <w:spacing w:after="0" w:line="266" w:lineRule="auto"/>
        <w:rPr>
          <w:sz w:val="20"/>
          <w:szCs w:val="20"/>
          <w:color w:val="auto"/>
        </w:rPr>
      </w:pPr>
      <w:r>
        <w:rPr>
          <w:rFonts w:ascii="Arial" w:cs="Arial" w:eastAsia="Arial" w:hAnsi="Arial"/>
          <w:sz w:val="18"/>
          <w:szCs w:val="18"/>
          <w:color w:val="auto"/>
        </w:rPr>
        <w:t>We will continue to monitor the generic prescription market in the U.S. and will vigorously protect our cardiovascular risk reduction patents, as deemed appropriate. In addition, based on available information, we believe that a significant number of icosapent ethyl prescriptions in the U.S. have gone unfilled in the three months ended September 30, 2021, due to general market disruption of order fulfillment processes. These processes at the pharmacy level have favored generic products in that in anticipation of receiving generic supply, in certain circumstances pharmacists have opted to wait to fill prescriptions with generic product by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2" w:name="page33"/>
    <w:bookmarkEnd w:id="32"/>
    <w:p>
      <w:pPr>
        <w:jc w:val="both"/>
        <w:ind w:right="60"/>
        <w:spacing w:after="0" w:line="279" w:lineRule="auto"/>
        <w:rPr>
          <w:sz w:val="20"/>
          <w:szCs w:val="20"/>
          <w:color w:val="auto"/>
        </w:rPr>
      </w:pPr>
      <w:r>
        <w:rPr>
          <w:rFonts w:ascii="Arial" w:cs="Arial" w:eastAsia="Arial" w:hAnsi="Arial"/>
          <w:sz w:val="18"/>
          <w:szCs w:val="18"/>
          <w:color w:val="auto"/>
        </w:rPr>
        <w:t>ordering product for later fulfillment. In the case of icosapent ethyl, in many U.S. markets generic product has been delayed or unavailable. In addition, we have heard multiple reports of patients finding that the generic product is more expensive than they have historically paid for the branded product resulting in their refusal to fill their prescriptions.</w:t>
      </w:r>
    </w:p>
    <w:p>
      <w:pPr>
        <w:spacing w:after="0" w:line="75" w:lineRule="exact"/>
        <w:rPr>
          <w:sz w:val="20"/>
          <w:szCs w:val="20"/>
          <w:color w:val="auto"/>
        </w:rPr>
      </w:pPr>
    </w:p>
    <w:p>
      <w:pPr>
        <w:ind w:right="120" w:firstLine="539"/>
        <w:spacing w:after="0" w:line="288" w:lineRule="auto"/>
        <w:rPr>
          <w:sz w:val="20"/>
          <w:szCs w:val="20"/>
          <w:color w:val="auto"/>
        </w:rPr>
      </w:pPr>
      <w:r>
        <w:rPr>
          <w:rFonts w:ascii="Arial" w:cs="Arial" w:eastAsia="Arial" w:hAnsi="Arial"/>
          <w:sz w:val="17"/>
          <w:szCs w:val="17"/>
          <w:color w:val="auto"/>
        </w:rPr>
        <w:t>Despite the generic competition in the U.S., we remain confident that the patient need for VASCEPA is high and we believe that our new U.S. Go-to-Market strategy, announced on September 22, 2021, will combat the limitations in access to healthcare providers for face-to-face interactions caused by COVID-19, and accelerate prescription growth of VASCEPA by focusing on expanding engagement with healthcare professionals through a new omnichannel platform, enhancing managed care access and optimizing VASCEPA prescriptions for cardiovascular risk reduction. As a result of the uncertainty of the extent of COVID-19, the impact of generic competition and challenges for most drugs seeking market access in Europe, a process we were only able to formally commence following product approval in March 2021, we are not providing revenue guidance at this time. We will consider resuming revenue guidance when there is greater clarity on the impact of these items.</w:t>
      </w:r>
    </w:p>
    <w:p>
      <w:pPr>
        <w:spacing w:after="0" w:line="194" w:lineRule="exact"/>
        <w:rPr>
          <w:sz w:val="20"/>
          <w:szCs w:val="20"/>
          <w:color w:val="auto"/>
        </w:rPr>
      </w:pPr>
    </w:p>
    <w:p>
      <w:pPr>
        <w:jc w:val="both"/>
        <w:ind w:right="220" w:firstLine="509"/>
        <w:spacing w:after="0" w:line="263" w:lineRule="auto"/>
        <w:rPr>
          <w:sz w:val="20"/>
          <w:szCs w:val="20"/>
          <w:color w:val="auto"/>
        </w:rPr>
      </w:pPr>
      <w:r>
        <w:rPr>
          <w:rFonts w:ascii="Arial" w:cs="Arial" w:eastAsia="Arial" w:hAnsi="Arial"/>
          <w:sz w:val="18"/>
          <w:szCs w:val="18"/>
          <w:i w:val="1"/>
          <w:iCs w:val="1"/>
          <w:color w:val="auto"/>
        </w:rPr>
        <w:t>Licensing and royalty revenue</w:t>
      </w:r>
      <w:r>
        <w:rPr>
          <w:rFonts w:ascii="Arial" w:cs="Arial" w:eastAsia="Arial" w:hAnsi="Arial"/>
          <w:sz w:val="18"/>
          <w:szCs w:val="18"/>
          <w:color w:val="auto"/>
        </w:rPr>
        <w:t>. Licensing and royalty revenue during the three months ended September 30, 2021 and 2020 was $0.6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$1.3 million, respectively, a decrease of $0.7 million, or 54%. Licensing and royalty revenue relates to the recognition of amounts received in connection with the following VASCEPA licensing agreements:</w:t>
      </w:r>
    </w:p>
    <w:p>
      <w:pPr>
        <w:spacing w:after="0" w:line="7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Edding – a $15.0 million up-front payment received in February 2015 and a $1.0 million milestone payment achieved in March 2016.</w:t>
      </w:r>
    </w:p>
    <w:p>
      <w:pPr>
        <w:spacing w:after="0" w:line="129" w:lineRule="exact"/>
        <w:rPr>
          <w:sz w:val="20"/>
          <w:szCs w:val="20"/>
          <w:color w:val="auto"/>
        </w:rPr>
      </w:pPr>
    </w:p>
    <w:p>
      <w:pPr>
        <w:ind w:left="840" w:right="460"/>
        <w:spacing w:after="0" w:line="301" w:lineRule="auto"/>
        <w:rPr>
          <w:sz w:val="20"/>
          <w:szCs w:val="20"/>
          <w:color w:val="auto"/>
        </w:rPr>
      </w:pPr>
      <w:r>
        <w:rPr>
          <w:rFonts w:ascii="Arial" w:cs="Arial" w:eastAsia="Arial" w:hAnsi="Arial"/>
          <w:sz w:val="16"/>
          <w:szCs w:val="16"/>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U.S. FDA approval of a new indication and label expansion in December 2019, and a $3.8 million milestone payment that was received as a result of obtaining a regulatory exclusivity designation in January 2020.</w:t>
      </w:r>
    </w:p>
    <w:p>
      <w:pPr>
        <w:spacing w:after="0" w:line="63"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The up-front and milestone payments are being recognized over the estimated period in which we are required to provide regulatory and development support pursuant to the agreements. The amount of licensing and royalty revenue is expected to vary from period to period based on timing of milestones achieved and changes in estimates of the timing and level of support required.</w:t>
      </w:r>
    </w:p>
    <w:p>
      <w:pPr>
        <w:spacing w:after="0" w:line="75" w:lineRule="exact"/>
        <w:rPr>
          <w:sz w:val="20"/>
          <w:szCs w:val="20"/>
          <w:color w:val="auto"/>
        </w:rPr>
      </w:pPr>
    </w:p>
    <w:p>
      <w:pPr>
        <w:ind w:right="100" w:firstLine="509"/>
        <w:spacing w:after="0" w:line="359" w:lineRule="auto"/>
        <w:rPr>
          <w:sz w:val="20"/>
          <w:szCs w:val="20"/>
          <w:color w:val="auto"/>
        </w:rPr>
      </w:pPr>
      <w:r>
        <w:rPr>
          <w:rFonts w:ascii="Arial" w:cs="Arial" w:eastAsia="Arial" w:hAnsi="Arial"/>
          <w:sz w:val="16"/>
          <w:szCs w:val="16"/>
          <w:color w:val="auto"/>
        </w:rPr>
        <w:t>As part of our licensing agreements covering certain territories outside of the United States, we are entitled to a percentage of revenue earned based on sales by our partners. The royalty payments are being recognized as earned based on revenue recognized by our current partners.</w:t>
      </w:r>
    </w:p>
    <w:p>
      <w:pPr>
        <w:spacing w:after="0" w:line="152" w:lineRule="exact"/>
        <w:rPr>
          <w:sz w:val="20"/>
          <w:szCs w:val="20"/>
          <w:color w:val="auto"/>
        </w:rPr>
      </w:pPr>
    </w:p>
    <w:p>
      <w:pPr>
        <w:ind w:right="40" w:firstLine="509"/>
        <w:spacing w:after="0" w:line="319"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three months ended September 30, 2021 and 2020 was $30.2 million and $33.1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 decrease of $2.9 million, or 9%.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48"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The API included in the calculation of the average cost of goods sold during the quarters ended September 30, 2021 and 2020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2021 to be similar to or modestly lower than 2020. The average cost may be variable from period to period depending upon the timing and quantity of API purchased from each supplier.</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overall gross margin on product sales for each of the three months ended September 30, 2021 and 2020 was 79%, respectively.</w:t>
      </w:r>
    </w:p>
    <w:p>
      <w:pPr>
        <w:spacing w:after="0" w:line="252"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Selling, general and administrative expense for the three months ended September 30, 2021 and 2020</w:t>
      </w:r>
      <w:r>
        <w:rPr>
          <w:rFonts w:ascii="Arial" w:cs="Arial" w:eastAsia="Arial" w:hAnsi="Arial"/>
          <w:sz w:val="18"/>
          <w:szCs w:val="18"/>
          <w:i w:val="1"/>
          <w:iCs w:val="1"/>
          <w:color w:val="auto"/>
        </w:rPr>
        <w:t xml:space="preserve"> </w:t>
      </w:r>
      <w:r>
        <w:rPr>
          <w:rFonts w:ascii="Arial" w:cs="Arial" w:eastAsia="Arial" w:hAnsi="Arial"/>
          <w:sz w:val="18"/>
          <w:szCs w:val="18"/>
          <w:color w:val="auto"/>
        </w:rPr>
        <w:t>was $103.0 million and $120.2 million, respectively, a decrease of $17.2 million, or 14%. Selling, general and administrative expenses for the three months ended September 30, 2021 and 2020 are summarized in the table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w w:val="97"/>
              </w:rPr>
              <w:t>Three months ended September 30,</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960" w:type="dxa"/>
            <w:vAlign w:val="bottom"/>
            <w:gridSpan w:val="2"/>
            <w:shd w:val="clear" w:color="auto" w:fill="CFF0FC"/>
          </w:tcPr>
          <w:p>
            <w:pPr>
              <w:spacing w:after="0" w:line="250" w:lineRule="exact"/>
              <w:rPr>
                <w:sz w:val="20"/>
                <w:szCs w:val="20"/>
                <w:color w:val="auto"/>
              </w:rPr>
            </w:pPr>
            <w:r>
              <w:rPr>
                <w:rFonts w:ascii="Arial" w:cs="Arial" w:eastAsia="Arial" w:hAnsi="Arial"/>
                <w:sz w:val="18"/>
                <w:szCs w:val="18"/>
                <w:color w:val="auto"/>
              </w:rPr>
              <w:t xml:space="preserve">Selling expense </w:t>
            </w:r>
            <w:r>
              <w:rPr>
                <w:rFonts w:ascii="Arial" w:cs="Arial" w:eastAsia="Arial" w:hAnsi="Arial"/>
                <w:sz w:val="24"/>
                <w:szCs w:val="24"/>
                <w:color w:val="auto"/>
                <w:vertAlign w:val="superscript"/>
              </w:rPr>
              <w:t>(1)</w:t>
            </w:r>
          </w:p>
        </w:tc>
        <w:tc>
          <w:tcPr>
            <w:tcW w:w="2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67,895</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93,635</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3960" w:type="dxa"/>
            <w:vAlign w:val="bottom"/>
            <w:gridSpan w:val="2"/>
          </w:tcPr>
          <w:p>
            <w:pPr>
              <w:spacing w:after="0" w:line="257" w:lineRule="exact"/>
              <w:rPr>
                <w:sz w:val="20"/>
                <w:szCs w:val="20"/>
                <w:color w:val="auto"/>
              </w:rPr>
            </w:pPr>
            <w:r>
              <w:rPr>
                <w:rFonts w:ascii="Arial" w:cs="Arial" w:eastAsia="Arial" w:hAnsi="Arial"/>
                <w:sz w:val="18"/>
                <w:szCs w:val="18"/>
                <w:color w:val="auto"/>
              </w:rPr>
              <w:t xml:space="preserve">General and administrative expense </w:t>
            </w:r>
            <w:r>
              <w:rPr>
                <w:rFonts w:ascii="Arial" w:cs="Arial" w:eastAsia="Arial" w:hAnsi="Arial"/>
                <w:sz w:val="24"/>
                <w:szCs w:val="24"/>
                <w:color w:val="auto"/>
                <w:vertAlign w:val="superscript"/>
              </w:rPr>
              <w:t>(2)</w:t>
            </w:r>
          </w:p>
        </w:tc>
        <w:tc>
          <w:tcPr>
            <w:tcW w:w="1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25,828</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16,606</w:t>
            </w: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3960" w:type="dxa"/>
            <w:vAlign w:val="bottom"/>
            <w:tcBorders>
              <w:bottom w:val="single" w:sz="8" w:color="CFF0FC"/>
            </w:tcBorders>
            <w:gridSpan w:val="2"/>
            <w:shd w:val="clear" w:color="auto" w:fill="CFF0FC"/>
          </w:tcPr>
          <w:p>
            <w:pPr>
              <w:spacing w:after="0" w:line="257" w:lineRule="exact"/>
              <w:rPr>
                <w:sz w:val="20"/>
                <w:szCs w:val="20"/>
                <w:color w:val="auto"/>
              </w:rPr>
            </w:pPr>
            <w:r>
              <w:rPr>
                <w:rFonts w:ascii="Arial" w:cs="Arial" w:eastAsia="Arial" w:hAnsi="Arial"/>
                <w:sz w:val="18"/>
                <w:szCs w:val="18"/>
                <w:color w:val="auto"/>
              </w:rPr>
              <w:t xml:space="preserve">Non-cash stock-based compensation expense </w:t>
            </w:r>
            <w:r>
              <w:rPr>
                <w:rFonts w:ascii="Arial" w:cs="Arial" w:eastAsia="Arial" w:hAnsi="Arial"/>
                <w:sz w:val="24"/>
                <w:szCs w:val="24"/>
                <w:color w:val="auto"/>
                <w:vertAlign w:val="superscript"/>
              </w:rPr>
              <w:t>(3)</w:t>
            </w:r>
          </w:p>
        </w:tc>
        <w:tc>
          <w:tcPr>
            <w:tcW w:w="18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9,242</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9,923</w:t>
            </w:r>
          </w:p>
        </w:tc>
        <w:tc>
          <w:tcPr>
            <w:tcW w:w="80" w:type="dxa"/>
            <w:vAlign w:val="bottom"/>
            <w:tcBorders>
              <w:bottom w:val="single" w:sz="8" w:color="CFF0FC"/>
            </w:tcBorders>
            <w:shd w:val="clear" w:color="auto" w:fill="CFF0FC"/>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Total selling, general and administrative expense</w:t>
            </w: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102,965</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120,164</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80" w:type="dxa"/>
            <w:vAlign w:val="bottom"/>
            <w:vMerge w:val="restart"/>
          </w:tcPr>
          <w:p>
            <w:pPr>
              <w:jc w:val="right"/>
              <w:ind w:right="1170"/>
              <w:spacing w:after="0"/>
              <w:rPr>
                <w:sz w:val="20"/>
                <w:szCs w:val="20"/>
                <w:color w:val="auto"/>
              </w:rPr>
            </w:pPr>
            <w:r>
              <w:rPr>
                <w:rFonts w:ascii="Arial" w:cs="Arial" w:eastAsia="Arial" w:hAnsi="Arial"/>
                <w:sz w:val="18"/>
                <w:szCs w:val="18"/>
                <w:color w:val="auto"/>
              </w:rPr>
              <w:t>33</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600" w:type="dxa"/>
            <w:vAlign w:val="bottom"/>
          </w:tcPr>
          <w:p>
            <w:pPr>
              <w:spacing w:after="0"/>
              <w:rPr>
                <w:sz w:val="20"/>
                <w:szCs w:val="20"/>
                <w:color w:val="auto"/>
              </w:rPr>
            </w:pPr>
          </w:p>
        </w:tc>
        <w:tc>
          <w:tcPr>
            <w:tcW w:w="18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8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-588010</wp:posOffset>
            </wp:positionV>
            <wp:extent cx="15430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-588010</wp:posOffset>
            </wp:positionV>
            <wp:extent cx="5143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3" w:name="page34"/>
    <w:bookmarkEnd w:id="33"/>
    <w:p>
      <w:pPr>
        <w:ind w:left="420" w:right="180" w:hanging="322"/>
        <w:spacing w:after="0" w:line="292" w:lineRule="auto"/>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Selling expense for the three months ended September 30, 2021 and 2020 was $67.9 million and $93.6 million, respectively, a decrease of $25.7 million, or 27%. This decrease is primarily due to a decrease in marketing and direct-to-consumer promotions in the three months ended September 30, 2021 resulting from two television campaigns being launched during the three months ended September 30, 2020.</w:t>
      </w:r>
    </w:p>
    <w:p>
      <w:pPr>
        <w:spacing w:after="0" w:line="2" w:lineRule="exact"/>
        <w:rPr>
          <w:rFonts w:ascii="Arial" w:cs="Arial" w:eastAsia="Arial" w:hAnsi="Arial"/>
          <w:sz w:val="17"/>
          <w:szCs w:val="17"/>
          <w:color w:val="auto"/>
        </w:rPr>
      </w:pPr>
    </w:p>
    <w:p>
      <w:pPr>
        <w:ind w:left="420" w:right="20" w:hanging="322"/>
        <w:spacing w:after="0" w:line="316"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General and administrative expense for the three months ended September 30, 2021 and 2020 was $25.8 million and $16.6 million, respectively, an increase of $9.2 million, or 56%. This increase is primarily due to increased personnel costs related to the expansion into Europe, as well as increased legal fees related to the ongoing patent infringement litigation during the three months ended September 30, 2021.</w:t>
      </w:r>
    </w:p>
    <w:p>
      <w:pPr>
        <w:spacing w:after="0" w:line="2" w:lineRule="exact"/>
        <w:rPr>
          <w:rFonts w:ascii="Arial" w:cs="Arial" w:eastAsia="Arial" w:hAnsi="Arial"/>
          <w:sz w:val="16"/>
          <w:szCs w:val="16"/>
          <w:color w:val="auto"/>
        </w:rPr>
      </w:pPr>
    </w:p>
    <w:p>
      <w:pPr>
        <w:ind w:left="420" w:right="300" w:hanging="322"/>
        <w:spacing w:after="0" w:line="275"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Non-cash stock-based compensation expense for the three months ended September 30, 2021 and 2020 was $9.2 million and $9.9 million, respectively, a decrease of $0.7 million, or 7%. Non-cash stock-based compensation expense represents the estimated costs associated with equity awards issued to internal personnel supporting our selling, general and administrative functions. The decrease is primarily due to the reversal of expense associated with the reduction in U.S. field force.</w:t>
      </w:r>
    </w:p>
    <w:p>
      <w:pPr>
        <w:spacing w:after="0" w:line="77" w:lineRule="exact"/>
        <w:rPr>
          <w:sz w:val="20"/>
          <w:szCs w:val="20"/>
          <w:color w:val="auto"/>
        </w:rPr>
      </w:pPr>
    </w:p>
    <w:p>
      <w:pPr>
        <w:ind w:right="20" w:firstLine="469"/>
        <w:spacing w:after="0" w:line="314" w:lineRule="auto"/>
        <w:rPr>
          <w:sz w:val="20"/>
          <w:szCs w:val="20"/>
          <w:color w:val="auto"/>
        </w:rPr>
      </w:pPr>
      <w:r>
        <w:rPr>
          <w:rFonts w:ascii="Arial" w:cs="Arial" w:eastAsia="Arial" w:hAnsi="Arial"/>
          <w:sz w:val="16"/>
          <w:szCs w:val="16"/>
          <w:color w:val="auto"/>
        </w:rPr>
        <w:t>We anticipate our selling, general and administrative expenses to increase throughout 2021 primarily due to the costs associated with VAZKEPA commercial launch in Germany and subject to market access, launching VAZKEPA in one or more additional countries in Europe during 2021. We are continuing to grow our European staff by hiring Market access and Medical affairs teams, among others, across Europe as deemed appropriate on a country by country basis. As we work to increase revenue from VASCEPA, we continuously evaluate all of our spending commitments and priorities and we plan to adjust our level of education and promotional activities based on various factors, including the impact of COVID-19 and generic competition.</w:t>
      </w:r>
    </w:p>
    <w:p>
      <w:pPr>
        <w:spacing w:after="0" w:line="187"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Research and development expense for the three months ended September 30, 2021 and 2020 was $7.8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$10.2 million, respectively, a decrease of $2.4 million, or 23%. Research and development expenses for the three months ended September 30, 2021 and 2020 are summarized in the table below:</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w w:val="96"/>
              </w:rPr>
              <w:t>Three months ended September 30,</w:t>
            </w:r>
          </w:p>
        </w:tc>
        <w:tc>
          <w:tcPr>
            <w:tcW w:w="80" w:type="dxa"/>
            <w:vAlign w:val="bottom"/>
          </w:tcPr>
          <w:p>
            <w:pPr>
              <w:spacing w:after="0"/>
              <w:rPr>
                <w:sz w:val="16"/>
                <w:szCs w:val="16"/>
                <w:color w:val="auto"/>
              </w:rPr>
            </w:pPr>
          </w:p>
        </w:tc>
      </w:tr>
      <w:tr>
        <w:trPr>
          <w:trHeight w:val="202"/>
        </w:trPr>
        <w:tc>
          <w:tcPr>
            <w:tcW w:w="59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0"/>
        </w:trPr>
        <w:tc>
          <w:tcPr>
            <w:tcW w:w="5920" w:type="dxa"/>
            <w:vAlign w:val="bottom"/>
            <w:shd w:val="clear" w:color="auto" w:fill="CFF0FC"/>
          </w:tcPr>
          <w:p>
            <w:pPr>
              <w:spacing w:after="0" w:line="250" w:lineRule="exact"/>
              <w:rPr>
                <w:sz w:val="20"/>
                <w:szCs w:val="20"/>
                <w:color w:val="auto"/>
              </w:rPr>
            </w:pPr>
            <w:r>
              <w:rPr>
                <w:rFonts w:ascii="Arial" w:cs="Arial" w:eastAsia="Arial" w:hAnsi="Arial"/>
                <w:sz w:val="18"/>
                <w:szCs w:val="18"/>
                <w:color w:val="auto"/>
              </w:rPr>
              <w:t xml:space="preserve">REDUCE-IT study </w:t>
            </w:r>
            <w:r>
              <w:rPr>
                <w:rFonts w:ascii="Arial" w:cs="Arial" w:eastAsia="Arial" w:hAnsi="Arial"/>
                <w:sz w:val="24"/>
                <w:szCs w:val="24"/>
                <w:color w:val="auto"/>
                <w:vertAlign w:val="superscript"/>
              </w:rPr>
              <w:t>(1)</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2,230</w:t>
            </w:r>
          </w:p>
        </w:tc>
        <w:tc>
          <w:tcPr>
            <w:tcW w:w="80" w:type="dxa"/>
            <w:vAlign w:val="bottom"/>
            <w:shd w:val="clear" w:color="auto" w:fill="CFF0FC"/>
          </w:tcPr>
          <w:p>
            <w:pPr>
              <w:spacing w:after="0"/>
              <w:rPr>
                <w:sz w:val="21"/>
                <w:szCs w:val="21"/>
                <w:color w:val="auto"/>
              </w:rPr>
            </w:pPr>
          </w:p>
        </w:tc>
      </w:tr>
      <w:tr>
        <w:trPr>
          <w:trHeight w:val="256"/>
        </w:trPr>
        <w:tc>
          <w:tcPr>
            <w:tcW w:w="5920" w:type="dxa"/>
            <w:vAlign w:val="bottom"/>
          </w:tcPr>
          <w:p>
            <w:pPr>
              <w:spacing w:after="0" w:line="257" w:lineRule="exact"/>
              <w:rPr>
                <w:sz w:val="20"/>
                <w:szCs w:val="20"/>
                <w:color w:val="auto"/>
              </w:rPr>
            </w:pPr>
            <w:r>
              <w:rPr>
                <w:rFonts w:ascii="Arial" w:cs="Arial" w:eastAsia="Arial" w:hAnsi="Arial"/>
                <w:sz w:val="18"/>
                <w:szCs w:val="18"/>
                <w:color w:val="auto"/>
              </w:rPr>
              <w:t xml:space="preserve">Regulatory filing fees and expenses </w:t>
            </w:r>
            <w:r>
              <w:rPr>
                <w:rFonts w:ascii="Arial" w:cs="Arial" w:eastAsia="Arial" w:hAnsi="Arial"/>
                <w:sz w:val="24"/>
                <w:szCs w:val="24"/>
                <w:color w:val="auto"/>
                <w:vertAlign w:val="superscript"/>
              </w:rPr>
              <w:t>(2)</w:t>
            </w: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801</w:t>
            </w:r>
          </w:p>
        </w:tc>
        <w:tc>
          <w:tcPr>
            <w:tcW w:w="80" w:type="dxa"/>
            <w:vAlign w:val="bottom"/>
          </w:tcPr>
          <w:p>
            <w:pPr>
              <w:spacing w:after="0"/>
              <w:rPr>
                <w:sz w:val="22"/>
                <w:szCs w:val="22"/>
                <w:color w:val="auto"/>
              </w:rPr>
            </w:pPr>
          </w:p>
        </w:tc>
      </w:tr>
      <w:tr>
        <w:trPr>
          <w:trHeight w:val="257"/>
        </w:trPr>
        <w:tc>
          <w:tcPr>
            <w:tcW w:w="5920" w:type="dxa"/>
            <w:vAlign w:val="bottom"/>
            <w:tcBorders>
              <w:bottom w:val="single" w:sz="8" w:color="CFF0FC"/>
            </w:tcBorders>
            <w:shd w:val="clear" w:color="auto" w:fill="CFF0FC"/>
          </w:tcPr>
          <w:p>
            <w:pPr>
              <w:spacing w:after="0" w:line="257" w:lineRule="exact"/>
              <w:rPr>
                <w:sz w:val="20"/>
                <w:szCs w:val="20"/>
                <w:color w:val="auto"/>
              </w:rPr>
            </w:pPr>
            <w:r>
              <w:rPr>
                <w:rFonts w:ascii="Arial" w:cs="Arial" w:eastAsia="Arial" w:hAnsi="Arial"/>
                <w:sz w:val="18"/>
                <w:szCs w:val="18"/>
                <w:color w:val="auto"/>
              </w:rPr>
              <w:t xml:space="preserve">Internal staffing, overhead and other </w:t>
            </w:r>
            <w:r>
              <w:rPr>
                <w:rFonts w:ascii="Arial" w:cs="Arial" w:eastAsia="Arial" w:hAnsi="Arial"/>
                <w:sz w:val="24"/>
                <w:szCs w:val="24"/>
                <w:color w:val="auto"/>
                <w:vertAlign w:val="superscript"/>
              </w:rPr>
              <w:t>(3)</w:t>
            </w:r>
          </w:p>
        </w:tc>
        <w:tc>
          <w:tcPr>
            <w:tcW w:w="2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5,420</w:t>
            </w:r>
          </w:p>
        </w:tc>
        <w:tc>
          <w:tcPr>
            <w:tcW w:w="2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5,513</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43"/>
        </w:trPr>
        <w:tc>
          <w:tcPr>
            <w:tcW w:w="5920" w:type="dxa"/>
            <w:vAlign w:val="bottom"/>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6,630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8,544</w:t>
            </w:r>
          </w:p>
        </w:tc>
        <w:tc>
          <w:tcPr>
            <w:tcW w:w="80" w:type="dxa"/>
            <w:vAlign w:val="bottom"/>
          </w:tcPr>
          <w:p>
            <w:pPr>
              <w:spacing w:after="0"/>
              <w:rPr>
                <w:sz w:val="21"/>
                <w:szCs w:val="21"/>
                <w:color w:val="auto"/>
              </w:rPr>
            </w:pPr>
          </w:p>
        </w:tc>
      </w:tr>
      <w:tr>
        <w:trPr>
          <w:trHeight w:val="263"/>
        </w:trPr>
        <w:tc>
          <w:tcPr>
            <w:tcW w:w="5920" w:type="dxa"/>
            <w:vAlign w:val="bottom"/>
            <w:tcBorders>
              <w:bottom w:val="single" w:sz="8" w:color="CFF0FC"/>
            </w:tcBorders>
            <w:shd w:val="clear" w:color="auto" w:fill="CFF0FC"/>
          </w:tcPr>
          <w:p>
            <w:pPr>
              <w:spacing w:after="0" w:line="263" w:lineRule="exact"/>
              <w:rPr>
                <w:sz w:val="20"/>
                <w:szCs w:val="20"/>
                <w:color w:val="auto"/>
              </w:rPr>
            </w:pPr>
            <w:r>
              <w:rPr>
                <w:rFonts w:ascii="Arial" w:cs="Arial" w:eastAsia="Arial" w:hAnsi="Arial"/>
                <w:sz w:val="18"/>
                <w:szCs w:val="18"/>
                <w:color w:val="auto"/>
              </w:rPr>
              <w:t xml:space="preserve">Non-cash stock-based compensation expense </w:t>
            </w:r>
            <w:r>
              <w:rPr>
                <w:rFonts w:ascii="Arial" w:cs="Arial" w:eastAsia="Arial" w:hAnsi="Arial"/>
                <w:sz w:val="24"/>
                <w:szCs w:val="24"/>
                <w:color w:val="auto"/>
                <w:vertAlign w:val="superscript"/>
              </w:rPr>
              <w:t>(4)</w:t>
            </w:r>
          </w:p>
        </w:tc>
        <w:tc>
          <w:tcPr>
            <w:tcW w:w="2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2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43"/>
        </w:trPr>
        <w:tc>
          <w:tcPr>
            <w:tcW w:w="592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7,820</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10,204</w:t>
            </w:r>
          </w:p>
        </w:tc>
        <w:tc>
          <w:tcPr>
            <w:tcW w:w="80" w:type="dxa"/>
            <w:vAlign w:val="bottom"/>
          </w:tcPr>
          <w:p>
            <w:pPr>
              <w:spacing w:after="0"/>
              <w:rPr>
                <w:sz w:val="21"/>
                <w:szCs w:val="21"/>
                <w:color w:val="auto"/>
              </w:rPr>
            </w:pPr>
          </w:p>
        </w:tc>
      </w:tr>
      <w:tr>
        <w:trPr>
          <w:trHeight w:val="20"/>
        </w:trPr>
        <w:tc>
          <w:tcPr>
            <w:tcW w:w="5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-527685</wp:posOffset>
            </wp:positionV>
            <wp:extent cx="14605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-527685</wp:posOffset>
            </wp:positionV>
            <wp:extent cx="5143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-193675</wp:posOffset>
            </wp:positionV>
            <wp:extent cx="14605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wp:posOffset>
            </wp:positionV>
            <wp:extent cx="5143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 w:lineRule="exact"/>
        <w:rPr>
          <w:sz w:val="20"/>
          <w:szCs w:val="20"/>
          <w:color w:val="auto"/>
        </w:rPr>
      </w:pPr>
    </w:p>
    <w:p>
      <w:pPr>
        <w:ind w:left="440" w:right="180" w:hanging="432"/>
        <w:spacing w:after="0" w:line="298" w:lineRule="auto"/>
        <w:tabs>
          <w:tab w:leader="none" w:pos="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September 2018, we announced landmark positive topline results of the REDUCE-IT cardiovascular outcomes trial. The decrease in expenses is primarily driven by the completion of certain analyses performed beyond the REDUCE-IT cardiovascular outcomes trial.</w:t>
      </w:r>
    </w:p>
    <w:p>
      <w:pPr>
        <w:ind w:left="440" w:hanging="432"/>
        <w:spacing w:after="0" w:line="316"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regulatory filing fees in each of the quarters ended September 30, 2021 and 2020 included annual U.S. FDA fees for maintaining manufacturing sites. Such fees primarily represent fees for qualification of new suppliers, including increasing capacity capabilities, and fees to support international regulatory review of VASCEPA, particularly in Europe, sites used for the manufacture of product used in the REDUCE-IT clinical outcomes study.</w:t>
      </w:r>
    </w:p>
    <w:p>
      <w:pPr>
        <w:spacing w:after="0" w:line="2" w:lineRule="exact"/>
        <w:rPr>
          <w:rFonts w:ascii="Arial" w:cs="Arial" w:eastAsia="Arial" w:hAnsi="Arial"/>
          <w:sz w:val="16"/>
          <w:szCs w:val="16"/>
          <w:color w:val="auto"/>
        </w:rPr>
      </w:pPr>
    </w:p>
    <w:p>
      <w:pPr>
        <w:ind w:left="440" w:hanging="432"/>
        <w:spacing w:after="0" w:line="272"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including costs associated with securing regulatory approvals for VAZKEPA in Europe as achieved in 2021. Also included are costs related to qualifying suppliers and costs associated with various other investigations, including other costs in collaboration with Mochida and pilot studies regarding VASCEPA.</w:t>
      </w:r>
    </w:p>
    <w:p>
      <w:pPr>
        <w:spacing w:after="0" w:line="15" w:lineRule="exact"/>
        <w:rPr>
          <w:rFonts w:ascii="Arial" w:cs="Arial" w:eastAsia="Arial" w:hAnsi="Arial"/>
          <w:sz w:val="18"/>
          <w:szCs w:val="18"/>
          <w:color w:val="auto"/>
        </w:rPr>
      </w:pPr>
    </w:p>
    <w:p>
      <w:pPr>
        <w:ind w:left="440" w:right="620" w:hanging="432"/>
        <w:spacing w:after="0" w:line="293"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estimated costs associated with equity awards issued to personnel supporting our research and development and regulatory functions.</w:t>
      </w:r>
    </w:p>
    <w:p>
      <w:pPr>
        <w:spacing w:after="0" w:line="62" w:lineRule="exact"/>
        <w:rPr>
          <w:sz w:val="20"/>
          <w:szCs w:val="20"/>
          <w:color w:val="auto"/>
        </w:rPr>
      </w:pPr>
    </w:p>
    <w:p>
      <w:pPr>
        <w:ind w:right="360" w:firstLine="509"/>
        <w:spacing w:after="0" w:line="293" w:lineRule="auto"/>
        <w:rPr>
          <w:sz w:val="20"/>
          <w:szCs w:val="20"/>
          <w:color w:val="auto"/>
        </w:rPr>
      </w:pPr>
      <w:r>
        <w:rPr>
          <w:rFonts w:ascii="Arial" w:cs="Arial" w:eastAsia="Arial" w:hAnsi="Arial"/>
          <w:sz w:val="18"/>
          <w:szCs w:val="18"/>
          <w:color w:val="auto"/>
        </w:rPr>
        <w:t>We continuously evaluate all of our spending commitments and priorities and we plan to adjust our level of research and development activities based on the impact of COVID-19 and generic competition.</w:t>
      </w:r>
    </w:p>
    <w:p>
      <w:pPr>
        <w:spacing w:after="0" w:line="197" w:lineRule="exact"/>
        <w:rPr>
          <w:sz w:val="20"/>
          <w:szCs w:val="20"/>
          <w:color w:val="auto"/>
        </w:rPr>
      </w:pPr>
    </w:p>
    <w:p>
      <w:pPr>
        <w:jc w:val="center"/>
        <w:ind w:right="100"/>
        <w:spacing w:after="0" w:line="275" w:lineRule="auto"/>
        <w:rPr>
          <w:sz w:val="20"/>
          <w:szCs w:val="20"/>
          <w:color w:val="auto"/>
        </w:rPr>
      </w:pPr>
      <w:r>
        <w:rPr>
          <w:rFonts w:ascii="Arial" w:cs="Arial" w:eastAsia="Arial" w:hAnsi="Arial"/>
          <w:sz w:val="18"/>
          <w:szCs w:val="18"/>
          <w:i w:val="1"/>
          <w:iCs w:val="1"/>
          <w:color w:val="auto"/>
        </w:rPr>
        <w:t>Restructuring expense</w:t>
      </w:r>
      <w:r>
        <w:rPr>
          <w:rFonts w:ascii="Arial" w:cs="Arial" w:eastAsia="Arial" w:hAnsi="Arial"/>
          <w:sz w:val="18"/>
          <w:szCs w:val="18"/>
          <w:color w:val="auto"/>
        </w:rPr>
        <w:t>. Restructuring expense for the three months ended September 30, 2021 and 2020 was $14.1 million and nil, respectively,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increase of $14.1 million or 100%. The increase is due to the launch of the new Go-to-Market strategy announced on September 22, 2021, which included the reduction of our U.S. field force to approximately 300 sales professionals. Refer to </w:t>
      </w:r>
      <w:r>
        <w:rPr>
          <w:rFonts w:ascii="Arial" w:cs="Arial" w:eastAsia="Arial" w:hAnsi="Arial"/>
          <w:sz w:val="18"/>
          <w:szCs w:val="18"/>
          <w:i w:val="1"/>
          <w:iCs w:val="1"/>
          <w:color w:val="auto"/>
        </w:rPr>
        <w:t>Note 2 Significant Accounting Policies</w:t>
      </w:r>
      <w:r>
        <w:rPr>
          <w:rFonts w:ascii="Arial" w:cs="Arial" w:eastAsia="Arial" w:hAnsi="Arial"/>
          <w:sz w:val="18"/>
          <w:szCs w:val="18"/>
          <w:color w:val="auto"/>
        </w:rPr>
        <w:t xml:space="preserve"> for additional information.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34" w:name="page35"/>
    <w:bookmarkEnd w:id="34"/>
    <w:p>
      <w:pPr>
        <w:ind w:right="40" w:firstLine="509"/>
        <w:spacing w:after="0" w:line="359" w:lineRule="auto"/>
        <w:rPr>
          <w:sz w:val="20"/>
          <w:szCs w:val="20"/>
          <w:color w:val="auto"/>
        </w:rPr>
      </w:pPr>
      <w:r>
        <w:rPr>
          <w:rFonts w:ascii="Arial" w:cs="Arial" w:eastAsia="Arial" w:hAnsi="Arial"/>
          <w:sz w:val="16"/>
          <w:szCs w:val="16"/>
          <w:i w:val="1"/>
          <w:iCs w:val="1"/>
          <w:color w:val="auto"/>
        </w:rPr>
        <w:t>Interest income, net</w:t>
      </w:r>
      <w:r>
        <w:rPr>
          <w:rFonts w:ascii="Arial" w:cs="Arial" w:eastAsia="Arial" w:hAnsi="Arial"/>
          <w:sz w:val="16"/>
          <w:szCs w:val="16"/>
          <w:color w:val="auto"/>
        </w:rPr>
        <w:t>. Net interest income for the three months ended September 30, 2021 and 2020 was $0.2 million and $0.5 million, respectively,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$0.4 million, or 70%. Net interest income for the three months ended September 30, 2021 and 2020 is summarized in the table below:</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6"/>
              </w:rPr>
              <w:t>Three months ended September 30,</w:t>
            </w:r>
          </w:p>
        </w:tc>
      </w:tr>
      <w:tr>
        <w:trPr>
          <w:trHeight w:val="202"/>
        </w:trPr>
        <w:tc>
          <w:tcPr>
            <w:tcW w:w="58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0"/>
        </w:trPr>
        <w:tc>
          <w:tcPr>
            <w:tcW w:w="5880" w:type="dxa"/>
            <w:vAlign w:val="bottom"/>
            <w:shd w:val="clear" w:color="auto" w:fill="CFF0FC"/>
          </w:tcPr>
          <w:p>
            <w:pPr>
              <w:spacing w:after="0" w:line="250" w:lineRule="exact"/>
              <w:rPr>
                <w:sz w:val="20"/>
                <w:szCs w:val="20"/>
                <w:color w:val="auto"/>
              </w:rPr>
            </w:pPr>
            <w:r>
              <w:rPr>
                <w:rFonts w:ascii="Arial" w:cs="Arial" w:eastAsia="Arial" w:hAnsi="Arial"/>
                <w:sz w:val="18"/>
                <w:szCs w:val="18"/>
                <w:color w:val="auto"/>
              </w:rPr>
              <w:t xml:space="preserve">Debt from royalty-bearing instrument </w:t>
            </w:r>
            <w:r>
              <w:rPr>
                <w:rFonts w:ascii="Arial" w:cs="Arial" w:eastAsia="Arial" w:hAnsi="Arial"/>
                <w:sz w:val="24"/>
                <w:szCs w:val="24"/>
                <w:color w:val="auto"/>
                <w:vertAlign w:val="superscript"/>
              </w:rPr>
              <w:t>(1)</w:t>
            </w: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880" w:type="dxa"/>
            <w:vAlign w:val="bottom"/>
          </w:tcPr>
          <w:p>
            <w:pPr>
              <w:ind w:left="180"/>
              <w:spacing w:after="0"/>
              <w:rPr>
                <w:sz w:val="20"/>
                <w:szCs w:val="20"/>
                <w:color w:val="auto"/>
              </w:rPr>
            </w:pPr>
            <w:r>
              <w:rPr>
                <w:rFonts w:ascii="Arial" w:cs="Arial" w:eastAsia="Arial" w:hAnsi="Arial"/>
                <w:sz w:val="18"/>
                <w:szCs w:val="18"/>
                <w:color w:val="auto"/>
              </w:rPr>
              <w:t>Cash interest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(273 )</w:t>
            </w:r>
          </w:p>
        </w:tc>
      </w:tr>
      <w:tr>
        <w:trPr>
          <w:trHeight w:val="257"/>
        </w:trPr>
        <w:tc>
          <w:tcPr>
            <w:tcW w:w="58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Non-cash interest</w:t>
            </w: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(112 )</w:t>
            </w:r>
          </w:p>
        </w:tc>
      </w:tr>
      <w:tr>
        <w:trPr>
          <w:trHeight w:val="20"/>
        </w:trPr>
        <w:tc>
          <w:tcPr>
            <w:tcW w:w="58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880" w:type="dxa"/>
            <w:vAlign w:val="bottom"/>
          </w:tcPr>
          <w:p>
            <w:pPr>
              <w:spacing w:after="0"/>
              <w:rPr>
                <w:sz w:val="20"/>
                <w:szCs w:val="20"/>
                <w:color w:val="auto"/>
              </w:rPr>
            </w:pPr>
            <w:r>
              <w:rPr>
                <w:rFonts w:ascii="Arial" w:cs="Arial" w:eastAsia="Arial" w:hAnsi="Arial"/>
                <w:sz w:val="18"/>
                <w:szCs w:val="18"/>
                <w:color w:val="auto"/>
              </w:rPr>
              <w:t>Total debt from royalty-bearing instrument interest expense</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(385 )</w:t>
            </w:r>
          </w:p>
        </w:tc>
      </w:tr>
      <w:tr>
        <w:trPr>
          <w:trHeight w:val="25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Other interest expense</w:t>
            </w:r>
          </w:p>
        </w:tc>
        <w:tc>
          <w:tcPr>
            <w:tcW w:w="26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(393 )</w:t>
            </w:r>
          </w:p>
        </w:tc>
        <w:tc>
          <w:tcPr>
            <w:tcW w:w="3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(76 )</w:t>
            </w:r>
          </w:p>
        </w:tc>
      </w:tr>
      <w:tr>
        <w:trPr>
          <w:trHeight w:val="20"/>
        </w:trPr>
        <w:tc>
          <w:tcPr>
            <w:tcW w:w="58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880" w:type="dxa"/>
            <w:vAlign w:val="bottom"/>
          </w:tcPr>
          <w:p>
            <w:pPr>
              <w:spacing w:after="0"/>
              <w:rPr>
                <w:sz w:val="20"/>
                <w:szCs w:val="20"/>
                <w:color w:val="auto"/>
              </w:rPr>
            </w:pPr>
            <w:r>
              <w:rPr>
                <w:rFonts w:ascii="Arial" w:cs="Arial" w:eastAsia="Arial" w:hAnsi="Arial"/>
                <w:sz w:val="18"/>
                <w:szCs w:val="18"/>
                <w:color w:val="auto"/>
              </w:rPr>
              <w:t>Total interest expense</w:t>
            </w:r>
          </w:p>
        </w:tc>
        <w:tc>
          <w:tcPr>
            <w:tcW w:w="26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(393 )</w:t>
            </w:r>
          </w:p>
        </w:tc>
        <w:tc>
          <w:tcPr>
            <w:tcW w:w="3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(461 )</w:t>
            </w:r>
          </w:p>
        </w:tc>
      </w:tr>
      <w:tr>
        <w:trPr>
          <w:trHeight w:val="263"/>
        </w:trPr>
        <w:tc>
          <w:tcPr>
            <w:tcW w:w="5880" w:type="dxa"/>
            <w:vAlign w:val="bottom"/>
            <w:tcBorders>
              <w:bottom w:val="single" w:sz="8" w:color="CFF0FC"/>
            </w:tcBorders>
            <w:shd w:val="clear" w:color="auto" w:fill="CFF0FC"/>
          </w:tcPr>
          <w:p>
            <w:pPr>
              <w:spacing w:after="0" w:line="263" w:lineRule="exact"/>
              <w:rPr>
                <w:sz w:val="20"/>
                <w:szCs w:val="20"/>
                <w:color w:val="auto"/>
              </w:rPr>
            </w:pPr>
            <w:r>
              <w:rPr>
                <w:rFonts w:ascii="Arial" w:cs="Arial" w:eastAsia="Arial" w:hAnsi="Arial"/>
                <w:sz w:val="18"/>
                <w:szCs w:val="18"/>
                <w:color w:val="auto"/>
              </w:rPr>
              <w:t xml:space="preserve">Interest income </w:t>
            </w:r>
            <w:r>
              <w:rPr>
                <w:rFonts w:ascii="Arial" w:cs="Arial" w:eastAsia="Arial" w:hAnsi="Arial"/>
                <w:sz w:val="24"/>
                <w:szCs w:val="24"/>
                <w:color w:val="auto"/>
                <w:vertAlign w:val="superscript"/>
              </w:rPr>
              <w:t>(2)</w:t>
            </w:r>
          </w:p>
        </w:tc>
        <w:tc>
          <w:tcPr>
            <w:tcW w:w="2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4"/>
        </w:trPr>
        <w:tc>
          <w:tcPr>
            <w:tcW w:w="5880" w:type="dxa"/>
            <w:vAlign w:val="bottom"/>
          </w:tcPr>
          <w:p>
            <w:pPr>
              <w:spacing w:after="0"/>
              <w:rPr>
                <w:sz w:val="20"/>
                <w:szCs w:val="20"/>
                <w:color w:val="auto"/>
              </w:rPr>
            </w:pPr>
            <w:r>
              <w:rPr>
                <w:rFonts w:ascii="Arial" w:cs="Arial" w:eastAsia="Arial" w:hAnsi="Arial"/>
                <w:sz w:val="18"/>
                <w:szCs w:val="18"/>
                <w:color w:val="auto"/>
              </w:rPr>
              <w:t>Total interest income, net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r>
      <w:tr>
        <w:trPr>
          <w:trHeight w:val="20"/>
        </w:trPr>
        <w:tc>
          <w:tcPr>
            <w:tcW w:w="5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-862330</wp:posOffset>
            </wp:positionV>
            <wp:extent cx="17145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-862330</wp:posOffset>
            </wp:positionV>
            <wp:extent cx="6858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-527685</wp:posOffset>
            </wp:positionV>
            <wp:extent cx="17145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-527685</wp:posOffset>
            </wp:positionV>
            <wp:extent cx="6858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-193675</wp:posOffset>
            </wp:positionV>
            <wp:extent cx="17145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-193675</wp:posOffset>
            </wp:positionV>
            <wp:extent cx="6858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95123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03" w:lineRule="exact"/>
        <w:rPr>
          <w:sz w:val="20"/>
          <w:szCs w:val="20"/>
          <w:color w:val="auto"/>
        </w:rPr>
      </w:pPr>
    </w:p>
    <w:p>
      <w:pPr>
        <w:jc w:val="both"/>
        <w:ind w:left="440" w:right="320" w:hanging="432"/>
        <w:spacing w:after="0" w:line="279"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and non-cash interest expense related to the December 2012 royalty-bearing instrument for the three months ended September 30, 2021 and 2020 was nil and $0.4 million, respectively. In November 2020, the Company made the final payment on its royalty-bearing instrument and, as a result, no interest from this instrument was recorded in 2021.</w:t>
      </w:r>
    </w:p>
    <w:p>
      <w:pPr>
        <w:spacing w:after="0" w:line="7" w:lineRule="exact"/>
        <w:rPr>
          <w:rFonts w:ascii="Arial" w:cs="Arial" w:eastAsia="Arial" w:hAnsi="Arial"/>
          <w:sz w:val="18"/>
          <w:szCs w:val="18"/>
          <w:color w:val="auto"/>
        </w:rPr>
      </w:pPr>
    </w:p>
    <w:p>
      <w:pPr>
        <w:ind w:left="440" w:right="100" w:hanging="432"/>
        <w:spacing w:after="0" w:line="279"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income for the three months ended September 30, 2021 and 2020 was $0.6 million and $1.0 million, respectively. Interest income represents income earned on cash and investment balances. The decrease is primarily due to a decrease in the Company's cash and short-term and long-term investments.</w:t>
      </w:r>
    </w:p>
    <w:p>
      <w:pPr>
        <w:spacing w:after="0" w:line="210" w:lineRule="exact"/>
        <w:rPr>
          <w:sz w:val="20"/>
          <w:szCs w:val="20"/>
          <w:color w:val="auto"/>
        </w:rPr>
      </w:pPr>
    </w:p>
    <w:p>
      <w:pPr>
        <w:ind w:right="180" w:firstLine="509"/>
        <w:spacing w:after="0" w:line="293" w:lineRule="auto"/>
        <w:rPr>
          <w:sz w:val="20"/>
          <w:szCs w:val="20"/>
          <w:color w:val="auto"/>
        </w:rPr>
      </w:pPr>
      <w:r>
        <w:rPr>
          <w:rFonts w:ascii="Arial" w:cs="Arial" w:eastAsia="Arial" w:hAnsi="Arial"/>
          <w:sz w:val="18"/>
          <w:szCs w:val="18"/>
          <w:i w:val="1"/>
          <w:iCs w:val="1"/>
          <w:color w:val="auto"/>
        </w:rPr>
        <w:t>Other expense, net</w:t>
      </w:r>
      <w:r>
        <w:rPr>
          <w:rFonts w:ascii="Arial" w:cs="Arial" w:eastAsia="Arial" w:hAnsi="Arial"/>
          <w:sz w:val="18"/>
          <w:szCs w:val="18"/>
          <w:color w:val="auto"/>
        </w:rPr>
        <w:t>. Other expense, net, for the three months ended September 30, 2021 and 2020 was expense of $57 thousand and income of $33</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 respectively. Other expense, net, primarily consists of gains and losses on foreign exchange transactions.</w:t>
      </w:r>
    </w:p>
    <w:p>
      <w:pPr>
        <w:spacing w:after="0" w:line="197" w:lineRule="exact"/>
        <w:rPr>
          <w:sz w:val="20"/>
          <w:szCs w:val="20"/>
          <w:color w:val="auto"/>
        </w:rPr>
      </w:pPr>
    </w:p>
    <w:p>
      <w:pPr>
        <w:ind w:right="380" w:firstLine="509"/>
        <w:spacing w:after="0" w:line="303" w:lineRule="auto"/>
        <w:rPr>
          <w:sz w:val="20"/>
          <w:szCs w:val="20"/>
          <w:color w:val="auto"/>
        </w:rPr>
      </w:pPr>
      <w:r>
        <w:rPr>
          <w:rFonts w:ascii="Arial" w:cs="Arial" w:eastAsia="Arial" w:hAnsi="Arial"/>
          <w:sz w:val="17"/>
          <w:szCs w:val="17"/>
          <w:i w:val="1"/>
          <w:iCs w:val="1"/>
          <w:color w:val="auto"/>
        </w:rPr>
        <w:t xml:space="preserve">Income tax (provision) benefit. </w:t>
      </w:r>
      <w:r>
        <w:rPr>
          <w:rFonts w:ascii="Arial" w:cs="Arial" w:eastAsia="Arial" w:hAnsi="Arial"/>
          <w:sz w:val="17"/>
          <w:szCs w:val="17"/>
          <w:color w:val="auto"/>
        </w:rPr>
        <w:t>Income tax (provision) benefit for the three months ended September 30, 2021 and 2020 was a provision of $0.2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and $0.4 million, respectively. The provision for the three months ended September 30, 2021 is the result of income generated by our U.S. operations for which tax expense has been recognized based on a full year estimated U.S. income tax liability.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2021 and September 30, 2020</w:t>
      </w:r>
    </w:p>
    <w:p>
      <w:pPr>
        <w:spacing w:after="0" w:line="266"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i w:val="1"/>
          <w:iCs w:val="1"/>
          <w:color w:val="auto"/>
        </w:rPr>
        <w:t xml:space="preserve">Total revenue, net. </w:t>
      </w:r>
      <w:r>
        <w:rPr>
          <w:rFonts w:ascii="Arial" w:cs="Arial" w:eastAsia="Arial" w:hAnsi="Arial"/>
          <w:sz w:val="18"/>
          <w:szCs w:val="18"/>
          <w:color w:val="auto"/>
        </w:rPr>
        <w:t>We recorded total revenue, net, of $438.7 million and $446.8 million during the nine months ended September 30,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2020, respectively, a decrease of $8.1 million, or 2%. Total revenue, net consists primarily of revenue from the sale of VASCEPA in the United States. In addition to the United States, we also sell VASCEPA by prescription in Germany and is available by prescription in Canada, Lebanon and the United Arab Emirates through collaborations with third-party companies. As further discussed below, this decrease consists of a $7.4 million decrease from net product revenue from sales of VASCEPA outside of the United States and a $3.6 million decrease in licensing and royalty revenue offset by a $2.9 million increase in U.S. net product revenue.</w:t>
      </w:r>
    </w:p>
    <w:p>
      <w:pPr>
        <w:spacing w:after="0" w:line="218" w:lineRule="exact"/>
        <w:rPr>
          <w:sz w:val="20"/>
          <w:szCs w:val="20"/>
          <w:color w:val="auto"/>
        </w:rPr>
      </w:pPr>
    </w:p>
    <w:p>
      <w:pPr>
        <w:ind w:right="260" w:firstLine="539"/>
        <w:spacing w:after="0" w:line="293" w:lineRule="auto"/>
        <w:rPr>
          <w:sz w:val="20"/>
          <w:szCs w:val="20"/>
          <w:color w:val="auto"/>
        </w:rPr>
      </w:pPr>
      <w:r>
        <w:rPr>
          <w:rFonts w:ascii="Arial" w:cs="Arial" w:eastAsia="Arial" w:hAnsi="Arial"/>
          <w:sz w:val="18"/>
          <w:szCs w:val="18"/>
          <w:i w:val="1"/>
          <w:iCs w:val="1"/>
          <w:color w:val="auto"/>
        </w:rPr>
        <w:t xml:space="preserve">Product revenue, net. </w:t>
      </w:r>
      <w:r>
        <w:rPr>
          <w:rFonts w:ascii="Arial" w:cs="Arial" w:eastAsia="Arial" w:hAnsi="Arial"/>
          <w:sz w:val="18"/>
          <w:szCs w:val="18"/>
          <w:color w:val="auto"/>
        </w:rPr>
        <w:t>We recorded product revenue, net, of $436.6 million and $441.1 million during the nine months ended September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and 2020, respectively, a decrease of $4.5 million, or 1%.</w:t>
      </w:r>
    </w:p>
    <w:p>
      <w:pPr>
        <w:spacing w:after="0" w:line="62" w:lineRule="exact"/>
        <w:rPr>
          <w:sz w:val="20"/>
          <w:szCs w:val="20"/>
          <w:color w:val="auto"/>
        </w:rPr>
      </w:pPr>
    </w:p>
    <w:p>
      <w:pPr>
        <w:ind w:right="60" w:firstLine="544"/>
        <w:spacing w:after="0" w:line="279" w:lineRule="auto"/>
        <w:rPr>
          <w:sz w:val="20"/>
          <w:szCs w:val="20"/>
          <w:color w:val="auto"/>
        </w:rPr>
      </w:pPr>
      <w:r>
        <w:rPr>
          <w:rFonts w:ascii="Arial" w:cs="Arial" w:eastAsia="Arial" w:hAnsi="Arial"/>
          <w:sz w:val="18"/>
          <w:szCs w:val="18"/>
          <w:color w:val="auto"/>
        </w:rPr>
        <w:t>This decrease was driven primarily by volume of VASCEPA sales to our customers in the United States, which was adversely impacted by effectively one fewer week of shipments in the nine months ended 2021 as compared to the same period in 2020, generic availability in the U.S., as well as timing of sales outside the U.S, as further described below.</w:t>
      </w:r>
    </w:p>
    <w:p>
      <w:pPr>
        <w:spacing w:after="0" w:line="75" w:lineRule="exact"/>
        <w:rPr>
          <w:sz w:val="20"/>
          <w:szCs w:val="20"/>
          <w:color w:val="auto"/>
        </w:rPr>
      </w:pPr>
    </w:p>
    <w:p>
      <w:pPr>
        <w:ind w:left="820"/>
        <w:spacing w:after="0" w:line="271" w:lineRule="auto"/>
        <w:rPr>
          <w:sz w:val="20"/>
          <w:szCs w:val="20"/>
          <w:color w:val="auto"/>
        </w:rPr>
      </w:pPr>
      <w:r>
        <w:rPr>
          <w:rFonts w:ascii="Arial" w:cs="Arial" w:eastAsia="Arial" w:hAnsi="Arial"/>
          <w:sz w:val="18"/>
          <w:szCs w:val="18"/>
          <w:color w:val="auto"/>
        </w:rPr>
        <w:t>Fewer weeks – Due to the timing of orders placed by customers and related receipts, there was effectively one fewer week of product shipments, 13 weeks, in the first quarter of 2021 compared to 14 weeks in the first quarter of 2020, with the additional week of revenue in the first quarter of 2020 representing approximately $10.8 million. Excluding the additional week of revenue, U.S. net product revenue during the nine months ended September 30, 2021 increased by 2.9% as compared to during the nine months ended September 30, 2020 primarily due to increased volume of VASCEPA sales to customers in the United States. Additionally, in the United States, net pricing of VASCEPA remained consistent, with increased coverage from payers in 2021.</w:t>
      </w:r>
    </w:p>
    <w:p>
      <w:pPr>
        <w:spacing w:after="0" w:line="83" w:lineRule="exact"/>
        <w:rPr>
          <w:sz w:val="20"/>
          <w:szCs w:val="20"/>
          <w:color w:val="auto"/>
        </w:rPr>
      </w:pPr>
    </w:p>
    <w:p>
      <w:pPr>
        <w:ind w:left="820" w:right="40"/>
        <w:spacing w:after="0" w:line="266" w:lineRule="auto"/>
        <w:rPr>
          <w:sz w:val="20"/>
          <w:szCs w:val="20"/>
          <w:color w:val="auto"/>
        </w:rPr>
      </w:pPr>
      <w:r>
        <w:rPr>
          <w:rFonts w:ascii="Arial" w:cs="Arial" w:eastAsia="Arial" w:hAnsi="Arial"/>
          <w:sz w:val="18"/>
          <w:szCs w:val="18"/>
          <w:color w:val="auto"/>
        </w:rPr>
        <w:t>Generics – Inclusive of generic icosapent ethyl, and excluding the impact of the other effects listed herein, based on prescription levels reported by Symphony Health the icosapent ethyl market, in the U.S., increased for the nine months ended September 30, 2021 by 11% as compared to the nine months ended September 30, 2020. Based on available data from Symphony Health, generic prescriptions of icosapent ethyl in the nine months ended September 30, 2021 were approximately 13% of total icosapent ethyl prescriptions, with branded VASCEPA prescriptions representing the other U.S.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5" w:name="page36"/>
    <w:bookmarkEnd w:id="35"/>
    <w:p>
      <w:pPr>
        <w:ind w:left="820" w:right="60"/>
        <w:spacing w:after="0" w:line="311" w:lineRule="auto"/>
        <w:rPr>
          <w:sz w:val="20"/>
          <w:szCs w:val="20"/>
          <w:color w:val="auto"/>
        </w:rPr>
      </w:pPr>
      <w:r>
        <w:rPr>
          <w:rFonts w:ascii="Arial" w:cs="Arial" w:eastAsia="Arial" w:hAnsi="Arial"/>
          <w:sz w:val="16"/>
          <w:szCs w:val="16"/>
          <w:color w:val="auto"/>
        </w:rPr>
        <w:t>icosapent ethyl prescriptions. In addition, based on available information we believe that a significant number of icosapent ethyl prescriptions have gone unfilled in the nine months ended September 30, 2021, due to general market disruption of order fulfillment processes. These processes at the pharmacy level have favored generic products in that in anticipation of receiving generic supply, in certain circumstances pharmacists have opted to wait to fill prescriptions with generic product by ordering product for later fulfillment. In the case of icosapent ethyl, in many markets generic product has been delayed or unavailable. In addition, we have heard multiple reports of patients finding that the generic product is more expensive than they have historically paid for the branded product resulting in their refusal to refill their prescriptions.</w:t>
      </w:r>
    </w:p>
    <w:p>
      <w:pPr>
        <w:spacing w:after="0" w:line="55" w:lineRule="exact"/>
        <w:rPr>
          <w:sz w:val="20"/>
          <w:szCs w:val="20"/>
          <w:color w:val="auto"/>
        </w:rPr>
      </w:pPr>
    </w:p>
    <w:p>
      <w:pPr>
        <w:ind w:left="840" w:right="60"/>
        <w:spacing w:after="0" w:line="311" w:lineRule="auto"/>
        <w:rPr>
          <w:sz w:val="20"/>
          <w:szCs w:val="20"/>
          <w:color w:val="auto"/>
        </w:rPr>
      </w:pPr>
      <w:r>
        <w:rPr>
          <w:rFonts w:ascii="Arial" w:cs="Arial" w:eastAsia="Arial" w:hAnsi="Arial"/>
          <w:sz w:val="16"/>
          <w:szCs w:val="16"/>
          <w:color w:val="auto"/>
        </w:rPr>
        <w:t>International sales – Further contributing to the decrease in net product revenue during the nine months ended September 30, 2021 was a decline in net product revenue recognized from VASCEPA sales outside of the United States, which includes approximately $0.2 million in net product revenue related to the commercial launch of VAZKEPA in Germany at the end of the third quarter of 2021. We recognized net product revenue of $1.5 million during the nine months ended September 30, 2021 as compared to $9.0 million during the nine months ended September 30, 2020, primarily as a result of an initial order to ensure availability of adequate product supply for the launch of VASCEPA in Canada. VASCEPA promotion and use outside of the United States has also been limited by the impact of the COVID-19 pandemic.</w:t>
      </w:r>
    </w:p>
    <w:p>
      <w:pPr>
        <w:spacing w:after="0" w:line="55" w:lineRule="exact"/>
        <w:rPr>
          <w:sz w:val="20"/>
          <w:szCs w:val="20"/>
          <w:color w:val="auto"/>
        </w:rPr>
      </w:pPr>
    </w:p>
    <w:p>
      <w:pPr>
        <w:ind w:right="80" w:firstLine="544"/>
        <w:spacing w:after="0" w:line="288" w:lineRule="auto"/>
        <w:rPr>
          <w:sz w:val="20"/>
          <w:szCs w:val="20"/>
          <w:color w:val="auto"/>
        </w:rPr>
      </w:pPr>
      <w:r>
        <w:rPr>
          <w:rFonts w:ascii="Arial" w:cs="Arial" w:eastAsia="Arial" w:hAnsi="Arial"/>
          <w:sz w:val="17"/>
          <w:szCs w:val="17"/>
          <w:color w:val="auto"/>
        </w:rPr>
        <w:t>Despite the generic competition in the U.S., we remain confident that the patient need for VASCEPA is high and we believe that our new U.S. Go-to-Market strategy, announced on September 22, 2021, will combat the limitations in access to healthcare providers for face-to-face interactions caused by COVID-19, and accelerate prescription growth of VASCEPA by focusing on expanding engagement with healthcare professionals through a new omnichannel platform, enhancing managed care access and optimizing VASCEPA prescriptions for cardiovascular risk reduction. As a result of the uncertainty of the extent of COVID-19, the impact of generic competition and challenges for most drugs seeking market access in Europe, a process we were only able to formally commence following product approval in March 2021, we are not providing revenue guidance at this time. We will consider resuming revenue guidance when there is greater clarity on the impact of these issues.</w:t>
      </w:r>
    </w:p>
    <w:p>
      <w:pPr>
        <w:spacing w:after="0" w:line="194"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i w:val="1"/>
          <w:iCs w:val="1"/>
          <w:color w:val="auto"/>
        </w:rPr>
        <w:t>Licensing and royalty revenue</w:t>
      </w:r>
      <w:r>
        <w:rPr>
          <w:rFonts w:ascii="Arial" w:cs="Arial" w:eastAsia="Arial" w:hAnsi="Arial"/>
          <w:sz w:val="18"/>
          <w:szCs w:val="18"/>
          <w:color w:val="auto"/>
        </w:rPr>
        <w:t>. Licensing and royalty revenue during the nine months ended September 30, 2021 and 2020 was $2.1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$5.7 million, respectively, a decrease of $3.6 million, or 63%. Licensing and royalty revenue relates to the recognition of amounts received in connection with the following VASCEPA licensing agreements:</w:t>
      </w:r>
    </w:p>
    <w:p>
      <w:pPr>
        <w:spacing w:after="0" w:line="7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Edding – a $15.0 million up-front payment received in February 2015 and a $1.0 million milestone payment achieved in March 2016.</w:t>
      </w:r>
    </w:p>
    <w:p>
      <w:pPr>
        <w:spacing w:after="0" w:line="129" w:lineRule="exact"/>
        <w:rPr>
          <w:sz w:val="20"/>
          <w:szCs w:val="20"/>
          <w:color w:val="auto"/>
        </w:rPr>
      </w:pPr>
    </w:p>
    <w:p>
      <w:pPr>
        <w:ind w:left="840" w:right="420"/>
        <w:spacing w:after="0" w:line="301" w:lineRule="auto"/>
        <w:rPr>
          <w:sz w:val="20"/>
          <w:szCs w:val="20"/>
          <w:color w:val="auto"/>
        </w:rPr>
      </w:pPr>
      <w:r>
        <w:rPr>
          <w:rFonts w:ascii="Arial" w:cs="Arial" w:eastAsia="Arial" w:hAnsi="Arial"/>
          <w:sz w:val="16"/>
          <w:szCs w:val="16"/>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U.S. FDA approval of a new indication and label expansion in December 2019, and a $3.8 million milestone payment that was received as a result of obtaining a regulatory exclusivity designation in January 2020.</w:t>
      </w:r>
    </w:p>
    <w:p>
      <w:pPr>
        <w:spacing w:after="0" w:line="63"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The up-front and milestone payments are being recognized over the estimated period in which we are required to provide regulatory and development support pursuant to the agreements. The amount of licensing and royalty revenue is expected to vary from period to period based on timing of milestones achieved and changes in estimates of the timing and level of support required.</w:t>
      </w:r>
    </w:p>
    <w:p>
      <w:pPr>
        <w:spacing w:after="0" w:line="75" w:lineRule="exact"/>
        <w:rPr>
          <w:sz w:val="20"/>
          <w:szCs w:val="20"/>
          <w:color w:val="auto"/>
        </w:rPr>
      </w:pPr>
    </w:p>
    <w:p>
      <w:pPr>
        <w:ind w:right="140" w:firstLine="509"/>
        <w:spacing w:after="0" w:line="324" w:lineRule="auto"/>
        <w:rPr>
          <w:sz w:val="20"/>
          <w:szCs w:val="20"/>
          <w:color w:val="auto"/>
        </w:rPr>
      </w:pPr>
      <w:r>
        <w:rPr>
          <w:rFonts w:ascii="Arial" w:cs="Arial" w:eastAsia="Arial" w:hAnsi="Arial"/>
          <w:sz w:val="17"/>
          <w:szCs w:val="17"/>
          <w:color w:val="auto"/>
        </w:rPr>
        <w:t>As part of our licensing agreements with certain territories outside of the United States, we are entitled to a percentage of revenue earned based on sales by our partners. The royalty payments are being recognized as earned based on revenue recognized by our current partners.</w:t>
      </w:r>
    </w:p>
    <w:p>
      <w:pPr>
        <w:spacing w:after="0" w:line="174" w:lineRule="exact"/>
        <w:rPr>
          <w:sz w:val="20"/>
          <w:szCs w:val="20"/>
          <w:color w:val="auto"/>
        </w:rPr>
      </w:pPr>
    </w:p>
    <w:p>
      <w:pPr>
        <w:ind w:firstLine="509"/>
        <w:spacing w:after="0" w:line="319"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nine months ended September 30, 2021 and 2020 was $90.7 million and $96.7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 decrease of $6.0 million, or 6%.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48"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The API included in the calculation of the average cost of goods sold during the quarters ended September 30, 2021 and 2020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2021 to be similar to or modestly lower than 2020. The average cost may be variable from period to period depending upon the timing and quantity of API purchased from each supplier.</w:t>
      </w:r>
    </w:p>
    <w:p>
      <w:pPr>
        <w:spacing w:after="0" w:line="83" w:lineRule="exact"/>
        <w:rPr>
          <w:sz w:val="20"/>
          <w:szCs w:val="20"/>
          <w:color w:val="auto"/>
        </w:rPr>
      </w:pPr>
    </w:p>
    <w:p>
      <w:pPr>
        <w:jc w:val="center"/>
        <w:ind w:right="80"/>
        <w:spacing w:after="0" w:line="293" w:lineRule="auto"/>
        <w:rPr>
          <w:sz w:val="20"/>
          <w:szCs w:val="20"/>
          <w:color w:val="auto"/>
        </w:rPr>
      </w:pPr>
      <w:r>
        <w:rPr>
          <w:rFonts w:ascii="Arial" w:cs="Arial" w:eastAsia="Arial" w:hAnsi="Arial"/>
          <w:sz w:val="18"/>
          <w:szCs w:val="18"/>
          <w:color w:val="auto"/>
        </w:rPr>
        <w:t>Our overall gross margin on product sales for each of the nine months ended September 30, 2021 and 2020 was 79% and 78%, respectively.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6" w:name="page37"/>
    <w:bookmarkEnd w:id="36"/>
    <w:p>
      <w:pPr>
        <w:jc w:val="both"/>
        <w:ind w:right="180" w:firstLine="509"/>
        <w:spacing w:after="0" w:line="263"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Selling, general and administrative expense for the nine months ended September 30, 2021 and 2020</w:t>
      </w:r>
      <w:r>
        <w:rPr>
          <w:rFonts w:ascii="Arial" w:cs="Arial" w:eastAsia="Arial" w:hAnsi="Arial"/>
          <w:sz w:val="18"/>
          <w:szCs w:val="18"/>
          <w:i w:val="1"/>
          <w:iCs w:val="1"/>
          <w:color w:val="auto"/>
        </w:rPr>
        <w:t xml:space="preserve"> </w:t>
      </w:r>
      <w:r>
        <w:rPr>
          <w:rFonts w:ascii="Arial" w:cs="Arial" w:eastAsia="Arial" w:hAnsi="Arial"/>
          <w:sz w:val="18"/>
          <w:szCs w:val="18"/>
          <w:color w:val="auto"/>
        </w:rPr>
        <w:t>was $316.0 million and $346.5 million, respectively, a decrease of $30.5 million, or 9%. Selling, general and administrative expenses for the nine months ended September 30, 2021 and 2020 are summarized in the table below:</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w w:val="98"/>
              </w:rPr>
              <w:t>Nine months ended September 30,</w:t>
            </w:r>
          </w:p>
        </w:tc>
        <w:tc>
          <w:tcPr>
            <w:tcW w:w="80" w:type="dxa"/>
            <w:vAlign w:val="bottom"/>
          </w:tcPr>
          <w:p>
            <w:pPr>
              <w:spacing w:after="0"/>
              <w:rPr>
                <w:sz w:val="16"/>
                <w:szCs w:val="16"/>
                <w:color w:val="auto"/>
              </w:rPr>
            </w:pPr>
          </w:p>
        </w:tc>
      </w:tr>
      <w:tr>
        <w:trPr>
          <w:trHeight w:val="202"/>
        </w:trPr>
        <w:tc>
          <w:tcPr>
            <w:tcW w:w="58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0"/>
        </w:trPr>
        <w:tc>
          <w:tcPr>
            <w:tcW w:w="5840" w:type="dxa"/>
            <w:vAlign w:val="bottom"/>
            <w:shd w:val="clear" w:color="auto" w:fill="CFF0FC"/>
          </w:tcPr>
          <w:p>
            <w:pPr>
              <w:spacing w:after="0" w:line="250" w:lineRule="exact"/>
              <w:rPr>
                <w:sz w:val="20"/>
                <w:szCs w:val="20"/>
                <w:color w:val="auto"/>
              </w:rPr>
            </w:pPr>
            <w:r>
              <w:rPr>
                <w:rFonts w:ascii="Arial" w:cs="Arial" w:eastAsia="Arial" w:hAnsi="Arial"/>
                <w:sz w:val="18"/>
                <w:szCs w:val="18"/>
                <w:color w:val="auto"/>
              </w:rPr>
              <w:t xml:space="preserve">Selling expense </w:t>
            </w:r>
            <w:r>
              <w:rPr>
                <w:rFonts w:ascii="Arial" w:cs="Arial" w:eastAsia="Arial" w:hAnsi="Arial"/>
                <w:sz w:val="24"/>
                <w:szCs w:val="24"/>
                <w:color w:val="auto"/>
                <w:vertAlign w:val="superscript"/>
              </w:rPr>
              <w:t>(1)</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207,418</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260,694</w:t>
            </w:r>
          </w:p>
        </w:tc>
        <w:tc>
          <w:tcPr>
            <w:tcW w:w="80" w:type="dxa"/>
            <w:vAlign w:val="bottom"/>
            <w:shd w:val="clear" w:color="auto" w:fill="CFF0FC"/>
          </w:tcPr>
          <w:p>
            <w:pPr>
              <w:spacing w:after="0"/>
              <w:rPr>
                <w:sz w:val="21"/>
                <w:szCs w:val="21"/>
                <w:color w:val="auto"/>
              </w:rPr>
            </w:pPr>
          </w:p>
        </w:tc>
      </w:tr>
      <w:tr>
        <w:trPr>
          <w:trHeight w:val="257"/>
        </w:trPr>
        <w:tc>
          <w:tcPr>
            <w:tcW w:w="5840" w:type="dxa"/>
            <w:vAlign w:val="bottom"/>
          </w:tcPr>
          <w:p>
            <w:pPr>
              <w:spacing w:after="0" w:line="257" w:lineRule="exact"/>
              <w:rPr>
                <w:sz w:val="20"/>
                <w:szCs w:val="20"/>
                <w:color w:val="auto"/>
              </w:rPr>
            </w:pPr>
            <w:r>
              <w:rPr>
                <w:rFonts w:ascii="Arial" w:cs="Arial" w:eastAsia="Arial" w:hAnsi="Arial"/>
                <w:sz w:val="18"/>
                <w:szCs w:val="18"/>
                <w:color w:val="auto"/>
              </w:rPr>
              <w:t xml:space="preserve">General and administrative expense </w:t>
            </w:r>
            <w:r>
              <w:rPr>
                <w:rFonts w:ascii="Arial" w:cs="Arial" w:eastAsia="Arial" w:hAnsi="Arial"/>
                <w:sz w:val="24"/>
                <w:szCs w:val="24"/>
                <w:color w:val="auto"/>
                <w:vertAlign w:val="superscript"/>
              </w:rPr>
              <w:t>(2)</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84,582</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56,500</w:t>
            </w:r>
          </w:p>
        </w:tc>
        <w:tc>
          <w:tcPr>
            <w:tcW w:w="80" w:type="dxa"/>
            <w:vAlign w:val="bottom"/>
          </w:tcPr>
          <w:p>
            <w:pPr>
              <w:spacing w:after="0"/>
              <w:rPr>
                <w:sz w:val="22"/>
                <w:szCs w:val="22"/>
                <w:color w:val="auto"/>
              </w:rPr>
            </w:pPr>
          </w:p>
        </w:tc>
      </w:tr>
      <w:tr>
        <w:trPr>
          <w:trHeight w:val="257"/>
        </w:trPr>
        <w:tc>
          <w:tcPr>
            <w:tcW w:w="5840" w:type="dxa"/>
            <w:vAlign w:val="bottom"/>
            <w:tcBorders>
              <w:bottom w:val="single" w:sz="8" w:color="CFF0FC"/>
            </w:tcBorders>
            <w:shd w:val="clear" w:color="auto" w:fill="CFF0FC"/>
          </w:tcPr>
          <w:p>
            <w:pPr>
              <w:spacing w:after="0" w:line="257" w:lineRule="exact"/>
              <w:rPr>
                <w:sz w:val="20"/>
                <w:szCs w:val="20"/>
                <w:color w:val="auto"/>
              </w:rPr>
            </w:pPr>
            <w:r>
              <w:rPr>
                <w:rFonts w:ascii="Arial" w:cs="Arial" w:eastAsia="Arial" w:hAnsi="Arial"/>
                <w:sz w:val="18"/>
                <w:szCs w:val="18"/>
                <w:color w:val="auto"/>
              </w:rPr>
              <w:t xml:space="preserve">Non-cash stock-based compensation expense </w:t>
            </w:r>
            <w:r>
              <w:rPr>
                <w:rFonts w:ascii="Arial" w:cs="Arial" w:eastAsia="Arial" w:hAnsi="Arial"/>
                <w:sz w:val="24"/>
                <w:szCs w:val="24"/>
                <w:color w:val="auto"/>
                <w:vertAlign w:val="superscript"/>
              </w:rPr>
              <w:t>(3)</w:t>
            </w:r>
          </w:p>
        </w:tc>
        <w:tc>
          <w:tcPr>
            <w:tcW w:w="30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23,966</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29,302</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Total selling, general and administrative expense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315,966</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346,496</w:t>
            </w:r>
          </w:p>
        </w:tc>
        <w:tc>
          <w:tcPr>
            <w:tcW w:w="80" w:type="dxa"/>
            <w:vAlign w:val="bottom"/>
          </w:tcPr>
          <w:p>
            <w:pPr>
              <w:spacing w:after="0"/>
              <w:rPr>
                <w:sz w:val="21"/>
                <w:szCs w:val="21"/>
                <w:color w:val="auto"/>
              </w:rPr>
            </w:pPr>
          </w:p>
        </w:tc>
      </w:tr>
      <w:tr>
        <w:trPr>
          <w:trHeight w:val="20"/>
        </w:trPr>
        <w:tc>
          <w:tcPr>
            <w:tcW w:w="5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-193675</wp:posOffset>
            </wp:positionV>
            <wp:extent cx="15430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wp:posOffset>
            </wp:positionV>
            <wp:extent cx="5143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95123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20" w:right="120" w:hanging="322"/>
        <w:spacing w:after="0" w:line="272"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Selling expense for the nine months ended September 30, 2021 and 2020 was $207.4 million and $260.7 million, respectively, a decrease of $53.3 million, or 20%. This decrease is primarily due to a decrease in marketing and direct-to-consumer promotions in the early part of 2021, as a result of the impact of COVID-19 and our focus on improving the profitability of our operations in the United States. The decrease includes reduced promotional initiatives, reduced travel and intentionally slowing the hiring of replacements for our open positions which resulted from ordinary turnover.</w:t>
      </w:r>
    </w:p>
    <w:p>
      <w:pPr>
        <w:spacing w:after="0" w:line="1" w:lineRule="exact"/>
        <w:rPr>
          <w:rFonts w:ascii="Arial" w:cs="Arial" w:eastAsia="Arial" w:hAnsi="Arial"/>
          <w:sz w:val="18"/>
          <w:szCs w:val="18"/>
          <w:color w:val="auto"/>
        </w:rPr>
      </w:pPr>
    </w:p>
    <w:p>
      <w:pPr>
        <w:ind w:left="420" w:right="40" w:hanging="322"/>
        <w:spacing w:after="0" w:line="279"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and administrative expense for the nine months ended September 30, 2021 and 2020 was $84.6 million and $56.5 million, respectively, an increase of $28.1 million, or 50%. This increase is primarily due to increased personnel costs related to preparing for and commencing expansion into Europe.</w:t>
      </w:r>
    </w:p>
    <w:p>
      <w:pPr>
        <w:spacing w:after="0" w:line="7" w:lineRule="exact"/>
        <w:rPr>
          <w:rFonts w:ascii="Arial" w:cs="Arial" w:eastAsia="Arial" w:hAnsi="Arial"/>
          <w:sz w:val="18"/>
          <w:szCs w:val="18"/>
          <w:color w:val="auto"/>
        </w:rPr>
      </w:pPr>
    </w:p>
    <w:p>
      <w:pPr>
        <w:ind w:left="420" w:right="40" w:hanging="322"/>
        <w:spacing w:after="0" w:line="272"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Non-cash stock-based compensation expense for the nine months ended September 30, 2021 and 2020 was $24.0 million and $29.3 million, respectively, a decrease of $5.3 million, or 18%. Non-cash stock-based compensation expense represents the estimated costs associated with equity awards issued to internal personnel supporting our selling, general and administrative functions. The decrease is due to the certain performance-based awards as it was no longer deemed probable that the performance criteria for vesting would be achieved within the required timeframe and the reversal of expense associated with the reduction in U.S. field force.</w:t>
      </w:r>
    </w:p>
    <w:p>
      <w:pPr>
        <w:spacing w:after="0" w:line="83" w:lineRule="exact"/>
        <w:rPr>
          <w:sz w:val="20"/>
          <w:szCs w:val="20"/>
          <w:color w:val="auto"/>
        </w:rPr>
      </w:pPr>
    </w:p>
    <w:p>
      <w:pPr>
        <w:ind w:right="40" w:firstLine="464"/>
        <w:spacing w:after="0" w:line="314" w:lineRule="auto"/>
        <w:rPr>
          <w:sz w:val="20"/>
          <w:szCs w:val="20"/>
          <w:color w:val="auto"/>
        </w:rPr>
      </w:pPr>
      <w:r>
        <w:rPr>
          <w:rFonts w:ascii="Arial" w:cs="Arial" w:eastAsia="Arial" w:hAnsi="Arial"/>
          <w:sz w:val="16"/>
          <w:szCs w:val="16"/>
          <w:color w:val="auto"/>
        </w:rPr>
        <w:t>We anticipate our selling, general and administrative expenses to increase throughout 2021 primarily due to the costs associated with VAZKEPA commercial launch in Germany and subject to market access, launching VAZKEPA in one or more additional countries in Europe during 2021. We are continuing to grow our European staff by hiring Market access and Medical affairs teams, among others, across Europe as deemed appropriate on a country by country basis. As we work to increase revenue from VASCEPA, we continuously evaluate all of our spending commitments and priorities and we plan to adjust our level of education and promotional activities based on various factors, including the impact of COVID-19 and generic competition.</w:t>
      </w:r>
    </w:p>
    <w:p>
      <w:pPr>
        <w:spacing w:after="0" w:line="18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Research and development expense for the nine months ended September 30, 2021 and 2020 was $23.6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$30.5 million, respectively, a decrease of $6.9 million, or 23%. Research and development expenses for the nine months ended September 30, 2021 and 2020 are summarized in the table below:</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w w:val="98"/>
              </w:rPr>
              <w:t>Nine months ended September 30,</w:t>
            </w:r>
          </w:p>
        </w:tc>
        <w:tc>
          <w:tcPr>
            <w:tcW w:w="80" w:type="dxa"/>
            <w:vAlign w:val="bottom"/>
          </w:tcPr>
          <w:p>
            <w:pPr>
              <w:spacing w:after="0"/>
              <w:rPr>
                <w:sz w:val="16"/>
                <w:szCs w:val="16"/>
                <w:color w:val="auto"/>
              </w:rPr>
            </w:pPr>
          </w:p>
        </w:tc>
      </w:tr>
      <w:tr>
        <w:trPr>
          <w:trHeight w:val="202"/>
        </w:trPr>
        <w:tc>
          <w:tcPr>
            <w:tcW w:w="58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0"/>
        </w:trPr>
        <w:tc>
          <w:tcPr>
            <w:tcW w:w="5880" w:type="dxa"/>
            <w:vAlign w:val="bottom"/>
            <w:shd w:val="clear" w:color="auto" w:fill="CFF0FC"/>
          </w:tcPr>
          <w:p>
            <w:pPr>
              <w:spacing w:after="0" w:line="250" w:lineRule="exact"/>
              <w:rPr>
                <w:sz w:val="20"/>
                <w:szCs w:val="20"/>
                <w:color w:val="auto"/>
              </w:rPr>
            </w:pPr>
            <w:r>
              <w:rPr>
                <w:rFonts w:ascii="Arial" w:cs="Arial" w:eastAsia="Arial" w:hAnsi="Arial"/>
                <w:sz w:val="18"/>
                <w:szCs w:val="18"/>
                <w:color w:val="auto"/>
              </w:rPr>
              <w:t xml:space="preserve">REDUCE-IT study </w:t>
            </w:r>
            <w:r>
              <w:rPr>
                <w:rFonts w:ascii="Arial" w:cs="Arial" w:eastAsia="Arial" w:hAnsi="Arial"/>
                <w:sz w:val="24"/>
                <w:szCs w:val="24"/>
                <w:color w:val="auto"/>
                <w:vertAlign w:val="superscript"/>
              </w:rPr>
              <w:t>(1)</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3,006</w:t>
            </w: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9,443</w:t>
            </w:r>
          </w:p>
        </w:tc>
        <w:tc>
          <w:tcPr>
            <w:tcW w:w="80" w:type="dxa"/>
            <w:vAlign w:val="bottom"/>
            <w:shd w:val="clear" w:color="auto" w:fill="CFF0FC"/>
          </w:tcPr>
          <w:p>
            <w:pPr>
              <w:spacing w:after="0"/>
              <w:rPr>
                <w:sz w:val="21"/>
                <w:szCs w:val="21"/>
                <w:color w:val="auto"/>
              </w:rPr>
            </w:pPr>
          </w:p>
        </w:tc>
      </w:tr>
      <w:tr>
        <w:trPr>
          <w:trHeight w:val="256"/>
        </w:trPr>
        <w:tc>
          <w:tcPr>
            <w:tcW w:w="5880" w:type="dxa"/>
            <w:vAlign w:val="bottom"/>
          </w:tcPr>
          <w:p>
            <w:pPr>
              <w:spacing w:after="0" w:line="257" w:lineRule="exact"/>
              <w:rPr>
                <w:sz w:val="20"/>
                <w:szCs w:val="20"/>
                <w:color w:val="auto"/>
              </w:rPr>
            </w:pPr>
            <w:r>
              <w:rPr>
                <w:rFonts w:ascii="Arial" w:cs="Arial" w:eastAsia="Arial" w:hAnsi="Arial"/>
                <w:sz w:val="18"/>
                <w:szCs w:val="18"/>
                <w:color w:val="auto"/>
              </w:rPr>
              <w:t xml:space="preserve">Regulatory filing fees and expenses </w:t>
            </w:r>
            <w:r>
              <w:rPr>
                <w:rFonts w:ascii="Arial" w:cs="Arial" w:eastAsia="Arial" w:hAnsi="Arial"/>
                <w:sz w:val="24"/>
                <w:szCs w:val="24"/>
                <w:color w:val="auto"/>
                <w:vertAlign w:val="superscript"/>
              </w:rPr>
              <w:t>(2)</w:t>
            </w: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898</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1,983</w:t>
            </w:r>
          </w:p>
        </w:tc>
        <w:tc>
          <w:tcPr>
            <w:tcW w:w="80" w:type="dxa"/>
            <w:vAlign w:val="bottom"/>
          </w:tcPr>
          <w:p>
            <w:pPr>
              <w:spacing w:after="0"/>
              <w:rPr>
                <w:sz w:val="22"/>
                <w:szCs w:val="22"/>
                <w:color w:val="auto"/>
              </w:rPr>
            </w:pPr>
          </w:p>
        </w:tc>
      </w:tr>
      <w:tr>
        <w:trPr>
          <w:trHeight w:val="257"/>
        </w:trPr>
        <w:tc>
          <w:tcPr>
            <w:tcW w:w="5880" w:type="dxa"/>
            <w:vAlign w:val="bottom"/>
            <w:tcBorders>
              <w:bottom w:val="single" w:sz="8" w:color="CFF0FC"/>
            </w:tcBorders>
            <w:shd w:val="clear" w:color="auto" w:fill="CFF0FC"/>
          </w:tcPr>
          <w:p>
            <w:pPr>
              <w:spacing w:after="0" w:line="257" w:lineRule="exact"/>
              <w:rPr>
                <w:sz w:val="20"/>
                <w:szCs w:val="20"/>
                <w:color w:val="auto"/>
              </w:rPr>
            </w:pPr>
            <w:r>
              <w:rPr>
                <w:rFonts w:ascii="Arial" w:cs="Arial" w:eastAsia="Arial" w:hAnsi="Arial"/>
                <w:sz w:val="18"/>
                <w:szCs w:val="18"/>
                <w:color w:val="auto"/>
              </w:rPr>
              <w:t xml:space="preserve">Internal staffing, overhead and other </w:t>
            </w:r>
            <w:r>
              <w:rPr>
                <w:rFonts w:ascii="Arial" w:cs="Arial" w:eastAsia="Arial" w:hAnsi="Arial"/>
                <w:sz w:val="24"/>
                <w:szCs w:val="24"/>
                <w:color w:val="auto"/>
                <w:vertAlign w:val="superscript"/>
              </w:rPr>
              <w:t>(3)</w:t>
            </w:r>
          </w:p>
        </w:tc>
        <w:tc>
          <w:tcPr>
            <w:tcW w:w="28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16,780</w:t>
            </w:r>
          </w:p>
        </w:tc>
        <w:tc>
          <w:tcPr>
            <w:tcW w:w="2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14,020</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43"/>
        </w:trPr>
        <w:tc>
          <w:tcPr>
            <w:tcW w:w="5880" w:type="dxa"/>
            <w:vAlign w:val="bottom"/>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20,684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25,446</w:t>
            </w:r>
          </w:p>
        </w:tc>
        <w:tc>
          <w:tcPr>
            <w:tcW w:w="80" w:type="dxa"/>
            <w:vAlign w:val="bottom"/>
          </w:tcPr>
          <w:p>
            <w:pPr>
              <w:spacing w:after="0"/>
              <w:rPr>
                <w:sz w:val="21"/>
                <w:szCs w:val="21"/>
                <w:color w:val="auto"/>
              </w:rPr>
            </w:pPr>
          </w:p>
        </w:tc>
      </w:tr>
      <w:tr>
        <w:trPr>
          <w:trHeight w:val="263"/>
        </w:trPr>
        <w:tc>
          <w:tcPr>
            <w:tcW w:w="5880" w:type="dxa"/>
            <w:vAlign w:val="bottom"/>
            <w:tcBorders>
              <w:bottom w:val="single" w:sz="8" w:color="CFF0FC"/>
            </w:tcBorders>
            <w:shd w:val="clear" w:color="auto" w:fill="CFF0FC"/>
          </w:tcPr>
          <w:p>
            <w:pPr>
              <w:spacing w:after="0" w:line="263" w:lineRule="exact"/>
              <w:rPr>
                <w:sz w:val="20"/>
                <w:szCs w:val="20"/>
                <w:color w:val="auto"/>
              </w:rPr>
            </w:pPr>
            <w:r>
              <w:rPr>
                <w:rFonts w:ascii="Arial" w:cs="Arial" w:eastAsia="Arial" w:hAnsi="Arial"/>
                <w:sz w:val="18"/>
                <w:szCs w:val="18"/>
                <w:color w:val="auto"/>
              </w:rPr>
              <w:t xml:space="preserve">Non-cash stock-based compensation expense </w:t>
            </w:r>
            <w:r>
              <w:rPr>
                <w:rFonts w:ascii="Arial" w:cs="Arial" w:eastAsia="Arial" w:hAnsi="Arial"/>
                <w:sz w:val="24"/>
                <w:szCs w:val="24"/>
                <w:color w:val="auto"/>
                <w:vertAlign w:val="superscript"/>
              </w:rPr>
              <w:t>(4)</w:t>
            </w:r>
          </w:p>
        </w:tc>
        <w:tc>
          <w:tcPr>
            <w:tcW w:w="28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2,870</w:t>
            </w:r>
          </w:p>
        </w:tc>
        <w:tc>
          <w:tcPr>
            <w:tcW w:w="2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5,004</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44"/>
        </w:trPr>
        <w:tc>
          <w:tcPr>
            <w:tcW w:w="588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23,554</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30,450</w:t>
            </w:r>
          </w:p>
        </w:tc>
        <w:tc>
          <w:tcPr>
            <w:tcW w:w="80" w:type="dxa"/>
            <w:vAlign w:val="bottom"/>
          </w:tcPr>
          <w:p>
            <w:pPr>
              <w:spacing w:after="0"/>
              <w:rPr>
                <w:sz w:val="21"/>
                <w:szCs w:val="21"/>
                <w:color w:val="auto"/>
              </w:rPr>
            </w:pPr>
          </w:p>
        </w:tc>
      </w:tr>
      <w:tr>
        <w:trPr>
          <w:trHeight w:val="20"/>
        </w:trPr>
        <w:tc>
          <w:tcPr>
            <w:tcW w:w="5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-527685</wp:posOffset>
            </wp:positionV>
            <wp:extent cx="14605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-527685</wp:posOffset>
            </wp:positionV>
            <wp:extent cx="5143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-193675</wp:posOffset>
            </wp:positionV>
            <wp:extent cx="14605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wp:posOffset>
            </wp:positionV>
            <wp:extent cx="5143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49" w:lineRule="exact"/>
        <w:rPr>
          <w:sz w:val="20"/>
          <w:szCs w:val="20"/>
          <w:color w:val="auto"/>
        </w:rPr>
      </w:pPr>
    </w:p>
    <w:p>
      <w:pPr>
        <w:ind w:left="440" w:right="200" w:hanging="432"/>
        <w:spacing w:after="0" w:line="298"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September 2018, we announced landmark positive topline results of the REDUCE-IT cardiovascular outcomes trial. The decrease in expenses is primarily driven by the completion of certain analyses performed beyond the REDUCE-IT cardiovascular outcomes trial.</w:t>
      </w:r>
    </w:p>
    <w:p>
      <w:pPr>
        <w:ind w:left="440" w:right="20" w:hanging="432"/>
        <w:spacing w:after="0" w:line="316" w:lineRule="auto"/>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regulatory filing fees in each of the quarters ended September 30, 2021 and 2020 included annual U.S. FDA fees for maintaining manufacturing sites. Such fees primarily represent fees for qualification of new suppliers, including increasing capacity capabilities, and fees to support international regulatory review of VASCEPA, particularly in Europe, sites used for the manufacture of product used in the REDUCE-IT clinical outcomes study.</w:t>
      </w:r>
    </w:p>
    <w:p>
      <w:pPr>
        <w:spacing w:after="0" w:line="2" w:lineRule="exact"/>
        <w:rPr>
          <w:rFonts w:ascii="Arial" w:cs="Arial" w:eastAsia="Arial" w:hAnsi="Arial"/>
          <w:sz w:val="16"/>
          <w:szCs w:val="16"/>
          <w:color w:val="auto"/>
        </w:rPr>
      </w:pPr>
    </w:p>
    <w:p>
      <w:pPr>
        <w:ind w:left="440" w:right="20" w:hanging="432"/>
        <w:spacing w:after="0" w:line="299" w:lineRule="auto"/>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including costs associated with securing regulatory approvals for VAZKEPA in Europe as achieved in 2021. Also included are costs related to qualifying suppliers. We also exercised certain rights under our strategic collaboration agreement with Mochida, resulting in payments of</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 million in each of January 2020,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7" w:name="page38"/>
    <w:bookmarkEnd w:id="37"/>
    <w:p>
      <w:pPr>
        <w:ind w:left="440" w:right="480"/>
        <w:spacing w:after="0" w:line="281" w:lineRule="auto"/>
        <w:rPr>
          <w:sz w:val="20"/>
          <w:szCs w:val="20"/>
          <w:color w:val="auto"/>
        </w:rPr>
      </w:pPr>
      <w:r>
        <w:rPr>
          <w:rFonts w:ascii="Arial" w:cs="Arial" w:eastAsia="Arial" w:hAnsi="Arial"/>
          <w:sz w:val="18"/>
          <w:szCs w:val="18"/>
          <w:color w:val="auto"/>
        </w:rPr>
        <w:t>and January 2021, respectively. Also included are costs associated with various other investigations, including other costs in collaboration with Mochida and pilot studies regarding VASCEPA.</w:t>
      </w:r>
    </w:p>
    <w:p>
      <w:pPr>
        <w:spacing w:after="0" w:line="1" w:lineRule="exact"/>
        <w:rPr>
          <w:sz w:val="20"/>
          <w:szCs w:val="20"/>
          <w:color w:val="auto"/>
        </w:rPr>
      </w:pPr>
    </w:p>
    <w:p>
      <w:pPr>
        <w:ind w:left="440" w:right="40" w:hanging="432"/>
        <w:spacing w:after="0" w:line="303" w:lineRule="auto"/>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Non-cash stock-based compensation expense represents the estimated costs associated with equity awards issued to personnel supporting our research and development and regulatory functions. The decrease is due to the reversal of expense associated with certain performance-based awards as it was no longer deemed probable that the performance criteria for vesting would be achieved within the required timeframe.</w:t>
      </w:r>
    </w:p>
    <w:p>
      <w:pPr>
        <w:spacing w:after="0" w:line="56" w:lineRule="exact"/>
        <w:rPr>
          <w:sz w:val="20"/>
          <w:szCs w:val="20"/>
          <w:color w:val="auto"/>
        </w:rPr>
      </w:pPr>
    </w:p>
    <w:p>
      <w:pPr>
        <w:ind w:right="360" w:firstLine="509"/>
        <w:spacing w:after="0" w:line="293" w:lineRule="auto"/>
        <w:rPr>
          <w:sz w:val="20"/>
          <w:szCs w:val="20"/>
          <w:color w:val="auto"/>
        </w:rPr>
      </w:pPr>
      <w:r>
        <w:rPr>
          <w:rFonts w:ascii="Arial" w:cs="Arial" w:eastAsia="Arial" w:hAnsi="Arial"/>
          <w:sz w:val="18"/>
          <w:szCs w:val="18"/>
          <w:color w:val="auto"/>
        </w:rPr>
        <w:t>We continuously evaluate all of our spending commitments and priorities and we plan to adjust our level of research and development activities based on the impact of COVID-19 and generic competition.</w:t>
      </w:r>
    </w:p>
    <w:p>
      <w:pPr>
        <w:spacing w:after="0" w:line="197" w:lineRule="exact"/>
        <w:rPr>
          <w:sz w:val="20"/>
          <w:szCs w:val="20"/>
          <w:color w:val="auto"/>
        </w:rPr>
      </w:pPr>
    </w:p>
    <w:p>
      <w:pPr>
        <w:jc w:val="both"/>
        <w:ind w:right="100" w:firstLine="509"/>
        <w:spacing w:after="0" w:line="329" w:lineRule="auto"/>
        <w:rPr>
          <w:sz w:val="20"/>
          <w:szCs w:val="20"/>
          <w:color w:val="auto"/>
        </w:rPr>
      </w:pPr>
      <w:r>
        <w:rPr>
          <w:rFonts w:ascii="Arial" w:cs="Arial" w:eastAsia="Arial" w:hAnsi="Arial"/>
          <w:sz w:val="16"/>
          <w:szCs w:val="16"/>
          <w:i w:val="1"/>
          <w:iCs w:val="1"/>
          <w:color w:val="auto"/>
        </w:rPr>
        <w:t>Restructuring expense</w:t>
      </w:r>
      <w:r>
        <w:rPr>
          <w:rFonts w:ascii="Arial" w:cs="Arial" w:eastAsia="Arial" w:hAnsi="Arial"/>
          <w:sz w:val="16"/>
          <w:szCs w:val="16"/>
          <w:color w:val="auto"/>
        </w:rPr>
        <w:t>. Restructuring expense for the nine months ended September 30, 2021 and 2020 was $14.1 million and nil, respectively,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increase of $14.1 million or 100%. The increase is due to the launch of the new Go-to-Market strategy announced on September 22, 2021, which included the reduction of our U.S. field force to approximately 300 sales professionals. Refer to </w:t>
      </w:r>
      <w:r>
        <w:rPr>
          <w:rFonts w:ascii="Arial" w:cs="Arial" w:eastAsia="Arial" w:hAnsi="Arial"/>
          <w:sz w:val="16"/>
          <w:szCs w:val="16"/>
          <w:i w:val="1"/>
          <w:iCs w:val="1"/>
          <w:color w:val="auto"/>
        </w:rPr>
        <w:t>Note 2 Significant Accounting Policies</w:t>
      </w:r>
      <w:r>
        <w:rPr>
          <w:rFonts w:ascii="Arial" w:cs="Arial" w:eastAsia="Arial" w:hAnsi="Arial"/>
          <w:sz w:val="16"/>
          <w:szCs w:val="16"/>
          <w:color w:val="auto"/>
        </w:rPr>
        <w:t xml:space="preserve"> for additional information.</w:t>
      </w:r>
    </w:p>
    <w:p>
      <w:pPr>
        <w:spacing w:after="0" w:line="175" w:lineRule="exact"/>
        <w:rPr>
          <w:sz w:val="20"/>
          <w:szCs w:val="20"/>
          <w:color w:val="auto"/>
        </w:rPr>
      </w:pPr>
    </w:p>
    <w:p>
      <w:pPr>
        <w:ind w:right="60" w:firstLine="509"/>
        <w:spacing w:after="0" w:line="359" w:lineRule="auto"/>
        <w:rPr>
          <w:sz w:val="20"/>
          <w:szCs w:val="20"/>
          <w:color w:val="auto"/>
        </w:rPr>
      </w:pPr>
      <w:r>
        <w:rPr>
          <w:rFonts w:ascii="Arial" w:cs="Arial" w:eastAsia="Arial" w:hAnsi="Arial"/>
          <w:sz w:val="16"/>
          <w:szCs w:val="16"/>
          <w:i w:val="1"/>
          <w:iCs w:val="1"/>
          <w:color w:val="auto"/>
        </w:rPr>
        <w:t>Interest income, net</w:t>
      </w:r>
      <w:r>
        <w:rPr>
          <w:rFonts w:ascii="Arial" w:cs="Arial" w:eastAsia="Arial" w:hAnsi="Arial"/>
          <w:sz w:val="16"/>
          <w:szCs w:val="16"/>
          <w:color w:val="auto"/>
        </w:rPr>
        <w:t>. Net interest income for the nine months ended September 30, 2021 and 2020 was $0.9 million and $1.9 million, respectively,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$1.0 million, or 52%. Net interest income for the nine months ended September 30, 2021 and 2020 is summarized in the table below:</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02"/>
        </w:trPr>
        <w:tc>
          <w:tcPr>
            <w:tcW w:w="58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0"/>
        </w:trPr>
        <w:tc>
          <w:tcPr>
            <w:tcW w:w="5860" w:type="dxa"/>
            <w:vAlign w:val="bottom"/>
            <w:shd w:val="clear" w:color="auto" w:fill="CFF0FC"/>
          </w:tcPr>
          <w:p>
            <w:pPr>
              <w:spacing w:after="0" w:line="250" w:lineRule="exact"/>
              <w:rPr>
                <w:sz w:val="20"/>
                <w:szCs w:val="20"/>
                <w:color w:val="auto"/>
              </w:rPr>
            </w:pPr>
            <w:r>
              <w:rPr>
                <w:rFonts w:ascii="Arial" w:cs="Arial" w:eastAsia="Arial" w:hAnsi="Arial"/>
                <w:sz w:val="18"/>
                <w:szCs w:val="18"/>
                <w:color w:val="auto"/>
              </w:rPr>
              <w:t xml:space="preserve">Debt from royalty-bearing instrument </w:t>
            </w:r>
            <w:r>
              <w:rPr>
                <w:rFonts w:ascii="Arial" w:cs="Arial" w:eastAsia="Arial" w:hAnsi="Arial"/>
                <w:sz w:val="24"/>
                <w:szCs w:val="24"/>
                <w:color w:val="auto"/>
                <w:vertAlign w:val="superscript"/>
              </w:rPr>
              <w:t>(1)</w:t>
            </w: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860" w:type="dxa"/>
            <w:vAlign w:val="bottom"/>
          </w:tcPr>
          <w:p>
            <w:pPr>
              <w:ind w:left="180"/>
              <w:spacing w:after="0"/>
              <w:rPr>
                <w:sz w:val="20"/>
                <w:szCs w:val="20"/>
                <w:color w:val="auto"/>
              </w:rPr>
            </w:pPr>
            <w:r>
              <w:rPr>
                <w:rFonts w:ascii="Arial" w:cs="Arial" w:eastAsia="Arial" w:hAnsi="Arial"/>
                <w:sz w:val="18"/>
                <w:szCs w:val="18"/>
                <w:color w:val="auto"/>
              </w:rPr>
              <w:t>Cash interest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(1,533 )</w:t>
            </w:r>
          </w:p>
        </w:tc>
      </w:tr>
      <w:tr>
        <w:trPr>
          <w:trHeight w:val="257"/>
        </w:trPr>
        <w:tc>
          <w:tcPr>
            <w:tcW w:w="58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Non-cash interest</w:t>
            </w:r>
          </w:p>
        </w:tc>
        <w:tc>
          <w:tcPr>
            <w:tcW w:w="28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(602 )</w:t>
            </w:r>
          </w:p>
        </w:tc>
      </w:tr>
      <w:tr>
        <w:trPr>
          <w:trHeight w:val="20"/>
        </w:trPr>
        <w:tc>
          <w:tcPr>
            <w:tcW w:w="58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860" w:type="dxa"/>
            <w:vAlign w:val="bottom"/>
          </w:tcPr>
          <w:p>
            <w:pPr>
              <w:spacing w:after="0"/>
              <w:rPr>
                <w:sz w:val="20"/>
                <w:szCs w:val="20"/>
                <w:color w:val="auto"/>
              </w:rPr>
            </w:pPr>
            <w:r>
              <w:rPr>
                <w:rFonts w:ascii="Arial" w:cs="Arial" w:eastAsia="Arial" w:hAnsi="Arial"/>
                <w:sz w:val="18"/>
                <w:szCs w:val="18"/>
                <w:color w:val="auto"/>
              </w:rPr>
              <w:t>Total debt from royalty-bearing instrument interest expense</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(2,135 )</w:t>
            </w:r>
          </w:p>
        </w:tc>
      </w:tr>
      <w:tr>
        <w:trPr>
          <w:trHeight w:val="256"/>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Other interest expense</w:t>
            </w:r>
          </w:p>
        </w:tc>
        <w:tc>
          <w:tcPr>
            <w:tcW w:w="28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(477 )</w:t>
            </w: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(307 )</w:t>
            </w:r>
          </w:p>
        </w:tc>
      </w:tr>
      <w:tr>
        <w:trPr>
          <w:trHeight w:val="20"/>
        </w:trPr>
        <w:tc>
          <w:tcPr>
            <w:tcW w:w="58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860" w:type="dxa"/>
            <w:vAlign w:val="bottom"/>
          </w:tcPr>
          <w:p>
            <w:pPr>
              <w:spacing w:after="0"/>
              <w:rPr>
                <w:sz w:val="20"/>
                <w:szCs w:val="20"/>
                <w:color w:val="auto"/>
              </w:rPr>
            </w:pPr>
            <w:r>
              <w:rPr>
                <w:rFonts w:ascii="Arial" w:cs="Arial" w:eastAsia="Arial" w:hAnsi="Arial"/>
                <w:sz w:val="18"/>
                <w:szCs w:val="18"/>
                <w:color w:val="auto"/>
              </w:rPr>
              <w:t>Total interest expense</w:t>
            </w:r>
          </w:p>
        </w:tc>
        <w:tc>
          <w:tcPr>
            <w:tcW w:w="28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(477 )</w:t>
            </w: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(2,442 )</w:t>
            </w:r>
          </w:p>
        </w:tc>
      </w:tr>
      <w:tr>
        <w:trPr>
          <w:trHeight w:val="263"/>
        </w:trPr>
        <w:tc>
          <w:tcPr>
            <w:tcW w:w="5860" w:type="dxa"/>
            <w:vAlign w:val="bottom"/>
            <w:tcBorders>
              <w:bottom w:val="single" w:sz="8" w:color="CFF0FC"/>
            </w:tcBorders>
            <w:shd w:val="clear" w:color="auto" w:fill="CFF0FC"/>
          </w:tcPr>
          <w:p>
            <w:pPr>
              <w:spacing w:after="0" w:line="263" w:lineRule="exact"/>
              <w:rPr>
                <w:sz w:val="20"/>
                <w:szCs w:val="20"/>
                <w:color w:val="auto"/>
              </w:rPr>
            </w:pPr>
            <w:r>
              <w:rPr>
                <w:rFonts w:ascii="Arial" w:cs="Arial" w:eastAsia="Arial" w:hAnsi="Arial"/>
                <w:sz w:val="18"/>
                <w:szCs w:val="18"/>
                <w:color w:val="auto"/>
              </w:rPr>
              <w:t xml:space="preserve">Interest income </w:t>
            </w:r>
            <w:r>
              <w:rPr>
                <w:rFonts w:ascii="Arial" w:cs="Arial" w:eastAsia="Arial" w:hAnsi="Arial"/>
                <w:sz w:val="24"/>
                <w:szCs w:val="24"/>
                <w:color w:val="auto"/>
                <w:vertAlign w:val="superscript"/>
              </w:rPr>
              <w:t>(2)</w:t>
            </w:r>
          </w:p>
        </w:tc>
        <w:tc>
          <w:tcPr>
            <w:tcW w:w="28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5860" w:type="dxa"/>
            <w:vAlign w:val="bottom"/>
          </w:tcPr>
          <w:p>
            <w:pPr>
              <w:spacing w:after="0"/>
              <w:rPr>
                <w:sz w:val="20"/>
                <w:szCs w:val="20"/>
                <w:color w:val="auto"/>
              </w:rPr>
            </w:pPr>
            <w:r>
              <w:rPr>
                <w:rFonts w:ascii="Arial" w:cs="Arial" w:eastAsia="Arial" w:hAnsi="Arial"/>
                <w:sz w:val="18"/>
                <w:szCs w:val="18"/>
                <w:color w:val="auto"/>
              </w:rPr>
              <w:t>Total interest income, net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26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1"/>
                <w:szCs w:val="21"/>
                <w:color w:val="auto"/>
              </w:rPr>
            </w:pPr>
          </w:p>
        </w:tc>
      </w:tr>
      <w:tr>
        <w:trPr>
          <w:trHeight w:val="20"/>
        </w:trPr>
        <w:tc>
          <w:tcPr>
            <w:tcW w:w="5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-862330</wp:posOffset>
            </wp:positionV>
            <wp:extent cx="17145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-862330</wp:posOffset>
            </wp:positionV>
            <wp:extent cx="6858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-527685</wp:posOffset>
            </wp:positionV>
            <wp:extent cx="17145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-527685</wp:posOffset>
            </wp:positionV>
            <wp:extent cx="6858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-193675</wp:posOffset>
            </wp:positionV>
            <wp:extent cx="17145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-193675</wp:posOffset>
            </wp:positionV>
            <wp:extent cx="6858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95123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440" w:right="360" w:hanging="432"/>
        <w:spacing w:after="0" w:line="279"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and non-cash interest expense related to the December 2012 royalty-bearing instrument for the nine months ended September 30, 2021 and 2020 was nil and $2.1 million, respectively. In November 2020, the Company made the final payment on its royalty-bearing instrument and, as a result, no interest from this instrument was recorded in 2021.</w:t>
      </w:r>
    </w:p>
    <w:p>
      <w:pPr>
        <w:spacing w:after="0" w:line="7" w:lineRule="exact"/>
        <w:rPr>
          <w:rFonts w:ascii="Arial" w:cs="Arial" w:eastAsia="Arial" w:hAnsi="Arial"/>
          <w:sz w:val="18"/>
          <w:szCs w:val="18"/>
          <w:color w:val="auto"/>
        </w:rPr>
      </w:pPr>
    </w:p>
    <w:p>
      <w:pPr>
        <w:ind w:left="440" w:right="40" w:hanging="432"/>
        <w:spacing w:after="0" w:line="275"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income for the nine months ended September 30, 2021 and 2020 was $1.4 million and $4.4 million, respectively. Interest income represents income earned on cash and investment balances. The decrease is a result of COVID-19 and the related economic conditions, including a reduction in interest rates in 2021 as compared to the prior year, resulting in a decrease in interest income, as well as, a decrease in the Company's cash and short-term and long-term investment balance.</w:t>
      </w:r>
    </w:p>
    <w:p>
      <w:pPr>
        <w:spacing w:after="0" w:line="212" w:lineRule="exact"/>
        <w:rPr>
          <w:sz w:val="20"/>
          <w:szCs w:val="20"/>
          <w:color w:val="auto"/>
        </w:rPr>
      </w:pPr>
    </w:p>
    <w:p>
      <w:pPr>
        <w:ind w:right="120" w:firstLine="509"/>
        <w:spacing w:after="0" w:line="293" w:lineRule="auto"/>
        <w:rPr>
          <w:sz w:val="20"/>
          <w:szCs w:val="20"/>
          <w:color w:val="auto"/>
        </w:rPr>
      </w:pPr>
      <w:r>
        <w:rPr>
          <w:rFonts w:ascii="Arial" w:cs="Arial" w:eastAsia="Arial" w:hAnsi="Arial"/>
          <w:sz w:val="18"/>
          <w:szCs w:val="18"/>
          <w:i w:val="1"/>
          <w:iCs w:val="1"/>
          <w:color w:val="auto"/>
        </w:rPr>
        <w:t>Other expense, net</w:t>
      </w:r>
      <w:r>
        <w:rPr>
          <w:rFonts w:ascii="Arial" w:cs="Arial" w:eastAsia="Arial" w:hAnsi="Arial"/>
          <w:sz w:val="18"/>
          <w:szCs w:val="18"/>
          <w:color w:val="auto"/>
        </w:rPr>
        <w:t>. Other expense, net, for the nine months ended September 30, 2021 and 2020 was expense of $390 thousand and income of $50</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 respectively. Other expense, net, primarily consists of gains and losses on foreign exchange transactions.</w:t>
      </w:r>
    </w:p>
    <w:p>
      <w:pPr>
        <w:spacing w:after="0" w:line="116" w:lineRule="exact"/>
        <w:rPr>
          <w:sz w:val="20"/>
          <w:szCs w:val="20"/>
          <w:color w:val="auto"/>
        </w:rPr>
      </w:pPr>
    </w:p>
    <w:p>
      <w:pPr>
        <w:ind w:firstLine="509"/>
        <w:spacing w:after="0" w:line="282" w:lineRule="auto"/>
        <w:rPr>
          <w:sz w:val="20"/>
          <w:szCs w:val="20"/>
          <w:color w:val="auto"/>
        </w:rPr>
      </w:pPr>
      <w:r>
        <w:rPr>
          <w:rFonts w:ascii="Arial" w:cs="Arial" w:eastAsia="Arial" w:hAnsi="Arial"/>
          <w:sz w:val="17"/>
          <w:szCs w:val="17"/>
          <w:i w:val="1"/>
          <w:iCs w:val="1"/>
          <w:color w:val="auto"/>
        </w:rPr>
        <w:t xml:space="preserve">Income tax (provision) benefit. </w:t>
      </w:r>
      <w:r>
        <w:rPr>
          <w:rFonts w:ascii="Arial" w:cs="Arial" w:eastAsia="Arial" w:hAnsi="Arial"/>
          <w:sz w:val="17"/>
          <w:szCs w:val="17"/>
          <w:color w:val="auto"/>
        </w:rPr>
        <w:t>Income tax (provision) benefit for the nine months ended September 30, 2021 and 2020 was a provision of $1.9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and benefit of $1.9 million, respectively. The provision for the nine months ended September 30, 2021 is the result of income generated by our U.S. operations for which tax expense has been recognized based on a full year estimated U.S. income tax liability. The income tax benefit recorded for the nine months ended September 30, 2020 related to carrybacks of net operating losses as allowed under the CARES Act.</w:t>
      </w: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Our aggregate sources of liquidity as of September 30, 2021 are in excess of $500.0 million, with no debt. Our aggregate sources of liquidity include cash and cash equivalents and restricted cash of $226.8 million, short-term investments of $256.3 million and long-term investments of $38.8 million. Our cash and cash equivalents primarily include checking accounts and money market funds with original maturities less than 90 days. Our short-term investments consist of held-to-maturity securities that will be due in one year or less. Our long-term investments consist of held-to-maturity securities that will be due in more than one year.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w:t>
      </w:r>
    </w:p>
    <w:p>
      <w:pPr>
        <w:spacing w:after="0" w:line="73"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Our cash flows from operating, investing and financing activities, as reflected in the consolidated statements of cash flows, are summarized in the following table:</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Nine months ended September 30,</w:t>
            </w:r>
          </w:p>
        </w:tc>
      </w:tr>
      <w:tr>
        <w:trPr>
          <w:trHeight w:val="202"/>
        </w:trPr>
        <w:tc>
          <w:tcPr>
            <w:tcW w:w="640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25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Cash (used in) provided by:</w:t>
            </w: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640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(38.3 )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r>
      <w:tr>
        <w:trPr>
          <w:trHeight w:val="263"/>
        </w:trPr>
        <w:tc>
          <w:tcPr>
            <w:tcW w:w="6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Investing activities</w:t>
            </w:r>
          </w:p>
        </w:tc>
        <w:tc>
          <w:tcPr>
            <w:tcW w:w="38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3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(400.6 )</w:t>
            </w:r>
          </w:p>
        </w:tc>
      </w:tr>
      <w:tr>
        <w:trPr>
          <w:trHeight w:val="250"/>
        </w:trPr>
        <w:tc>
          <w:tcPr>
            <w:tcW w:w="640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(4.9 )</w:t>
            </w:r>
          </w:p>
        </w:tc>
        <w:tc>
          <w:tcPr>
            <w:tcW w:w="38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(53.3 )</w:t>
            </w:r>
          </w:p>
        </w:tc>
      </w:tr>
      <w:tr>
        <w:trPr>
          <w:trHeight w:val="20"/>
        </w:trPr>
        <w:tc>
          <w:tcPr>
            <w:tcW w:w="6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 cash and cash equivalents and restricted cash</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300" w:type="dxa"/>
            <w:vAlign w:val="bottom"/>
            <w:shd w:val="clear" w:color="auto" w:fill="CFF0FC"/>
          </w:tcPr>
          <w:p>
            <w:pPr>
              <w:spacing w:after="0"/>
              <w:rPr>
                <w:sz w:val="23"/>
                <w:szCs w:val="23"/>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(437.3 )</w:t>
            </w:r>
          </w:p>
        </w:tc>
      </w:tr>
      <w:tr>
        <w:trPr>
          <w:trHeight w:val="20"/>
        </w:trPr>
        <w:tc>
          <w:tcPr>
            <w:tcW w:w="64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-25400</wp:posOffset>
            </wp:positionV>
            <wp:extent cx="18859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18859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jc w:val="both"/>
        <w:ind w:right="80" w:firstLine="509"/>
        <w:spacing w:after="0" w:line="279" w:lineRule="auto"/>
        <w:rPr>
          <w:sz w:val="20"/>
          <w:szCs w:val="20"/>
          <w:color w:val="auto"/>
        </w:rPr>
      </w:pPr>
      <w:r>
        <w:rPr>
          <w:rFonts w:ascii="Arial" w:cs="Arial" w:eastAsia="Arial" w:hAnsi="Arial"/>
          <w:sz w:val="18"/>
          <w:szCs w:val="18"/>
          <w:color w:val="auto"/>
        </w:rPr>
        <w:t>Net cash used in operating activities during the nine months ended September 30, 2021 as compared to the net cash provided by operating activities during the same period in 2020 is primarily as a result of an increase in inventory purchases during 2021 as well as costs associated with planning for and launching commercially in Germany and planning for commercial launch in additional countries in Europe.</w:t>
      </w:r>
    </w:p>
    <w:p>
      <w:pPr>
        <w:spacing w:after="0" w:line="75" w:lineRule="exact"/>
        <w:rPr>
          <w:sz w:val="20"/>
          <w:szCs w:val="20"/>
          <w:color w:val="auto"/>
        </w:rPr>
      </w:pPr>
    </w:p>
    <w:p>
      <w:pPr>
        <w:ind w:right="260" w:firstLine="509"/>
        <w:spacing w:after="0" w:line="296" w:lineRule="auto"/>
        <w:rPr>
          <w:sz w:val="20"/>
          <w:szCs w:val="20"/>
          <w:color w:val="auto"/>
        </w:rPr>
      </w:pPr>
      <w:r>
        <w:rPr>
          <w:rFonts w:ascii="Arial" w:cs="Arial" w:eastAsia="Arial" w:hAnsi="Arial"/>
          <w:sz w:val="17"/>
          <w:szCs w:val="17"/>
          <w:color w:val="auto"/>
        </w:rPr>
        <w:t>Net cash provided by investing activities during the nine months ended September 30, 2021 is primarily due to the proceeds from the maturity of $312.2 million in investment-grade interest bearing instruments, partially offset by $233.1 million in purchases of investment-grade interest bearing instruments as compared to the same period in 2020 where approximately $587.1 million investment-grade interest bearing instruments were purchased, partially offset by the proceeds from the maturity and sale of securities of $186.7 million.</w:t>
      </w:r>
    </w:p>
    <w:p>
      <w:pPr>
        <w:spacing w:after="0" w:line="62" w:lineRule="exact"/>
        <w:rPr>
          <w:sz w:val="20"/>
          <w:szCs w:val="20"/>
          <w:color w:val="auto"/>
        </w:rPr>
      </w:pPr>
    </w:p>
    <w:p>
      <w:pPr>
        <w:ind w:right="60" w:firstLine="509"/>
        <w:spacing w:after="0" w:line="292" w:lineRule="auto"/>
        <w:rPr>
          <w:sz w:val="20"/>
          <w:szCs w:val="20"/>
          <w:color w:val="auto"/>
        </w:rPr>
      </w:pPr>
      <w:r>
        <w:rPr>
          <w:rFonts w:ascii="Arial" w:cs="Arial" w:eastAsia="Arial" w:hAnsi="Arial"/>
          <w:sz w:val="17"/>
          <w:szCs w:val="17"/>
          <w:color w:val="auto"/>
        </w:rPr>
        <w:t>Net cash used in financing activities during the nine months ended September 30, 2020 primarily reflects the payments made on our royalty-bearing instrument with CPPIB, with the final payment made in the fourth quarter of 2020. In December 2012, we entered into a financing agreement with BioPharma. Under this agreement, we granted to BioPharma a security interest in future receivables and all related rights to VASCEPA, in exchange for $100.0 million received at the closing of the agreement which occurred in December 2012. In December 2017, BioPharma assigned all rights under this agreement to CPPIB. In the fourth quarter of 2020, we repaid the remaining amounts outstanding of the agreed upon $150.0 million.</w:t>
      </w:r>
    </w:p>
    <w:p>
      <w:pPr>
        <w:spacing w:after="0" w:line="66" w:lineRule="exact"/>
        <w:rPr>
          <w:sz w:val="20"/>
          <w:szCs w:val="20"/>
          <w:color w:val="auto"/>
        </w:rPr>
      </w:pPr>
    </w:p>
    <w:p>
      <w:pPr>
        <w:ind w:right="20" w:firstLine="509"/>
        <w:spacing w:after="0" w:line="270" w:lineRule="auto"/>
        <w:rPr>
          <w:sz w:val="20"/>
          <w:szCs w:val="20"/>
          <w:color w:val="auto"/>
        </w:rPr>
      </w:pPr>
      <w:r>
        <w:rPr>
          <w:rFonts w:ascii="Arial" w:cs="Arial" w:eastAsia="Arial" w:hAnsi="Arial"/>
          <w:sz w:val="18"/>
          <w:szCs w:val="18"/>
          <w:color w:val="auto"/>
        </w:rPr>
        <w:t>As of September 30, 2021, we had net accounts receivable $149.4 million and inventory of $309.3 million. We have incurred annual operating losses since our inception and, as a result, we had an accumulated deficit of $1.4 billion as of September 30, 2021. We anticipate that quarterly net cash outflows in future periods will continue to be variable as a result of the timing of certain items, including our purchases of API, the impact from COVID-19 on our operations, the generic competition in the United States as a result of our ANDA litigation and commercialization of VAZKEPA in Europe. For Europe, we launched VAZKEPA in Germany in September 2021 and we commenced pre-launch planning and other commercial preparation activities, and continue to grow our European staff by hiring Market access and Medical affairs teams, among others, across Europe as deemed appropriate on a country by country basis.</w:t>
      </w:r>
    </w:p>
    <w:p>
      <w:pPr>
        <w:spacing w:after="0" w:line="84" w:lineRule="exact"/>
        <w:rPr>
          <w:sz w:val="20"/>
          <w:szCs w:val="20"/>
          <w:color w:val="auto"/>
        </w:rPr>
      </w:pPr>
    </w:p>
    <w:p>
      <w:pPr>
        <w:ind w:right="260" w:firstLine="509"/>
        <w:spacing w:after="0" w:line="272" w:lineRule="auto"/>
        <w:rPr>
          <w:sz w:val="20"/>
          <w:szCs w:val="20"/>
          <w:color w:val="auto"/>
        </w:rPr>
      </w:pPr>
      <w:r>
        <w:rPr>
          <w:rFonts w:ascii="Arial" w:cs="Arial" w:eastAsia="Arial" w:hAnsi="Arial"/>
          <w:sz w:val="18"/>
          <w:szCs w:val="18"/>
          <w:color w:val="auto"/>
        </w:rPr>
        <w:t>We believe that our cash and cash equivalents of $222.9 million as of September 30, 2021 together with our short-term investments of $256.3 million as of September 30, 2021, will be sufficient to fund our projected operations for at least 12 months and is adequate to achieve positive cash flow from VASCEPA, including our launch in Europe, based on our current plans. We have based this estimate on assumptions that may prove to be wrong, including as a result of the risks discussed under Part II, Item IA, “Risk Factors”, and we could use our capital resources sooner than we expect or fail to achieve positive cash flow.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35" w:lineRule="exact"/>
        <w:rPr>
          <w:sz w:val="20"/>
          <w:szCs w:val="20"/>
          <w:color w:val="auto"/>
        </w:rPr>
      </w:pPr>
    </w:p>
    <w:p>
      <w:pPr>
        <w:ind w:right="80" w:firstLine="509"/>
        <w:spacing w:after="0" w:line="303" w:lineRule="auto"/>
        <w:rPr>
          <w:sz w:val="20"/>
          <w:szCs w:val="20"/>
          <w:color w:val="auto"/>
        </w:rPr>
      </w:pPr>
      <w:r>
        <w:rPr>
          <w:rFonts w:ascii="Arial" w:cs="Arial" w:eastAsia="Arial" w:hAnsi="Arial"/>
          <w:sz w:val="17"/>
          <w:szCs w:val="17"/>
          <w:color w:val="auto"/>
        </w:rPr>
        <w:t>Our contractual obligations consist mainly of payments related to purchase obligations with certain supply chain contracting parties and operating leases related to real estate used as office space. There have been no material changes during the nine months ended September 30, 2021 to our contractual obligations as presented in Part II, Item 7 of our Annual Report on Form 10-K for the year ended December 31, 2020.</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35" w:lineRule="exact"/>
        <w:rPr>
          <w:sz w:val="20"/>
          <w:szCs w:val="20"/>
          <w:color w:val="auto"/>
        </w:rPr>
      </w:pPr>
    </w:p>
    <w:p>
      <w:pPr>
        <w:ind w:firstLine="509"/>
        <w:spacing w:after="0" w:line="324" w:lineRule="auto"/>
        <w:rPr>
          <w:sz w:val="20"/>
          <w:szCs w:val="20"/>
          <w:color w:val="auto"/>
        </w:rPr>
      </w:pPr>
      <w:r>
        <w:rPr>
          <w:rFonts w:ascii="Arial" w:cs="Arial" w:eastAsia="Arial" w:hAnsi="Arial"/>
          <w:sz w:val="17"/>
          <w:szCs w:val="17"/>
          <w:color w:val="auto"/>
        </w:rPr>
        <w:t>There have been no material changes with respect to the information appearing in PART II, Item 7A “Quantitative and Qualitative Disclosures about Market Risk” of our Annual Report on Form 10-K filed with the Securities and Exchange Commission on February 25, 2021.</w:t>
      </w:r>
    </w:p>
    <w:p>
      <w:pPr>
        <w:spacing w:after="0" w:line="25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ind w:right="80" w:firstLine="509"/>
        <w:spacing w:after="0" w:line="296"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that we file or submit under the Securities Exchange Act of 1934, as amended ,or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62" w:lineRule="exact"/>
        <w:rPr>
          <w:sz w:val="20"/>
          <w:szCs w:val="20"/>
          <w:color w:val="auto"/>
        </w:rPr>
      </w:pPr>
    </w:p>
    <w:p>
      <w:pPr>
        <w:ind w:right="40" w:firstLine="509"/>
        <w:spacing w:after="0" w:line="290" w:lineRule="auto"/>
        <w:rPr>
          <w:sz w:val="20"/>
          <w:szCs w:val="20"/>
          <w:color w:val="auto"/>
        </w:rPr>
      </w:pPr>
      <w:r>
        <w:rPr>
          <w:rFonts w:ascii="Arial" w:cs="Arial" w:eastAsia="Arial" w:hAnsi="Arial"/>
          <w:sz w:val="17"/>
          <w:szCs w:val="17"/>
          <w:color w:val="auto"/>
        </w:rPr>
        <w:t>As of September 30, 2021, or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September 30, 2021 our disclosure controls and procedures were effective at the reasonable assurance level.</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5" w:lineRule="exact"/>
        <w:rPr>
          <w:sz w:val="20"/>
          <w:szCs w:val="20"/>
          <w:color w:val="auto"/>
        </w:rPr>
      </w:pPr>
    </w:p>
    <w:p>
      <w:pPr>
        <w:jc w:val="both"/>
        <w:ind w:right="440" w:firstLine="509"/>
        <w:spacing w:after="0" w:line="266" w:lineRule="auto"/>
        <w:rPr>
          <w:sz w:val="20"/>
          <w:szCs w:val="20"/>
          <w:color w:val="auto"/>
        </w:rPr>
      </w:pPr>
      <w:r>
        <w:rPr>
          <w:rFonts w:ascii="Arial" w:cs="Arial" w:eastAsia="Arial" w:hAnsi="Arial"/>
          <w:sz w:val="18"/>
          <w:szCs w:val="18"/>
          <w:color w:val="auto"/>
        </w:rPr>
        <w:t>During the quarter ended September 30, 2021, there were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4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35"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“Item 3. Legal Proceedings” of our Annual Report on Form 10-K for the fiscal year ended December 31, 2020 includes a discussion of our current legal proceedings. Refer to Note 5 – Commitments and Contingencies in the accompanying Notes to the Condensed Consolidated Financial Statements in this Form 10-Q for further details on our legal proceedings during the nine months ended September 30,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and VAZKEPA, collectively referred to as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55"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i w:val="1"/>
          <w:iCs w:val="1"/>
          <w:color w:val="auto"/>
        </w:rPr>
        <w:t>Except those denoted below with a “*”, these risk factors have not been materially updated from our Annual Report on 10-K for the year ended December 31, 2020 filed with the SEC on February 25, 2021, or our Annual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Risk Factors</w:t>
      </w:r>
    </w:p>
    <w:p>
      <w:pPr>
        <w:spacing w:after="0" w:line="131"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Our business is subject to numerous risks and uncertainties that you should be aware of in evaluating our business. These risks include, but are not limited to, the following:</w:t>
      </w:r>
    </w:p>
    <w:p>
      <w:pPr>
        <w:spacing w:after="0" w:line="62" w:lineRule="exact"/>
        <w:rPr>
          <w:sz w:val="20"/>
          <w:szCs w:val="20"/>
          <w:color w:val="auto"/>
        </w:rPr>
      </w:pPr>
    </w:p>
    <w:p>
      <w:pPr>
        <w:ind w:left="840" w:right="20"/>
        <w:spacing w:after="0" w:line="292" w:lineRule="auto"/>
        <w:rPr>
          <w:sz w:val="20"/>
          <w:szCs w:val="20"/>
          <w:color w:val="auto"/>
        </w:rPr>
      </w:pPr>
      <w:r>
        <w:rPr>
          <w:rFonts w:ascii="Arial" w:cs="Arial" w:eastAsia="Arial" w:hAnsi="Arial"/>
          <w:sz w:val="17"/>
          <w:szCs w:val="17"/>
          <w:color w:val="auto"/>
        </w:rPr>
        <w:t>We are substantially dependent upon VASCEPA® (icosapent ethyl), its commercialization in the United States and its development and commercialization in Europe and other major markets. In the United States, VASCEPA is facing increasing competition from generic versions of the drug. In Europe, VAZKEPA was recently granted approval from the central regulatory authority and we are in the process of obtaining relevant pricing approvals in various countries; however, we may not be successful in obtaining such approvals in a timely manner, or at all and, even if successfully obtained, we may not be successful in commercializing VAZKEPA in Europe or elsewhere.</w:t>
      </w:r>
    </w:p>
    <w:p>
      <w:pPr>
        <w:spacing w:after="0" w:line="66" w:lineRule="exact"/>
        <w:rPr>
          <w:sz w:val="20"/>
          <w:szCs w:val="20"/>
          <w:color w:val="auto"/>
        </w:rPr>
      </w:pPr>
    </w:p>
    <w:p>
      <w:pPr>
        <w:ind w:left="840" w:right="220"/>
        <w:spacing w:after="0" w:line="293" w:lineRule="auto"/>
        <w:rPr>
          <w:sz w:val="20"/>
          <w:szCs w:val="20"/>
          <w:color w:val="auto"/>
        </w:rPr>
      </w:pPr>
      <w:r>
        <w:rPr>
          <w:rFonts w:ascii="Arial" w:cs="Arial" w:eastAsia="Arial" w:hAnsi="Arial"/>
          <w:sz w:val="18"/>
          <w:szCs w:val="18"/>
          <w:color w:val="auto"/>
        </w:rPr>
        <w:t>In the United States, we face increasing competition from generic drug companies in the near term and our revenues and results of operations could be materially and adversely affected.</w:t>
      </w:r>
    </w:p>
    <w:p>
      <w:pPr>
        <w:spacing w:after="0" w:line="62" w:lineRule="exact"/>
        <w:rPr>
          <w:sz w:val="20"/>
          <w:szCs w:val="20"/>
          <w:color w:val="auto"/>
        </w:rPr>
      </w:pPr>
    </w:p>
    <w:p>
      <w:pPr>
        <w:ind w:left="840" w:right="200"/>
        <w:spacing w:after="0" w:line="293" w:lineRule="auto"/>
        <w:rPr>
          <w:sz w:val="20"/>
          <w:szCs w:val="20"/>
          <w:color w:val="auto"/>
        </w:rPr>
      </w:pPr>
      <w:r>
        <w:rPr>
          <w:rFonts w:ascii="Arial" w:cs="Arial" w:eastAsia="Arial" w:hAnsi="Arial"/>
          <w:sz w:val="18"/>
          <w:szCs w:val="18"/>
          <w:color w:val="auto"/>
        </w:rPr>
        <w:t>Factors outside of our control make it more difficult for VASCEPA to achieve a level of market acceptance by physicians, patients, healthcare payors and others in the medical community necessary to meet expectations for commercial success.</w:t>
      </w:r>
    </w:p>
    <w:p>
      <w:pPr>
        <w:spacing w:after="0" w:line="62" w:lineRule="exact"/>
        <w:rPr>
          <w:sz w:val="20"/>
          <w:szCs w:val="20"/>
          <w:color w:val="auto"/>
        </w:rPr>
      </w:pPr>
    </w:p>
    <w:p>
      <w:pPr>
        <w:ind w:left="840" w:right="60"/>
        <w:spacing w:after="0" w:line="293" w:lineRule="auto"/>
        <w:rPr>
          <w:sz w:val="20"/>
          <w:szCs w:val="20"/>
          <w:color w:val="auto"/>
        </w:rPr>
      </w:pPr>
      <w:r>
        <w:rPr>
          <w:rFonts w:ascii="Arial" w:cs="Arial" w:eastAsia="Arial" w:hAnsi="Arial"/>
          <w:sz w:val="18"/>
          <w:szCs w:val="18"/>
          <w:color w:val="auto"/>
        </w:rPr>
        <w:t>The continued scale, scope and duration of business interruptions caused by the COVID-19 pandemic and related recovery efforts are uncertain as the impact of the pandemic continues to cause negative effects on our business.</w:t>
      </w:r>
    </w:p>
    <w:p>
      <w:pPr>
        <w:spacing w:after="0" w:line="62" w:lineRule="exact"/>
        <w:rPr>
          <w:sz w:val="20"/>
          <w:szCs w:val="20"/>
          <w:color w:val="auto"/>
        </w:rPr>
      </w:pPr>
    </w:p>
    <w:p>
      <w:pPr>
        <w:ind w:left="840" w:right="740"/>
        <w:spacing w:after="0" w:line="293" w:lineRule="auto"/>
        <w:rPr>
          <w:sz w:val="20"/>
          <w:szCs w:val="20"/>
          <w:color w:val="auto"/>
        </w:rPr>
      </w:pPr>
      <w:r>
        <w:rPr>
          <w:rFonts w:ascii="Arial" w:cs="Arial" w:eastAsia="Arial" w:hAnsi="Arial"/>
          <w:sz w:val="18"/>
          <w:szCs w:val="18"/>
          <w:color w:val="auto"/>
        </w:rPr>
        <w:t>Our current and planned commercialization efforts, including our recently announced Go-to-Market strategy, may not be successful in increasing sales of VASCEPA in the United States and developing sales internationally.</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promotion and supply of VASCEPA is subject to regulatory scrutiny and associated risk.</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may not be able to compete effectively against our competitors’ pharmaceutical products.</w:t>
      </w:r>
    </w:p>
    <w:p>
      <w:pPr>
        <w:spacing w:after="0" w:line="131" w:lineRule="exact"/>
        <w:rPr>
          <w:sz w:val="20"/>
          <w:szCs w:val="20"/>
          <w:color w:val="auto"/>
        </w:rPr>
      </w:pPr>
    </w:p>
    <w:p>
      <w:pPr>
        <w:ind w:left="840" w:right="320"/>
        <w:spacing w:after="0" w:line="324" w:lineRule="auto"/>
        <w:rPr>
          <w:sz w:val="20"/>
          <w:szCs w:val="20"/>
          <w:color w:val="auto"/>
        </w:rPr>
      </w:pPr>
      <w:r>
        <w:rPr>
          <w:rFonts w:ascii="Arial" w:cs="Arial" w:eastAsia="Arial" w:hAnsi="Arial"/>
          <w:sz w:val="17"/>
          <w:szCs w:val="17"/>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39" w:lineRule="exact"/>
        <w:rPr>
          <w:sz w:val="20"/>
          <w:szCs w:val="20"/>
          <w:color w:val="auto"/>
        </w:rPr>
      </w:pPr>
    </w:p>
    <w:p>
      <w:pPr>
        <w:ind w:left="840" w:right="180"/>
        <w:spacing w:after="0" w:line="293" w:lineRule="auto"/>
        <w:rPr>
          <w:sz w:val="20"/>
          <w:szCs w:val="20"/>
          <w:color w:val="auto"/>
        </w:rPr>
      </w:pPr>
      <w:r>
        <w:rPr>
          <w:rFonts w:ascii="Arial" w:cs="Arial" w:eastAsia="Arial" w:hAnsi="Arial"/>
          <w:sz w:val="18"/>
          <w:szCs w:val="18"/>
          <w:color w:val="auto"/>
        </w:rPr>
        <w:t>The commercial value to us of sales of VASCEPA outside the United States may be smaller than we anticipate, including adequacy of product reimbursement which can vary from country to country resulting in potential patient access restrictions.</w:t>
      </w:r>
    </w:p>
    <w:p>
      <w:pPr>
        <w:spacing w:after="0" w:line="62" w:lineRule="exact"/>
        <w:rPr>
          <w:sz w:val="20"/>
          <w:szCs w:val="20"/>
          <w:color w:val="auto"/>
        </w:rPr>
      </w:pPr>
    </w:p>
    <w:p>
      <w:pPr>
        <w:ind w:left="840" w:right="680"/>
        <w:spacing w:after="0" w:line="293" w:lineRule="auto"/>
        <w:rPr>
          <w:sz w:val="20"/>
          <w:szCs w:val="20"/>
          <w:color w:val="auto"/>
        </w:rPr>
      </w:pPr>
      <w:r>
        <w:rPr>
          <w:rFonts w:ascii="Arial" w:cs="Arial" w:eastAsia="Arial" w:hAnsi="Arial"/>
          <w:sz w:val="18"/>
          <w:szCs w:val="18"/>
          <w:color w:val="auto"/>
        </w:rPr>
        <w:t>Our supply of product for the commercial market and clinical trials is dependent upon relationships with third-party manufacturers and suppliers.</w:t>
      </w:r>
    </w:p>
    <w:p>
      <w:pPr>
        <w:spacing w:after="0" w:line="62" w:lineRule="exact"/>
        <w:rPr>
          <w:sz w:val="20"/>
          <w:szCs w:val="20"/>
          <w:color w:val="auto"/>
        </w:rPr>
      </w:pPr>
    </w:p>
    <w:p>
      <w:pPr>
        <w:ind w:left="840" w:right="100"/>
        <w:spacing w:after="0" w:line="266" w:lineRule="auto"/>
        <w:rPr>
          <w:sz w:val="20"/>
          <w:szCs w:val="20"/>
          <w:color w:val="auto"/>
        </w:rPr>
      </w:pPr>
      <w:r>
        <w:rPr>
          <w:rFonts w:ascii="Arial" w:cs="Arial" w:eastAsia="Arial" w:hAnsi="Arial"/>
          <w:sz w:val="18"/>
          <w:szCs w:val="18"/>
          <w:color w:val="auto"/>
        </w:rPr>
        <w:t>Our dependence on third parties in the distribution channel from our manufacturers to patients subject us to risks that limit our profitability and could limit our ability to supply VASCEPA to large market segments.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ind w:left="840" w:right="200"/>
        <w:spacing w:after="0" w:line="293" w:lineRule="auto"/>
        <w:rPr>
          <w:sz w:val="20"/>
          <w:szCs w:val="20"/>
          <w:color w:val="auto"/>
        </w:rPr>
      </w:pPr>
      <w:r>
        <w:rPr>
          <w:rFonts w:ascii="Arial" w:cs="Arial" w:eastAsia="Arial" w:hAnsi="Arial"/>
          <w:sz w:val="18"/>
          <w:szCs w:val="18"/>
          <w:color w:val="auto"/>
        </w:rPr>
        <w:t>Our commercialization of VASCEPA outside the United States is substantially dependent on third parties and other circumstances outside our control.</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are dependent on patents, proprietary rights and confidentiality to protect the commercial potential of VASCEPA.</w:t>
      </w:r>
    </w:p>
    <w:p>
      <w:pPr>
        <w:spacing w:after="0" w:line="131" w:lineRule="exact"/>
        <w:rPr>
          <w:sz w:val="20"/>
          <w:szCs w:val="20"/>
          <w:color w:val="auto"/>
        </w:rPr>
      </w:pPr>
    </w:p>
    <w:p>
      <w:pPr>
        <w:ind w:left="840" w:right="80"/>
        <w:spacing w:after="0" w:line="293" w:lineRule="auto"/>
        <w:rPr>
          <w:sz w:val="20"/>
          <w:szCs w:val="20"/>
          <w:color w:val="auto"/>
        </w:rPr>
      </w:pPr>
      <w:r>
        <w:rPr>
          <w:rFonts w:ascii="Arial" w:cs="Arial" w:eastAsia="Arial" w:hAnsi="Arial"/>
          <w:sz w:val="18"/>
          <w:szCs w:val="18"/>
          <w:color w:val="auto"/>
        </w:rPr>
        <w:t>Our issued patents may not prevent competitors from competing with VASCEPA, even if we are successful in our current efforts to enforce our patent rights.</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There can be no assurance that any of our pending patent applications relating to VASCEPA or its use will issue as patents.</w:t>
      </w:r>
    </w:p>
    <w:p>
      <w:pPr>
        <w:spacing w:after="0" w:line="131"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The summary risk factors described above should be read together with the text of the full risk factors below and in the other information set forth in our Annual Report and this Quarterly Report on Form 10-Q, including our consolidated financial statements and the related notes, as well as in other documents that we file with the SEC. If any such risks and uncertainties actually occur, our business, prospects, financial condition and results of operations could be materially and adversely affected. The risks summarized above or described in full below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270" w:lineRule="exact"/>
        <w:rPr>
          <w:sz w:val="20"/>
          <w:szCs w:val="20"/>
          <w:color w:val="auto"/>
        </w:rPr>
      </w:pPr>
    </w:p>
    <w:p>
      <w:pPr>
        <w:ind w:firstLine="517"/>
        <w:spacing w:after="0" w:line="292" w:lineRule="auto"/>
        <w:tabs>
          <w:tab w:leader="none" w:pos="644" w:val="left"/>
        </w:tabs>
        <w:numPr>
          <w:ilvl w:val="0"/>
          <w:numId w:val="1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are substantially dependent upon VASCEPA (icosapent ethyl), its commercialization in the United States and its development and commercialization in Europe and other major markets. In the United States, VASCEPA is facing increasing competition from generic versions of the drug. In Europe, VAZKEPA was recently granted approval from the central regulatory authority and we are in the process of obtaining relevant pricing approvals in various countries; however, we may not be successful in obtaining such approvals in a timely manner or at all and even if successfully obtained, we may not be successful in commercializing VAZKEPA in Europe or elsewhere.</w:t>
      </w:r>
    </w:p>
    <w:p>
      <w:pPr>
        <w:spacing w:after="0" w:line="66"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The success of our company depends on our ability to successfully commercialize our only product, VASCEPA (icosapent ethyl) capsules, in major markets globally. In recent years and currently, much of our financial results and revenue has been dependent on our ability to execute our development and commercial strategy for VASCEPA in the United States. One generic version of VASCEPA launched in the United States in November 2020 and another launched in June 2021. We expect that VASCEPA could face more competition from generic companies in the United States in the near term in light of the patent litigation rulings against us, applicable only in this territory. Increasing sales of generic versions of VASCEPA could continue to have a material and adverse impact on our revenues and results of operations in the United States. We are implementing a new Go-to-Market strategy in an effort to accelerate growth of VASCEPA in the United States by shifting reliance on sales force interactions with healthcare professionals to providing managed care and prescription access through an omnichannel platform, and, in connection with this initiative, we reduced our U.S. field force to approximately 300 sales representatives. Although we believe this initiative will provide greater access to VASCEPA and ultimately result in an improved expense structure, such efforts are costly to implement, could impact employee morale and make hiring and retaining talented personnel more challenging, and may not result in all or any of the benefits we anticipate.</w:t>
      </w:r>
    </w:p>
    <w:p>
      <w:pPr>
        <w:spacing w:after="0" w:line="70" w:lineRule="exact"/>
        <w:rPr>
          <w:sz w:val="20"/>
          <w:szCs w:val="20"/>
          <w:color w:val="auto"/>
        </w:rPr>
      </w:pPr>
    </w:p>
    <w:p>
      <w:pPr>
        <w:ind w:right="60" w:firstLine="509"/>
        <w:spacing w:after="0" w:line="269" w:lineRule="auto"/>
        <w:rPr>
          <w:sz w:val="20"/>
          <w:szCs w:val="20"/>
          <w:color w:val="auto"/>
        </w:rPr>
      </w:pPr>
      <w:r>
        <w:rPr>
          <w:rFonts w:ascii="Arial" w:cs="Arial" w:eastAsia="Arial" w:hAnsi="Arial"/>
          <w:sz w:val="18"/>
          <w:szCs w:val="18"/>
          <w:color w:val="auto"/>
        </w:rPr>
        <w:t>We continue our development efforts to support commercialization of VASCEPA in major markets outside the United States. In March 2021 we announced that the European Commission, or the EC, approved the marketing authorization application for icosapent ethyl, under the brand name VAZKEPA (hereafter along with VASCEPA, collectively referred to as VASCEPA), to reduce the risk of cardiovascular events in high-risk, statin-treated adult patients who have elevated triglycerides (≥150 mg/dL) and either established cardiovascular disease or diabetes and at least one additional cardiovascular risk factor. In September 2021, we launched VAZKEPA in Germany, representing our first European launch of VAZKEPA, and are in the process of obtaining pricing and reimbursement approvals for VAZKEPA in relevant jurisdictions in Europe. This process is conducted on a country-by-country basis and is time-consuming and complex. And we may not be successful in obtaining such approvals in a timely manner with acceptable terms, or at all.</w:t>
      </w:r>
    </w:p>
    <w:p>
      <w:pPr>
        <w:spacing w:after="0" w:line="88" w:lineRule="exact"/>
        <w:rPr>
          <w:sz w:val="20"/>
          <w:szCs w:val="20"/>
          <w:color w:val="auto"/>
        </w:rPr>
      </w:pPr>
    </w:p>
    <w:p>
      <w:pPr>
        <w:jc w:val="both"/>
        <w:ind w:right="300" w:firstLine="509"/>
        <w:spacing w:after="0" w:line="329" w:lineRule="auto"/>
        <w:rPr>
          <w:sz w:val="20"/>
          <w:szCs w:val="20"/>
          <w:color w:val="auto"/>
        </w:rPr>
      </w:pPr>
      <w:r>
        <w:rPr>
          <w:rFonts w:ascii="Arial" w:cs="Arial" w:eastAsia="Arial" w:hAnsi="Arial"/>
          <w:sz w:val="16"/>
          <w:szCs w:val="16"/>
          <w:color w:val="auto"/>
        </w:rPr>
        <w:t>Our expansion and development of VASCEPA outside the United States is generally not subject to the adverse patent ruling in the United States. Development outside the United States is primarily based on the second indication approval for VASCEPA in the United States. That second indication, which we believe has significantly more value potential, is for use of the drug in the reduction of cardiovascular risk in select high-risk patients.</w:t>
      </w:r>
    </w:p>
    <w:p>
      <w:pPr>
        <w:spacing w:after="0" w:line="40" w:lineRule="exact"/>
        <w:rPr>
          <w:sz w:val="20"/>
          <w:szCs w:val="20"/>
          <w:color w:val="auto"/>
        </w:rPr>
      </w:pPr>
    </w:p>
    <w:p>
      <w:pPr>
        <w:ind w:right="120" w:firstLine="509"/>
        <w:spacing w:after="0" w:line="266" w:lineRule="auto"/>
        <w:rPr>
          <w:sz w:val="20"/>
          <w:szCs w:val="20"/>
          <w:color w:val="auto"/>
        </w:rPr>
      </w:pPr>
      <w:r>
        <w:rPr>
          <w:rFonts w:ascii="Arial" w:cs="Arial" w:eastAsia="Arial" w:hAnsi="Arial"/>
          <w:sz w:val="18"/>
          <w:szCs w:val="18"/>
          <w:color w:val="auto"/>
        </w:rPr>
        <w:t>We have been developing VASCEPA on our own in Europe for the approved cardiovascular risk reduction indication and are exploring possible strategic collaborations in smaller markets within Europe and in other major markets. We currently have multiple partners for the development and commercialization of VASCEPA in select geographies and intend to consider both self-launch and potential additional partners to commercialize VASCEPA in other parts of the world. For example, we have strategic collaborations for the development and commercialization of VASCEPA in Canada, the Middle East and Greater China. However, we cannot make any guarantees as to the success of these efforts or that our beliefs about the value potential are accurate, and if commercialization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2" w:name="page43"/>
    <w:bookmarkEnd w:id="42"/>
    <w:p>
      <w:pPr>
        <w:ind w:right="200"/>
        <w:spacing w:after="0" w:line="293" w:lineRule="auto"/>
        <w:rPr>
          <w:sz w:val="20"/>
          <w:szCs w:val="20"/>
          <w:color w:val="auto"/>
        </w:rPr>
      </w:pPr>
      <w:r>
        <w:rPr>
          <w:rFonts w:ascii="Arial" w:cs="Arial" w:eastAsia="Arial" w:hAnsi="Arial"/>
          <w:sz w:val="18"/>
          <w:szCs w:val="18"/>
          <w:color w:val="auto"/>
        </w:rPr>
        <w:t>plans for VASCEPA do not meet expectations in major markets such as the United States and Europe, our business and prospects could be materially and adversely affected.</w:t>
      </w:r>
    </w:p>
    <w:p>
      <w:pPr>
        <w:spacing w:after="0" w:line="62"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The development and commercial time cycle for VASCEPA or other products that we may develop from our research and development efforts could result in delays in our ability to achieve commercial success. For example, it took over a decade of preceding product development before we received marketing approval for VAZKEPA in March 2021 from the EC.</w:t>
      </w:r>
    </w:p>
    <w:p>
      <w:pPr>
        <w:spacing w:after="0" w:line="75"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Likewise, if we seek to diversify our development programs or product offerings through licensing or acquisitions, such transactions are also time-consuming, may be dilutive to existing shareholdings, and can be disruptive to operations. These transactions may not be available on favorable terms, or at all. These dynamics can restrict our ability to respond rapidly to adverse business conditions for VASCEPA. If development of, or demand for, VASCEPA does not meet expectations,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204"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b w:val="1"/>
          <w:bCs w:val="1"/>
          <w:i w:val="1"/>
          <w:iCs w:val="1"/>
          <w:color w:val="auto"/>
        </w:rPr>
        <w:t>*In the United States, we face increasing competition from generic drug companies in the near term and our revenues and results of operations could be materially and adversely affected.</w:t>
      </w:r>
    </w:p>
    <w:p>
      <w:pPr>
        <w:spacing w:after="0" w:line="76"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(formerly known as West-Ward), and certain of their affiliates, or, collectively, the Defendants, that declared as invalid several patents of ours protecting the first FDA-approved use of our drug, for use to reduce severely high triglyceride levels, which is known as the MARINE indication. We sought appeals of the Nevada Court judgment up to the United States Supreme Court, but, we were unsuccessful.</w:t>
      </w:r>
    </w:p>
    <w:p>
      <w:pPr>
        <w:spacing w:after="0" w:line="66" w:lineRule="exact"/>
        <w:rPr>
          <w:sz w:val="20"/>
          <w:szCs w:val="20"/>
          <w:color w:val="auto"/>
        </w:rPr>
      </w:pPr>
    </w:p>
    <w:p>
      <w:pPr>
        <w:ind w:right="80" w:firstLine="509"/>
        <w:spacing w:after="0" w:line="290" w:lineRule="auto"/>
        <w:rPr>
          <w:sz w:val="20"/>
          <w:szCs w:val="20"/>
          <w:color w:val="auto"/>
        </w:rPr>
      </w:pPr>
      <w:r>
        <w:rPr>
          <w:rFonts w:ascii="Arial" w:cs="Arial" w:eastAsia="Arial" w:hAnsi="Arial"/>
          <w:sz w:val="17"/>
          <w:szCs w:val="17"/>
          <w:color w:val="auto"/>
        </w:rPr>
        <w:t>In November 2020, Hikma launched its generic version of VASCEPA on a limited scale and with a label that reflects the first VASCEPA FDA-approved indication, for the MARINE indication, and revised labeling based on the results of the REDUCE-IT trial. On November 30, 2020, we filed a patent infringement lawsuit against Hikma affiliate for making, selling, offering to sell and importing generic icosapent ethyl capsules in and into the United States in a manner that we allege has induced the infringement of patents covering the use of VASCEPA to reduce specified cardiovascular risk. On January 25, 2021 we expanded the scope of this patent infringement lawsuit to include a health care insurance provider, Health Net, LLC. This litigation is ongoing. We intend to vigorously pursue this ongoing litigation matter, but cannot predict the outcome or the impact on our business.</w:t>
      </w:r>
    </w:p>
    <w:p>
      <w:pPr>
        <w:spacing w:after="0" w:line="68" w:lineRule="exact"/>
        <w:rPr>
          <w:sz w:val="20"/>
          <w:szCs w:val="20"/>
          <w:color w:val="auto"/>
        </w:rPr>
      </w:pPr>
    </w:p>
    <w:p>
      <w:pPr>
        <w:ind w:right="160" w:firstLine="509"/>
        <w:spacing w:after="0" w:line="329" w:lineRule="auto"/>
        <w:rPr>
          <w:sz w:val="20"/>
          <w:szCs w:val="20"/>
          <w:color w:val="auto"/>
        </w:rPr>
      </w:pPr>
      <w:r>
        <w:rPr>
          <w:rFonts w:ascii="Arial" w:cs="Arial" w:eastAsia="Arial" w:hAnsi="Arial"/>
          <w:sz w:val="16"/>
          <w:szCs w:val="16"/>
          <w:color w:val="auto"/>
        </w:rPr>
        <w:t>In June 2021, Dr. Reddy's launched its generic version of VASCEPA with labeling that is substantially similar to labeling of the Hikma generic product. In addition to ANDAs approved for Hikma and Dr. Reddy’s, on September 11, 2020, Teva Pharmaceuticals USA, Inc’s., or Teva’s, ANDA was approved by the U.S. Food and Drug Administration, or U.S. FDA. On June 30, 2021, Apotex Inc.'s, or Apotex's, ANDA was approved by the U.S. FDA.</w:t>
      </w:r>
    </w:p>
    <w:p>
      <w:pPr>
        <w:spacing w:after="0" w:line="40" w:lineRule="exact"/>
        <w:rPr>
          <w:sz w:val="20"/>
          <w:szCs w:val="20"/>
          <w:color w:val="auto"/>
        </w:rPr>
      </w:pPr>
    </w:p>
    <w:p>
      <w:pPr>
        <w:ind w:right="140" w:firstLine="509"/>
        <w:spacing w:after="0" w:line="272" w:lineRule="auto"/>
        <w:rPr>
          <w:sz w:val="20"/>
          <w:szCs w:val="20"/>
          <w:color w:val="auto"/>
        </w:rPr>
      </w:pPr>
      <w:r>
        <w:rPr>
          <w:rFonts w:ascii="Arial" w:cs="Arial" w:eastAsia="Arial" w:hAnsi="Arial"/>
          <w:sz w:val="18"/>
          <w:szCs w:val="18"/>
          <w:color w:val="auto"/>
        </w:rPr>
        <w:t>The rulings of the Nevada Court and related appeal loses detailed above could permit each of Teva and Apotex to launch a generic version of VASCEPA under certain circumstances pursuant to their respective settlement agreement with us. For example, Teva and Apotex settlement agreements permit such companies to launch their generic version of VASCEPA under royalty-free licenses from us given that our petition for en banc Federal Circuit review was not granted, after issuance of the Federal Circuit mandate on November 12, 2020. Each generic launch is subject to procurement of adequate product supply.</w:t>
      </w:r>
    </w:p>
    <w:p>
      <w:pPr>
        <w:spacing w:after="0" w:line="83" w:lineRule="exact"/>
        <w:rPr>
          <w:sz w:val="20"/>
          <w:szCs w:val="20"/>
          <w:color w:val="auto"/>
        </w:rPr>
      </w:pPr>
    </w:p>
    <w:p>
      <w:pPr>
        <w:ind w:right="120" w:firstLine="494"/>
        <w:spacing w:after="0" w:line="309" w:lineRule="auto"/>
        <w:rPr>
          <w:sz w:val="20"/>
          <w:szCs w:val="20"/>
          <w:color w:val="auto"/>
        </w:rPr>
      </w:pPr>
      <w:r>
        <w:rPr>
          <w:rFonts w:ascii="Arial" w:cs="Arial" w:eastAsia="Arial" w:hAnsi="Arial"/>
          <w:sz w:val="16"/>
          <w:szCs w:val="16"/>
          <w:color w:val="auto"/>
        </w:rPr>
        <w:t>Once a generic version of a drug is available in the market, the generic version is typically used in many U.S. states to fill a prescription for any use of the drug, subject, to state reimbursement laws. Although, in our case, use of generic versions of VASCEPA, whether with primarily a MARINE indication label or REDUCE-IT indication label, could be further subject to the potential for patent infringement under certain case law and subject to certain Teva and Apotex settlement agreement terms, we currently face generic competition from Hikma's and Dr. Reddy’s generic versions of VASCEPA in the United States, and could face increased competition from additional generic entrants in the near term, which could have a material and adverse impact on our revenues and our results of operations. There can be no assurance that we will be successful in preventing use of generic versions of VASCEPA in indications for which they have not been approved by U.S. FDA, even if such use is determined to infringe certain of our patent claims.</w:t>
      </w:r>
    </w:p>
    <w:p>
      <w:pPr>
        <w:spacing w:after="0" w:line="56" w:lineRule="exact"/>
        <w:rPr>
          <w:sz w:val="20"/>
          <w:szCs w:val="20"/>
          <w:color w:val="auto"/>
        </w:rPr>
      </w:pPr>
    </w:p>
    <w:p>
      <w:pPr>
        <w:ind w:firstLine="255"/>
        <w:spacing w:after="0" w:line="281" w:lineRule="auto"/>
        <w:rPr>
          <w:sz w:val="20"/>
          <w:szCs w:val="20"/>
          <w:color w:val="auto"/>
        </w:rPr>
      </w:pPr>
      <w:r>
        <w:rPr>
          <w:rFonts w:ascii="Arial" w:cs="Arial" w:eastAsia="Arial" w:hAnsi="Arial"/>
          <w:sz w:val="17"/>
          <w:szCs w:val="17"/>
          <w:color w:val="auto"/>
        </w:rPr>
        <w:t>We believe that VASCEPA is difficult to manufacture and that building capacity to manufacture VASCEPA is time-consuming and expensive. These factors may limit the amount of VASCEPA supply available to generic companies, as we believe to be experienced by Hikma and Dr. Reddy. We do not have direct visibility into the supply levels of any of the generic companies and we rely on our own experience together with information from third parties, which information may not be reliable. The generic companies could potentially find or develop sources of qualified VASCEPA supply that are not known to us and that are more efficient or less expensive than our sources. Furthermore, generic companies could potentially convince our suppliers to prioritize supply to the generic companies ahead of any applicable contractual commitments to supply us. While we anticipate that our suppliers will honor their commitments to us, if generic competitors are successful in gaining an advantage in the supply chain, manufacturing and supply with respect to VASCEPA will suffer and consequentially VASCEPA prescriptions will likely decrease. In addition, we may need to litigate with such suppliers to protect our rights, which can be costly and distracting to management. Such circumstances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3" w:name="page44"/>
    <w:bookmarkEnd w:id="43"/>
    <w:p>
      <w:pPr>
        <w:spacing w:after="0" w:line="293" w:lineRule="auto"/>
        <w:rPr>
          <w:sz w:val="20"/>
          <w:szCs w:val="20"/>
          <w:color w:val="auto"/>
        </w:rPr>
      </w:pPr>
      <w:r>
        <w:rPr>
          <w:rFonts w:ascii="Arial" w:cs="Arial" w:eastAsia="Arial" w:hAnsi="Arial"/>
          <w:sz w:val="18"/>
          <w:szCs w:val="18"/>
          <w:color w:val="auto"/>
        </w:rPr>
        <w:t>could have a material and adverse impact on our revenues and results of operations directly in the United States and potentially outside of the United States as well if supply costs and availability are affected or promotion and education programs reduced.</w:t>
      </w:r>
    </w:p>
    <w:p>
      <w:pPr>
        <w:spacing w:after="0" w:line="197" w:lineRule="exact"/>
        <w:rPr>
          <w:sz w:val="20"/>
          <w:szCs w:val="20"/>
          <w:color w:val="auto"/>
        </w:rPr>
      </w:pPr>
    </w:p>
    <w:p>
      <w:pPr>
        <w:ind w:right="160" w:firstLine="517"/>
        <w:spacing w:after="0" w:line="293" w:lineRule="auto"/>
        <w:tabs>
          <w:tab w:leader="none" w:pos="644"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have limited experience as a company in commercializing VASCEPA outside of the United States and may be unsuccessful in developing sales internationally.</w:t>
      </w:r>
    </w:p>
    <w:p>
      <w:pPr>
        <w:spacing w:after="0" w:line="62"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While we have been working internally and with partners to support efforts toward approvals and commercialization outside the United States in light of the REDUCE-IT results and the recent EC approval of VAZKEPA, we may be unsuccessful in expanding our global footprint. For example, we plan to launch VAZKEPA on our own in the most commercially significant markets in Europe and recently launched VAZKEPA in Germany, representing our first European launch of VAZKEPA. The commercial launch of a new pharmaceutical product is a complex and resource heavy undertaking for a company to manage, and we have no prior experience as a company operating a commercial-stage pharmaceutical business in Europe. Given the amount of time and resources, including capital, needed to support regulatory and commercial efforts aimed at international expansion, if we are unsuccessful or delayed in generating revenues overseas, our results of operations could be materially and adversely impacted.</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could inhibit our efforts to successfully commercialize VASCEPA include:</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impact the expiration of regulatory exclusivities and entry into the market of additional generic versions of VASCEPA;</w:t>
      </w:r>
    </w:p>
    <w:p>
      <w:pPr>
        <w:spacing w:after="0" w:line="131" w:lineRule="exact"/>
        <w:rPr>
          <w:sz w:val="20"/>
          <w:szCs w:val="20"/>
          <w:color w:val="auto"/>
        </w:rPr>
      </w:pPr>
    </w:p>
    <w:p>
      <w:pPr>
        <w:ind w:left="840" w:right="200"/>
        <w:spacing w:after="0" w:line="293" w:lineRule="auto"/>
        <w:rPr>
          <w:sz w:val="20"/>
          <w:szCs w:val="20"/>
          <w:color w:val="auto"/>
        </w:rPr>
      </w:pPr>
      <w:r>
        <w:rPr>
          <w:rFonts w:ascii="Arial" w:cs="Arial" w:eastAsia="Arial" w:hAnsi="Arial"/>
          <w:sz w:val="18"/>
          <w:szCs w:val="18"/>
          <w:color w:val="auto"/>
        </w:rPr>
        <w:t>our inability to attract and retain adequate numbers of effective sales and marketing personnel, particularly in light of our recently announced reduction in force;</w:t>
      </w:r>
    </w:p>
    <w:p>
      <w:pPr>
        <w:spacing w:after="0" w:line="62" w:lineRule="exact"/>
        <w:rPr>
          <w:sz w:val="20"/>
          <w:szCs w:val="20"/>
          <w:color w:val="auto"/>
        </w:rPr>
      </w:pPr>
    </w:p>
    <w:p>
      <w:pPr>
        <w:ind w:left="840" w:right="40"/>
        <w:spacing w:after="0" w:line="440" w:lineRule="auto"/>
        <w:rPr>
          <w:sz w:val="20"/>
          <w:szCs w:val="20"/>
          <w:color w:val="auto"/>
        </w:rPr>
      </w:pPr>
      <w:r>
        <w:rPr>
          <w:rFonts w:ascii="Arial" w:cs="Arial" w:eastAsia="Arial" w:hAnsi="Arial"/>
          <w:sz w:val="16"/>
          <w:szCs w:val="16"/>
          <w:color w:val="auto"/>
        </w:rPr>
        <w:t>our inability to adequately train our sales and marketing personnel and our inability to adequately monitor compliance with these requirements; the inability of our new sales personnel, to obtain access to or persuade adequate numbers of physicians to prescribe VASCEPA;</w:t>
      </w:r>
    </w:p>
    <w:p>
      <w:pPr>
        <w:ind w:left="840" w:right="60"/>
        <w:spacing w:after="0" w:line="293" w:lineRule="auto"/>
        <w:rPr>
          <w:sz w:val="20"/>
          <w:szCs w:val="20"/>
          <w:color w:val="auto"/>
        </w:rPr>
      </w:pPr>
      <w:r>
        <w:rPr>
          <w:rFonts w:ascii="Arial" w:cs="Arial" w:eastAsia="Arial" w:hAnsi="Arial"/>
          <w:sz w:val="18"/>
          <w:szCs w:val="18"/>
          <w:color w:val="auto"/>
        </w:rPr>
        <w:t>if our new Go-to-Market strategy and omnichannel approach does not provide improved managed care and prescription access, or if healthcare providers are reluctant or delayed in shifting to the omnichannel platform;</w:t>
      </w:r>
    </w:p>
    <w:p>
      <w:pPr>
        <w:spacing w:after="0" w:line="62" w:lineRule="exact"/>
        <w:rPr>
          <w:sz w:val="20"/>
          <w:szCs w:val="20"/>
          <w:color w:val="auto"/>
        </w:rPr>
      </w:pPr>
    </w:p>
    <w:p>
      <w:pPr>
        <w:ind w:left="840" w:right="360"/>
        <w:spacing w:after="0" w:line="359" w:lineRule="auto"/>
        <w:rPr>
          <w:sz w:val="20"/>
          <w:szCs w:val="20"/>
          <w:color w:val="auto"/>
        </w:rPr>
      </w:pPr>
      <w:r>
        <w:rPr>
          <w:rFonts w:ascii="Arial" w:cs="Arial" w:eastAsia="Arial" w:hAnsi="Arial"/>
          <w:sz w:val="16"/>
          <w:szCs w:val="16"/>
          <w:color w:val="auto"/>
        </w:rPr>
        <w:t>regulators may impose restrictions on VASCEPA’s conditions for use, distribution or marketing, and may impose ongoing requirements for post-market surveillance, post-approval studies or clinical trials, which may be costly or result in label or other use restrictions;</w:t>
      </w:r>
    </w:p>
    <w:p>
      <w:pPr>
        <w:spacing w:after="0" w:line="17" w:lineRule="exact"/>
        <w:rPr>
          <w:sz w:val="20"/>
          <w:szCs w:val="20"/>
          <w:color w:val="auto"/>
        </w:rPr>
      </w:pPr>
    </w:p>
    <w:p>
      <w:pPr>
        <w:ind w:left="840" w:right="160"/>
        <w:spacing w:after="0" w:line="359" w:lineRule="auto"/>
        <w:rPr>
          <w:sz w:val="20"/>
          <w:szCs w:val="20"/>
          <w:color w:val="auto"/>
        </w:rPr>
      </w:pPr>
      <w:r>
        <w:rPr>
          <w:rFonts w:ascii="Arial" w:cs="Arial" w:eastAsia="Arial" w:hAnsi="Arial"/>
          <w:sz w:val="16"/>
          <w:szCs w:val="16"/>
          <w:color w:val="auto"/>
        </w:rPr>
        <w:t>complexities and challenges in connection with pricing and reimbursement, including our ability to secure adequate reimbursement coverage, which in Europe is almost exclusively covered through public national funding, and not individual private insurance companies;</w:t>
      </w:r>
    </w:p>
    <w:p>
      <w:pPr>
        <w:spacing w:after="0" w:line="17" w:lineRule="exact"/>
        <w:rPr>
          <w:sz w:val="20"/>
          <w:szCs w:val="20"/>
          <w:color w:val="auto"/>
        </w:rPr>
      </w:pPr>
    </w:p>
    <w:p>
      <w:pPr>
        <w:ind w:left="840" w:right="80"/>
        <w:spacing w:after="0" w:line="293" w:lineRule="auto"/>
        <w:rPr>
          <w:sz w:val="20"/>
          <w:szCs w:val="20"/>
          <w:color w:val="auto"/>
        </w:rPr>
      </w:pPr>
      <w:r>
        <w:rPr>
          <w:rFonts w:ascii="Arial" w:cs="Arial" w:eastAsia="Arial" w:hAnsi="Arial"/>
          <w:sz w:val="18"/>
          <w:szCs w:val="18"/>
          <w:color w:val="auto"/>
        </w:rPr>
        <w:t>if we have overestimated the addressable market or are unable to convince healthcare providers to prescribe, or if patients are unwilling to use, VASCEPA;</w:t>
      </w:r>
    </w:p>
    <w:p>
      <w:pPr>
        <w:spacing w:after="0" w:line="62" w:lineRule="exact"/>
        <w:rPr>
          <w:sz w:val="20"/>
          <w:szCs w:val="20"/>
          <w:color w:val="auto"/>
        </w:rPr>
      </w:pPr>
    </w:p>
    <w:p>
      <w:pPr>
        <w:ind w:left="840" w:right="320"/>
        <w:spacing w:after="0" w:line="293" w:lineRule="auto"/>
        <w:rPr>
          <w:sz w:val="20"/>
          <w:szCs w:val="20"/>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62" w:lineRule="exact"/>
        <w:rPr>
          <w:sz w:val="20"/>
          <w:szCs w:val="20"/>
          <w:color w:val="auto"/>
        </w:rPr>
      </w:pPr>
    </w:p>
    <w:p>
      <w:pPr>
        <w:ind w:left="840" w:right="740"/>
        <w:spacing w:after="0" w:line="440" w:lineRule="auto"/>
        <w:rPr>
          <w:sz w:val="20"/>
          <w:szCs w:val="20"/>
          <w:color w:val="auto"/>
        </w:rPr>
      </w:pPr>
      <w:r>
        <w:rPr>
          <w:rFonts w:ascii="Arial" w:cs="Arial" w:eastAsia="Arial" w:hAnsi="Arial"/>
          <w:sz w:val="16"/>
          <w:szCs w:val="16"/>
          <w:color w:val="auto"/>
        </w:rPr>
        <w:t>an inability by us or our partners to obtain regulatory and marketing approval or establish marketing channels in foreign jurisdictions; unforeseen costs and expenses associated with operating a new independent sales and marketing organization; and</w:t>
      </w:r>
    </w:p>
    <w:p>
      <w:pPr>
        <w:ind w:left="840" w:right="440"/>
        <w:spacing w:after="0" w:line="279" w:lineRule="auto"/>
        <w:rPr>
          <w:sz w:val="20"/>
          <w:szCs w:val="20"/>
          <w:color w:val="auto"/>
        </w:rPr>
      </w:pPr>
      <w:r>
        <w:rPr>
          <w:rFonts w:ascii="Arial" w:cs="Arial" w:eastAsia="Arial" w:hAnsi="Arial"/>
          <w:sz w:val="18"/>
          <w:szCs w:val="18"/>
          <w:color w:val="auto"/>
        </w:rPr>
        <w:t>the continued impact from COVID-19 on healthcare providers, patients and personnel which may vary considerably from jurisdiction to jurisdiction, as well as on local restrictions and practices, including the complexities of having to understand and navigate multiple sets of protocols and the accessibility and rates of vaccinations in various geographies.</w:t>
      </w:r>
    </w:p>
    <w:p>
      <w:pPr>
        <w:spacing w:after="0" w:line="75" w:lineRule="exact"/>
        <w:rPr>
          <w:sz w:val="20"/>
          <w:szCs w:val="20"/>
          <w:color w:val="auto"/>
        </w:rPr>
      </w:pPr>
    </w:p>
    <w:p>
      <w:pPr>
        <w:ind w:right="280" w:firstLine="509"/>
        <w:spacing w:after="0" w:line="293" w:lineRule="auto"/>
        <w:rPr>
          <w:sz w:val="20"/>
          <w:szCs w:val="20"/>
          <w:color w:val="auto"/>
        </w:rPr>
      </w:pPr>
      <w:r>
        <w:rPr>
          <w:rFonts w:ascii="Arial" w:cs="Arial" w:eastAsia="Arial" w:hAnsi="Arial"/>
          <w:sz w:val="18"/>
          <w:szCs w:val="18"/>
          <w:color w:val="auto"/>
        </w:rPr>
        <w:t>If we experience one or more of the setbacks described above, we may not be able to pursue international regulatory and commercial efforts in a cost effective manner, or at all, which could cause our stock price to decline.</w:t>
      </w:r>
    </w:p>
    <w:p>
      <w:pPr>
        <w:spacing w:after="0" w:line="197" w:lineRule="exact"/>
        <w:rPr>
          <w:sz w:val="20"/>
          <w:szCs w:val="20"/>
          <w:color w:val="auto"/>
        </w:rPr>
      </w:pPr>
    </w:p>
    <w:p>
      <w:pPr>
        <w:ind w:right="700" w:firstLine="517"/>
        <w:spacing w:after="0" w:line="293" w:lineRule="auto"/>
        <w:tabs>
          <w:tab w:leader="none" w:pos="644"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ability to generate meaningful revenues outside of the United States may be limited, including due to the strict price controls and reimbursement limitations imposed by payors outside of the United States.</w:t>
      </w:r>
    </w:p>
    <w:p>
      <w:pPr>
        <w:spacing w:after="0" w:line="62" w:lineRule="exact"/>
        <w:rPr>
          <w:sz w:val="20"/>
          <w:szCs w:val="20"/>
          <w:color w:val="auto"/>
        </w:rPr>
      </w:pPr>
    </w:p>
    <w:p>
      <w:pPr>
        <w:ind w:right="60" w:firstLine="509"/>
        <w:spacing w:after="0" w:line="266" w:lineRule="auto"/>
        <w:rPr>
          <w:sz w:val="20"/>
          <w:szCs w:val="20"/>
          <w:color w:val="auto"/>
        </w:rPr>
      </w:pPr>
      <w:r>
        <w:rPr>
          <w:rFonts w:ascii="Arial" w:cs="Arial" w:eastAsia="Arial" w:hAnsi="Arial"/>
          <w:sz w:val="18"/>
          <w:szCs w:val="18"/>
          <w:color w:val="auto"/>
        </w:rPr>
        <w:t>Our ability to generate meaningful revenues of VASCEPA outside of the United States is dependent on the availability and extent of coverage and reimbursement from third-party payers. In many markets around the world, these payers, including government health systems, private health insurers and other organizations, remain focused on reducing the cost of healthcare, and their efforts have intensified as a result of rising healthcare costs and economic challenges. Drugs remain heavily scrutinized for cost containment. As a result, payers are becoming more restrictive regarding the use of biopharmaceutical products and scrutinizing the prices of these products while requiring a higher level of clinical evidence to support the benefits such products bring to patients and the broader healthcare system. These pressures are intensified where our products are subject to competition, including from biosimilars.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44" w:name="page45"/>
    <w:bookmarkEnd w:id="44"/>
    <w:p>
      <w:pPr>
        <w:ind w:right="60" w:firstLine="509"/>
        <w:spacing w:after="0" w:line="287" w:lineRule="auto"/>
        <w:rPr>
          <w:sz w:val="20"/>
          <w:szCs w:val="20"/>
          <w:color w:val="auto"/>
        </w:rPr>
      </w:pPr>
      <w:r>
        <w:rPr>
          <w:rFonts w:ascii="Arial" w:cs="Arial" w:eastAsia="Arial" w:hAnsi="Arial"/>
          <w:sz w:val="17"/>
          <w:szCs w:val="17"/>
          <w:color w:val="auto"/>
        </w:rPr>
        <w:t>In many countries outside the United States, government-sponsored healthcare systems are the primary payers for drugs. With increasing budgetary constraints and differing views on or challenges in valuing medicines, governments and payers in many countries are applying a variety of measures to exert downward price pressure. These measures can include mandatory price controls, price referencing, therapeutic-reference pricing, increases in mandates, incentives for generic substitution and biosimilar usage and government-mandated price cuts. In this regard, many countries have health technology assessment organizations that use formal economic metrics such as cost-effectiveness to determine prices, coverage and reimbursement of new therapies; and these organizations are expanding in established and emerging markets. Many countries also limit coverage to populations narrower than the regulatory agency approved product label or impose volume caps to limit utilization. We expect that countries will continue to take aggressive actions to seek to reduce expenditures on drugs. Similarly, fiscal constraints may also affect the extent to which countries are willing to approve new and innovative therapies and/or allow access to new technologies.</w:t>
      </w:r>
    </w:p>
    <w:p>
      <w:pPr>
        <w:spacing w:after="0" w:line="70" w:lineRule="exact"/>
        <w:rPr>
          <w:sz w:val="20"/>
          <w:szCs w:val="20"/>
          <w:color w:val="auto"/>
        </w:rPr>
      </w:pPr>
    </w:p>
    <w:p>
      <w:pPr>
        <w:ind w:right="80" w:firstLine="509"/>
        <w:spacing w:after="0" w:line="270" w:lineRule="auto"/>
        <w:rPr>
          <w:sz w:val="20"/>
          <w:szCs w:val="20"/>
          <w:color w:val="auto"/>
        </w:rPr>
      </w:pPr>
      <w:r>
        <w:rPr>
          <w:rFonts w:ascii="Arial" w:cs="Arial" w:eastAsia="Arial" w:hAnsi="Arial"/>
          <w:sz w:val="18"/>
          <w:szCs w:val="18"/>
          <w:color w:val="auto"/>
        </w:rPr>
        <w:t>The dynamics and developments discussed above serve to create pressure on the pricing and potential usage of our products and the industry. Given the diverse interests in play among payers, biopharmaceutical manufacturers, policy makers, healthcare providers and independent organizations, if and whether the parties involved can achieve alignment on the matters discussed above remains unclear and the outcome of any such alignment is difficult to predict. We are committed to working with the entire healthcare community to ensure continued innovation and to facilitate patient access to needed medicines; however, if reimbursement of VASCEPA is unavailable or limited in scope or amount, or if pricing is set at unsatisfactory levels, our ability to successfully commercialize VASCEPA outside of the United States may be harmed, which could have a material and negative impact on our overall business.</w:t>
      </w:r>
    </w:p>
    <w:p>
      <w:pPr>
        <w:spacing w:after="0" w:line="206" w:lineRule="exact"/>
        <w:rPr>
          <w:sz w:val="20"/>
          <w:szCs w:val="20"/>
          <w:color w:val="auto"/>
        </w:rPr>
      </w:pPr>
    </w:p>
    <w:p>
      <w:pPr>
        <w:ind w:left="660" w:hanging="143"/>
        <w:spacing w:after="0"/>
        <w:tabs>
          <w:tab w:leader="none" w:pos="660" w:val="left"/>
        </w:tabs>
        <w:numPr>
          <w:ilvl w:val="0"/>
          <w:numId w:val="1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Government and commercial payer actions outside the United States have affected and will continue to affect access to and sales of our</w:t>
      </w:r>
    </w:p>
    <w:p>
      <w:pPr>
        <w:spacing w:after="0" w:line="34" w:lineRule="exact"/>
        <w:rPr>
          <w:rFonts w:ascii="Arial" w:cs="Arial" w:eastAsia="Arial" w:hAnsi="Arial"/>
          <w:sz w:val="16"/>
          <w:szCs w:val="16"/>
          <w:b w:val="1"/>
          <w:bCs w:val="1"/>
          <w:i w:val="1"/>
          <w:iCs w:val="1"/>
          <w:color w:val="auto"/>
        </w:rPr>
      </w:pPr>
    </w:p>
    <w:p>
      <w:pPr>
        <w:spacing w:after="0"/>
        <w:rPr>
          <w:rFonts w:ascii="Arial" w:cs="Arial" w:eastAsia="Arial" w:hAnsi="Arial"/>
          <w:sz w:val="16"/>
          <w:szCs w:val="16"/>
          <w:b w:val="1"/>
          <w:bCs w:val="1"/>
          <w:i w:val="1"/>
          <w:iCs w:val="1"/>
          <w:color w:val="auto"/>
        </w:rPr>
      </w:pPr>
      <w:r>
        <w:rPr>
          <w:rFonts w:ascii="Arial" w:cs="Arial" w:eastAsia="Arial" w:hAnsi="Arial"/>
          <w:sz w:val="18"/>
          <w:szCs w:val="18"/>
          <w:b w:val="1"/>
          <w:bCs w:val="1"/>
          <w:i w:val="1"/>
          <w:iCs w:val="1"/>
          <w:color w:val="auto"/>
        </w:rPr>
        <w:t>products</w:t>
      </w:r>
    </w:p>
    <w:p>
      <w:pPr>
        <w:spacing w:after="0" w:line="101"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Outside the United States, we expect countries will continue to take actions to reduce their drug expenditures. International reference pricing, or IRP, has been widely used by many countries outside the United States to control costs based on an external benchmark of a product’s price in other countries. IRP policies can change quickly and frequently and may not reflect differences in the burden of disease, indications, market structures, or affordability differences across countries or regions. In addition, countries may refuse to reimburse or may restrict the reimbursed population for a product when their national health technology assessments do not consider a medicine to demonstrate sufficient clinical benefit beyond existing therapies or to meet certain cost effectiveness thresholds. Some countries also allow additional rebates or discounts to be negotiated. The outcome of such negotiations can be uncertain and could become publicly disclosed in the future. Some countries decide on reimbursement between potentially competing products through national or regional tenders that often result in one product receiving most or all of the sales in that country or region. Thus, there can be no certainty that we will negotiate satisfactory reimbursement or pricing rates in markets outside the United States in a timely manner, or at all, or even if we are successful in obtaining satisfactory coverage and reimbursement, we may be unsuccessful in sustaining such coverage and reimbursement, or could face challenges as to the timeliness or certainty of payment by payers to physicians and other providers, which would have a material and adverse impact on our commercialization efforts outside of the United States. Furthermore, despite having skilled and experienced individuals deployed in such efforts, we as an organization have limited experience in navigating the pricing and reimbursement regimes, which are varied and complex, outside of the United States, which might hinder our effectiveness in establishing satisfactory pricing, coverage and reimbursement levels in a timely manner or at all.</w:t>
      </w:r>
    </w:p>
    <w:p>
      <w:pPr>
        <w:spacing w:after="0" w:line="180" w:lineRule="exact"/>
        <w:rPr>
          <w:sz w:val="20"/>
          <w:szCs w:val="20"/>
          <w:color w:val="auto"/>
        </w:rPr>
      </w:pPr>
    </w:p>
    <w:p>
      <w:pPr>
        <w:ind w:right="100" w:firstLine="517"/>
        <w:spacing w:after="0" w:line="261" w:lineRule="auto"/>
        <w:tabs>
          <w:tab w:leader="none" w:pos="644"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Factors outside of our control make it more difficult for VASCEPA to achieve a level of market acceptance by physicians, patients, healthcare payors and others in the medical community necessary to meet expectations for commercial success.</w:t>
      </w:r>
    </w:p>
    <w:p>
      <w:pPr>
        <w:spacing w:after="0" w:line="76" w:lineRule="exact"/>
        <w:rPr>
          <w:sz w:val="20"/>
          <w:szCs w:val="20"/>
          <w:color w:val="auto"/>
        </w:rPr>
      </w:pPr>
    </w:p>
    <w:p>
      <w:pPr>
        <w:ind w:right="40" w:firstLine="509"/>
        <w:spacing w:after="0" w:line="292" w:lineRule="auto"/>
        <w:rPr>
          <w:sz w:val="20"/>
          <w:szCs w:val="20"/>
          <w:color w:val="auto"/>
        </w:rPr>
      </w:pPr>
      <w:r>
        <w:rPr>
          <w:rFonts w:ascii="Arial" w:cs="Arial" w:eastAsia="Arial" w:hAnsi="Arial"/>
          <w:sz w:val="17"/>
          <w:szCs w:val="17"/>
          <w:color w:val="auto"/>
        </w:rPr>
        <w:t>In January 2013, we launched VASCEPA based on the U.S. FDA approval of our MARINE indication, for use as an adjunct to diet to reduce triglyceride levels in adult patients with severe (TG 500 mg/dL) hypertriglyceridemia. Guidelines for the management of very high triglyceride levels suggest that the primary goal of reducing triglyceride levels in this patient population is reduction in the risk of acute pancreatitis. A secondary goal for this patient population is to reduce cardiovascular risk. The effect of VASCEPA on the risk for pancreatitis in patients with severe hypertriglyceridemia has not been determined and our U.S. FDA-approved labeling and promotional efforts state this fact.</w:t>
      </w:r>
    </w:p>
    <w:p>
      <w:pPr>
        <w:spacing w:after="0" w:line="58"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In September 2018, we announced topline results from the REDUCE-IT</w:t>
      </w:r>
      <w:r>
        <w:rPr>
          <w:rFonts w:ascii="Arial" w:cs="Arial" w:eastAsia="Arial" w:hAnsi="Arial"/>
          <w:sz w:val="23"/>
          <w:szCs w:val="23"/>
          <w:color w:val="auto"/>
          <w:vertAlign w:val="superscript"/>
        </w:rPr>
        <w:t>®</w:t>
      </w:r>
      <w:r>
        <w:rPr>
          <w:rFonts w:ascii="Arial" w:cs="Arial" w:eastAsia="Arial" w:hAnsi="Arial"/>
          <w:sz w:val="17"/>
          <w:szCs w:val="17"/>
          <w:color w:val="auto"/>
        </w:rPr>
        <w:t>, or Reduction of Cardiovascular Events with EPA—Intervention Trial cardiovascular outcomes study of VASCEPA. In November 2018, we announced the primary results of our REDUCE-IT cardiovascular outcomes study confirming 25% relative risk reduction for the topline primary endpoint result with multiple robust demonstrations of efficacy, including 20% reduction in cardiovascular death. REDUCE-IT was a multinational, prospective, randomized, double-blind, placebo-controlled study, enrollment for which started in November 2011. REDUCE-IT investigated the effects of VASCEPA on CV risk in statin-treated adults with well-controlled LDL-C 41-100 mg/dL (median baseline LDL-C: 75 mg/dL) and other CV risk factors, including persistent elevated TG 150-499 mg/dL (median baseline TG: 216 mg/dL). REDUCE-IT topline results showed the trial met its primary endpoint demonstrating an approximately 25% relative risk reduction, to a high degree of statistical significance (p&lt;0.001), in MACE in the intent-to-treat patient population with use of VASCEPA 4 grams/day as compared to placebo. MACE events were defined as a composite of cardiovascular death, nonfatal myocardial infarction (MI), nonfatal stroke, coronary revascularization, or unstable angina requiring hospitalization. This result was supported by robust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5" w:name="page46"/>
    <w:bookmarkEnd w:id="45"/>
    <w:p>
      <w:pPr>
        <w:ind w:right="200"/>
        <w:spacing w:after="0" w:line="293" w:lineRule="auto"/>
        <w:rPr>
          <w:sz w:val="20"/>
          <w:szCs w:val="20"/>
          <w:color w:val="auto"/>
        </w:rPr>
      </w:pPr>
      <w:r>
        <w:rPr>
          <w:rFonts w:ascii="Arial" w:cs="Arial" w:eastAsia="Arial" w:hAnsi="Arial"/>
          <w:sz w:val="18"/>
          <w:szCs w:val="18"/>
          <w:color w:val="auto"/>
        </w:rPr>
        <w:t>demonstrations of efficacy across multiple secondary endpoints. VASCEPA was well tolerated in REDUCE-IT with a safety profile generally consistent with clinical experience associated with omega-3 fatty acids and current U.S. FDA-approved labeling.</w:t>
      </w:r>
    </w:p>
    <w:p>
      <w:pPr>
        <w:spacing w:after="0" w:line="62"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In December 2019, the U.S. FDA approved a new indication and label expansion for VASCEPA as an adjunct to statin therapy to reduce the risk of MACE events in adult patients with elevated TG levels (≥150 mg/dL) and established cardiovascular disease or diabetes mellitus and two or more additional risk factors for cardiovascular disease.</w:t>
      </w:r>
    </w:p>
    <w:p>
      <w:pPr>
        <w:spacing w:after="0" w:line="75" w:lineRule="exact"/>
        <w:rPr>
          <w:sz w:val="20"/>
          <w:szCs w:val="20"/>
          <w:color w:val="auto"/>
        </w:rPr>
      </w:pPr>
    </w:p>
    <w:p>
      <w:pPr>
        <w:ind w:firstLine="509"/>
        <w:spacing w:after="0" w:line="319" w:lineRule="auto"/>
        <w:rPr>
          <w:sz w:val="20"/>
          <w:szCs w:val="20"/>
          <w:color w:val="auto"/>
        </w:rPr>
      </w:pPr>
      <w:r>
        <w:rPr>
          <w:rFonts w:ascii="Arial" w:cs="Arial" w:eastAsia="Arial" w:hAnsi="Arial"/>
          <w:sz w:val="16"/>
          <w:szCs w:val="16"/>
          <w:color w:val="auto"/>
        </w:rPr>
        <w:t>Despite U.S. FDA approval for this new indication and expanded label for VASCEPA, we may not meet expectations for market acceptance by physicians, patients, healthcare payors and others in the medical community for this approved use, especially in light of our unsuccessful appeals efforts. If VASCEPA does not achieve an adequate level of acceptance, we may not generate product revenues sufficient to become profitable on an ongoing basis. The degree of market acceptance of VASCEPA for its approved indications and uses or otherwise will depend on a number of factors, including:</w:t>
      </w:r>
    </w:p>
    <w:p>
      <w:pPr>
        <w:spacing w:after="0" w:line="4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impact of and outcome of pending patent litigation;</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commercialization and pricing of any current or potential generic versions of VASCEPA;</w:t>
      </w:r>
    </w:p>
    <w:p>
      <w:pPr>
        <w:spacing w:after="0" w:line="131" w:lineRule="exact"/>
        <w:rPr>
          <w:sz w:val="20"/>
          <w:szCs w:val="20"/>
          <w:color w:val="auto"/>
        </w:rPr>
      </w:pPr>
    </w:p>
    <w:p>
      <w:pPr>
        <w:ind w:left="840" w:right="540"/>
        <w:spacing w:after="0" w:line="293" w:lineRule="auto"/>
        <w:rPr>
          <w:sz w:val="20"/>
          <w:szCs w:val="20"/>
          <w:color w:val="auto"/>
        </w:rPr>
      </w:pPr>
      <w:r>
        <w:rPr>
          <w:rFonts w:ascii="Arial" w:cs="Arial" w:eastAsia="Arial" w:hAnsi="Arial"/>
          <w:sz w:val="18"/>
          <w:szCs w:val="18"/>
          <w:color w:val="auto"/>
        </w:rPr>
        <w:t>the perceived efficacy and safety of VASCEPA by prescribing healthcare professionals and patients, as compared to no treatment and as compared to alternative treatments in various at-risk patient populations;</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peer review of different elements of REDUCE-IT results over time;</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continued review and analysis of the results of REDUCE-IT by regulatory authorities internationally;</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ability to offer VASCEPA for sale at competitive prices;</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convenience and ease of administration compared to alternative treatments;</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1" w:lineRule="exact"/>
        <w:rPr>
          <w:sz w:val="20"/>
          <w:szCs w:val="20"/>
          <w:color w:val="auto"/>
        </w:rPr>
      </w:pPr>
    </w:p>
    <w:p>
      <w:pPr>
        <w:ind w:left="840" w:right="80"/>
        <w:spacing w:after="0" w:line="293" w:lineRule="auto"/>
        <w:rPr>
          <w:sz w:val="20"/>
          <w:szCs w:val="20"/>
          <w:color w:val="auto"/>
        </w:rPr>
      </w:pPr>
      <w:r>
        <w:rPr>
          <w:rFonts w:ascii="Arial" w:cs="Arial" w:eastAsia="Arial" w:hAnsi="Arial"/>
          <w:sz w:val="18"/>
          <w:szCs w:val="18"/>
          <w:color w:val="auto"/>
        </w:rPr>
        <w:t>the scope, effectiveness and strength of product education, marketing and distribution support, including our sales and marketing team and the success of our omnichannel platform;</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publicity concerning VASCEPA or competing products;</w:t>
      </w:r>
    </w:p>
    <w:p>
      <w:pPr>
        <w:spacing w:after="0" w:line="131" w:lineRule="exact"/>
        <w:rPr>
          <w:sz w:val="20"/>
          <w:szCs w:val="20"/>
          <w:color w:val="auto"/>
        </w:rPr>
      </w:pPr>
    </w:p>
    <w:p>
      <w:pPr>
        <w:ind w:left="840" w:right="180"/>
        <w:spacing w:after="0" w:line="293" w:lineRule="auto"/>
        <w:rPr>
          <w:sz w:val="20"/>
          <w:szCs w:val="20"/>
          <w:color w:val="auto"/>
        </w:rPr>
      </w:pPr>
      <w:r>
        <w:rPr>
          <w:rFonts w:ascii="Arial" w:cs="Arial" w:eastAsia="Arial" w:hAnsi="Arial"/>
          <w:sz w:val="18"/>
          <w:szCs w:val="18"/>
          <w:color w:val="auto"/>
        </w:rPr>
        <w:t>our ability to continually promote VASCEPA in the United States consistent with and outside of U.S. FDA-approved labeling and the related perception thereof;</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sufficient third-party coverage or reimbursement for VASCEPA and its prescribed uses, on-label and off-label;</w:t>
      </w:r>
    </w:p>
    <w:p>
      <w:pPr>
        <w:spacing w:after="0" w:line="131" w:lineRule="exact"/>
        <w:rPr>
          <w:sz w:val="20"/>
          <w:szCs w:val="20"/>
          <w:color w:val="auto"/>
        </w:rPr>
      </w:pPr>
    </w:p>
    <w:p>
      <w:pPr>
        <w:ind w:left="840" w:right="220"/>
        <w:spacing w:after="0" w:line="324" w:lineRule="auto"/>
        <w:rPr>
          <w:sz w:val="20"/>
          <w:szCs w:val="20"/>
          <w:color w:val="auto"/>
        </w:rPr>
      </w:pPr>
      <w:r>
        <w:rPr>
          <w:rFonts w:ascii="Arial" w:cs="Arial" w:eastAsia="Arial" w:hAnsi="Arial"/>
          <w:sz w:val="17"/>
          <w:szCs w:val="17"/>
          <w:color w:val="auto"/>
        </w:rPr>
        <w:t>natural disasters, including pandemics such as COVID-19 and political unrest that could inhibit our ability to promote VASCEPA regionally and can negatively affect product demand by creating obstacles for patients to seek treatment and fill prescriptions;</w:t>
      </w:r>
    </w:p>
    <w:p>
      <w:pPr>
        <w:spacing w:after="0" w:line="39" w:lineRule="exact"/>
        <w:rPr>
          <w:sz w:val="20"/>
          <w:szCs w:val="20"/>
          <w:color w:val="auto"/>
        </w:rPr>
      </w:pPr>
    </w:p>
    <w:p>
      <w:pPr>
        <w:ind w:left="840" w:right="560"/>
        <w:spacing w:after="0" w:line="293" w:lineRule="auto"/>
        <w:rPr>
          <w:sz w:val="20"/>
          <w:szCs w:val="20"/>
          <w:color w:val="auto"/>
        </w:rPr>
      </w:pPr>
      <w:r>
        <w:rPr>
          <w:rFonts w:ascii="Arial" w:cs="Arial" w:eastAsia="Arial" w:hAnsi="Arial"/>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62" w:lineRule="exact"/>
        <w:rPr>
          <w:sz w:val="20"/>
          <w:szCs w:val="20"/>
          <w:color w:val="auto"/>
        </w:rPr>
      </w:pPr>
    </w:p>
    <w:p>
      <w:pPr>
        <w:ind w:left="840" w:right="400"/>
        <w:spacing w:after="0" w:line="266" w:lineRule="auto"/>
        <w:rPr>
          <w:sz w:val="20"/>
          <w:szCs w:val="20"/>
          <w:color w:val="auto"/>
        </w:rPr>
      </w:pPr>
      <w:r>
        <w:rPr>
          <w:rFonts w:ascii="Arial" w:cs="Arial" w:eastAsia="Arial" w:hAnsi="Arial"/>
          <w:sz w:val="18"/>
          <w:szCs w:val="18"/>
          <w:color w:val="auto"/>
        </w:rPr>
        <w:t>the actual and perceived efficacy of the product and the prevalence and severity of any side effects and warnings in VASCEPA’s approved labeling internationally.</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76" w:right="419" w:bottom="1440" w:gutter="0" w:footer="0" w:header="0"/>
        </w:sectPr>
      </w:pPr>
    </w:p>
    <w:bookmarkStart w:id="46" w:name="page47"/>
    <w:bookmarkEnd w:id="46"/>
    <w:p>
      <w:pPr>
        <w:ind w:firstLine="509"/>
        <w:spacing w:after="0" w:line="304" w:lineRule="auto"/>
        <w:rPr>
          <w:sz w:val="20"/>
          <w:szCs w:val="20"/>
          <w:color w:val="auto"/>
        </w:rPr>
      </w:pPr>
      <w:r>
        <w:rPr>
          <w:rFonts w:ascii="Arial" w:cs="Arial" w:eastAsia="Arial" w:hAnsi="Arial"/>
          <w:sz w:val="16"/>
          <w:szCs w:val="16"/>
          <w:color w:val="auto"/>
        </w:rPr>
        <w:t>For example, two major factors that affect market use of prescription drugs are their perceived cost-effectiveness and the breadth of their use among different patient populations, both on label and off-label. In October 2019, the Institute for Clinical and Economic Review, or ICER, released its final evidence report regarding clinical effectiveness and economic impacts on VASCEPA. The conclusion from the report is that VASCEPA easily met even the most stringent “commonly cited thresholds for cost-effectiveness and therefore represent(s) a high long-term value for money,” based on the organization’s value assessment framework. As part of the public meeting held by ICER analyzing REDUCE-IT data, the ICER review committee discussed whether, based on REDUCE-IT, VASCEPA should be considered for use in patients as an add-on to statin therapy generally, and not just in patients with persistent elevated triglyceride levels after statin therapy, which ICER defined as triglyceride levels of at least 135 mg/dL. Use as an add-on to statin therapy generally represents a larger patient population than studied in REDUCE-IT and larger than covered by U.S. FDA-approved labeling. By contrast, U.S. FDA-approved labeling for VASCEPA reflects limitations such as use in patients with persistent elevated triglyceride levels defined as triglyceride levels of at least 150 mg/dL after statin therapy and specific criteria designed to ensure the patient populations approved for use had sufficiently high degrees of CV risk. While the clinical judgment of prescribing physicians is the most important factor that determines the breadth of a drug’s use in the United States and often results in prescriptions in patient populations that go beyond U.S. FDA labeling, U.S. FDA-approved labeling that is more closely tied to the patient population studied in a clinical trial could limit use generally and by making reimbursement more difficult.</w:t>
      </w:r>
    </w:p>
    <w:p>
      <w:pPr>
        <w:spacing w:after="0" w:line="183" w:lineRule="exact"/>
        <w:rPr>
          <w:sz w:val="20"/>
          <w:szCs w:val="20"/>
          <w:color w:val="auto"/>
        </w:rPr>
      </w:pPr>
    </w:p>
    <w:p>
      <w:pPr>
        <w:ind w:right="460" w:firstLine="517"/>
        <w:spacing w:after="0" w:line="277" w:lineRule="auto"/>
        <w:tabs>
          <w:tab w:leader="none" w:pos="644"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continued scale, scope and duration of business interruptions caused by the COVID-19, pandemic are uncertain as the impact of the pandemic continues to cause negative effects on our business.</w:t>
      </w:r>
    </w:p>
    <w:p>
      <w:pPr>
        <w:spacing w:after="0" w:line="76" w:lineRule="exact"/>
        <w:rPr>
          <w:sz w:val="20"/>
          <w:szCs w:val="20"/>
          <w:color w:val="auto"/>
        </w:rPr>
      </w:pPr>
    </w:p>
    <w:p>
      <w:pPr>
        <w:ind w:right="660" w:firstLine="509"/>
        <w:spacing w:after="0" w:line="279" w:lineRule="auto"/>
        <w:rPr>
          <w:sz w:val="20"/>
          <w:szCs w:val="20"/>
          <w:color w:val="auto"/>
        </w:rPr>
      </w:pPr>
      <w:r>
        <w:rPr>
          <w:rFonts w:ascii="Arial" w:cs="Arial" w:eastAsia="Arial" w:hAnsi="Arial"/>
          <w:sz w:val="18"/>
          <w:szCs w:val="18"/>
          <w:color w:val="auto"/>
        </w:rPr>
        <w:t>The global spread of COVID-19, has created significant volatility, uncertainty and disruption in healthcare, social, supply and economic infrastructures. The extent to which the coronavirus pandemic will continue to impact our business, operations and financial results will depend on numerous evolving factors that we may not be able to accurately predict or plan around, including:</w:t>
      </w:r>
    </w:p>
    <w:p>
      <w:pPr>
        <w:spacing w:after="0" w:line="7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duration, volatility and scope of the pandemic and the efficacy of recovery efforts;</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governmental, business and individuals’ actions that have been and continue to be taken in response to the pandemic;</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impact of the pandemic on economic and political activity and actions taken in response;</w:t>
      </w:r>
    </w:p>
    <w:p>
      <w:pPr>
        <w:spacing w:after="0" w:line="131" w:lineRule="exact"/>
        <w:rPr>
          <w:sz w:val="20"/>
          <w:szCs w:val="20"/>
          <w:color w:val="auto"/>
        </w:rPr>
      </w:pPr>
    </w:p>
    <w:p>
      <w:pPr>
        <w:ind w:left="840" w:right="40"/>
        <w:spacing w:after="0" w:line="359" w:lineRule="auto"/>
        <w:rPr>
          <w:sz w:val="20"/>
          <w:szCs w:val="20"/>
          <w:color w:val="auto"/>
        </w:rPr>
      </w:pPr>
      <w:r>
        <w:rPr>
          <w:rFonts w:ascii="Arial" w:cs="Arial" w:eastAsia="Arial" w:hAnsi="Arial"/>
          <w:sz w:val="16"/>
          <w:szCs w:val="16"/>
          <w:color w:val="auto"/>
        </w:rPr>
        <w:t>the effect on patients, healthcare providers and business partners, including patients’ ability to access supplies of VASCEPA and the willingness of patients to visit doctors for non-urgent medical examination or to visit labs for blood tests to assess biomarkers such as lipid levels;</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our ability to commercialize VASCEPA, including as a result of travel restrictions, social distancing and other containment measures;</w:t>
      </w:r>
    </w:p>
    <w:p>
      <w:pPr>
        <w:spacing w:after="0" w:line="131" w:lineRule="exact"/>
        <w:rPr>
          <w:sz w:val="20"/>
          <w:szCs w:val="20"/>
          <w:color w:val="auto"/>
        </w:rPr>
      </w:pPr>
    </w:p>
    <w:p>
      <w:pPr>
        <w:ind w:left="840" w:right="820"/>
        <w:spacing w:after="0" w:line="293" w:lineRule="auto"/>
        <w:rPr>
          <w:sz w:val="20"/>
          <w:szCs w:val="20"/>
          <w:color w:val="auto"/>
        </w:rPr>
      </w:pPr>
      <w:r>
        <w:rPr>
          <w:rFonts w:ascii="Arial" w:cs="Arial" w:eastAsia="Arial" w:hAnsi="Arial"/>
          <w:sz w:val="18"/>
          <w:szCs w:val="18"/>
          <w:color w:val="auto"/>
        </w:rPr>
        <w:t>the enrolment or monitoring of patients in clinical trials, particularly at clinical trial sites located in highly impacted jurisdictions and jurisdictions where vaccination rates are low;</w:t>
      </w:r>
    </w:p>
    <w:p>
      <w:pPr>
        <w:spacing w:after="0" w:line="62" w:lineRule="exact"/>
        <w:rPr>
          <w:sz w:val="20"/>
          <w:szCs w:val="20"/>
          <w:color w:val="auto"/>
        </w:rPr>
      </w:pPr>
    </w:p>
    <w:p>
      <w:pPr>
        <w:ind w:left="840" w:right="600"/>
        <w:spacing w:after="0" w:line="293" w:lineRule="auto"/>
        <w:rPr>
          <w:sz w:val="20"/>
          <w:szCs w:val="20"/>
          <w:color w:val="auto"/>
        </w:rPr>
      </w:pPr>
      <w:r>
        <w:rPr>
          <w:rFonts w:ascii="Arial" w:cs="Arial" w:eastAsia="Arial" w:hAnsi="Arial"/>
          <w:sz w:val="18"/>
          <w:szCs w:val="18"/>
          <w:color w:val="auto"/>
        </w:rPr>
        <w:t>the ability to access, secure and otherwise obtain and deliver sufficient and timely commercial or clinical supplies of VASCEPA to meet demand if the production capabilities of suppliers is disrupted;</w:t>
      </w:r>
    </w:p>
    <w:p>
      <w:pPr>
        <w:spacing w:after="0" w:line="62" w:lineRule="exact"/>
        <w:rPr>
          <w:sz w:val="20"/>
          <w:szCs w:val="20"/>
          <w:color w:val="auto"/>
        </w:rPr>
      </w:pPr>
    </w:p>
    <w:p>
      <w:pPr>
        <w:ind w:left="840" w:right="80"/>
        <w:spacing w:after="0" w:line="293" w:lineRule="auto"/>
        <w:rPr>
          <w:sz w:val="20"/>
          <w:szCs w:val="20"/>
          <w:color w:val="auto"/>
        </w:rPr>
      </w:pPr>
      <w:r>
        <w:rPr>
          <w:rFonts w:ascii="Arial" w:cs="Arial" w:eastAsia="Arial" w:hAnsi="Arial"/>
          <w:sz w:val="18"/>
          <w:szCs w:val="18"/>
          <w:color w:val="auto"/>
        </w:rPr>
        <w:t>disruptions in regulatory oversight and actions if regulators and industry professionals continue to expend significant and unexpected resources addressing COVID-19;</w:t>
      </w:r>
    </w:p>
    <w:p>
      <w:pPr>
        <w:spacing w:after="0" w:line="62" w:lineRule="exact"/>
        <w:rPr>
          <w:sz w:val="20"/>
          <w:szCs w:val="20"/>
          <w:color w:val="auto"/>
        </w:rPr>
      </w:pPr>
    </w:p>
    <w:p>
      <w:pPr>
        <w:ind w:left="840" w:right="180"/>
        <w:spacing w:after="0" w:line="293" w:lineRule="auto"/>
        <w:rPr>
          <w:sz w:val="20"/>
          <w:szCs w:val="20"/>
          <w:color w:val="auto"/>
        </w:rPr>
      </w:pPr>
      <w:r>
        <w:rPr>
          <w:rFonts w:ascii="Arial" w:cs="Arial" w:eastAsia="Arial" w:hAnsi="Arial"/>
          <w:sz w:val="18"/>
          <w:szCs w:val="18"/>
          <w:color w:val="auto"/>
        </w:rPr>
        <w:t>the availability of coverage and reimbursement from government and health administration authorities, private health insurers and other third-party payors if the system becomes overly strained;</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ability of regulators to complete inspections and reviews of operations and applications, respectively, in a timely manner; and</w:t>
      </w:r>
    </w:p>
    <w:p>
      <w:pPr>
        <w:spacing w:after="0" w:line="131" w:lineRule="exact"/>
        <w:rPr>
          <w:sz w:val="20"/>
          <w:szCs w:val="20"/>
          <w:color w:val="auto"/>
        </w:rPr>
      </w:pPr>
    </w:p>
    <w:p>
      <w:pPr>
        <w:ind w:left="840" w:right="60"/>
        <w:spacing w:after="0" w:line="293" w:lineRule="auto"/>
        <w:rPr>
          <w:sz w:val="20"/>
          <w:szCs w:val="20"/>
          <w:color w:val="auto"/>
        </w:rPr>
      </w:pPr>
      <w:r>
        <w:rPr>
          <w:rFonts w:ascii="Arial" w:cs="Arial" w:eastAsia="Arial" w:hAnsi="Arial"/>
          <w:sz w:val="18"/>
          <w:szCs w:val="18"/>
          <w:color w:val="auto"/>
        </w:rPr>
        <w:t>any further, prolonged or reinstated closures of our and our partners’ offices, operations and facilities impeding our ability to work together as a company and with our business and healthcare partners.</w:t>
      </w:r>
    </w:p>
    <w:p>
      <w:pPr>
        <w:spacing w:after="0" w:line="62" w:lineRule="exact"/>
        <w:rPr>
          <w:sz w:val="20"/>
          <w:szCs w:val="20"/>
          <w:color w:val="auto"/>
        </w:rPr>
      </w:pPr>
    </w:p>
    <w:p>
      <w:pPr>
        <w:ind w:firstLine="509"/>
        <w:spacing w:after="0" w:line="281" w:lineRule="auto"/>
        <w:rPr>
          <w:sz w:val="20"/>
          <w:szCs w:val="20"/>
          <w:color w:val="auto"/>
        </w:rPr>
      </w:pPr>
      <w:r>
        <w:rPr>
          <w:rFonts w:ascii="Arial" w:cs="Arial" w:eastAsia="Arial" w:hAnsi="Arial"/>
          <w:sz w:val="17"/>
          <w:szCs w:val="17"/>
          <w:color w:val="auto"/>
        </w:rPr>
        <w:t>To comply with travel restrictions, social distancing, quarantines and other containment measures implemented in various geographies, in March 2020, we suspended field based face-to-face interactions. We resumed on a limited basis field-based, face-to-face interactions with healthcare providers beginning in June 2020. During the late part of the summer of 2020, substantially all of our field force personnel had the ability to resume face-to-face customer interactions, in a manner consistent with state and local guidance. In the fourth quarter of 2020 and in early 2021, the impact of COVID-19 worsened in some parts of the United States, with some healthcare professionals again limiting access to face-to-face interactions. Additionally although we have started to see signs of recovery in light of the availability of vaccines during the second and third quarters, the number of patient visits to doctors’ offices and patients undergoing blood testing remains down considerably from pre-COVID-19 levels. These circumstances vary geographically and vary over time, with continued risk of resurgences in COVID-19 cases, and reinstitution of protocols, in various geographies and as the efficacy of the vaccine on various strains remains uncertain. We hope to be able to maintain our substantial resumption of our business efforts, however, given the dynamics related to COVID-19, there can be no assurance that this will be the case. While we have supplemented these face-to-face interactions with virtual outreach and our omnichannel platform, these efforts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7" w:name="page48"/>
    <w:bookmarkEnd w:id="47"/>
    <w:p>
      <w:pPr>
        <w:ind w:right="280"/>
        <w:spacing w:after="0" w:line="293" w:lineRule="auto"/>
        <w:rPr>
          <w:sz w:val="20"/>
          <w:szCs w:val="20"/>
          <w:color w:val="auto"/>
        </w:rPr>
      </w:pPr>
      <w:r>
        <w:rPr>
          <w:rFonts w:ascii="Arial" w:cs="Arial" w:eastAsia="Arial" w:hAnsi="Arial"/>
          <w:sz w:val="18"/>
          <w:szCs w:val="18"/>
          <w:color w:val="auto"/>
        </w:rPr>
        <w:t>may not be as impactful as traditional, in-person interactions. Specifically, access to healthcare professionals through the internet or other channels, may not be as productive as in-person interactions.</w:t>
      </w:r>
    </w:p>
    <w:p>
      <w:pPr>
        <w:spacing w:after="0" w:line="62" w:lineRule="exact"/>
        <w:rPr>
          <w:sz w:val="20"/>
          <w:szCs w:val="20"/>
          <w:color w:val="auto"/>
        </w:rPr>
      </w:pPr>
    </w:p>
    <w:p>
      <w:pPr>
        <w:ind w:right="20" w:firstLine="509"/>
        <w:spacing w:after="0" w:line="319" w:lineRule="auto"/>
        <w:rPr>
          <w:sz w:val="20"/>
          <w:szCs w:val="20"/>
          <w:color w:val="auto"/>
        </w:rPr>
      </w:pPr>
      <w:r>
        <w:rPr>
          <w:rFonts w:ascii="Arial" w:cs="Arial" w:eastAsia="Arial" w:hAnsi="Arial"/>
          <w:sz w:val="16"/>
          <w:szCs w:val="16"/>
          <w:color w:val="auto"/>
        </w:rPr>
        <w:t>Although we have a geographically diversified supply chain for VASCEPA and believe we have sufficient inventory on hand at pharmacies throughout the United States and other markets where it is approved for sale, and at various stages of manufacturing with our suppliers, the global spread of the outbreak and containment measures has been unprecedented and could have a negative impact on the availability of VASCEPA at various points in our supply chain, including limiting the ability of new suppliers to be inspected, which would have a material and adverse effect on our business.</w:t>
      </w:r>
    </w:p>
    <w:p>
      <w:pPr>
        <w:spacing w:after="0" w:line="48"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The disruptions associated with the coronavirus pandemic could also delay the timing of a determination on our ability to seek legal remedies as travel, operational resources and personnel are disrupted or slow to resume pre-pandemic levels, with respect to our efforts and capabilities, as well as those of our advisors and the courts. The disruptions associated with the coronavirus pandemic could delay the potential timing of subsequent steps for the launch of commercialization of VAZKEPA in Europe, including plans to hire additional employees in Europe. Additionally, COVID-19 has already and could continue to limit our ability to have access with healthcare professionals to help educate them regarding VAZKEPA so that they are more likely to prescribe it to their at-risk patients. And, similar to our experience in the United States, the effects of COVID-19 and social distancing considerations may reduce the frequency at which at-risk patients seek non-urgent preventative medical care.</w:t>
      </w:r>
    </w:p>
    <w:p>
      <w:pPr>
        <w:spacing w:after="0" w:line="208" w:lineRule="exact"/>
        <w:rPr>
          <w:sz w:val="20"/>
          <w:szCs w:val="20"/>
          <w:color w:val="auto"/>
        </w:rPr>
      </w:pPr>
    </w:p>
    <w:p>
      <w:pPr>
        <w:jc w:val="both"/>
        <w:ind w:right="140" w:firstLine="509"/>
        <w:spacing w:after="0" w:line="359" w:lineRule="auto"/>
        <w:rPr>
          <w:sz w:val="20"/>
          <w:szCs w:val="20"/>
          <w:color w:val="auto"/>
        </w:rPr>
      </w:pPr>
      <w:r>
        <w:rPr>
          <w:rFonts w:ascii="Arial" w:cs="Arial" w:eastAsia="Arial" w:hAnsi="Arial"/>
          <w:sz w:val="15"/>
          <w:szCs w:val="15"/>
          <w:b w:val="1"/>
          <w:bCs w:val="1"/>
          <w:i w:val="1"/>
          <w:iCs w:val="1"/>
          <w:color w:val="auto"/>
        </w:rPr>
        <w:t>As with any cardiovascular outcomes trial, over time further data assessment related to REDUCE-IT by international regulatory authorities or otherwise could yield additional useful information to inform greater understanding of study outcome. If the additional data or related interpretations do not meet expectations, the perception of REDUCE-IT results and VASCEPA revenue potential may suffer and our stock price may decline.</w:t>
      </w:r>
    </w:p>
    <w:p>
      <w:pPr>
        <w:spacing w:after="0" w:line="22"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In December 2019, the U.S. FDA approved a new indication and label expansion for VASCEPA as an adjunct to statin therapy to reduce the risk of MACE events in adult patients with elevated TG levels (≥150 mg/dL) and established cardiovascular disease or diabetes mellitus and two or more additional risk factors for cardiovascular disease. Even though U.S. FDA has approved VASCEPA for this expanded label and indication based on the REDUCE-IT results, additional data assessment by international regulatory authorities or otherwise could yield additional useful information to inform greater understanding of study outcome. Generally, trial data assessment sufficient to convey a complete picture of trial outcome can take years to complete and publish. When new data are assessed and released or presented it could exceed, match or may not meet investor expectations.</w:t>
      </w:r>
    </w:p>
    <w:p>
      <w:pPr>
        <w:spacing w:after="0" w:line="55" w:lineRule="exact"/>
        <w:rPr>
          <w:sz w:val="20"/>
          <w:szCs w:val="20"/>
          <w:color w:val="auto"/>
        </w:rPr>
      </w:pPr>
    </w:p>
    <w:p>
      <w:pPr>
        <w:ind w:right="280" w:firstLine="509"/>
        <w:spacing w:after="0" w:line="319" w:lineRule="auto"/>
        <w:rPr>
          <w:sz w:val="20"/>
          <w:szCs w:val="20"/>
          <w:color w:val="auto"/>
        </w:rPr>
      </w:pPr>
      <w:r>
        <w:rPr>
          <w:rFonts w:ascii="Arial" w:cs="Arial" w:eastAsia="Arial" w:hAnsi="Arial"/>
          <w:sz w:val="16"/>
          <w:szCs w:val="16"/>
          <w:color w:val="auto"/>
        </w:rPr>
        <w:t>In addition, the same set of data can sometimes be interpreted to reach different conclusions. This was the case when Health Canada approved an indication based on REDUCE-IT data that was different in certain respects than that approved by U.S. FDA and by the EC in Europe. It is possible the scope of subsequent regulatory approvals, if any, could likewise differ based on the same data. Conflicting interpretations of data, or new data, could impact public and medical community perception of the totality of the efficacy and safety data from REDUCE-IT.</w:t>
      </w:r>
    </w:p>
    <w:p>
      <w:pPr>
        <w:spacing w:after="0" w:line="48" w:lineRule="exact"/>
        <w:rPr>
          <w:sz w:val="20"/>
          <w:szCs w:val="20"/>
          <w:color w:val="auto"/>
        </w:rPr>
      </w:pPr>
    </w:p>
    <w:p>
      <w:pPr>
        <w:ind w:right="340" w:firstLine="509"/>
        <w:spacing w:after="0" w:line="359" w:lineRule="auto"/>
        <w:rPr>
          <w:sz w:val="20"/>
          <w:szCs w:val="20"/>
          <w:color w:val="auto"/>
        </w:rPr>
      </w:pPr>
      <w:r>
        <w:rPr>
          <w:rFonts w:ascii="Arial" w:cs="Arial" w:eastAsia="Arial" w:hAnsi="Arial"/>
          <w:sz w:val="16"/>
          <w:szCs w:val="16"/>
          <w:color w:val="auto"/>
        </w:rPr>
        <w:t>Regulatory authorities and medical guideline committees outside of the United States and Europe may consider the following additional factors, which could lead to evaluations of the totality of the efficacy and safety data from REDUCE-IT that differ from those of the U.S. FDA or the EC:</w:t>
      </w:r>
    </w:p>
    <w:p>
      <w:pPr>
        <w:spacing w:after="0" w:line="17" w:lineRule="exact"/>
        <w:rPr>
          <w:sz w:val="20"/>
          <w:szCs w:val="20"/>
          <w:color w:val="auto"/>
        </w:rPr>
      </w:pPr>
    </w:p>
    <w:p>
      <w:pPr>
        <w:ind w:left="840" w:right="540"/>
        <w:spacing w:after="0" w:line="293" w:lineRule="auto"/>
        <w:rPr>
          <w:sz w:val="20"/>
          <w:szCs w:val="20"/>
          <w:color w:val="auto"/>
        </w:rPr>
      </w:pPr>
      <w:r>
        <w:rPr>
          <w:rFonts w:ascii="Arial" w:cs="Arial" w:eastAsia="Arial" w:hAnsi="Arial"/>
          <w:sz w:val="18"/>
          <w:szCs w:val="18"/>
          <w:color w:val="auto"/>
        </w:rPr>
        <w:t>the magnitude of the treatment benefit and related risks on the primary composite endpoint, its components, secondary endpoints and the primary and secondary risk prevention cohorts;</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consideration of which components of the composite or secondary endpoints have the most clinical significance;</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consistency of the primary and secondary outcomes;</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consistency of findings across cohorts and important subgroups;</w:t>
      </w:r>
    </w:p>
    <w:p>
      <w:pPr>
        <w:spacing w:after="0" w:line="131" w:lineRule="exact"/>
        <w:rPr>
          <w:sz w:val="20"/>
          <w:szCs w:val="20"/>
          <w:color w:val="auto"/>
        </w:rPr>
      </w:pPr>
    </w:p>
    <w:p>
      <w:pPr>
        <w:ind w:left="840" w:right="80"/>
        <w:spacing w:after="0" w:line="293" w:lineRule="auto"/>
        <w:rPr>
          <w:sz w:val="20"/>
          <w:szCs w:val="20"/>
          <w:color w:val="auto"/>
        </w:rPr>
      </w:pPr>
      <w:r>
        <w:rPr>
          <w:rFonts w:ascii="Arial" w:cs="Arial" w:eastAsia="Arial" w:hAnsi="Arial"/>
          <w:sz w:val="18"/>
          <w:szCs w:val="18"/>
          <w:color w:val="auto"/>
        </w:rPr>
        <w:t>safety considerations and risk/benefit considerations (such as those related to adverse events, including bleeding and atrial fibrillation generally and in different sub-populations);</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consideration of REDUCE-IT results in the context of other clinical studies;</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consideration of the cumulative effect of VASCEPA in studied patients; and</w:t>
      </w:r>
    </w:p>
    <w:p>
      <w:pPr>
        <w:spacing w:after="0" w:line="131" w:lineRule="exact"/>
        <w:rPr>
          <w:sz w:val="20"/>
          <w:szCs w:val="20"/>
          <w:color w:val="auto"/>
        </w:rPr>
      </w:pPr>
    </w:p>
    <w:p>
      <w:pPr>
        <w:ind w:left="840" w:right="300"/>
        <w:spacing w:after="0" w:line="293" w:lineRule="auto"/>
        <w:rPr>
          <w:sz w:val="20"/>
          <w:szCs w:val="20"/>
          <w:color w:val="auto"/>
        </w:rPr>
      </w:pPr>
      <w:r>
        <w:rPr>
          <w:rFonts w:ascii="Arial" w:cs="Arial" w:eastAsia="Arial" w:hAnsi="Arial"/>
          <w:sz w:val="18"/>
          <w:szCs w:val="18"/>
          <w:color w:val="auto"/>
        </w:rPr>
        <w:t>study conduct and data quality, integrity and consistency, including aspects such as analyses regarding the placebo used in REDUCE-IT and other studies of VASCEPA and its impact, if any, on the reliability of clinical data.</w:t>
      </w:r>
    </w:p>
    <w:p>
      <w:pPr>
        <w:spacing w:after="0" w:line="62" w:lineRule="exact"/>
        <w:rPr>
          <w:sz w:val="20"/>
          <w:szCs w:val="20"/>
          <w:color w:val="auto"/>
        </w:rPr>
      </w:pPr>
    </w:p>
    <w:p>
      <w:pPr>
        <w:ind w:right="120" w:firstLine="509"/>
        <w:spacing w:after="0" w:line="282" w:lineRule="auto"/>
        <w:rPr>
          <w:sz w:val="20"/>
          <w:szCs w:val="20"/>
          <w:color w:val="auto"/>
        </w:rPr>
      </w:pPr>
      <w:r>
        <w:rPr>
          <w:rFonts w:ascii="Arial" w:cs="Arial" w:eastAsia="Arial" w:hAnsi="Arial"/>
          <w:sz w:val="17"/>
          <w:szCs w:val="17"/>
          <w:color w:val="auto"/>
        </w:rPr>
        <w:t>If regulatory authorities and medical guideline committees outside of the United States and Europe draw conclusions that differ from those of the U.S. FDA or the EC, the U.S. FDA or the EC could reevaluate its conclusions as to the safety and efficacy of VASCEPA. Likewise, if additional data or analyses released from time to time do not meet expectations, the perception of REDUCE-IT results and the perceived and actual value of VASCEPA may suffer. In these instances our revenue and business could suffer and our stock price could significantly decline.</w:t>
      </w: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8" w:name="page49"/>
    <w:bookmarkEnd w:id="48"/>
    <w:p>
      <w:pPr>
        <w:ind w:right="100" w:firstLine="509"/>
        <w:spacing w:after="0" w:line="359" w:lineRule="auto"/>
        <w:rPr>
          <w:sz w:val="20"/>
          <w:szCs w:val="20"/>
          <w:color w:val="auto"/>
        </w:rPr>
      </w:pPr>
      <w:r>
        <w:rPr>
          <w:rFonts w:ascii="Arial" w:cs="Arial" w:eastAsia="Arial" w:hAnsi="Arial"/>
          <w:sz w:val="16"/>
          <w:szCs w:val="16"/>
          <w:b w:val="1"/>
          <w:bCs w:val="1"/>
          <w:i w:val="1"/>
          <w:iCs w:val="1"/>
          <w:color w:val="auto"/>
        </w:rPr>
        <w:t>Ongoing clinical trials or new clinical data involving VASCEPA and similar moderate-to-high doses of eicosapentaenoic acid or icosapent ethyl could influence public perception of VASCEPA’s clinical profile and the commercial and regulatory prospects of VASCEPA.</w:t>
      </w:r>
    </w:p>
    <w:p>
      <w:pPr>
        <w:spacing w:after="0" w:line="17" w:lineRule="exact"/>
        <w:rPr>
          <w:sz w:val="20"/>
          <w:szCs w:val="20"/>
          <w:color w:val="auto"/>
        </w:rPr>
      </w:pPr>
    </w:p>
    <w:p>
      <w:pPr>
        <w:ind w:right="600" w:firstLine="509"/>
        <w:spacing w:after="0" w:line="293" w:lineRule="auto"/>
        <w:rPr>
          <w:sz w:val="20"/>
          <w:szCs w:val="20"/>
          <w:color w:val="auto"/>
        </w:rPr>
      </w:pPr>
      <w:r>
        <w:rPr>
          <w:rFonts w:ascii="Arial" w:cs="Arial" w:eastAsia="Arial" w:hAnsi="Arial"/>
          <w:sz w:val="18"/>
          <w:szCs w:val="18"/>
          <w:color w:val="auto"/>
        </w:rPr>
        <w:t>Ongoing trials of moderate-to-high doses of VASCEPA and icosapent ethyl, or a similar eicosapentaenoic acid product could provide further information on the effects of VASCEPA and its commercial and regulatory prospects.</w:t>
      </w:r>
    </w:p>
    <w:p>
      <w:pPr>
        <w:spacing w:after="0" w:line="62"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For example, the Randomized Trial for Evaluation in Secondary Prevention Efficacy of Combination Therapy–Statin and EPA (RESPECT-EPA; UMIN Clinical Trials Registry number, UMIN000012069) is a study examining Japanese patients with chronic coronary artery disease receiving LDL-C lowering treatment by statin therapy. Patients will be randomized to either a control group (standard treatment) or EPA group (standard treatment plus 1.8 grams/day of eicosapentaenoic acid), to examine the effects of a different formulation of icosapent ethyl than VASCEPA on the incidence of cardiovascular events. The relationship between the ratio of EPA to arachidonic acid and incidence of events will also be examined. Results from this study are expected in the second half of 2021, though results could be delayed as a result of COVID-19 impacts.</w:t>
      </w:r>
    </w:p>
    <w:p>
      <w:pPr>
        <w:spacing w:after="0" w:line="68" w:lineRule="exact"/>
        <w:rPr>
          <w:sz w:val="20"/>
          <w:szCs w:val="20"/>
          <w:color w:val="auto"/>
        </w:rPr>
      </w:pPr>
    </w:p>
    <w:p>
      <w:pPr>
        <w:ind w:right="100" w:firstLine="509"/>
        <w:spacing w:after="0" w:line="272" w:lineRule="auto"/>
        <w:rPr>
          <w:sz w:val="20"/>
          <w:szCs w:val="20"/>
          <w:color w:val="auto"/>
        </w:rPr>
      </w:pPr>
      <w:r>
        <w:rPr>
          <w:rFonts w:ascii="Arial" w:cs="Arial" w:eastAsia="Arial" w:hAnsi="Arial"/>
          <w:sz w:val="18"/>
          <w:szCs w:val="18"/>
          <w:color w:val="auto"/>
        </w:rPr>
        <w:t>In November 2020, we announced statistically significant topline results from a Phase 3 clinical trial of VASCEPA, conducted by our partner in China, Eddingpharm (Asia) Macao Commercial Offshore Limited, or Edding, which investigated VASCEPA as a treatment for patients with very high triglycerides (≥500 mg/dL). Even though such results are similar to the results of the MARINE study, additional clinical development efforts may be necessary in this market to demonstrate the effectiveness of VASCEPA in reducing major adverse cardiovascular events in Chinese patients with persistent cardiovascular risk.</w:t>
      </w:r>
    </w:p>
    <w:p>
      <w:pPr>
        <w:spacing w:after="0" w:line="83"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We have also funded investigational studies on the use of VASCEPA in the setting of COVID-19 infection. On December 12, 2020, we announced at the National Lipid Association Scientific Sessions 2020 positive clinical results from the CardioLink-9 Trial, the first results of a study of VASCEPA in COVID-19 infected outpatients. Results from the investigator initiated study in Argentina called PREPARE-IT-1 were presented by the lead trial investigator at the European Society of Cardiology on August 29, 2021 and the results did not meet the primary and/or other endpoints studied. Results from the other investigational studies are expected over the next year.</w:t>
      </w:r>
    </w:p>
    <w:p>
      <w:pPr>
        <w:spacing w:after="0" w:line="83"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If the outcomes of one or more of these studies do not meet expectations, the perception of existing clinical results of VASCEPA, such as MARINE or REDUCE-IT, or the perceived clinical profile and commercial value of VASCEPA and its regulatory status may suffer. If this occurs our revenue and business could suffer and our stock price could significantly decline.</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 Our current and planned commercialization efforts may not be successful in increasing sales of VASCEPA in the United States.</w:t>
      </w:r>
    </w:p>
    <w:p>
      <w:pPr>
        <w:spacing w:after="0" w:line="142" w:lineRule="exact"/>
        <w:rPr>
          <w:sz w:val="20"/>
          <w:szCs w:val="20"/>
          <w:color w:val="auto"/>
        </w:rPr>
      </w:pPr>
    </w:p>
    <w:p>
      <w:pPr>
        <w:ind w:right="40" w:firstLine="509"/>
        <w:spacing w:after="0" w:line="305" w:lineRule="auto"/>
        <w:rPr>
          <w:sz w:val="20"/>
          <w:szCs w:val="20"/>
          <w:color w:val="auto"/>
        </w:rPr>
      </w:pPr>
      <w:r>
        <w:rPr>
          <w:rFonts w:ascii="Arial" w:cs="Arial" w:eastAsia="Arial" w:hAnsi="Arial"/>
          <w:sz w:val="16"/>
          <w:szCs w:val="16"/>
          <w:color w:val="auto"/>
        </w:rPr>
        <w:t>It is estimated that over 25 million adults in the United States have elevated triglyceride levels ≥200 mg/dL and that more than 50 million adults in the United States have elevated triglyceride levels ≥150 mg/dL. Approximately two to three million adults in the United States have very high (≥500mg/dL) triglyceride levels, the MARINE patient population. There are approximately five to 15 million people in the United States who meet the specific REDUCE-IT inclusion criteria. Since 1976, mean triglyceride levels have increased in concert with the growing epidemic of obesity, insulin resistance, and type 2 diabetes mellitus. In contrast, mean LDL-C levels have decreased. As a result of the COVID-19 pandemic and the related social distancing, in March 2020, we suspended face-to-face interactions between our sales representatives and healthcare professionals. We resumed on a limited basis field-based, face-to-face interactions with healthcare providers beginning in June 2020. During the late part of the summer of 2020, substantially all of our field force personnel were able to resume face-to-face customer interactions in a manner consistent with guidelines from local, state and government health officials in the United States. In the fourth quarter of 2020 and early 2021, the impact of COVID-19 worsened in much of the United States, with some physicians again limiting access to face-to-face interactions with our field force personnel. Thus, despite the size of our sales team, it is not large enough to call upon all physicians and we may not have sufficient sales personnel and resources to maximize the sales potential of VASCEPA.</w:t>
      </w:r>
    </w:p>
    <w:p>
      <w:pPr>
        <w:spacing w:after="0" w:line="61" w:lineRule="exact"/>
        <w:rPr>
          <w:sz w:val="20"/>
          <w:szCs w:val="20"/>
          <w:color w:val="auto"/>
        </w:rPr>
      </w:pPr>
    </w:p>
    <w:p>
      <w:pPr>
        <w:ind w:right="140" w:firstLine="509"/>
        <w:spacing w:after="0" w:line="272" w:lineRule="auto"/>
        <w:rPr>
          <w:sz w:val="20"/>
          <w:szCs w:val="20"/>
          <w:color w:val="auto"/>
        </w:rPr>
      </w:pPr>
      <w:r>
        <w:rPr>
          <w:rFonts w:ascii="Arial" w:cs="Arial" w:eastAsia="Arial" w:hAnsi="Arial"/>
          <w:sz w:val="18"/>
          <w:szCs w:val="18"/>
          <w:color w:val="auto"/>
        </w:rPr>
        <w:t>If we are not successful in maintaining a sales force that is rightsized for our efforts to market and sell VASCEPA in the United States, including in light of our new Go-to-Market strategy, including our omnichannel approach and reduced sales force, our anticipated revenues or our expenses could be materially and negatively affected, and we may not obtain profitability, may need to cut back on research and development activities or implement other cost-containment measures, or we may need to raise additional funding that could result in substantial dilution or impose considerable restrictions on our business.</w:t>
      </w:r>
    </w:p>
    <w:p>
      <w:pPr>
        <w:spacing w:after="0" w:line="83" w:lineRule="exact"/>
        <w:rPr>
          <w:sz w:val="20"/>
          <w:szCs w:val="20"/>
          <w:color w:val="auto"/>
        </w:rPr>
      </w:pPr>
    </w:p>
    <w:p>
      <w:pPr>
        <w:ind w:right="40" w:firstLine="509"/>
        <w:spacing w:after="0" w:line="306" w:lineRule="auto"/>
        <w:rPr>
          <w:sz w:val="20"/>
          <w:szCs w:val="20"/>
          <w:color w:val="auto"/>
        </w:rPr>
      </w:pPr>
      <w:r>
        <w:rPr>
          <w:rFonts w:ascii="Arial" w:cs="Arial" w:eastAsia="Arial" w:hAnsi="Arial"/>
          <w:sz w:val="16"/>
          <w:szCs w:val="16"/>
          <w:color w:val="auto"/>
        </w:rPr>
        <w:t>Although substantially all of our sales force personnel have the ability to resume face-to-face customer interactions in a manner consistent with state and local guidance, given the dynamics related to COVID-19, there can be no assurance that/as to when we will be able to substantially resume and sustain our business efforts. While we have supplemented these face-to-face interactions with virtual outreach, including our omnichannel platform, these efforts may not be as successful as traditional, in-person interactions. Specifically, access to healthcare professionals through digital or other channels, may not be as productive as in-person interactions. In the United States, in July 2020 we launched our first ever direct-to-consumer promotional campaign regarding VASCEPA demonstrating results in lowering cardiovascular risk in patients with persistent cardiovascular risk in high risk patients. In September 2020, we launched a new, nationwide television advertisement campaign in connection with our expanded promotional campaign which was further complemented by additional digital, point-of-care and other forms of healthcare professional and patient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9" w:name="page50"/>
    <w:bookmarkEnd w:id="49"/>
    <w:p>
      <w:pPr>
        <w:ind w:right="100"/>
        <w:spacing w:after="0" w:line="293" w:lineRule="auto"/>
        <w:rPr>
          <w:sz w:val="20"/>
          <w:szCs w:val="20"/>
          <w:color w:val="auto"/>
        </w:rPr>
      </w:pPr>
      <w:r>
        <w:rPr>
          <w:rFonts w:ascii="Arial" w:cs="Arial" w:eastAsia="Arial" w:hAnsi="Arial"/>
          <w:sz w:val="17"/>
          <w:szCs w:val="17"/>
          <w:color w:val="auto"/>
        </w:rPr>
        <w:t xml:space="preserve">educational outreach. As the impact of COVID-19 on much of the United States worsened in the fourth quarter of 2020, we suspended television-based promotion of VASCEPA as we determined that the cost was not sufficiently justified in light of the COVID-19 pandemic on patient visits to doctors. We resumed a limited direct-to-consumer campaign in January 2021, including television-based promotion, digital and social media promotion to continue to grow consumer awareness of VASCEPA. In June 2021, we launched an educational campaign, </w:t>
      </w:r>
      <w:r>
        <w:rPr>
          <w:rFonts w:ascii="Arial" w:cs="Arial" w:eastAsia="Arial" w:hAnsi="Arial"/>
          <w:sz w:val="17"/>
          <w:szCs w:val="17"/>
          <w:i w:val="1"/>
          <w:iCs w:val="1"/>
          <w:color w:val="auto"/>
        </w:rPr>
        <w:t>It's Clear to Me Now</w:t>
      </w:r>
      <w:r>
        <w:rPr>
          <w:rFonts w:ascii="Arial" w:cs="Arial" w:eastAsia="Arial" w:hAnsi="Arial"/>
          <w:sz w:val="17"/>
          <w:szCs w:val="17"/>
          <w:color w:val="auto"/>
        </w:rPr>
        <w:t>, to help physicians and patients learn more about the differentiation between VASCEPA and fenofibrates for CV risk reduction. There can be no assurance that the efforts described above will have the intended positive increase in patients asking their healthcare providers regarding VASCEPA or that prescription rates for VASCEPA will increase in the near future or at all from such efforts. Data on increased product usage from similar promotion of other products suggests that the impact of television-based promotion can be positive and sustained but is rarely immediate in its effect. After assessing the scope, timing and pricing of generic competition, we may also decide to contract our VASCEPA promotional efforts.</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 Our promotion and supply of VASCEPA is subject to regulatory scrutiny and associated risk.</w:t>
      </w:r>
    </w:p>
    <w:p>
      <w:pPr>
        <w:spacing w:after="0" w:line="131" w:lineRule="exact"/>
        <w:rPr>
          <w:sz w:val="20"/>
          <w:szCs w:val="20"/>
          <w:color w:val="auto"/>
        </w:rPr>
      </w:pPr>
    </w:p>
    <w:p>
      <w:pPr>
        <w:ind w:right="220" w:firstLine="509"/>
        <w:spacing w:after="0" w:line="314" w:lineRule="auto"/>
        <w:rPr>
          <w:sz w:val="20"/>
          <w:szCs w:val="20"/>
          <w:color w:val="auto"/>
        </w:rPr>
      </w:pPr>
      <w:r>
        <w:rPr>
          <w:rFonts w:ascii="Arial" w:cs="Arial" w:eastAsia="Arial" w:hAnsi="Arial"/>
          <w:sz w:val="16"/>
          <w:szCs w:val="16"/>
          <w:color w:val="auto"/>
        </w:rPr>
        <w:t>The Federal Food, Drug, and Cosmetic Act, or FDCA, has been interpreted by the U.S. FDA and the U.S. government to make it illegal for pharmaceutical companies to promote their U.S. FDA-approved products for uses that have not been approved by the U.S. FDA. Companies that market drugs for off-label uses or indications have been subject to related costly litigation, criminal penalties and civil liability under the FDCA and the FCA. However, case law over the last several years has called into question the extent to which government in the United States, including the U.S. FDA, can, and is willing to seek to, prevent truthful and non-misleading speech related to off-label uses of U.S. FDA-approved products such as VASCEPA.</w:t>
      </w:r>
    </w:p>
    <w:p>
      <w:pPr>
        <w:spacing w:after="0" w:line="52" w:lineRule="exact"/>
        <w:rPr>
          <w:sz w:val="20"/>
          <w:szCs w:val="20"/>
          <w:color w:val="auto"/>
        </w:rPr>
      </w:pPr>
    </w:p>
    <w:p>
      <w:pPr>
        <w:ind w:right="60" w:firstLine="509"/>
        <w:spacing w:after="0" w:line="285" w:lineRule="auto"/>
        <w:rPr>
          <w:sz w:val="20"/>
          <w:szCs w:val="20"/>
          <w:color w:val="auto"/>
        </w:rPr>
      </w:pPr>
      <w:r>
        <w:rPr>
          <w:rFonts w:ascii="Arial" w:cs="Arial" w:eastAsia="Arial" w:hAnsi="Arial"/>
          <w:sz w:val="17"/>
          <w:szCs w:val="17"/>
          <w:color w:val="auto"/>
        </w:rPr>
        <w:t xml:space="preserve">In May 2015, we and a group of independent physicians filed a lawsuit against the U.S. FDA seeking a federal court declaration that would permit us and our agents to promote to healthcare professionals the use of VASCEPA in the ANCHOR population and promote on the potential of VASCEPA to reduce the risk of cardiovascular disease so long as the promotion is truthful and non-misleading. This use of VASCEPA at issue reflected recognized medical practice at the time but was not approved by the U.S. FDA and was thus not covered by then U.S. FDA-approved labeling for the drug. Promotion of an off-label use has generally been considered by the U.S. FDA to be illegal under the FDCA. The lawsuit, captioned </w:t>
      </w:r>
      <w:r>
        <w:rPr>
          <w:rFonts w:ascii="Arial" w:cs="Arial" w:eastAsia="Arial" w:hAnsi="Arial"/>
          <w:sz w:val="17"/>
          <w:szCs w:val="17"/>
          <w:i w:val="1"/>
          <w:iCs w:val="1"/>
          <w:color w:val="auto"/>
        </w:rPr>
        <w:t>Amarin Pharma, Inc., et al. v.</w:t>
      </w:r>
      <w:r>
        <w:rPr>
          <w:rFonts w:ascii="Arial" w:cs="Arial" w:eastAsia="Arial" w:hAnsi="Arial"/>
          <w:sz w:val="17"/>
          <w:szCs w:val="17"/>
          <w:color w:val="auto"/>
        </w:rPr>
        <w:t xml:space="preserve"> </w:t>
      </w:r>
      <w:r>
        <w:rPr>
          <w:rFonts w:ascii="Arial" w:cs="Arial" w:eastAsia="Arial" w:hAnsi="Arial"/>
          <w:sz w:val="17"/>
          <w:szCs w:val="17"/>
          <w:i w:val="1"/>
          <w:iCs w:val="1"/>
          <w:color w:val="auto"/>
        </w:rPr>
        <w:t>Food &amp; Drug Administration, et al.</w:t>
      </w:r>
      <w:r>
        <w:rPr>
          <w:rFonts w:ascii="Arial" w:cs="Arial" w:eastAsia="Arial" w:hAnsi="Arial"/>
          <w:sz w:val="17"/>
          <w:szCs w:val="17"/>
          <w:color w:val="auto"/>
        </w:rPr>
        <w:t>, 119 F. Supp. 3d 196 (S.D.N.Y. 2015), was filed in the United States District Court for the Southern District of New</w:t>
      </w:r>
      <w:r>
        <w:rPr>
          <w:rFonts w:ascii="Arial" w:cs="Arial" w:eastAsia="Arial" w:hAnsi="Arial"/>
          <w:sz w:val="17"/>
          <w:szCs w:val="17"/>
          <w:i w:val="1"/>
          <w:iCs w:val="1"/>
          <w:color w:val="auto"/>
        </w:rPr>
        <w:t xml:space="preserve"> </w:t>
      </w:r>
      <w:r>
        <w:rPr>
          <w:rFonts w:ascii="Arial" w:cs="Arial" w:eastAsia="Arial" w:hAnsi="Arial"/>
          <w:sz w:val="17"/>
          <w:szCs w:val="17"/>
          <w:color w:val="auto"/>
        </w:rPr>
        <w:t>York. In the lawsuit, we contended principally that U.S.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treated patients at risk of cardiovascular disease and, as the complaint contended, have First Amendment rights to receive truthful and non-misleading information from Amarin. The suit was based on the principle that better informed physicians make better treatment decisions for their patients. The U.S. FDA opposed this lawsuit but did not dispute the veracity of the subject ANCHOR clinical trial data (the safety data from which was already and currently is in U.S. FDA-approved labeling of VASCEPA) or the peer-reviewed research related to VASCEPA and the potential for cardiovascular risk reduction.</w:t>
      </w:r>
    </w:p>
    <w:p>
      <w:pPr>
        <w:spacing w:after="0" w:line="74"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In August 2015, we began to communicate promotional information beyond the MARINE indication to healthcare professionals in the United States as permitted by this court declaration. The U.S. FDA did not appeal the court’s ruling. In March 2016, we settled this litigation under terms by which the U.S.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70" w:lineRule="exact"/>
        <w:rPr>
          <w:sz w:val="20"/>
          <w:szCs w:val="20"/>
          <w:color w:val="auto"/>
        </w:rPr>
      </w:pPr>
    </w:p>
    <w:p>
      <w:pPr>
        <w:ind w:right="100" w:firstLine="509"/>
        <w:spacing w:after="0" w:line="314" w:lineRule="auto"/>
        <w:rPr>
          <w:sz w:val="20"/>
          <w:szCs w:val="20"/>
          <w:color w:val="auto"/>
        </w:rPr>
      </w:pPr>
      <w:r>
        <w:rPr>
          <w:rFonts w:ascii="Arial" w:cs="Arial" w:eastAsia="Arial" w:hAnsi="Arial"/>
          <w:sz w:val="16"/>
          <w:szCs w:val="16"/>
          <w:color w:val="auto"/>
        </w:rPr>
        <w:t>While we believe we are now permitted under applicable law to more broadly promote VASCEPA, the U.S. FDA-approved labeling for VASCEPA did not change as a result of this litigation and settlement, and neither government nor other third-party coverage or reimbursement to pay for the off-label use of VASCEPA promoted under the court declaration was required. In addition to claims classically considered to be on-label based on our expanded label for VASCEPA based on the REDUCE-IT results, we proactively communicate information related to VASCEPA in a manner that we believe is truthful and non-misleading and thus protected under the freedom of speech clause of the First Amendment to the United States Constitution.</w:t>
      </w:r>
    </w:p>
    <w:p>
      <w:pPr>
        <w:spacing w:after="0" w:line="52"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Promotional activities in the biotechnology and pharmaceutical industries generally are subject to considerable regulatory scrutiny and, even though we have the benefit of a final settlement in this litigation, our efforts may be subject to enhanced scrutiny to ensure that our promotion remains within the scope covered by the settlement. For example, under the settlement, we remain responsible for ensuring our speech is truthful and non-misleading, which is subject to a considerable amount of judgment. We, the U.S. FDA, the U.S. government, our competitors and other interested parties may not agree on the truthfulness and non-misleading</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0" w:name="page51"/>
    <w:bookmarkEnd w:id="50"/>
    <w:p>
      <w:pPr>
        <w:ind w:right="100"/>
        <w:spacing w:after="0" w:line="293" w:lineRule="auto"/>
        <w:rPr>
          <w:sz w:val="20"/>
          <w:szCs w:val="20"/>
          <w:color w:val="auto"/>
        </w:rPr>
      </w:pPr>
      <w:r>
        <w:rPr>
          <w:rFonts w:ascii="Arial" w:cs="Arial" w:eastAsia="Arial" w:hAnsi="Arial"/>
          <w:sz w:val="18"/>
          <w:szCs w:val="18"/>
          <w:color w:val="auto"/>
        </w:rPr>
        <w:t>nature of our promotional materials. Federal and state governments or agencies may also seek to find other means to prevent our promotion of unapproved truthful and non-misleading information about VASCEPA.</w:t>
      </w:r>
    </w:p>
    <w:p>
      <w:pPr>
        <w:spacing w:after="0" w:line="62"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In June 2020, we received a civil investigative demand, or CID, from the U.S. Department of Justice, or the DOJ, informing us that the DOJ is investigating whether aspects of our promotional speaker programs and copayment waiver program during the period from January 1, 2015 to the present violated the U.S. Anti-Kickback Statute and the U.S. Civil False Claims Act, or the FCA, in relation to the sale and marketing of VASCEPA by us and our previous co-marketing partner, Kowa Pharmaceuticals America, Inc., or Kowa America. Similarly, in March 2021, the United States Federal Trade Commission, or the FTC, issued a CID to us in connection with the FTC’s investigation of whether we have engaged in, or are engaging in, anticompetitive practices or unfair methods of competition relating to VASCEPA. The New York State attorney general similarly issued a subpoena to us regarding the same subject matter on which the FTC CID is focused. The inquiries require us to produce documents and answer written questions, or interrogatories, relevant to specified time periods. We are cooperating with the government.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w:t>
      </w:r>
    </w:p>
    <w:p>
      <w:pPr>
        <w:spacing w:after="0" w:line="70" w:lineRule="exact"/>
        <w:rPr>
          <w:sz w:val="20"/>
          <w:szCs w:val="20"/>
          <w:color w:val="auto"/>
        </w:rPr>
      </w:pPr>
    </w:p>
    <w:p>
      <w:pPr>
        <w:ind w:right="360" w:firstLine="509"/>
        <w:spacing w:after="0" w:line="314" w:lineRule="auto"/>
        <w:rPr>
          <w:sz w:val="20"/>
          <w:szCs w:val="20"/>
          <w:color w:val="auto"/>
        </w:rPr>
      </w:pPr>
      <w:r>
        <w:rPr>
          <w:rFonts w:ascii="Arial" w:cs="Arial" w:eastAsia="Arial" w:hAnsi="Arial"/>
          <w:sz w:val="16"/>
          <w:szCs w:val="16"/>
          <w:color w:val="auto"/>
        </w:rPr>
        <w:t>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be subject to liability based on fair competition-based statutes, such as the Lanham Act. Any allegations that our promotional activities are not truthful or misleading, even allegations without merit, could cause reputational harm and adversely affect our ability to operate our business and our results of operations.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products.</w:t>
      </w:r>
    </w:p>
    <w:p>
      <w:pPr>
        <w:spacing w:after="0" w:line="117" w:lineRule="exact"/>
        <w:rPr>
          <w:sz w:val="20"/>
          <w:szCs w:val="20"/>
          <w:color w:val="auto"/>
        </w:rPr>
      </w:pPr>
    </w:p>
    <w:p>
      <w:pPr>
        <w:ind w:right="20" w:firstLine="509"/>
        <w:spacing w:after="0" w:line="309" w:lineRule="auto"/>
        <w:rPr>
          <w:sz w:val="20"/>
          <w:szCs w:val="20"/>
          <w:color w:val="auto"/>
        </w:rPr>
      </w:pPr>
      <w:r>
        <w:rPr>
          <w:rFonts w:ascii="Arial" w:cs="Arial" w:eastAsia="Arial" w:hAnsi="Arial"/>
          <w:sz w:val="16"/>
          <w:szCs w:val="16"/>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 It is probable that the number of companies seeking to develop products and therapies similar to our product will increase. Many of these and other existing or potential competitors may have substantially greater financial, technical and human resources than we do and may be better equipped to develop, manufacture and market products. These companies may develop and introduce products and processes competitive with, more efficient than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56" w:lineRule="exact"/>
        <w:rPr>
          <w:sz w:val="20"/>
          <w:szCs w:val="20"/>
          <w:color w:val="auto"/>
        </w:rPr>
      </w:pPr>
    </w:p>
    <w:p>
      <w:pPr>
        <w:ind w:firstLine="509"/>
        <w:spacing w:after="0" w:line="314" w:lineRule="auto"/>
        <w:rPr>
          <w:sz w:val="20"/>
          <w:szCs w:val="20"/>
          <w:color w:val="auto"/>
        </w:rPr>
      </w:pPr>
      <w:r>
        <w:rPr>
          <w:rFonts w:ascii="Arial" w:cs="Arial" w:eastAsia="Arial" w:hAnsi="Arial"/>
          <w:sz w:val="16"/>
          <w:szCs w:val="16"/>
          <w:color w:val="auto"/>
        </w:rPr>
        <w:t>Our competitors both in the United States and abroad include large, well-established pharmaceutical and generic companies, specialty and generic pharmaceutical sales and marketing companies, and specialized cardiovascular treatment companies. With a generic version of VASCEPA launched by Hikma in November 2020 and by Dr. Reddy's in June 2021 and with further generic competition anticipated, it may not be viable for us to invest in market education to grow the United States market and our ability to maintain current promotional efforts and attract favorable commercial terms in several aspects of our business will likely be adversely affected as we face increased generic competition, or if we launch our own generic version of VASCEPA.</w:t>
      </w:r>
    </w:p>
    <w:p>
      <w:pPr>
        <w:spacing w:after="0" w:line="43"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auto"/>
        </w:rPr>
        <w:t>Woodward Pharma Services LLC currently sells Lovaza</w:t>
      </w:r>
      <w:r>
        <w:rPr>
          <w:rFonts w:ascii="Arial" w:cs="Arial" w:eastAsia="Arial" w:hAnsi="Arial"/>
          <w:sz w:val="23"/>
          <w:szCs w:val="23"/>
          <w:color w:val="auto"/>
          <w:vertAlign w:val="superscript"/>
        </w:rPr>
        <w:t>®</w:t>
      </w:r>
      <w:r>
        <w:rPr>
          <w:rFonts w:ascii="Arial" w:cs="Arial" w:eastAsia="Arial" w:hAnsi="Arial"/>
          <w:sz w:val="17"/>
          <w:szCs w:val="17"/>
          <w:color w:val="auto"/>
        </w:rPr>
        <w:t>, which it acquired from GlaxoSmithKline plc in Q3 2021. Lovaza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 prescription-only omega-3 fatty acid indicated for patients with severe hypertriglyceridemia, was approved by U.S. FDA in 2004 and has been on the market in the United States since 2005. Multiple generic versions of Lovaza are available in the United States. Other large companies with competitive products include AbbVie, Inc., which currently sells Tricor</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Trilipix</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for the treatment of severe hypertriglyceridemia and Niaspan</w:t>
      </w:r>
      <w:r>
        <w:rPr>
          <w:rFonts w:ascii="Arial" w:cs="Arial" w:eastAsia="Arial" w:hAnsi="Arial"/>
          <w:sz w:val="23"/>
          <w:szCs w:val="23"/>
          <w:color w:val="auto"/>
          <w:vertAlign w:val="superscript"/>
        </w:rPr>
        <w:t>®</w:t>
      </w:r>
      <w:r>
        <w:rPr>
          <w:rFonts w:ascii="Arial" w:cs="Arial" w:eastAsia="Arial" w:hAnsi="Arial"/>
          <w:sz w:val="17"/>
          <w:szCs w:val="17"/>
          <w:color w:val="auto"/>
        </w:rPr>
        <w:t>, which is primarily used to raise high-density lipoprotein cholesterol, or HDL-C, but is also used to lower triglycerides. Multiple generic versions of Tricor, Trilipix and Niaspan are also available in the United States. We compete with these drugs, and in particular, multiple low-cost generic versions of these drugs, in our U.S. FDA-approved indicated uses, even though such products do not have U.S. FDA approval to reduce CV risk on top of statin therapy.</w:t>
      </w:r>
    </w:p>
    <w:p>
      <w:pPr>
        <w:spacing w:after="0" w:line="83"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In addition, in May 2014, Epanova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(omega-3-carboxylic acids) capsules, a free fatty acid form of omega-3 (comprised of 55% EPA and 20% DHA), was approved by the U.S. FDA for patients with severe hypertriglyceridemia and is currently commercialized by AstraZeneca Pharmaceuticals LP, or AstraZeneca. Also, in April 2014, Omtryg, another omega-3-acid fatty acid composition developed by Trygg Pharma AS, received U.S. FDA approval for severe hypertriglyceridemia. Neither Epanova nor Omtryg have been commercially launched, but could launch at any time. AstraZeneca has greater resources than we do, including financial, product development, marketing, personnel and other resources.</w:t>
      </w:r>
    </w:p>
    <w:p>
      <w:pPr>
        <w:spacing w:after="0" w:line="83" w:lineRule="exact"/>
        <w:rPr>
          <w:sz w:val="20"/>
          <w:szCs w:val="20"/>
          <w:color w:val="auto"/>
        </w:rPr>
      </w:pPr>
    </w:p>
    <w:p>
      <w:pPr>
        <w:ind w:right="100" w:firstLine="509"/>
        <w:spacing w:after="0" w:line="266" w:lineRule="auto"/>
        <w:rPr>
          <w:sz w:val="20"/>
          <w:szCs w:val="20"/>
          <w:color w:val="auto"/>
        </w:rPr>
      </w:pPr>
      <w:r>
        <w:rPr>
          <w:rFonts w:ascii="Arial" w:cs="Arial" w:eastAsia="Arial" w:hAnsi="Arial"/>
          <w:sz w:val="18"/>
          <w:szCs w:val="18"/>
          <w:color w:val="auto"/>
        </w:rPr>
        <w:t>AstraZeneca conducted a long-term outcomes study to assess Statin Residual Risk Reduction With EpaNova in HiGh Cardiovascular Risk PatienTs With Hypertriglyceridemia (STRENGTH). The study was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On January 13, 2020 following the recommendation of an independent Data Monitoring Committee, AstraZeneca decided to close the STRENGTH trial due to its low likelihood of demonstrating benefit to patients with mixed dyslipidemia who are at increased risk 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1" w:name="page52"/>
    <w:bookmarkEnd w:id="51"/>
    <w:p>
      <w:pPr>
        <w:spacing w:after="0" w:line="292" w:lineRule="auto"/>
        <w:rPr>
          <w:sz w:val="20"/>
          <w:szCs w:val="20"/>
          <w:color w:val="auto"/>
        </w:rPr>
      </w:pPr>
      <w:r>
        <w:rPr>
          <w:rFonts w:ascii="Arial" w:cs="Arial" w:eastAsia="Arial" w:hAnsi="Arial"/>
          <w:sz w:val="17"/>
          <w:szCs w:val="17"/>
          <w:color w:val="auto"/>
        </w:rPr>
        <w:t>cardiovascular disease. Full data from the STRENGTH trial was presented at the American Heart Association’s, or the AHA's, Scientific Sessions in November 2020, confirming that Epanova failed to meet the primary endpoint of CV risk reduction. In addition, in March 2017, Kowa Research Institute (a subsidiary of the Japanese company Kowa Co., Ltd) initiated a Phase 3 cardiovascular outcomes trial titled PROMINENT examining the effect of pemafibrate (experimental name K-877) in reducing cardiovascular events in Type II diabetic patients with hypertriglyceridemia. Kowa Research Institute has publicly estimated study completion in May 2022, and if successful, U.S. regulatory approval is estimated in mid-2023.</w:t>
      </w:r>
    </w:p>
    <w:p>
      <w:pPr>
        <w:spacing w:after="0" w:line="66" w:lineRule="exact"/>
        <w:rPr>
          <w:sz w:val="20"/>
          <w:szCs w:val="20"/>
          <w:color w:val="auto"/>
        </w:rPr>
      </w:pPr>
    </w:p>
    <w:p>
      <w:pPr>
        <w:ind w:right="120" w:firstLine="509"/>
        <w:spacing w:after="0" w:line="308" w:lineRule="auto"/>
        <w:rPr>
          <w:sz w:val="20"/>
          <w:szCs w:val="20"/>
          <w:color w:val="auto"/>
        </w:rPr>
      </w:pPr>
      <w:r>
        <w:rPr>
          <w:rFonts w:ascii="Arial" w:cs="Arial" w:eastAsia="Arial" w:hAnsi="Arial"/>
          <w:sz w:val="16"/>
          <w:szCs w:val="16"/>
          <w:color w:val="auto"/>
        </w:rPr>
        <w:t>During 2018, two outcomes studies, the VITamin D and OmegA-3 TriaL (VITAL) and A Study of Cardiovascular Events iN Diabetes (ASCEND) trial were completed of omega-3 mixtures which both failed to achieve their primary endpoints of cardiovascular risk reduction and two meta-analyses were published showing that omega-3 mixtures of both EPA and DHA are not effective in lowering cardiovascular risk. Results of these failed outcomes studies and analysis, while not done with VASCEPA, may negatively affect sales of VASCEPA. For example, VITAL was an NIH funded randomized double-blind, placebo-controlled, 2x2 factorial trial of 2000 IU per day of vitamin D3 and 1 gram per day of omega-3 fatty acid mixture supplementation (Lovaza) for the primary prevention of cancer and cardiovascular disease in a nationwide USA cohort of 25,874 adults not selected for elevated cardiovascular or cancer risk and its results were announced immediately before the presentation of REDUCE-IT results at the 2018 Scientific Sessions of the AHA on November 10, 2018, which may have caused concerns about the effectiveness of omega-3 mixtures generally, including VASCEPA.</w:t>
      </w:r>
    </w:p>
    <w:p>
      <w:pPr>
        <w:spacing w:after="0" w:line="55" w:lineRule="exact"/>
        <w:rPr>
          <w:sz w:val="20"/>
          <w:szCs w:val="20"/>
          <w:color w:val="auto"/>
        </w:rPr>
      </w:pPr>
    </w:p>
    <w:p>
      <w:pPr>
        <w:ind w:right="340" w:firstLine="509"/>
        <w:spacing w:after="0" w:line="275" w:lineRule="auto"/>
        <w:rPr>
          <w:sz w:val="20"/>
          <w:szCs w:val="20"/>
          <w:color w:val="auto"/>
        </w:rPr>
      </w:pPr>
      <w:r>
        <w:rPr>
          <w:rFonts w:ascii="Arial" w:cs="Arial" w:eastAsia="Arial" w:hAnsi="Arial"/>
          <w:sz w:val="18"/>
          <w:szCs w:val="18"/>
          <w:color w:val="auto"/>
        </w:rPr>
        <w:t>Likewise, in 2018, results from the ASCEND trial were released and showed negligible results for omega-3 fatty acid mixtures 1 gram daily. ASCEND was a British Heart Foundation funded 2x2 factorial design, randomized study to assess whether aspirin 100 mg daily versus placebo and separately, omega-3 fatty acid mixtures 1 gram daily versus placebo, reduce the risk of cardiovascular events in a nationwide UK cohort of over 15,000 individuals with diabetes who do not have atherosclerotic cardiovascular disease.</w:t>
      </w:r>
    </w:p>
    <w:p>
      <w:pPr>
        <w:spacing w:after="0" w:line="77" w:lineRule="exact"/>
        <w:rPr>
          <w:sz w:val="20"/>
          <w:szCs w:val="20"/>
          <w:color w:val="auto"/>
        </w:rPr>
      </w:pPr>
    </w:p>
    <w:p>
      <w:pPr>
        <w:ind w:right="80" w:firstLine="509"/>
        <w:spacing w:after="0" w:line="270" w:lineRule="auto"/>
        <w:rPr>
          <w:sz w:val="20"/>
          <w:szCs w:val="20"/>
          <w:color w:val="auto"/>
        </w:rPr>
      </w:pPr>
      <w:r>
        <w:rPr>
          <w:rFonts w:ascii="Arial" w:cs="Arial" w:eastAsia="Arial" w:hAnsi="Arial"/>
          <w:sz w:val="18"/>
          <w:szCs w:val="18"/>
          <w:color w:val="auto"/>
        </w:rPr>
        <w:t>More recently, in 2020, an additional Nordic trial known as OMEMI failed to demonstrate a reduction in cardiovascular events with an omega-3 fatty acid mixture. OMEMI, an investigator-initiated, multi-center, randomized clinical trial, was designed to evaluate the effects of daily treatment with omega-3 fatty acids compared with placebo among elderly patients (ages 70-82) with recent myocardial infarction. Patients received 1.8 g omega-3 fatty acids (930 mg EPA and 660 mg DHA) or placebo (corn oil) daily added to standard of care. Results presented in November 2020 at the American Heart Association’s Scientific Sessions showed no significant differences in cardiovascular events between the treatment groups for the composite primary endpoint (non-fatal MI, unscheduled revascularization, stroke, hospitalization for heart failure or all-cause mortality), nor for the individual components of this endpoint after two years.</w:t>
      </w:r>
    </w:p>
    <w:p>
      <w:pPr>
        <w:spacing w:after="0" w:line="84"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In a meta-analysis, presented in 2018 by the Cochrane Foundation and separately as published in JAMA, additional omega-3 studies were evaluated. Similar to the VITAL and ASCEND studies, most of the studies in these omega-3 meta-analyses were of omega-3 mixtures, including DHA, and most were studies of relatively low doses of omega-3 as is associated with dietary supplementation and/or they studied relatively low risk patient populations. The exception was the JELIS study, conducted in Japan, of highly pure EPA which showed a positive outcome benefit but had significant limitations in its application to a wider population. The negative results from such omega-3 mixture studies could create misleading impressions about the use of omega-3s generally, including VASCEPA, despite REDUCE-IT positive results and the highly-pure and stable EPA active ingredient in VASCEPA and its higher dose regimen.</w:t>
      </w:r>
    </w:p>
    <w:p>
      <w:pPr>
        <w:spacing w:after="0" w:line="85" w:lineRule="exact"/>
        <w:rPr>
          <w:sz w:val="20"/>
          <w:szCs w:val="20"/>
          <w:color w:val="auto"/>
        </w:rPr>
      </w:pPr>
    </w:p>
    <w:p>
      <w:pPr>
        <w:ind w:right="80" w:firstLine="509"/>
        <w:spacing w:after="0" w:line="272" w:lineRule="auto"/>
        <w:rPr>
          <w:sz w:val="20"/>
          <w:szCs w:val="20"/>
          <w:color w:val="auto"/>
        </w:rPr>
      </w:pPr>
      <w:r>
        <w:rPr>
          <w:rFonts w:ascii="Arial" w:cs="Arial" w:eastAsia="Arial" w:hAnsi="Arial"/>
          <w:sz w:val="18"/>
          <w:szCs w:val="18"/>
          <w:color w:val="auto"/>
        </w:rPr>
        <w:t>We believe Micelle BioPharma Inc., or Micelle, is also developing potential treatments for hypertriglyceridemia based on omega-3 fatty acids. To our knowledge, Micelle, after acquiring SC401 from Sancilio &amp; Company, or Sancilio, is pursuing a regulatory pathway under section 505(b)(2) of the FDCA for its product and submitted an Investigational New Drug Application, or IND, in July 2015. Micelle (Sancilio) completed two pharmacokinetic studies and Phase 2 bioavailability studies (FASTR I&amp;II), with one comparing SC401 to Lovaza. We expect the company or a potential partner to initiate a pivotal clinical Phase 3 study as the next step in development.</w:t>
      </w:r>
    </w:p>
    <w:p>
      <w:pPr>
        <w:spacing w:after="0" w:line="83" w:lineRule="exact"/>
        <w:rPr>
          <w:sz w:val="20"/>
          <w:szCs w:val="20"/>
          <w:color w:val="auto"/>
        </w:rPr>
      </w:pPr>
    </w:p>
    <w:p>
      <w:pPr>
        <w:ind w:right="20" w:firstLine="509"/>
        <w:spacing w:after="0" w:line="299" w:lineRule="auto"/>
        <w:rPr>
          <w:sz w:val="20"/>
          <w:szCs w:val="20"/>
          <w:color w:val="auto"/>
        </w:rPr>
      </w:pPr>
      <w:r>
        <w:rPr>
          <w:rFonts w:ascii="Arial" w:cs="Arial" w:eastAsia="Arial" w:hAnsi="Arial"/>
          <w:sz w:val="16"/>
          <w:szCs w:val="16"/>
          <w:color w:val="auto"/>
        </w:rPr>
        <w:t>Matinas BioPharma, Inc., or Matinas, is developing an omega-3-based therapeutic, MAT9001, for the treatment of severe hypertriglyceridemia and mixed dyslipidemia. In the fourth quarter of 2014 Matinas filed an IND with the U.S. FDA to conduct a human study in the treatment of severe hypertriglyceridemia and, in June 2015, the company announced topline results for its head-to-head comparative short duration pharmacokinetic and pharmacodynamic study of MAT9001 versus VASCEPA in patients under conditions inconsistent with the U.S. FDA-approved label for VASCEPA and presented results based on biomarker modification without outcomes data. In September 2017, Matinas announced that it will be seeking a partner company to develop and commercialize MAT9001. In March 2019, Matinas announced that net proceeds from a public offering of common stock would be used for development activities for MAT9001. In March 2020, Matinas announced that it completed the clinical dosing for a comparative clinical bridging bioavailability study and the in-life portion of a 90-day comparative toxicology study. Both studies were conducted to support a planned 505(b)(2) registration pathway. In March, Matinas also initiated an additional Phase 2 head-to-head pharmacokinetic and pharmacodynamic study (ENHANCE-IT) against VASCEPA in patients with elevated triglycerides (150-499 mg/dL), while the study was paused in the first quarter of 2020 due to the COVID-19 pandemic, enrollment resumed in June and was completed in August 2020. In the first quarter of 2021, Matinas announced topline results from the ENHANCE-IT study, stating that LYPDISO, or MAT9001, did not meet statistical significance over VASCEPA on the primary endpoint of percent change from baseline to end of treatment in triglycerides in the pharmacodynamic, or PD, population. A key secondary endpoint in ENHANCE-IT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2" w:name="page53"/>
    <w:bookmarkEnd w:id="52"/>
    <w:p>
      <w:pPr>
        <w:spacing w:after="0" w:line="271" w:lineRule="auto"/>
        <w:rPr>
          <w:sz w:val="20"/>
          <w:szCs w:val="20"/>
          <w:color w:val="auto"/>
        </w:rPr>
      </w:pPr>
      <w:r>
        <w:rPr>
          <w:rFonts w:ascii="Arial" w:cs="Arial" w:eastAsia="Arial" w:hAnsi="Arial"/>
          <w:sz w:val="18"/>
          <w:szCs w:val="18"/>
          <w:color w:val="auto"/>
        </w:rPr>
        <w:t>was the measurement of eicosapentaenoic acid levels in the blood, which is regarded as a key surrogate marker in determining cardiovascular risk reduction. In ENHANCE-IT, plasma EPA concentrations were significantly higher with LYPDISO vs. VASCEPA (46% relative percent increase in the change from baseline EPA level vs VASCEPA). Matinas stated that the results from ENHANCE-IT suggest potential for LYPDISO as a drug for cardiovascular risk reduction and announced that it is pursuing external partnerships to further develop LYPDISO for cardiovascular outcomes indication. As a result, Matinas no longer plans to pursue an indication for the treatment of severe hypertriglyceridemia, instead focusing on the broader cardiovascular risk reduction indication.</w:t>
      </w:r>
    </w:p>
    <w:p>
      <w:pPr>
        <w:spacing w:after="0" w:line="83" w:lineRule="exact"/>
        <w:rPr>
          <w:sz w:val="20"/>
          <w:szCs w:val="20"/>
          <w:color w:val="auto"/>
        </w:rPr>
      </w:pPr>
    </w:p>
    <w:p>
      <w:pPr>
        <w:ind w:right="200" w:firstLine="509"/>
        <w:spacing w:after="0" w:line="287" w:lineRule="auto"/>
        <w:rPr>
          <w:sz w:val="20"/>
          <w:szCs w:val="20"/>
          <w:color w:val="auto"/>
        </w:rPr>
      </w:pPr>
      <w:r>
        <w:rPr>
          <w:rFonts w:ascii="Arial" w:cs="Arial" w:eastAsia="Arial" w:hAnsi="Arial"/>
          <w:sz w:val="17"/>
          <w:szCs w:val="17"/>
          <w:color w:val="auto"/>
        </w:rPr>
        <w:t>In June 2018, NeuroBo Pharmaceuticals, Inc. (then-named Gemphire Therapeutics) announced positive topline results from a Phase 2b trial (INDIGO-1) of its drug candidate, gemcabene, in patients with severe hypertriglyceridemia. Gemcabene is an oral, once-daily pill for a number of hypercholesterolemic populations and severe hypertriglyceridemia. In August 2018, the U.S. FDA requested that Gemphire conduct an additional long-term toxicity study before commencing any further clinical testing, thereby effectively placing gemcabene on a partial clinical hold. In March 2020 NeuroBo announced the completion of the requested studies, and in May 2020 the company announced that it received written communication from the U.S. FDA that the clinical development program for Gemcabene remains on partial clinical hold. In June 2019, Gemphire announced top-line clinical results from a Phase 2 trial in Familial Partial Lipodystrophy (FPL)/NASH in which Gemcabene safely met the primary endpoint in a sub-set of patients. Phase 3 studies for homozygous familial hypercholesterol emia (HoFH), heterozygous familial hypercholesterolemia (HeFH) and non-familial hypercholesterolemia in ASCVD patients are planned.</w:t>
      </w:r>
    </w:p>
    <w:p>
      <w:pPr>
        <w:spacing w:after="0" w:line="70"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Afimmune Ltd. has an oral, small molecule drug candidate, epeleuton (DS-102), in development for a number of conditions of the liver, lung, and metabolic system, including hypertriglyceridemia and cardiovascular risk reduction, Phase 2 clinical trials are currently ongoing for non-alcoholic fatty liver disease, or NAFLD, chronic obstructive pulmonary disease, or COPD, and planned for hypertriglyceridemia and Type 2 diabetes (TRIAGE), in the United States. In November 2019, Afimmune Ltd. announced positive results from an exploratory Phase 2 study of epeleuton in patients with NAFLD in which the molecule decreased triglycerides, improved glycemic control, and decreased markers of inflammation. In August 2020, Afimmune reported Phase 2a study results of epeleuton in patients with NAFLD. Although epeleuton failed to meet the primary endpoint to demonstrate effects on liver enzyme elevation, it demonstrated significant reduction of triglycerides, HbA1c and potential for CV risk reduction. In September 2020, Afimmune announced the start of TRIglyceride And Glucose control with Epeleuton in Metabolic Syndrome Patients, or TRIAGE, a Phase IIb study of epeleuton in patients with high triglycerides and type 2 diabetes to assess the safety and efficacy of orally administered epeleuton capsules vs placebo in the treatment of hypertriglyceridemia and type 2 diabetes. Results are expected in the third quarter of 2022.</w:t>
      </w:r>
    </w:p>
    <w:p>
      <w:pPr>
        <w:spacing w:after="0" w:line="74"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Based on prior communications from the U.S. FDA, including communications in connection with its review of the ANCHOR indication for VASCEPA, it is our understanding that the U.S. FDA is not prepared to approve any therapy for treatment of cardiovascular risk based on biomarker modification without cardiovascular outcomes study data, with the exception of therapies which lower LDL-cholesterol, depending on the circumstances. In particular, it is our understanding that the U.S. FDA is not prepared to approve any therapy based primarily on data demonstrating lowering of triglyceride levels. In our view, this position from the U.S. FDA would likely not change based on the REDUCE-IT study particularly in light of significant independence of the positive benefit demonstrated in the REDUCE-IT study from triglyceride levels and benefit from the REDUCE-IT study supporting that the positive effects of VASCEPA are unique to VASCEPA extending beyond triglyceride reduction. If the U.S. FDA were to take a different position, it could potentially have a negative impact on Amarin by making it easier for other products to achieve a cardiovascular risk reduction indication without the need in advance to conduct a long and expensive cardiovascular outcomes study.</w:t>
      </w:r>
    </w:p>
    <w:p>
      <w:pPr>
        <w:spacing w:after="0" w:line="70"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VASCEPA also faces competition from dietary supplement manufacturers marketing omega-3 products as nutritional supplements. Such products are classified as food, not as prescription drugs or as over-the-counter drugs, by the U.S. FDA in the United States. Most regulatory regimes outside the United States are similar in this regard. Some of the promoters of such products have greater resources than us and are not restricted to the same standards as are prescription drugs with respect to promotional claims or manufacturing quality, consistency and subsequent product stability. We have taken successful legal action against supplement manufacturers attempting to use the REDUCE-IT results to promote their products in the United States. Still, we cannot be sure physicians and pharmacists will view the U.S. FDA-approved, prescription-only status, and EPA-only purity and stability of VASCEPA or U.S. FDA’s stringent regulatory oversight, as significant advantages versus omega-3 dietary supplements regardless of clinical study results and other scientific data. A similar competitive dynamic for VASCEPA exists in the jurisdictions outside the United States, including Europe, Canada and the greater China region.</w:t>
      </w:r>
    </w:p>
    <w:p>
      <w:pPr>
        <w:spacing w:after="0" w:line="70" w:lineRule="exact"/>
        <w:rPr>
          <w:sz w:val="20"/>
          <w:szCs w:val="20"/>
          <w:color w:val="auto"/>
        </w:rPr>
      </w:pPr>
    </w:p>
    <w:p>
      <w:pPr>
        <w:ind w:right="100" w:firstLine="509"/>
        <w:spacing w:after="0" w:line="290" w:lineRule="auto"/>
        <w:rPr>
          <w:sz w:val="20"/>
          <w:szCs w:val="20"/>
          <w:color w:val="auto"/>
        </w:rPr>
      </w:pPr>
      <w:r>
        <w:rPr>
          <w:rFonts w:ascii="Arial" w:cs="Arial" w:eastAsia="Arial" w:hAnsi="Arial"/>
          <w:sz w:val="17"/>
          <w:szCs w:val="17"/>
          <w:color w:val="auto"/>
        </w:rPr>
        <w:t>In March 2021, we announced that the EC has approved the marketing authorization application for VAZKEPA to reduce the risk of cardiovascular events in certain high-risk, statin treated adult patients. With the approval by the EC of VAZKEPA, there is currently no other drug that is approved for cardiovascular risk reduction in Europe in the at-risk patient population studied in REDUCE-IT. In addition, there is currently no other direct competition for Canada and the Middle East. However, consistent with the U.S., our competitors include large, well-established and experienced pharmaceutical companies, specialty and generic pharmaceutical companies, marketing companies, and specialized cardiovascular treatment companies and we have no experience as a company self-commercializing a product outside of the United States.</w:t>
      </w:r>
    </w:p>
    <w:p>
      <w:pPr>
        <w:spacing w:after="0" w:line="68" w:lineRule="exact"/>
        <w:rPr>
          <w:sz w:val="20"/>
          <w:szCs w:val="20"/>
          <w:color w:val="auto"/>
        </w:rPr>
      </w:pPr>
    </w:p>
    <w:p>
      <w:pPr>
        <w:ind w:right="380" w:firstLine="509"/>
        <w:spacing w:after="0" w:line="266" w:lineRule="auto"/>
        <w:rPr>
          <w:sz w:val="20"/>
          <w:szCs w:val="20"/>
          <w:color w:val="auto"/>
        </w:rPr>
      </w:pPr>
      <w:r>
        <w:rPr>
          <w:rFonts w:ascii="Arial" w:cs="Arial" w:eastAsia="Arial" w:hAnsi="Arial"/>
          <w:sz w:val="18"/>
          <w:szCs w:val="18"/>
          <w:color w:val="auto"/>
        </w:rPr>
        <w:t>Recent CV outcomes trials and meta-analyses with low and high dose omega-3 fatty acid mixtures containing DHA have not shown substantial benefit in patients receiving contemporary medical therapy, including statins. Due to failed low dose omega-3 CV</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3" w:name="page54"/>
    <w:bookmarkEnd w:id="53"/>
    <w:p>
      <w:pPr>
        <w:ind w:right="40"/>
        <w:spacing w:after="0" w:line="243" w:lineRule="auto"/>
        <w:rPr>
          <w:sz w:val="20"/>
          <w:szCs w:val="20"/>
          <w:color w:val="auto"/>
        </w:rPr>
      </w:pPr>
      <w:r>
        <w:rPr>
          <w:rFonts w:ascii="Arial" w:cs="Arial" w:eastAsia="Arial" w:hAnsi="Arial"/>
          <w:sz w:val="18"/>
          <w:szCs w:val="18"/>
          <w:color w:val="auto"/>
        </w:rPr>
        <w:t>outcomes trials, the European regulatory authorities have concluded that omega-3 fatty acid medicines (specifically Lovaza</w:t>
      </w:r>
      <w:r>
        <w:rPr>
          <w:rFonts w:ascii="Arial" w:cs="Arial" w:eastAsia="Arial" w:hAnsi="Arial"/>
          <w:sz w:val="24"/>
          <w:szCs w:val="24"/>
          <w:color w:val="auto"/>
          <w:vertAlign w:val="superscript"/>
        </w:rPr>
        <w:t>®</w:t>
      </w:r>
      <w:r>
        <w:rPr>
          <w:rFonts w:ascii="Arial" w:cs="Arial" w:eastAsia="Arial" w:hAnsi="Arial"/>
          <w:sz w:val="18"/>
          <w:szCs w:val="18"/>
          <w:color w:val="auto"/>
        </w:rPr>
        <w:t>/Omacor</w:t>
      </w:r>
      <w:r>
        <w:rPr>
          <w:rFonts w:ascii="Arial" w:cs="Arial" w:eastAsia="Arial" w:hAnsi="Arial"/>
          <w:sz w:val="24"/>
          <w:szCs w:val="24"/>
          <w:color w:val="auto"/>
          <w:vertAlign w:val="superscript"/>
        </w:rPr>
        <w:t>®</w:t>
      </w:r>
      <w:r>
        <w:rPr>
          <w:rFonts w:ascii="Arial" w:cs="Arial" w:eastAsia="Arial" w:hAnsi="Arial"/>
          <w:sz w:val="18"/>
          <w:szCs w:val="18"/>
          <w:color w:val="auto"/>
        </w:rPr>
        <w:t>) at a dose of 1-gram per day are not effective in preventing further events for patients who have had a heart attack. The STRENGTH trial of an omega-3 mixture studied at 4-grams per day also failed to demonstrate cardiovascular benefit.</w:t>
      </w:r>
    </w:p>
    <w:p>
      <w:pPr>
        <w:spacing w:after="0" w:line="242" w:lineRule="exact"/>
        <w:rPr>
          <w:sz w:val="20"/>
          <w:szCs w:val="20"/>
          <w:color w:val="auto"/>
        </w:rPr>
      </w:pPr>
    </w:p>
    <w:p>
      <w:pPr>
        <w:ind w:right="780" w:firstLine="509"/>
        <w:spacing w:after="0" w:line="293" w:lineRule="auto"/>
        <w:rPr>
          <w:sz w:val="20"/>
          <w:szCs w:val="20"/>
          <w:color w:val="auto"/>
        </w:rPr>
      </w:pPr>
      <w:r>
        <w:rPr>
          <w:rFonts w:ascii="Arial" w:cs="Arial" w:eastAsia="Arial" w:hAnsi="Arial"/>
          <w:sz w:val="18"/>
          <w:szCs w:val="18"/>
          <w:b w:val="1"/>
          <w:bCs w:val="1"/>
          <w:i w:val="1"/>
          <w:iCs w:val="1"/>
          <w:color w:val="auto"/>
        </w:rPr>
        <w:t>As generic company competitors seek to compete with copies of VASCEPA in the United States and elsewhere we could face additional challenges to our patents and additional patent litigation.</w:t>
      </w:r>
    </w:p>
    <w:p>
      <w:pPr>
        <w:spacing w:after="0" w:line="62" w:lineRule="exact"/>
        <w:rPr>
          <w:sz w:val="20"/>
          <w:szCs w:val="20"/>
          <w:color w:val="auto"/>
        </w:rPr>
      </w:pPr>
    </w:p>
    <w:p>
      <w:pPr>
        <w:jc w:val="both"/>
        <w:ind w:right="60" w:firstLine="509"/>
        <w:spacing w:after="0" w:line="290" w:lineRule="auto"/>
        <w:rPr>
          <w:sz w:val="20"/>
          <w:szCs w:val="20"/>
          <w:color w:val="auto"/>
        </w:rPr>
      </w:pPr>
      <w:r>
        <w:rPr>
          <w:rFonts w:ascii="Arial" w:cs="Arial" w:eastAsia="Arial" w:hAnsi="Arial"/>
          <w:sz w:val="17"/>
          <w:szCs w:val="17"/>
          <w:color w:val="auto"/>
        </w:rPr>
        <w:t>The FDCA, as amended by the Drug Price Competition and Patent Term Restoration Act of 1984, as amended, or the Hatch-Waxman Amendments, permits the U.S.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54"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As an alternate path to U.S. FDA approval for modifications of products previously approved by the U.S. FDA, an applicant may submit a new drug application, or NDA, under Section 505(b)(2) of the FDCA (enacted as part of the Hatch-Waxman Amendments). This statutory provision permits the filing of an NDA where at least some of the information required for approval comes from studies not conducted by or for the applicant and for which the applicant has not obtained a right of reference from the owner of the data. The Hatch-Waxman Amendments permit the applicant to rely upon the U.S. FDA findings of safety and effectiveness of a drug that has obtained U.S. FDA approval based on preclinical or clinical studies conducted by others. In addition to relying on U.S. FDA prior findings of safety and effectiveness for a referenced drug product, the U.S. FDA may require companies to perform additional preclinical or clinical studies to support approval of the modification to the referenced product.</w:t>
      </w:r>
    </w:p>
    <w:p>
      <w:pPr>
        <w:spacing w:after="0" w:line="69"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If an application for a generic version of a branded product or a Section 505(b)(2) application relies on a prior U.S. FDA finding of safety and effectiveness of a previously-approved product including an alternative strength thereof, the applicant is required to certify to the U.S. FDA concerning any patents listed for the referenced product in the U.S. FDA publication called “Approved Drug Products with Therapeutic Equivalence Evaluations,” otherwise known as the “Orange Book.” Specifically, the applicant must certify in the application that:</w:t>
      </w:r>
    </w:p>
    <w:p>
      <w:pPr>
        <w:spacing w:after="0" w:line="92" w:lineRule="exact"/>
        <w:rPr>
          <w:sz w:val="20"/>
          <w:szCs w:val="20"/>
          <w:color w:val="auto"/>
        </w:rPr>
      </w:pPr>
    </w:p>
    <w:p>
      <w:pPr>
        <w:ind w:left="960" w:hanging="443"/>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is no patent information listed for the reference drug;</w:t>
      </w:r>
    </w:p>
    <w:p>
      <w:pPr>
        <w:spacing w:after="0" w:line="131" w:lineRule="exact"/>
        <w:rPr>
          <w:sz w:val="20"/>
          <w:szCs w:val="20"/>
          <w:color w:val="auto"/>
        </w:rPr>
      </w:pPr>
    </w:p>
    <w:p>
      <w:pPr>
        <w:ind w:left="960" w:hanging="443"/>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listed patent has expired for the reference drug;</w:t>
      </w:r>
    </w:p>
    <w:p>
      <w:pPr>
        <w:spacing w:after="0" w:line="131"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the listed patent for the reference drug has not expired, but will expire on a particular date and approval is sought after patent expiration; or</w:t>
      </w:r>
    </w:p>
    <w:p>
      <w:pPr>
        <w:spacing w:after="0" w:line="131" w:lineRule="exact"/>
        <w:rPr>
          <w:sz w:val="20"/>
          <w:szCs w:val="20"/>
          <w:color w:val="auto"/>
        </w:rPr>
      </w:pPr>
    </w:p>
    <w:p>
      <w:pPr>
        <w:ind w:left="960" w:right="360" w:hanging="439"/>
        <w:spacing w:after="0" w:line="293" w:lineRule="auto"/>
        <w:tabs>
          <w:tab w:leader="none" w:pos="940" w:val="left"/>
        </w:tabs>
        <w:rPr>
          <w:sz w:val="20"/>
          <w:szCs w:val="20"/>
          <w:color w:val="auto"/>
        </w:rPr>
      </w:pPr>
      <w:r>
        <w:rPr>
          <w:rFonts w:ascii="Arial" w:cs="Arial" w:eastAsia="Arial" w:hAnsi="Arial"/>
          <w:sz w:val="18"/>
          <w:szCs w:val="18"/>
          <w:color w:val="auto"/>
        </w:rPr>
        <w:t>(IV)</w:t>
        <w:tab/>
        <w:t>the listed patent for the reference drug is invalid, unenforceable, or will not be infringed by the manufacture, use or sale of the product for which the ANDA or 505(b)(2) NDA is submitted.</w:t>
      </w:r>
    </w:p>
    <w:p>
      <w:pPr>
        <w:spacing w:after="0" w:line="62"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color w:val="auto"/>
        </w:rPr>
        <w:t>The Hatch-Waxman Amendments require an applicant for a drug product that relies, in whole or in part, on the U.S. FDA’s prior approval of VASCEPA, to notify us of its application, a “paragraph IV” notice, if the applicant is seeking to market its product prior to the expiration of the patents that both claim VASCEPA and are listed in the Orange Book. A bona fide paragraph IV notice may not be given under the Hatch-Waxman Amendments until after the generic company receives from the U.S. FDA an acknowledgement letter stating that its ANDA is sufficiently complete to permit a substantive review.</w:t>
      </w:r>
    </w:p>
    <w:p>
      <w:pPr>
        <w:spacing w:after="0" w:line="83" w:lineRule="exact"/>
        <w:rPr>
          <w:sz w:val="20"/>
          <w:szCs w:val="20"/>
          <w:color w:val="auto"/>
        </w:rPr>
      </w:pPr>
    </w:p>
    <w:p>
      <w:pPr>
        <w:ind w:firstLine="509"/>
        <w:spacing w:after="0" w:line="281" w:lineRule="auto"/>
        <w:rPr>
          <w:sz w:val="20"/>
          <w:szCs w:val="20"/>
          <w:color w:val="auto"/>
        </w:rPr>
      </w:pPr>
      <w:r>
        <w:rPr>
          <w:rFonts w:ascii="Arial" w:cs="Arial" w:eastAsia="Arial" w:hAnsi="Arial"/>
          <w:sz w:val="17"/>
          <w:szCs w:val="17"/>
          <w:color w:val="auto"/>
        </w:rPr>
        <w:t>The paragraph IV notice is required to contain a detailed factual and legal statement explaining the basis for the applicant’s opinion that the proposed product does not infringe our patents, that the relevant patents are invalid, or both. After receipt of a valid notice, the branded product manufacturer has the option of bringing a patent infringement suit in federal district court against any generic company seeking approval for its product within 45 days from the date of receipt of each notice. If such a suit is commenced within this 45-day period, the Hatch-Waxman Amendments provide for a 30-month stay on U.S. FDA’s ability to give final approval to the proposed generic product, which period begins on the date the paragraph IV notice is received. Generally, during a period of time in which generic applications may be submitted for a branded product based on a product’s regulatory exclusivity status, if no patents are listed in the Orange Book before the date on which a complete ANDA application for a product (excluding an amendment or supplement to the application) is submitted, an ANDA application could be approved by U.S. FDA without regard to a stay. For products entitled to five-year exclusivity status, the Hatch-Waxman Amendments provide that an ANDA application may be submitted after four years following U.S. FDA approval of the branded product if it contains a certification of patent invalidity or non-infringement to a patent listed in the Orange Book. In such a case, the 30-month stay runs from the end of the five-year exclusivity period. Statutory stays may be shortened or lengthened if either party fails to cooperate in the litigation and it may be terminated if the court decides the case in less than 30 months. If the litigation is resolved in favor of the ANDA applicant before the expiration of the 30-month period, the stay will be immediately lifted and the U.S. FDA’s review of the application may be completed. Such litigation is often time-consuming and costly, and may result in generic competition if such patents are not upheld or if the generic competitor is found not to infringe such patents.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54" w:name="page55"/>
    <w:bookmarkEnd w:id="54"/>
    <w:p>
      <w:pPr>
        <w:ind w:firstLine="509"/>
        <w:spacing w:after="0" w:line="304" w:lineRule="auto"/>
        <w:rPr>
          <w:sz w:val="20"/>
          <w:szCs w:val="20"/>
          <w:color w:val="auto"/>
        </w:rPr>
      </w:pPr>
      <w:r>
        <w:rPr>
          <w:rFonts w:ascii="Arial" w:cs="Arial" w:eastAsia="Arial" w:hAnsi="Arial"/>
          <w:sz w:val="16"/>
          <w:szCs w:val="16"/>
          <w:color w:val="auto"/>
        </w:rPr>
        <w:t>In addition to the ANDA patent litigation described above, we could face patent litigation related to the patents filed in the Orange Book related to the REDUCE-IT study.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received three-year exclusivity in connection with the approval of our sNDA for REDUCE-IT study results. Such three-year exclusivity protection precludes, unless otherwise agreed, the U.S. FDA from approving a marketing application for an ANDA, a product candidate that the U.S. FDA views as having the same conditions of approval as VASCEPA (for example, the same indication and/or other conditions of use), or a 505(b)(2) NDA submitted to the U.S. FDA with VASCEPA as the reference product until December 13, 2022, three years from the date of U.S. FDA approval of the REDUCE-IT sNDA. While this three-year exclusivity would generally prevent such an approval based on our REDUCE-IT indication during such time, it does not preclude tentative or final approval of an ANDA based on our MARINE indication. The U.S. FDA may accept and commence review of such REDUCE-IT-related applications during the three-year exclusivity period. Such three-year exclusivity grant does not prevent a company from challenging the validity of REDUCE-IT patents during such period. This three-year form of exclusivity may also not prevent the U.S. FDA from approving an NDA that relies only on its own data to support the change or innovation. Regulatory exclusivity is in addition to exclusivity afforded by issued patents related to VASCEPA.</w:t>
      </w:r>
    </w:p>
    <w:p>
      <w:pPr>
        <w:spacing w:after="0" w:line="62"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color w:val="auto"/>
        </w:rPr>
        <w:t>We may also face challenges to the validity of our patents through a procedure known as inter partes review. Inter partes review is a trial proceeding conducted through the Patent Trial and Appeal Board, of the U.S. Patent and Trademark Office. Such a proceeding could be introduced against us within the statutory one-year window triggered by service of a complaint for infringement related to an ANDA filing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83" w:lineRule="exact"/>
        <w:rPr>
          <w:sz w:val="20"/>
          <w:szCs w:val="20"/>
          <w:color w:val="auto"/>
        </w:rPr>
      </w:pPr>
    </w:p>
    <w:p>
      <w:pPr>
        <w:ind w:right="220" w:firstLine="509"/>
        <w:spacing w:after="0" w:line="293" w:lineRule="auto"/>
        <w:rPr>
          <w:sz w:val="20"/>
          <w:szCs w:val="20"/>
          <w:color w:val="auto"/>
        </w:rPr>
      </w:pPr>
      <w:r>
        <w:rPr>
          <w:rFonts w:ascii="Arial" w:cs="Arial" w:eastAsia="Arial" w:hAnsi="Arial"/>
          <w:sz w:val="18"/>
          <w:szCs w:val="18"/>
          <w:color w:val="auto"/>
        </w:rPr>
        <w:t>We intend to vigorously enforce our intellectual property rights relating to VASCEPA, but we cannot predict the outcome of the pending lawsuits, any appeals, or any subsequently filed lawsuits or inter partes review.</w:t>
      </w:r>
    </w:p>
    <w:p>
      <w:pPr>
        <w:spacing w:after="0" w:line="62" w:lineRule="exact"/>
        <w:rPr>
          <w:sz w:val="20"/>
          <w:szCs w:val="20"/>
          <w:color w:val="auto"/>
        </w:rPr>
      </w:pPr>
    </w:p>
    <w:p>
      <w:pPr>
        <w:ind w:right="160" w:firstLine="509"/>
        <w:spacing w:after="0" w:line="272" w:lineRule="auto"/>
        <w:rPr>
          <w:sz w:val="20"/>
          <w:szCs w:val="20"/>
          <w:color w:val="auto"/>
        </w:rPr>
      </w:pPr>
      <w:r>
        <w:rPr>
          <w:rFonts w:ascii="Arial" w:cs="Arial" w:eastAsia="Arial" w:hAnsi="Arial"/>
          <w:sz w:val="18"/>
          <w:szCs w:val="18"/>
          <w:color w:val="auto"/>
        </w:rPr>
        <w:t>Generally, if an ANDA filer meets the approval requirements for a generic version of VASCEPA to the satisfaction of the U.S. FDA under its ANDA, U.S. FDA may grant tentative approval to the ANDA during a Hatch-Waxman 30-month stay period and during the Hatch-Waxman 36-month regulatory exclusivity period. A tentative approval is issued to an ANDA applicant when its application is approvable prior to the expiration of any exclusivities applicable to the branded, reference listed drug product. A tentative approval does not allow the applicant to market the generic drug product and postpones the final ANDA approval until applicable exclusivity protections have expired.</w:t>
      </w:r>
    </w:p>
    <w:p>
      <w:pPr>
        <w:spacing w:after="0" w:line="83"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Generic versions of VASCEPA made available in the market, even if based on a MARINE indication only are often used to fill a prescription for any intended use of the drug. If any approved ANDA filers are able to supply the product in significant commercial quantities, generic companies could introduce generic versions of VASCEPA in the market, as Hikma and Dr. Reddy's did in November 2020 and June 2021, respectively, although each on a limited scale. Although any such introduction of a generic version of VASCEPA would also be subject to any litigation settlement terms and patent infringement claims (including any new claims and those that may then be subject to an appeal), pursuing such litigation may be prohibitively costly or could put a substantial constraint on our resources.</w:t>
      </w:r>
    </w:p>
    <w:p>
      <w:pPr>
        <w:spacing w:after="0" w:line="83" w:lineRule="exact"/>
        <w:rPr>
          <w:sz w:val="20"/>
          <w:szCs w:val="20"/>
          <w:color w:val="auto"/>
        </w:rPr>
      </w:pPr>
    </w:p>
    <w:p>
      <w:pPr>
        <w:ind w:right="460" w:firstLine="509"/>
        <w:spacing w:after="0" w:line="293" w:lineRule="auto"/>
        <w:rPr>
          <w:sz w:val="20"/>
          <w:szCs w:val="20"/>
          <w:color w:val="auto"/>
        </w:rPr>
      </w:pPr>
      <w:r>
        <w:rPr>
          <w:rFonts w:ascii="Arial" w:cs="Arial" w:eastAsia="Arial" w:hAnsi="Arial"/>
          <w:sz w:val="18"/>
          <w:szCs w:val="18"/>
          <w:color w:val="auto"/>
        </w:rPr>
        <w:t>On July 9, 2021, President Biden issued an executive order directing the U.S. FDA to, among other things, continue to clarify and improve the approval framework for generic drugs and identify and address any efforts to impede generic drug competition.</w:t>
      </w:r>
    </w:p>
    <w:p>
      <w:pPr>
        <w:spacing w:after="0" w:line="62" w:lineRule="exact"/>
        <w:rPr>
          <w:sz w:val="20"/>
          <w:szCs w:val="20"/>
          <w:color w:val="auto"/>
        </w:rPr>
      </w:pPr>
    </w:p>
    <w:p>
      <w:pPr>
        <w:ind w:right="20" w:firstLine="509"/>
        <w:spacing w:after="0" w:line="281" w:lineRule="auto"/>
        <w:rPr>
          <w:sz w:val="20"/>
          <w:szCs w:val="20"/>
          <w:color w:val="auto"/>
        </w:rPr>
      </w:pPr>
      <w:r>
        <w:rPr>
          <w:rFonts w:ascii="Arial" w:cs="Arial" w:eastAsia="Arial" w:hAnsi="Arial"/>
          <w:sz w:val="17"/>
          <w:szCs w:val="17"/>
          <w:color w:val="auto"/>
        </w:rPr>
        <w:t>Any significant degree of generic market entry would limit our U.S. sales, which would have a significant adverse impact on our business and results of operations. In addition, even if a competitor’s effort to introduce a generic product is ultimately unsuccessful, the perception that such development is in progress and/or news related to such progress could materially affect the reputation of VASCEPA or the perceived value of our company and our stock price. In addition, generic market entry, whether limited to its approved indication or not, can create market disruption which leads to an overall slowing of market growth regardless of whether the net price of the generic entry is higher or lower than the net price of the branded drug. Such disruption includes potential stock shortages of the generic market entry at retail pharmacies and wholesalers which can cause filling of prescriptions for patients to be delayed or abandoned. Sponsors of generic entries typically do not fund market education initiatives to help healthcare professionals and at-risk patients learn about a new drug, which, particularly for a recently launched drug, can potentially limit overall growth. And certain States impose restrictions on the promotion of branded drugs, particularly if the generic market entry is less expensive than the branded drug. While some companies with generic competition elect to launch an authorized generic form of the drug to counter the perception, real or imagined, that generics are less expensive, if launched, an authorized generic is typically aligned with reduction or elimination of promotion of the associated branded drug, thus limiting the extent of market growth and potentially contracting the overall size of the realized market penetration. While an authorized generic could be profitable the market opportunity for growth from an authorized generic is likely less than from promotion of a branded drug, and as such we have not launched an authorized generic version of VASCEPA.</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5" w:name="page56"/>
    <w:bookmarkEnd w:id="55"/>
    <w:p>
      <w:pPr>
        <w:ind w:right="140" w:firstLine="517"/>
        <w:spacing w:after="0" w:line="311" w:lineRule="auto"/>
        <w:tabs>
          <w:tab w:leader="none" w:pos="644" w:val="left"/>
        </w:tabs>
        <w:numPr>
          <w:ilvl w:val="0"/>
          <w:numId w:val="1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 active pharmaceutical ingredient in VASCEPA is difficult and time consuming to manufacture, often requires considerable advanced planning and long-term financial commitments to ensure sufficient capacity is available when needed and, perhaps not surprisingly, is reportedly in limited supply to our generic competitors, one of which has filed a lawsuit against us claiming we have engaged in anticompetitive practices related to our building of adequate supply for our needs and, in activities we believe were prompted by the generic competitor, government agencies are investigating our business as it relates to the supply of the active pharmaceutical ingredient in VASCEPA. Consumer lawsuits with similar allegations have also been filed. This dynamic could interfere with our business plans.</w:t>
      </w:r>
    </w:p>
    <w:p>
      <w:pPr>
        <w:spacing w:after="0" w:line="55" w:lineRule="exact"/>
        <w:rPr>
          <w:sz w:val="20"/>
          <w:szCs w:val="20"/>
          <w:color w:val="auto"/>
        </w:rPr>
      </w:pPr>
    </w:p>
    <w:p>
      <w:pPr>
        <w:ind w:right="160" w:firstLine="509"/>
        <w:spacing w:after="0" w:line="311" w:lineRule="auto"/>
        <w:rPr>
          <w:sz w:val="20"/>
          <w:szCs w:val="20"/>
          <w:color w:val="auto"/>
        </w:rPr>
      </w:pPr>
      <w:r>
        <w:rPr>
          <w:rFonts w:ascii="Arial" w:cs="Arial" w:eastAsia="Arial" w:hAnsi="Arial"/>
          <w:sz w:val="16"/>
          <w:szCs w:val="16"/>
          <w:color w:val="auto"/>
        </w:rPr>
        <w:t>The active pharmaceutical ingredient in VASCEPA is difficult and time consuming to manufacture, often requires considerable advanced planning and long-term financial commitments to ensure sufficient capacity is available when needed. We have invested over a decade to develop with individual members of our third-party, active pharmaceutical ingredient supply chain the technical knowhow, manufacturing processes and related regulatory approvals that have helped enable our suppliers to supply our clinical and commercial needs globally. Based on statements made by Hikma and Dr. Reddy’s, the active pharmaceutical ingredient of VASCEPA needed to manufacture their generic versions of VASCEPA is in limited supply to them. We believe this may be due to their lack of adequate planning, knowhow and expertise regarding this fragile active ingredient.</w:t>
      </w:r>
    </w:p>
    <w:p>
      <w:pPr>
        <w:spacing w:after="0" w:line="55" w:lineRule="exact"/>
        <w:rPr>
          <w:sz w:val="20"/>
          <w:szCs w:val="20"/>
          <w:color w:val="auto"/>
        </w:rPr>
      </w:pPr>
    </w:p>
    <w:p>
      <w:pPr>
        <w:ind w:right="20" w:firstLine="509"/>
        <w:spacing w:after="0" w:line="270" w:lineRule="auto"/>
        <w:rPr>
          <w:sz w:val="20"/>
          <w:szCs w:val="20"/>
          <w:color w:val="auto"/>
        </w:rPr>
      </w:pPr>
      <w:r>
        <w:rPr>
          <w:rFonts w:ascii="Arial" w:cs="Arial" w:eastAsia="Arial" w:hAnsi="Arial"/>
          <w:sz w:val="18"/>
          <w:szCs w:val="18"/>
          <w:color w:val="auto"/>
        </w:rPr>
        <w:t>As has been a practice in the generic pharmaceutical industry, on April 27, 2021, Dr. Reddy’s filed a complaint against us in the United States District Court District of New Jersey (case no. 2:21-cv-10309) alleging various antitrust violations stemming from alleged anticompetitive practices related to the supply of active pharmaceutical ingredient of VASCEPA. Damages sought include recovery for alleged economic harm to Dr. Reddy’s, payors, and consumers, treble damages and other costs and fees. Injunctive relief against the alleged violative activities is also being sought by Dr. Reddy’s. Consumer group lawsuits followed claiming similar violations and alleging, for example, that such alleged violations resulted in higher prices to consumers. Such litigation can be lengthy, costly and could materially affect and disrupt our business. We believe we have valid defenses and will vigorously defend against the claims but cannot predict the outcome.</w:t>
      </w:r>
    </w:p>
    <w:p>
      <w:pPr>
        <w:spacing w:after="0" w:line="84" w:lineRule="exact"/>
        <w:rPr>
          <w:sz w:val="20"/>
          <w:szCs w:val="20"/>
          <w:color w:val="auto"/>
        </w:rPr>
      </w:pPr>
    </w:p>
    <w:p>
      <w:pPr>
        <w:ind w:right="120" w:firstLine="509"/>
        <w:spacing w:after="0" w:line="290" w:lineRule="auto"/>
        <w:rPr>
          <w:sz w:val="20"/>
          <w:szCs w:val="20"/>
          <w:color w:val="auto"/>
        </w:rPr>
      </w:pPr>
      <w:r>
        <w:rPr>
          <w:rFonts w:ascii="Arial" w:cs="Arial" w:eastAsia="Arial" w:hAnsi="Arial"/>
          <w:sz w:val="17"/>
          <w:szCs w:val="17"/>
          <w:color w:val="auto"/>
        </w:rPr>
        <w:t>We have also received a civil investigative demand from the U.S. FTC and a subpoena from the New York Attorney General with respect to practices relating to our supply of the active pharmaceutical ingredient in VASCEPA. We believe such contact from the governments may have been prompted by a generic competitor. We are cooperating with the agencies. The government inquiries require us to produce documents and answer related questions relevant to specified time periods. Such investigations can be lengthy, costly and could materially affect and disrupt our business. We cannot predict when these investigations will be resolved, the outcome of the investigations or their potential impact on our business. If a government determines that we have violated antitrust law, we could be subject to significant civil fines and penalties.</w:t>
      </w:r>
    </w:p>
    <w:p>
      <w:pPr>
        <w:spacing w:after="0" w:line="203"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b w:val="1"/>
          <w:bCs w:val="1"/>
          <w:i w:val="1"/>
          <w:iCs w:val="1"/>
          <w:color w:val="auto"/>
        </w:rPr>
        <w:t>VASCEPA is a prescription-only omega-3 fatty acid product. Omega-3 fatty acids are also marketed by other companies as non-prescription dietary supplements. As a result, in the U.S. VASCEPA is subject to non-prescription competition and consumer substitution. This dynamic also exists in markets outside the United States.</w:t>
      </w:r>
    </w:p>
    <w:p>
      <w:pPr>
        <w:spacing w:after="0" w:line="75" w:lineRule="exact"/>
        <w:rPr>
          <w:sz w:val="20"/>
          <w:szCs w:val="20"/>
          <w:color w:val="auto"/>
        </w:rPr>
      </w:pPr>
    </w:p>
    <w:p>
      <w:pPr>
        <w:ind w:right="160" w:firstLine="509"/>
        <w:spacing w:after="0" w:line="309" w:lineRule="auto"/>
        <w:rPr>
          <w:sz w:val="20"/>
          <w:szCs w:val="20"/>
          <w:color w:val="auto"/>
        </w:rPr>
      </w:pPr>
      <w:r>
        <w:rPr>
          <w:rFonts w:ascii="Arial" w:cs="Arial" w:eastAsia="Arial" w:hAnsi="Arial"/>
          <w:sz w:val="16"/>
          <w:szCs w:val="16"/>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and other providers will view the pharmaceutical grade purity and proven efficacy and safety of VASCEPA as having a superior therapeutic profile to unproven and loosely regulated omega-3 fatty acid dietary supplements. In addition, the U.S. FDA has not yet enforced to the full extent of its regulatory authority what we view as illegal claims made by certain omega-3 fatty acid product manufacturers to the extent we believe appropriate under applicable law and regulations, for example, claims that certain of such chemically altered products are dietary supplements and that certain of such products reduce triglyceride levels or could reduce cardiovascular risk.</w:t>
      </w:r>
    </w:p>
    <w:p>
      <w:pPr>
        <w:spacing w:after="0" w:line="56" w:lineRule="exact"/>
        <w:rPr>
          <w:sz w:val="20"/>
          <w:szCs w:val="20"/>
          <w:color w:val="auto"/>
        </w:rPr>
      </w:pPr>
    </w:p>
    <w:p>
      <w:pPr>
        <w:ind w:right="20" w:firstLine="509"/>
        <w:spacing w:after="0" w:line="319" w:lineRule="auto"/>
        <w:rPr>
          <w:sz w:val="20"/>
          <w:szCs w:val="20"/>
          <w:color w:val="auto"/>
        </w:rPr>
      </w:pPr>
      <w:r>
        <w:rPr>
          <w:rFonts w:ascii="Arial" w:cs="Arial" w:eastAsia="Arial" w:hAnsi="Arial"/>
          <w:sz w:val="16"/>
          <w:szCs w:val="16"/>
          <w:color w:val="auto"/>
        </w:rPr>
        <w:t>Also, for over a decade, subject to certain limitations, the U.S.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Such companies are not, however, permitted, based on U.S. FDA enforcement activity, to make claims that suggest or imply treatment of cardiovascular disease.</w:t>
      </w:r>
    </w:p>
    <w:p>
      <w:pPr>
        <w:spacing w:after="0" w:line="48"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These factors enable dietary supplements to compete with VASCEPA to a certain degree. Although we have taken steps to address these competitive issues, and plan to continue to do so vigorously, we may not be successful in such efforts.</w:t>
      </w:r>
    </w:p>
    <w:p>
      <w:pPr>
        <w:spacing w:after="0" w:line="62" w:lineRule="exact"/>
        <w:rPr>
          <w:sz w:val="20"/>
          <w:szCs w:val="20"/>
          <w:color w:val="auto"/>
        </w:rPr>
      </w:pPr>
    </w:p>
    <w:p>
      <w:pPr>
        <w:ind w:right="60" w:firstLine="509"/>
        <w:spacing w:after="0" w:line="299" w:lineRule="auto"/>
        <w:rPr>
          <w:sz w:val="20"/>
          <w:szCs w:val="20"/>
          <w:color w:val="auto"/>
        </w:rPr>
      </w:pPr>
      <w:r>
        <w:rPr>
          <w:rFonts w:ascii="Arial" w:cs="Arial" w:eastAsia="Arial" w:hAnsi="Arial"/>
          <w:sz w:val="16"/>
          <w:szCs w:val="16"/>
          <w:color w:val="auto"/>
        </w:rPr>
        <w:t>For example, on October 29, 2018, we filed two lawsuits in U.S. federal court, each against a different dietary supplement company for unlawfully using the results from the REDUCE-IT cardiovascular outcomes study to falsely and deceptively claim that their omega-3 dietary supplement products are effective in reducing cardiovascular risk. The defendants in the cases were Omax Health, Inc., or Omax, and The Coromega Company, Inc., or Coromega. In April 2019, based on the strength of our case and available legal remedies, Omax and Coromega settled these litigations under terms by which Omax and Coromega agreed to substantially all the demands in our complaints. Under the settlements, Coromega and Omax agreed to publicly correct their prior statements that wrongly suggested the REDUCE-IT cardiovascular outcomes trial supports the safety and efficacy of omega-3 dietary supplements. Each</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56" w:name="page57"/>
    <w:bookmarkEnd w:id="56"/>
    <w:p>
      <w:pPr>
        <w:ind w:right="220"/>
        <w:spacing w:after="0" w:line="324" w:lineRule="auto"/>
        <w:rPr>
          <w:sz w:val="20"/>
          <w:szCs w:val="20"/>
          <w:color w:val="auto"/>
        </w:rPr>
      </w:pPr>
      <w:r>
        <w:rPr>
          <w:rFonts w:ascii="Arial" w:cs="Arial" w:eastAsia="Arial" w:hAnsi="Arial"/>
          <w:sz w:val="17"/>
          <w:szCs w:val="17"/>
          <w:color w:val="auto"/>
        </w:rPr>
        <w:t>dietary supplement company also acknowledged that as a general matter under federal law dietary supplements may be lawfully marketed to supplement the diet, but they cannot be lawfully marketed to treat, mitigate, or prevent disease, such as cardiovascular disease.</w:t>
      </w:r>
    </w:p>
    <w:p>
      <w:pPr>
        <w:spacing w:after="0" w:line="39"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Similarly, on August 30, 2017, we filed a lawsuit with the United States International Trade Commission, or the ITC, against manufacturers, importers, and distributors of products containing synthetically produced omega-3 products in ethyl ester or re-esterified triglyceride form that contain more EPA than DHA or any other single component for use in or as dietary supplements. The lawsuit sought an investigation by the ITC regarding potentially unfair methods of competition and unfair acts involving the importation and sale of articles in the United States that injure or threaten injury to a domestic industry. In October 2017, the ITC determined to not institute our requested investigation. We appealed this determination to the U.S. Federal Circuit, but that court upheld ITC’s determination. On July 30, 2019, we filed a petition with the U.S. Supreme Court seeking to appeal the Federal Circuit decision, which petition was denied on December 9, 2019, ending this litigation. We have also engaged with U.S. FDA on the topic of synthetically produced omega-3 products through the citizen’s petition process and otherwise.</w:t>
      </w:r>
    </w:p>
    <w:p>
      <w:pPr>
        <w:spacing w:after="0" w:line="74"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and pharmacists may recommend these retail alternatives instead of writing or filling prescriptions for VASCEPA or patients may elect on their own to take commercially available omega-3 fatty acids. Also, insurance plans may increasingly impose policies that directly or indirectly favor supplement use over VASCEPA. While VASCEPA is priced comparatively with, or in some cases lower than, many competing treatments, particularly when taking into account insurance coverage, such pricing might not be sufficient for healthcare providers or patients to elect VASCEPA over alternative treatments that may be perceived as less expense or more convenient to access. If healthcare providers or patients favor dietary supplements over prescribing VASCEPA, we may be constrained in how we price our product of VASCEPA’s market acceptance may be less than expected, which would have a negative impact on our revenues and results of operations.</w:t>
      </w:r>
    </w:p>
    <w:p>
      <w:pPr>
        <w:spacing w:after="0" w:line="205" w:lineRule="exact"/>
        <w:rPr>
          <w:sz w:val="20"/>
          <w:szCs w:val="20"/>
          <w:color w:val="auto"/>
        </w:rPr>
      </w:pPr>
    </w:p>
    <w:p>
      <w:pPr>
        <w:ind w:right="220" w:firstLine="509"/>
        <w:spacing w:after="0" w:line="359" w:lineRule="auto"/>
        <w:rPr>
          <w:sz w:val="20"/>
          <w:szCs w:val="20"/>
          <w:color w:val="auto"/>
        </w:rPr>
      </w:pPr>
      <w:r>
        <w:rPr>
          <w:rFonts w:ascii="Arial" w:cs="Arial" w:eastAsia="Arial" w:hAnsi="Arial"/>
          <w:sz w:val="16"/>
          <w:szCs w:val="16"/>
          <w:b w:val="1"/>
          <w:bCs w:val="1"/>
          <w:i w:val="1"/>
          <w:iCs w:val="1"/>
          <w:color w:val="auto"/>
        </w:rPr>
        <w:t>The commercial value to us of sales of VASCEPA outside the United States may be smaller than we anticipate, including adequacy of product reimbursement such as in Europe, which can vary from country to country resulting in potential patient access restrictions.</w:t>
      </w:r>
    </w:p>
    <w:p>
      <w:pPr>
        <w:spacing w:after="0" w:line="17"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color w:val="auto"/>
        </w:rPr>
        <w:t>There can be no assurance as to the adequacy for commercial success of VASCEPA outside the United States. For example, despite having received EC approval to commercialize VAZKEPA in Europe and as we expect to obtain, through our partner Edding, marketing approval for VASCEPA in Mainland China, Hong Kong, Macau and Taiwan, or the China Territory, applicable regulatory agencies may impose restrictions on the product’s conditions for use, distribution or marketing and in some cases may impose ongoing requirements for post-market surveillance, post-approval studies or clinical trials.</w:t>
      </w:r>
    </w:p>
    <w:p>
      <w:pPr>
        <w:spacing w:after="0" w:line="83"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Further, securing adequate reimbursement is critical for commercial success of any therapeutic and pricing and reimbursement levels of medications in markets outside the United States can be unpredictable and vary considerably on a country-by-country basis. In some foreign countries, including major markets in Europe, the pricing of prescription pharmaceuticals is subject to governmental control. In these countries, pricing negotiations with individual governmental authorities can take six to 12 months or longer after the receipt of regulatory marketing approval for a product. The time required to secure reimbursement tends to vary from country to country and cannot be reliably predicted at this time. In certain European countries, securing product reimbursement is a requisite to commercial launch.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delayed or limited in scope or amount or if pricing is set at unsatisfactory levels. If the pricing and reimbursement levels of VASCEPA are lower than we anticipate, then affordability of, and market access to, VASCEPA may be adversely affected and thus market potential in these territories would suffer.</w:t>
      </w:r>
    </w:p>
    <w:p>
      <w:pPr>
        <w:spacing w:after="0" w:line="57" w:lineRule="exact"/>
        <w:rPr>
          <w:sz w:val="20"/>
          <w:szCs w:val="20"/>
          <w:color w:val="auto"/>
        </w:rPr>
      </w:pPr>
    </w:p>
    <w:p>
      <w:pPr>
        <w:ind w:right="60" w:firstLine="509"/>
        <w:spacing w:after="0" w:line="266" w:lineRule="auto"/>
        <w:rPr>
          <w:sz w:val="20"/>
          <w:szCs w:val="20"/>
          <w:color w:val="auto"/>
        </w:rPr>
      </w:pPr>
      <w:r>
        <w:rPr>
          <w:rFonts w:ascii="Arial" w:cs="Arial" w:eastAsia="Arial" w:hAnsi="Arial"/>
          <w:sz w:val="18"/>
          <w:szCs w:val="18"/>
          <w:color w:val="auto"/>
        </w:rPr>
        <w:t>We or our partners may even choose to not proceed with marketing VASCEPA in a market, even after a regulatory approval, due to negative commercial dynamics. Further, with regard to any indications for which we may gain approval in territories outside the United States, the number of actual patients with the condition included in such approved indication may be smaller than we anticipate. In addition, we could face competition from products similar or deemed equivalent to VASCEPA in various jurisdictions through regulatory pathways that are more lenient than in the United States or in jurisdictions in which we do not have exclusivity from regulations or intellectual property. If any of these market dynamics exist, the commercial potential in these territories for our product would suffer.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7" w:name="page58"/>
    <w:bookmarkEnd w:id="57"/>
    <w:p>
      <w:pPr>
        <w:ind w:left="520"/>
        <w:spacing w:after="0"/>
        <w:rPr>
          <w:sz w:val="20"/>
          <w:szCs w:val="20"/>
          <w:color w:val="auto"/>
        </w:rPr>
      </w:pPr>
      <w:r>
        <w:rPr>
          <w:rFonts w:ascii="Arial" w:cs="Arial" w:eastAsia="Arial" w:hAnsi="Arial"/>
          <w:sz w:val="18"/>
          <w:szCs w:val="18"/>
          <w:b w:val="1"/>
          <w:bCs w:val="1"/>
          <w:i w:val="1"/>
          <w:iCs w:val="1"/>
          <w:color w:val="auto"/>
        </w:rPr>
        <w:t>Our products and marketing efforts are subject to extensive post-approval government regulation.</w:t>
      </w:r>
    </w:p>
    <w:p>
      <w:pPr>
        <w:spacing w:after="0" w:line="131" w:lineRule="exact"/>
        <w:rPr>
          <w:sz w:val="20"/>
          <w:szCs w:val="20"/>
          <w:color w:val="auto"/>
        </w:rPr>
      </w:pPr>
    </w:p>
    <w:p>
      <w:pPr>
        <w:ind w:firstLine="509"/>
        <w:spacing w:after="0" w:line="319" w:lineRule="auto"/>
        <w:rPr>
          <w:sz w:val="20"/>
          <w:szCs w:val="20"/>
          <w:color w:val="auto"/>
        </w:rPr>
      </w:pPr>
      <w:r>
        <w:rPr>
          <w:rFonts w:ascii="Arial" w:cs="Arial" w:eastAsia="Arial" w:hAnsi="Arial"/>
          <w:sz w:val="16"/>
          <w:szCs w:val="16"/>
          <w:color w:val="auto"/>
        </w:rPr>
        <w:t>Once a product candidate receives U.S. FDA marketing approval, numerous post-approval requirements apply. Among other things, the holder of an approved NDA is subject to periodic and other monitoring and reporting obligations enforced by the U.S.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48" w:lineRule="exact"/>
        <w:rPr>
          <w:sz w:val="20"/>
          <w:szCs w:val="20"/>
          <w:color w:val="auto"/>
        </w:rPr>
      </w:pPr>
    </w:p>
    <w:p>
      <w:pPr>
        <w:ind w:right="100" w:firstLine="509"/>
        <w:spacing w:after="0" w:line="288" w:lineRule="auto"/>
        <w:rPr>
          <w:sz w:val="20"/>
          <w:szCs w:val="20"/>
          <w:color w:val="auto"/>
        </w:rPr>
      </w:pPr>
      <w:r>
        <w:rPr>
          <w:rFonts w:ascii="Arial" w:cs="Arial" w:eastAsia="Arial" w:hAnsi="Arial"/>
          <w:sz w:val="17"/>
          <w:szCs w:val="17"/>
          <w:color w:val="auto"/>
        </w:rPr>
        <w:t>With respect to sales and marketing activities, advertising and promotional materials must comply with U.S. FDA rules in addition to other applicable federal and local laws in the United States and in other countries. The result of our First Amendment litigation and settlement may cause the government to scrutinize our promotional efforts or otherwise monitor our business more closely. Industry-sponsored scientific and educational activities also must comply with U.S. FDA and other requirements. In the United States, the distribution of product samples to physicians must comply with the requirements of the U.S. Prescription Drug Marketing Act. Manufacturing facilities remain subject to U.S. FDA inspection and must continue to adhere to the U.S. FDA’s pharmaceutical current good manufacturing practice requirements, or cGMPs. Application holders must obtain U.S. FDA approval for product and manufacturing changes, depending on the nature of the change.</w:t>
      </w:r>
    </w:p>
    <w:p>
      <w:pPr>
        <w:spacing w:after="0" w:line="73"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We also are subject to the federal transparency requirements under the Patient Protection and Affordable Care Act, as amended by the Health Care and Education Reconciliation Act, or collectively the ACA, enacted in March 2010, 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FCA, and similar state laws, which impact, among other things, our proposed sales, marketing, and scientific/educational grant programs. We participate in the U.S. Medicaid Drug Rebate Program, the Federal Supply Schedule, or FSS, of the U.S. Department of Veterans Affairs, or the VA, and other government drug programs, and, accordingly, are subject to complex laws and regulations regarding reporting and payment obligations. We must also comply with requirements to collect and report adverse events and product complaints associated with our products.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70"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Depending on the circumstances, failure to meet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our former co-promotion partner Kowa America. As discussed above, in June 2020, we received a CID from the DOJ informing us that the DOJ is investigating whether aspects of our promotional speaker programs and copayment waiver programs during the period from January 1, 2015 to the present violated the U.S. Anti-Kickback Statute and the U.S. FCA in relation to the sale and marketing of VASCEPA by us and our previous co-marketing partner, Kowa America. The New York State attorney general similarly issued a subpoena to us regarding the same subject matter on which the FTC CID is focused. The inquiries require us to produce documents and answer written questions, or interrogatories, relevant to specified time periods. We are cooperating with the government.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 In addition, even if we comply with U.S. FDA and other requirements, new information regarding the safety or effectiveness of a product could lead the U.S. FDA to modify or withdraw a product approval. Newly discovered or developed safety or effectiveness data may require changes to a drug’s approved labeling and marketing, including the addition of new warnings and contraindications, and also may require the implementation of other risk management measures.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w:t>
      </w:r>
    </w:p>
    <w:p>
      <w:pPr>
        <w:spacing w:after="0" w:line="63" w:lineRule="exact"/>
        <w:rPr>
          <w:sz w:val="20"/>
          <w:szCs w:val="20"/>
          <w:color w:val="auto"/>
        </w:rPr>
      </w:pPr>
    </w:p>
    <w:p>
      <w:pPr>
        <w:ind w:right="120" w:firstLine="509"/>
        <w:spacing w:after="0" w:line="272" w:lineRule="auto"/>
        <w:rPr>
          <w:sz w:val="20"/>
          <w:szCs w:val="20"/>
          <w:color w:val="auto"/>
        </w:rPr>
      </w:pPr>
      <w:r>
        <w:rPr>
          <w:rFonts w:ascii="Arial" w:cs="Arial" w:eastAsia="Arial" w:hAnsi="Arial"/>
          <w:sz w:val="18"/>
          <w:szCs w:val="18"/>
          <w:color w:val="auto"/>
        </w:rPr>
        <w:t>In addition, all of the above factors may also apply to any regulatory approval for VASCEPA obtained in territories outside the United States. In Europe, for example, restrictions regarding off-label promotion are in some ways more stringent than in the United States, including restrictions covering certain communications with shareholders. Given our inexperience with marketing and commercializing products outside the United States, in certain territories we may need to rely on third parties, such as our partners in Canada, China and the Middle East, to assist us in dealing with any such issues and we will have limited or no control over such partners.</w:t>
      </w:r>
    </w:p>
    <w:p>
      <w:pPr>
        <w:spacing w:after="0" w:line="218"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b w:val="1"/>
          <w:bCs w:val="1"/>
          <w:i w:val="1"/>
          <w:iCs w:val="1"/>
          <w:color w:val="auto"/>
        </w:rPr>
        <w:t>Legislative or regulatory reform of the healthcare system in the United States and foreign jurisdictions may affect our ability to profitably sell VASCEPA.</w:t>
      </w:r>
    </w:p>
    <w:p>
      <w:pPr>
        <w:spacing w:after="0" w:line="62" w:lineRule="exact"/>
        <w:rPr>
          <w:sz w:val="20"/>
          <w:szCs w:val="20"/>
          <w:color w:val="auto"/>
        </w:rPr>
      </w:pPr>
    </w:p>
    <w:p>
      <w:pPr>
        <w:ind w:right="140" w:firstLine="509"/>
        <w:spacing w:after="0" w:line="266" w:lineRule="auto"/>
        <w:rPr>
          <w:sz w:val="20"/>
          <w:szCs w:val="20"/>
          <w:color w:val="auto"/>
        </w:rPr>
      </w:pPr>
      <w:r>
        <w:rPr>
          <w:rFonts w:ascii="Arial" w:cs="Arial" w:eastAsia="Arial" w:hAnsi="Arial"/>
          <w:sz w:val="18"/>
          <w:szCs w:val="18"/>
          <w:color w:val="auto"/>
        </w:rPr>
        <w:t>Our ability to commercialize VASCEPA or any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58" w:name="page59"/>
    <w:bookmarkEnd w:id="58"/>
    <w:p>
      <w:pPr>
        <w:ind w:right="60"/>
        <w:spacing w:after="0" w:line="324" w:lineRule="auto"/>
        <w:rPr>
          <w:sz w:val="20"/>
          <w:szCs w:val="20"/>
          <w:color w:val="auto"/>
        </w:rPr>
      </w:pPr>
      <w:r>
        <w:rPr>
          <w:rFonts w:ascii="Arial" w:cs="Arial" w:eastAsia="Arial" w:hAnsi="Arial"/>
          <w:sz w:val="17"/>
          <w:szCs w:val="17"/>
          <w:color w:val="auto"/>
        </w:rPr>
        <w:t>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39" w:lineRule="exact"/>
        <w:rPr>
          <w:sz w:val="20"/>
          <w:szCs w:val="20"/>
          <w:color w:val="auto"/>
        </w:rPr>
      </w:pPr>
    </w:p>
    <w:p>
      <w:pPr>
        <w:jc w:val="both"/>
        <w:ind w:right="100" w:firstLine="509"/>
        <w:spacing w:after="0" w:line="299" w:lineRule="auto"/>
        <w:rPr>
          <w:sz w:val="20"/>
          <w:szCs w:val="20"/>
          <w:color w:val="auto"/>
        </w:rPr>
      </w:pPr>
      <w:r>
        <w:rPr>
          <w:rFonts w:ascii="Arial" w:cs="Arial" w:eastAsia="Arial" w:hAnsi="Arial"/>
          <w:sz w:val="16"/>
          <w:szCs w:val="16"/>
          <w:color w:val="auto"/>
        </w:rPr>
        <w:t>Specifically, in both the United States and some foreign jurisdictions, there have been a number of legislative and regulatory changes and proposed changes to the healthcare system in ways that could affect our ability to sell our products profitably. For example, on August 2, 2011, the Budget Control Act of 2011, among other things, created the Joint Select Committee on Deficit Reduction to recommend to Congress proposals for spending reductions.</w:t>
      </w:r>
    </w:p>
    <w:p>
      <w:pPr>
        <w:spacing w:after="0" w:line="2"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The Joint Select Committee did not achieve a targeted deficit reduction, which triggered the legislation’s automatic reductions. In concert with subsequent legislation, this has resulted in aggregate reductions to Medicare payments to providers of, on average, 2% per fiscal year through 2030 unless Congress takes additional action. These cuts reduce reimbursement payments related to our products, which could potentially negatively impact our revenue. However, these Medicare sequester reductions have been suspended through December 31, 2021 due to the COVID-19 pandemic. Also for example, the ACA has substantially changed the way healthcare is financed by both governmental and private insurers and has significantly impacted the U.S. pharmaceutical industry. Among other cost-containment measures, the ACA establishes:</w:t>
      </w:r>
    </w:p>
    <w:p>
      <w:pPr>
        <w:spacing w:after="0" w:line="6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131" w:lineRule="exact"/>
        <w:rPr>
          <w:sz w:val="20"/>
          <w:szCs w:val="20"/>
          <w:color w:val="auto"/>
        </w:rPr>
      </w:pPr>
    </w:p>
    <w:p>
      <w:pPr>
        <w:ind w:left="840" w:right="260"/>
        <w:spacing w:after="0" w:line="293" w:lineRule="auto"/>
        <w:rPr>
          <w:sz w:val="20"/>
          <w:szCs w:val="20"/>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62" w:lineRule="exact"/>
        <w:rPr>
          <w:sz w:val="20"/>
          <w:szCs w:val="20"/>
          <w:color w:val="auto"/>
        </w:rPr>
      </w:pPr>
    </w:p>
    <w:p>
      <w:pPr>
        <w:ind w:left="840" w:right="280"/>
        <w:spacing w:after="0" w:line="293" w:lineRule="auto"/>
        <w:rPr>
          <w:sz w:val="20"/>
          <w:szCs w:val="20"/>
          <w:color w:val="auto"/>
        </w:rPr>
      </w:pPr>
      <w:r>
        <w:rPr>
          <w:rFonts w:ascii="Arial" w:cs="Arial" w:eastAsia="Arial" w:hAnsi="Arial"/>
          <w:sz w:val="18"/>
          <w:szCs w:val="18"/>
          <w:color w:val="auto"/>
        </w:rPr>
        <w:t>a new formula that increases the rebates a manufacturer must pay under the Medicaid Drug Rebate Program and extends the Medicaid Drug Rebate Program to individuals enrolled in Medicaid managed care organizations.</w:t>
      </w:r>
    </w:p>
    <w:p>
      <w:pPr>
        <w:spacing w:after="0" w:line="62"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On July 24, 2020 and September 13, 2020, President Trump announced several executive orders related to prescription drug pricing that sought to implement several of the administration’s proposals. In response, the U.S. FDA released a final rule on September 24, 2020, which went into effect on November 30, 2020, providing guidance for states to build and submit importation plans for drugs from Canada. Further, on November 20, 2020 CMS issued an Interim Final Rule implementing the Most Favored Nation Model, or the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would have applied to all U.S. states and territories for a seven-year period beginning January 1, 2021 and ending December 31, 2027. However, on August 6, 2021, CMS announced a proposed rule to rescind the MFN Model. Further, authorities in Canada have passed rules designed to safeguard the Canadian drug supply from shortages. If implemented, importation of drugs from Canada and regulations similar to the MFN Model, or if the MFN Model is reinstated, may materially and adversely affect the price we receive for any of our products and product candidates.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an order entered by the U.S. District Court for the District of Columbia, the portion of the rule eliminating safe harbor protection for certain rebates related to the sale or purchase of a pharmaceutical product from a manufacturer to a plan sponsor under Medicare Part D has been delayed to January 1, 2023. Further, implementation of this change and new safe harbors for point-of-sale reductions in price for prescription pharmaceutical products and pharmacy benefit manager service fees are currently under review by the Biden administration and may be amended or repealed.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State of California enacted legislation that requires notice for exceeding specified limits on annual drug price increases and other legislation that seeks to limit the use of co-pay cards in certain situations.</w:t>
      </w:r>
    </w:p>
    <w:p>
      <w:pPr>
        <w:spacing w:after="0" w:line="74" w:lineRule="exact"/>
        <w:rPr>
          <w:sz w:val="20"/>
          <w:szCs w:val="20"/>
          <w:color w:val="auto"/>
        </w:rPr>
      </w:pPr>
    </w:p>
    <w:p>
      <w:pPr>
        <w:ind w:right="60" w:firstLine="509"/>
        <w:spacing w:after="0" w:line="266" w:lineRule="auto"/>
        <w:rPr>
          <w:sz w:val="20"/>
          <w:szCs w:val="20"/>
          <w:color w:val="auto"/>
        </w:rPr>
      </w:pPr>
      <w:r>
        <w:rPr>
          <w:rFonts w:ascii="Arial" w:cs="Arial" w:eastAsia="Arial" w:hAnsi="Arial"/>
          <w:sz w:val="18"/>
          <w:szCs w:val="18"/>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ACA and by other healthcare reforms that may be enacted or adopted in the future. In addition, increasing emphasis on managed care in the United States will continue to put pressure on the pricing of pharmaceutical products. For example, proposals are being considered to expand the use of dietary supplements in addition to or in place of drugs in government and private payor plans. In addition, cost control initiatives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59" w:name="page60"/>
    <w:bookmarkEnd w:id="59"/>
    <w:p>
      <w:pPr>
        <w:spacing w:after="0"/>
        <w:rPr>
          <w:sz w:val="20"/>
          <w:szCs w:val="20"/>
          <w:color w:val="auto"/>
        </w:rPr>
      </w:pPr>
      <w:r>
        <w:rPr>
          <w:rFonts w:ascii="Arial" w:cs="Arial" w:eastAsia="Arial" w:hAnsi="Arial"/>
          <w:sz w:val="17"/>
          <w:szCs w:val="17"/>
          <w:color w:val="auto"/>
        </w:rPr>
        <w:t>could decrease the price that we or any potential collaborators could receive for any of our future products and could adversely affect our profitability.</w:t>
      </w:r>
    </w:p>
    <w:p>
      <w:pPr>
        <w:spacing w:after="0" w:line="142" w:lineRule="exact"/>
        <w:rPr>
          <w:sz w:val="20"/>
          <w:szCs w:val="20"/>
          <w:color w:val="auto"/>
        </w:rPr>
      </w:pPr>
    </w:p>
    <w:p>
      <w:pPr>
        <w:ind w:right="120" w:firstLine="509"/>
        <w:spacing w:after="0" w:line="325" w:lineRule="auto"/>
        <w:rPr>
          <w:sz w:val="20"/>
          <w:szCs w:val="20"/>
          <w:color w:val="auto"/>
        </w:rPr>
      </w:pPr>
      <w:r>
        <w:rPr>
          <w:rFonts w:ascii="Arial" w:cs="Arial" w:eastAsia="Arial" w:hAnsi="Arial"/>
          <w:sz w:val="16"/>
          <w:szCs w:val="16"/>
          <w:color w:val="auto"/>
        </w:rPr>
        <w:t>These and similar regulatory dynamics, including the recent entry of generic versions of VASCEPA into the market, and the potential for additional generic versions in the near term, can affect our ability to commercialize VASCEPA on commercially reasonable terms and limit the commercial value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VASCEPA.</w:t>
      </w:r>
    </w:p>
    <w:p>
      <w:pPr>
        <w:spacing w:after="0" w:line="266"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75"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We participate in the Medicaid Drug Rebate program, the 340B drug pricing program, and the VA’s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74" w:lineRule="exact"/>
        <w:rPr>
          <w:sz w:val="20"/>
          <w:szCs w:val="20"/>
          <w:color w:val="auto"/>
        </w:rPr>
      </w:pPr>
    </w:p>
    <w:p>
      <w:pPr>
        <w:ind w:right="60" w:firstLine="509"/>
        <w:spacing w:after="0" w:line="296" w:lineRule="auto"/>
        <w:rPr>
          <w:sz w:val="20"/>
          <w:szCs w:val="20"/>
          <w:color w:val="auto"/>
        </w:rPr>
      </w:pPr>
      <w:r>
        <w:rPr>
          <w:rFonts w:ascii="Arial" w:cs="Arial" w:eastAsia="Arial" w:hAnsi="Arial"/>
          <w:sz w:val="17"/>
          <w:szCs w:val="17"/>
          <w:color w:val="auto"/>
        </w:rPr>
        <w:t>The ACA made significant changes to the Medicaid Drug Rebate program. CMS issued a final regulation, which became effective on April 1,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62" w:lineRule="exact"/>
        <w:rPr>
          <w:sz w:val="20"/>
          <w:szCs w:val="20"/>
          <w:color w:val="auto"/>
        </w:rPr>
      </w:pPr>
    </w:p>
    <w:p>
      <w:pPr>
        <w:ind w:right="60" w:firstLine="509"/>
        <w:spacing w:after="0" w:line="306" w:lineRule="auto"/>
        <w:rPr>
          <w:sz w:val="20"/>
          <w:szCs w:val="20"/>
          <w:color w:val="auto"/>
        </w:rPr>
      </w:pPr>
      <w:r>
        <w:rPr>
          <w:rFonts w:ascii="Arial" w:cs="Arial" w:eastAsia="Arial" w:hAnsi="Arial"/>
          <w:sz w:val="16"/>
          <w:szCs w:val="16"/>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w:t>
      </w:r>
    </w:p>
    <w:p>
      <w:pPr>
        <w:spacing w:after="0" w:line="62"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It is currently unclear how HRSA will apply its enforcement authority under the new regulation.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73"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55" w:lineRule="exact"/>
        <w:rPr>
          <w:sz w:val="20"/>
          <w:szCs w:val="20"/>
          <w:color w:val="auto"/>
        </w:rPr>
      </w:pPr>
    </w:p>
    <w:p>
      <w:pPr>
        <w:ind w:firstLine="509"/>
        <w:spacing w:after="0" w:line="281" w:lineRule="auto"/>
        <w:rPr>
          <w:sz w:val="20"/>
          <w:szCs w:val="20"/>
          <w:color w:val="auto"/>
        </w:rPr>
      </w:pPr>
      <w:r>
        <w:rPr>
          <w:rFonts w:ascii="Arial" w:cs="Arial" w:eastAsia="Arial" w:hAnsi="Arial"/>
          <w:sz w:val="17"/>
          <w:szCs w:val="17"/>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0" w:name="page61"/>
    <w:bookmarkEnd w:id="60"/>
    <w:p>
      <w:pPr>
        <w:ind w:firstLine="509"/>
        <w:spacing w:after="0" w:line="309" w:lineRule="auto"/>
        <w:rPr>
          <w:sz w:val="20"/>
          <w:szCs w:val="20"/>
          <w:color w:val="auto"/>
        </w:rPr>
      </w:pPr>
      <w:r>
        <w:rPr>
          <w:rFonts w:ascii="Arial" w:cs="Arial" w:eastAsia="Arial" w:hAnsi="Arial"/>
          <w:sz w:val="16"/>
          <w:szCs w:val="16"/>
          <w:color w:val="auto"/>
        </w:rPr>
        <w:t>In order to be eligible to have our products paid for with federal funds under the Medicaid and Medicare Part B programs and purchased by certain federal agencies and grantees, as noted above, we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(the VA, U.S. Department of Defense, or DOD, Public Health Service, and the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56" w:lineRule="exact"/>
        <w:rPr>
          <w:sz w:val="20"/>
          <w:szCs w:val="20"/>
          <w:color w:val="auto"/>
        </w:rPr>
      </w:pPr>
    </w:p>
    <w:p>
      <w:pPr>
        <w:ind w:right="60" w:firstLine="509"/>
        <w:spacing w:after="0" w:line="269" w:lineRule="auto"/>
        <w:rPr>
          <w:sz w:val="20"/>
          <w:szCs w:val="20"/>
          <w:color w:val="auto"/>
        </w:rPr>
      </w:pPr>
      <w:r>
        <w:rPr>
          <w:rFonts w:ascii="Arial" w:cs="Arial" w:eastAsia="Arial" w:hAnsi="Arial"/>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Changes in reimbursement procedures by government and other third-party payors may limit our ability to market and sell our approved drugs.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These changes could have a material adverse effect on our business and financial condition.</w:t>
      </w:r>
    </w:p>
    <w:p>
      <w:pPr>
        <w:spacing w:after="0" w:line="130"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color w:val="auto"/>
        </w:rPr>
        <w:t>In the U.S., Europe and other regions globally, sales of pharmaceutical drugs are dependent, in part, on the availability of reimbursement to the consumer from third-party payors, such as government and private insurance plans. Third-party payors decide which products and services they will cover and establish reimbursement rates for those products and services. Increasingly, third-party payors are challenging the prices charged for medical products and services. Some third-party payor benefit packages restrict reimbursement, charge copayments to patients, or do not provide coverage for specific drugs or drug classes.</w:t>
      </w:r>
    </w:p>
    <w:p>
      <w:pPr>
        <w:spacing w:after="0" w:line="83"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In addition, certain U.S. based healthcare providers are moving toward a managed care system in which such providers contract to provide comprehensive healthcare services, including prescription drugs, for a fixed cost per person. We are unable to predict the reimbursement policies employed by third-party healthcare payors.</w:t>
      </w:r>
    </w:p>
    <w:p>
      <w:pPr>
        <w:spacing w:after="0" w:line="75" w:lineRule="exact"/>
        <w:rPr>
          <w:sz w:val="20"/>
          <w:szCs w:val="20"/>
          <w:color w:val="auto"/>
        </w:rPr>
      </w:pPr>
    </w:p>
    <w:p>
      <w:pPr>
        <w:ind w:right="40" w:firstLine="509"/>
        <w:spacing w:after="0" w:line="290" w:lineRule="auto"/>
        <w:rPr>
          <w:sz w:val="20"/>
          <w:szCs w:val="20"/>
          <w:color w:val="auto"/>
        </w:rPr>
      </w:pPr>
      <w:r>
        <w:rPr>
          <w:rFonts w:ascii="Arial" w:cs="Arial" w:eastAsia="Arial" w:hAnsi="Arial"/>
          <w:sz w:val="17"/>
          <w:szCs w:val="17"/>
          <w:color w:val="auto"/>
        </w:rPr>
        <w:t>We expect to experience pricing and reimbursement pressures in connection with the sale of our products due to the trend toward managed healthcare, the increasing influence of health maintenance organizations and additional legislative and executive proposals. In addition, we may confront limitations in insurance coverage for our products. If we fail to successfully secure and maintain reimbursement coverage for our approved drugs or are significantly delayed in doing so, we may have difficulty achieving market acceptance of our approved drugs and investigational drug candidates for which we obtain approval, and our business may be harmed. Congress has enacted healthcare reform and may enact further reform, which could adversely affect the pharmaceutical industry as a whole, and therefore could have a material adverse effect on our business.</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Ongoing healthcare legislative and regulatory reform measures may have a material adverse effect on our business and results of operations.</w:t>
      </w:r>
    </w:p>
    <w:p>
      <w:pPr>
        <w:spacing w:after="0" w:line="165" w:lineRule="exact"/>
        <w:rPr>
          <w:sz w:val="20"/>
          <w:szCs w:val="20"/>
          <w:color w:val="auto"/>
        </w:rPr>
      </w:pPr>
    </w:p>
    <w:p>
      <w:pPr>
        <w:ind w:right="20" w:firstLine="509"/>
        <w:spacing w:after="0" w:line="299" w:lineRule="auto"/>
        <w:rPr>
          <w:sz w:val="20"/>
          <w:szCs w:val="20"/>
          <w:color w:val="auto"/>
        </w:rPr>
      </w:pPr>
      <w:r>
        <w:rPr>
          <w:rFonts w:ascii="Arial" w:cs="Arial" w:eastAsia="Arial" w:hAnsi="Arial"/>
          <w:sz w:val="16"/>
          <w:szCs w:val="16"/>
          <w:color w:val="auto"/>
        </w:rPr>
        <w:t>Certain provisions of the ACA have been subject to judicial challenges, as well as efforts to repeal or replace them or to alter their interpretation or implementation. Multiple Executive Orders were signed during the Trump administration which were designed to delay the implementation of certain provisions of the ACA or otherwise circumvent some of the requirements for health insurance mandated by the ACA. For example, the previous administration terminated the cost-sharing subsidies under the ACA. Nineteen state Attorneys General filed suit to stop the administration from terminating the subsidies, but on July 18, 2018, the U.S. District Court for the Northern District of California dismissed the case without prejudice. Further, on June 14, 2018, U.S. Court of Appeals for the Federal Circuit ruled that, due to Congressional appropriations riders that prohibited the HHS from paying out more in risk corridor payments than it collected, HHS was not required to pay more than $12.0 billion in ACA risk corridor payments owed to insurers under the risk corridor formula. On November 6, 2018, the Federal Circuit declined to rehear the case en banc. This decision was appealed to the U.S. Supreme Court, which on April 27, 2020, reversed the U.S. Court of Appeals for the Federal Circuit’s decision and remanded the case to the U.S. Court of Federal Claims, concluding the government has an obligation to pay these risk corridor payments under the relevant formula. It is not clear what effect this result will have on our business, but we will continue to monitor any developments. Moreover, the Tax Act included a provision that eliminated the tax-based shared responsibility payment for individuals who fail to maintain minimum essential coverage under section 5000A of the Internal Revenue Code of 1986, commonly referred to as the “individual mandate,” effective January 1, 2019. The Bipartisan Budget Act of 2018, or the BBA, among other things, amends the ACA to create a new Medicare Part D coverage gap discount program, in which manufacturers must agree to offer 70% (an increase from 50% effective as of January 1, 2019) point-of-sale discounts off negotiated prices of applicable brand drugs to eligible beneficiaries during their coverage gap period as a condition for the manufacturer’s outpatient drugs to be covered under</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1" w:name="page62"/>
    <w:bookmarkEnd w:id="61"/>
    <w:p>
      <w:pPr>
        <w:ind w:right="20"/>
        <w:spacing w:after="0" w:line="304" w:lineRule="auto"/>
        <w:rPr>
          <w:sz w:val="20"/>
          <w:szCs w:val="20"/>
          <w:color w:val="auto"/>
        </w:rPr>
      </w:pPr>
      <w:r>
        <w:rPr>
          <w:rFonts w:ascii="Arial" w:cs="Arial" w:eastAsia="Arial" w:hAnsi="Arial"/>
          <w:sz w:val="16"/>
          <w:szCs w:val="16"/>
          <w:color w:val="auto"/>
        </w:rPr>
        <w:t>Medicare Part D. Under the Trump administration, CMS issued regulations that gave states greater flexibility, starting in 2020, in the identification of the essential health benefits benchmarks for non-grandfathered individual and small group market health insurance coverage, including plans sold through the health insurance exchanges established under the ACA. On December 14, 2018, the U.S. District Court for the Northern District of Texas ruled (i) that the “individual mandate” was unconstitutional as a result of the associated tax penalty being repealed by Congress as part of the Tax Act; and (ii) the individual mandate is not severable from the rest of the ACA, as a result the entire ACA is invalid. On December 18, 2019, the U.S. Court of Appeals for the Fifth Circuit affirmed the district court’s decision that the individual mandate is unconstitutional, but remanded the case to the district court to reconsider the severability question. On March 2, 2020, the U.S. Supreme Court granted the petitions for writs of certiorari to review this case and held oral arguments on November 10, 2020.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the purpose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58" w:lineRule="exact"/>
        <w:rPr>
          <w:sz w:val="20"/>
          <w:szCs w:val="20"/>
          <w:color w:val="auto"/>
        </w:rPr>
      </w:pPr>
    </w:p>
    <w:p>
      <w:pPr>
        <w:ind w:firstLine="509"/>
        <w:spacing w:after="0" w:line="302" w:lineRule="auto"/>
        <w:rPr>
          <w:sz w:val="20"/>
          <w:szCs w:val="20"/>
          <w:color w:val="auto"/>
        </w:rPr>
      </w:pPr>
      <w:r>
        <w:rPr>
          <w:rFonts w:ascii="Arial" w:cs="Arial" w:eastAsia="Arial" w:hAnsi="Arial"/>
          <w:sz w:val="16"/>
          <w:szCs w:val="16"/>
          <w:color w:val="auto"/>
        </w:rPr>
        <w:t>The Trump administration’s budget proposal for fiscal year 2021 included a $135.0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Trump administration also previously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HHS has already started the process of soliciting feedback on some of these measures and, at the same time, began implementing others under its existing authority. For example, in May 2019, CMS issued a final rule to allow Medicare Advantage Plans the option of using step therapy for Part B drugs beginning January 1, 2020. However, it is unclear whether the Biden administration will challenge, reverse, revoke or otherwise modify these executive and administrative actions. In addition,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FYs 2019 and 2018 reimbursement formula on specified covered outpatient drugs, or SCODs. The court ruled this change was not an “adjustment” which was within the Secretary’s discretion to make but was instead a fundamental change in the reimbursement calculation. However, most recently,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It is unclear how these developments could affect covered hospitals who might purchase our future products and affect the rates we may charge such facilities for our approved products in the future, if any. We expect that the healthcare reform measures that have been adopted and may be adopted in the future, may result in more rigorous coverage criteria, and new payment methodologies, and in additional downward pressure on coverage and payment and the 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64" w:lineRule="exact"/>
        <w:rPr>
          <w:sz w:val="20"/>
          <w:szCs w:val="20"/>
          <w:color w:val="auto"/>
        </w:rPr>
      </w:pPr>
    </w:p>
    <w:p>
      <w:pPr>
        <w:ind w:right="40" w:firstLine="509"/>
        <w:spacing w:after="0" w:line="272"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enactment and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18" w:lineRule="exact"/>
        <w:rPr>
          <w:sz w:val="20"/>
          <w:szCs w:val="20"/>
          <w:color w:val="auto"/>
        </w:rPr>
      </w:pPr>
    </w:p>
    <w:p>
      <w:pPr>
        <w:ind w:right="20" w:firstLine="509"/>
        <w:spacing w:after="0" w:line="359"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7" w:lineRule="exact"/>
        <w:rPr>
          <w:sz w:val="20"/>
          <w:szCs w:val="20"/>
          <w:color w:val="auto"/>
        </w:rPr>
      </w:pPr>
    </w:p>
    <w:p>
      <w:pPr>
        <w:ind w:right="20" w:firstLine="509"/>
        <w:spacing w:after="0" w:line="266" w:lineRule="auto"/>
        <w:rPr>
          <w:sz w:val="20"/>
          <w:szCs w:val="20"/>
          <w:color w:val="auto"/>
        </w:rPr>
      </w:pPr>
      <w:r>
        <w:rPr>
          <w:rFonts w:ascii="Arial" w:cs="Arial" w:eastAsia="Arial" w:hAnsi="Arial"/>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2" w:name="page63"/>
    <w:bookmarkEnd w:id="62"/>
    <w:p>
      <w:pPr>
        <w:ind w:right="160"/>
        <w:spacing w:after="0" w:line="271" w:lineRule="auto"/>
        <w:rPr>
          <w:sz w:val="20"/>
          <w:szCs w:val="20"/>
          <w:color w:val="auto"/>
        </w:rPr>
      </w:pPr>
      <w:r>
        <w:rPr>
          <w:rFonts w:ascii="Arial" w:cs="Arial" w:eastAsia="Arial" w:hAnsi="Arial"/>
          <w:sz w:val="18"/>
          <w:szCs w:val="18"/>
          <w:color w:val="auto"/>
        </w:rPr>
        <w:t>clinical trial data) that are subject to privacy and security requirements under the federal Health Insurance Portability and Accountability Act of 1996, or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 In addition, state laws govern the privacy and security of health information in specified circumstances, many of which differ from each other in significant ways and may not have the same effect, thus complicating compliance efforts.</w:t>
      </w:r>
    </w:p>
    <w:p>
      <w:pPr>
        <w:spacing w:after="0" w:line="83" w:lineRule="exact"/>
        <w:rPr>
          <w:sz w:val="20"/>
          <w:szCs w:val="20"/>
          <w:color w:val="auto"/>
        </w:rPr>
      </w:pPr>
    </w:p>
    <w:p>
      <w:pPr>
        <w:ind w:right="40" w:firstLine="509"/>
        <w:spacing w:after="0" w:line="269"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European data collection is governed by restrictive regulations governing the use, processing and cross-border transfer of personal information.</w:t>
      </w:r>
    </w:p>
    <w:p>
      <w:pPr>
        <w:spacing w:after="0" w:line="165"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The REDUCE-IT cardiovascular outcomes trial was conducted in part through clinical sites in the EU. As a result, we are subject to additional privacy restrictions. The collection and use of personal health data in the EU is governed by the provisions of the General Data Protection Regulation, or GDPR. The GDPR imposes several requirements relating to the legal basis for processing personal data which may include the consent of the individuals to whom the personal data relates, the information provided to the individuals and the security and confidentiality of the personal data. The GDPR also imposes strict rules on the transfer of personal data out of the EU to the United States. Failure to comply with the requirements of the GDPR, and the related national data protection laws of the EU Member States may result in restrictions against regulatory approval in the EU or substantial fines for breaches of the data protection rules. The GDPR may impose additional responsibility and liability in relation to personal data that we process and we may be required to put in place additional mechanisms ensuring compliance with these and/or new data protection rules. This may be onerous and adversely affect our business, financial condition, prospects and results of operations.</w:t>
      </w:r>
    </w:p>
    <w:p>
      <w:pPr>
        <w:spacing w:after="0" w:line="205" w:lineRule="exact"/>
        <w:rPr>
          <w:sz w:val="20"/>
          <w:szCs w:val="20"/>
          <w:color w:val="auto"/>
        </w:rPr>
      </w:pPr>
    </w:p>
    <w:p>
      <w:pPr>
        <w:ind w:left="660" w:hanging="143"/>
        <w:spacing w:after="0"/>
        <w:tabs>
          <w:tab w:leader="none" w:pos="660" w:val="left"/>
        </w:tabs>
        <w:numPr>
          <w:ilvl w:val="0"/>
          <w:numId w:val="2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 U.S. FDA, other regulatory agencies and industry organizations strictly regulate the promotional claims that may be made about</w:t>
      </w:r>
    </w:p>
    <w:p>
      <w:pPr>
        <w:spacing w:after="0" w:line="46" w:lineRule="exact"/>
        <w:rPr>
          <w:rFonts w:ascii="Arial" w:cs="Arial" w:eastAsia="Arial" w:hAnsi="Arial"/>
          <w:sz w:val="16"/>
          <w:szCs w:val="16"/>
          <w:b w:val="1"/>
          <w:bCs w:val="1"/>
          <w:i w:val="1"/>
          <w:iCs w:val="1"/>
          <w:color w:val="auto"/>
        </w:rPr>
      </w:pPr>
    </w:p>
    <w:p>
      <w:pPr>
        <w:ind w:right="40"/>
        <w:spacing w:after="0" w:line="272" w:lineRule="auto"/>
        <w:rPr>
          <w:rFonts w:ascii="Arial" w:cs="Arial" w:eastAsia="Arial" w:hAnsi="Arial"/>
          <w:sz w:val="16"/>
          <w:szCs w:val="16"/>
          <w:b w:val="1"/>
          <w:bCs w:val="1"/>
          <w:i w:val="1"/>
          <w:iCs w:val="1"/>
          <w:color w:val="auto"/>
        </w:rPr>
      </w:pPr>
      <w:r>
        <w:rPr>
          <w:rFonts w:ascii="Arial" w:cs="Arial" w:eastAsia="Arial" w:hAnsi="Arial"/>
          <w:sz w:val="18"/>
          <w:szCs w:val="18"/>
          <w:b w:val="1"/>
          <w:bCs w:val="1"/>
          <w:i w:val="1"/>
          <w:iCs w:val="1"/>
          <w:color w:val="auto"/>
        </w:rPr>
        <w:t>prescription products and promotional efforts such as speaker programs. If we or our partners are found to have improperly promoted uses, efficacy or safety of VASCEPA or otherwise are found to have violated the law or applicable regulations, we may become subject to significant fines and other liability. The government may seek to find means to prevent our promotion of truthful and non-misleading information beyond the current court ruling and litigation settlement or seek to find violations of other laws or regulations in connection with the promotional efforts we undertake on our own or through third parties.</w:t>
      </w:r>
    </w:p>
    <w:p>
      <w:pPr>
        <w:spacing w:after="0" w:line="82" w:lineRule="exact"/>
        <w:rPr>
          <w:sz w:val="20"/>
          <w:szCs w:val="20"/>
          <w:color w:val="auto"/>
        </w:rPr>
      </w:pPr>
    </w:p>
    <w:p>
      <w:pPr>
        <w:ind w:right="80" w:firstLine="509"/>
        <w:spacing w:after="0" w:line="304" w:lineRule="auto"/>
        <w:rPr>
          <w:sz w:val="20"/>
          <w:szCs w:val="20"/>
          <w:color w:val="auto"/>
        </w:rPr>
      </w:pPr>
      <w:r>
        <w:rPr>
          <w:rFonts w:ascii="Arial" w:cs="Arial" w:eastAsia="Arial" w:hAnsi="Arial"/>
          <w:sz w:val="16"/>
          <w:szCs w:val="16"/>
          <w:color w:val="auto"/>
        </w:rPr>
        <w:t>The U.S. FDA and other regulatory agencies strictly regulate the promotional claims that may be made about prescription products. In particular, in general, the U.S. government’s position has been that a product may not be promoted for uses that are not approved by the U.S. FDA as reflected in the product’s approved labeling. The Federal government has levied large civil and criminal fines against companies for alleged improper promotion and has enjoined several companies from engaging in off-label promotion. The U.S. FDA has also requested that companies enter into consent decrees or permanent injunctions under which specified promotional conduct is changed or curtailed. Even though we received U.S. FDA marketing approval for VASCEPA for the MARINE indication and for cardiovascular risk reduction based on the REDUCE-IT study, and we believe the First Amendment court ruling and litigation settlement affords us a degree of protection for other promotional efforts, physicians may still prescribe VASCEPA to their patients for use in the treatment of conditions that are not included as part of the indication statement in our U.S.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FCA, or other theories of liability. Government may also seek to hold us responsible for the non-compliance of our former co-promotion partner, Kowa America, or our commercialization partners outside the United States or other third-parties that we retain to help us implement our business plan.</w:t>
      </w:r>
    </w:p>
    <w:p>
      <w:pPr>
        <w:spacing w:after="0" w:line="65" w:lineRule="exact"/>
        <w:rPr>
          <w:sz w:val="20"/>
          <w:szCs w:val="20"/>
          <w:color w:val="auto"/>
        </w:rPr>
      </w:pPr>
    </w:p>
    <w:p>
      <w:pPr>
        <w:ind w:right="40" w:firstLine="509"/>
        <w:spacing w:after="0" w:line="281" w:lineRule="auto"/>
        <w:rPr>
          <w:sz w:val="20"/>
          <w:szCs w:val="20"/>
          <w:color w:val="auto"/>
        </w:rPr>
      </w:pPr>
      <w:r>
        <w:rPr>
          <w:rFonts w:ascii="Arial" w:cs="Arial" w:eastAsia="Arial" w:hAnsi="Arial"/>
          <w:sz w:val="17"/>
          <w:szCs w:val="17"/>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3" w:name="page64"/>
    <w:bookmarkEnd w:id="63"/>
    <w:p>
      <w:pPr>
        <w:ind w:firstLine="509"/>
        <w:spacing w:after="0" w:line="306" w:lineRule="auto"/>
        <w:rPr>
          <w:sz w:val="20"/>
          <w:szCs w:val="20"/>
          <w:color w:val="auto"/>
        </w:rPr>
      </w:pPr>
      <w:r>
        <w:rPr>
          <w:rFonts w:ascii="Arial" w:cs="Arial" w:eastAsia="Arial" w:hAnsi="Arial"/>
          <w:sz w:val="16"/>
          <w:szCs w:val="16"/>
          <w:color w:val="auto"/>
        </w:rPr>
        <w:t>In June 2020, we received a CID from the DOJ informing us that the DOJ is investigating whether aspects of our promotional speaker programs and copayment waiver program during the period from January 1, 2015 to the present violated the U.S. Anti-Kickback Statute and the FCA in relation to the sale and marketing of VASCEPA by us and our previous co-marketing partner, Kowa America. Similarly, in March 2021, the FTC issued a CID to us in connection with the FTC’s investigation of whether we have engaged in, or are engaging in, anticompetitive practices or unfair methods of competition relating to VASCEPA. The New York State attorney general similarly issued a subpoena to us regarding the same subject matter on which the FTC CID is focused. The inquiries require us to produce documents and answer written questions, or interrogatories, relevant to specified time periods. We are cooperating with the government.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w:t>
      </w:r>
    </w:p>
    <w:p>
      <w:pPr>
        <w:spacing w:after="0" w:line="197" w:lineRule="exact"/>
        <w:rPr>
          <w:sz w:val="20"/>
          <w:szCs w:val="20"/>
          <w:color w:val="auto"/>
        </w:rPr>
      </w:pPr>
    </w:p>
    <w:p>
      <w:pPr>
        <w:ind w:right="160" w:firstLine="509"/>
        <w:spacing w:after="0" w:line="359" w:lineRule="auto"/>
        <w:rPr>
          <w:sz w:val="20"/>
          <w:szCs w:val="20"/>
          <w:color w:val="auto"/>
        </w:rPr>
      </w:pPr>
      <w:r>
        <w:rPr>
          <w:rFonts w:ascii="Arial" w:cs="Arial" w:eastAsia="Arial" w:hAnsi="Arial"/>
          <w:sz w:val="16"/>
          <w:szCs w:val="16"/>
          <w:b w:val="1"/>
          <w:bCs w:val="1"/>
          <w:i w:val="1"/>
          <w:iCs w:val="1"/>
          <w:color w:val="auto"/>
        </w:rPr>
        <w:t>We may not be successful in developing and receiving regulatory approval for VASCEPA in other jurisdictions or marketing future products if we cannot meet the extensive regulatory requirements of regulatory agencies such as for quality, safety, efficacy and data privacy.</w:t>
      </w:r>
    </w:p>
    <w:p>
      <w:pPr>
        <w:spacing w:after="0" w:line="17" w:lineRule="exact"/>
        <w:rPr>
          <w:sz w:val="20"/>
          <w:szCs w:val="20"/>
          <w:color w:val="auto"/>
        </w:rPr>
      </w:pPr>
    </w:p>
    <w:p>
      <w:pPr>
        <w:ind w:right="60" w:firstLine="509"/>
        <w:spacing w:after="0" w:line="269" w:lineRule="auto"/>
        <w:rPr>
          <w:sz w:val="20"/>
          <w:szCs w:val="20"/>
          <w:color w:val="auto"/>
        </w:rPr>
      </w:pPr>
      <w:r>
        <w:rPr>
          <w:rFonts w:ascii="Arial" w:cs="Arial" w:eastAsia="Arial" w:hAnsi="Arial"/>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U.S.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among others:</w:t>
      </w:r>
    </w:p>
    <w:p>
      <w:pPr>
        <w:spacing w:after="0" w:line="8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lack of efficacy during clinical trials;</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slower than expected rates of patient recruitment;</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inability to observe patients adequately after treatment;</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changes in regulatory requirements for clinical trials or preclinical studies;</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emergence of unforeseen safety issues in clinical trials or preclinical studies;</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delay, suspension, or termination of a trial by the institutional review board responsible for overseeing the study at a particular study site;</w:t>
      </w:r>
    </w:p>
    <w:p>
      <w:pPr>
        <w:spacing w:after="0" w:line="142" w:lineRule="exact"/>
        <w:rPr>
          <w:sz w:val="20"/>
          <w:szCs w:val="20"/>
          <w:color w:val="auto"/>
        </w:rPr>
      </w:pPr>
    </w:p>
    <w:p>
      <w:pPr>
        <w:ind w:left="840" w:right="480"/>
        <w:spacing w:after="0" w:line="293" w:lineRule="auto"/>
        <w:rPr>
          <w:sz w:val="20"/>
          <w:szCs w:val="20"/>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compliance with laws and regulations related to patient data privacy;</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government or regulatory delays or “clinical holds” requiring suspension or termination of a trial; and</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political instability or other social or government protocols affecting our clinical trial sites.</w:t>
      </w:r>
    </w:p>
    <w:p>
      <w:pPr>
        <w:spacing w:after="0" w:line="131" w:lineRule="exact"/>
        <w:rPr>
          <w:sz w:val="20"/>
          <w:szCs w:val="20"/>
          <w:color w:val="auto"/>
        </w:rPr>
      </w:pPr>
    </w:p>
    <w:p>
      <w:pPr>
        <w:ind w:right="40" w:firstLine="509"/>
        <w:spacing w:after="0" w:line="299" w:lineRule="auto"/>
        <w:rPr>
          <w:sz w:val="20"/>
          <w:szCs w:val="20"/>
          <w:color w:val="auto"/>
        </w:rPr>
      </w:pPr>
      <w:r>
        <w:rPr>
          <w:rFonts w:ascii="Arial" w:cs="Arial" w:eastAsia="Arial" w:hAnsi="Arial"/>
          <w:sz w:val="16"/>
          <w:szCs w:val="16"/>
          <w:color w:val="auto"/>
        </w:rPr>
        <w:t>Even if we obtain positive results from our efforts to seek regulatory approvals, from early stage preclinical studies or clinical trials, we may not achieve the same success in future efforts.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during the public advisory committee meeting held by U.S. FDA as part of its review of our ANCHOR data and sNDA in October 2013, a discussion regarding observed, nominally statistically significant changes from baseline in an adverse direction, while on background statin therapy, in certain lipid parameters, including LDL cholesterol and triglycerides, in the placebo group, raised questions about the possibility that the light liquid paraffin oil, or mineral oil, placebo used in the ANCHOR trial and then in use in the REDUCE-IT trial might not be biologically inert and might be viewed as artificially exaggerating the clinical effect of VASCEPA when measured against placebo. Ultimately, in 2012, before the U.S. FDA approval of VASCEPA after review of the MARINE and ANCHOR trials and consideration of other data regarding mineral oil, no strong evidence for biological activity of mineral oil was identified by the agency. It was ultimately concluded that the between-group differences likely provided the most appropriate descriptions of the treatment effect of VASCEPA and that whatever factor(s) led to the within-group changes over time in the placebo group were likely randomly distributed to all treatment groups. Thus, the U.S. FDA approved VASCEPA for use in the MARINE indication in July 2012, U.S. FDA did not dispute the veracity of the ANCHOR trial data and, in connection with the March 2016 agreement we reached with the</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64" w:name="page65"/>
    <w:bookmarkEnd w:id="64"/>
    <w:p>
      <w:pPr>
        <w:ind w:right="20"/>
        <w:spacing w:after="0" w:line="303" w:lineRule="auto"/>
        <w:rPr>
          <w:sz w:val="20"/>
          <w:szCs w:val="20"/>
          <w:color w:val="auto"/>
        </w:rPr>
      </w:pPr>
      <w:r>
        <w:rPr>
          <w:rFonts w:ascii="Arial" w:cs="Arial" w:eastAsia="Arial" w:hAnsi="Arial"/>
          <w:sz w:val="16"/>
          <w:szCs w:val="16"/>
          <w:color w:val="auto"/>
        </w:rPr>
        <w:t>U.S. FDA allowing us to promote the results of the ANCHOR study, the U.S. FDA did not seek to require that we include any qualification related to this earlier question regarding the mineral oil placebo. In addition, in connection with U.S. FDA’s review of REDUCE-IT data and sNDA in 2019, the agency determined that an interaction between mineral oil and statins leading to decreased absorption of statins cannot be excluded when the two are co-administered as could have been the case in some patients in REDUCE-IT and that, in the agency’s view, indirect evidence suggested the presence of a potential inhibitory effect on statin absorption by mineral oil. However, U.S. FDA’s exploratory analysis indicated that the effect of LDL cholesterol values on the time to the primary endpoint was numerically small and unlikely to change the overall conclusion of treatment benefit. U.S. FDA then relied on this assessment and all data available to it to approve a new indication statement and labeling based on REDUCE-IT results. This matter illustrates that concerns such as this may arise in the future that could affect our product development, regulatory reviews or the public perception of our products and our future prospects, including REDUCE-IT results. Any approvals that are obtained may be limited in scope, may require additional post-approval studies or may require the addition of labeling statements, including boxed warnings,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commercialization,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proposed future approvals of a product and/or restrictions on that product or manufacturer, including withdrawal of an indication or the product from the market, which would have a negative impact on our potential revenue stream.</w:t>
      </w:r>
    </w:p>
    <w:p>
      <w:pPr>
        <w:spacing w:after="0" w:line="185" w:lineRule="exact"/>
        <w:rPr>
          <w:sz w:val="20"/>
          <w:szCs w:val="20"/>
          <w:color w:val="auto"/>
        </w:rPr>
      </w:pPr>
    </w:p>
    <w:p>
      <w:pPr>
        <w:ind w:right="600" w:firstLine="517"/>
        <w:spacing w:after="0" w:line="261" w:lineRule="auto"/>
        <w:tabs>
          <w:tab w:leader="none" w:pos="644"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 we continue to build our infrastructure for commercializing VASCEPA, we may encounter difficulties in managing our growth and expanding, or streamlining, our operations successfully.</w:t>
      </w:r>
    </w:p>
    <w:p>
      <w:pPr>
        <w:spacing w:after="0" w:line="76" w:lineRule="exact"/>
        <w:rPr>
          <w:sz w:val="20"/>
          <w:szCs w:val="20"/>
          <w:color w:val="auto"/>
        </w:rPr>
      </w:pPr>
    </w:p>
    <w:p>
      <w:pPr>
        <w:ind w:right="20" w:firstLine="509"/>
        <w:spacing w:after="0" w:line="285" w:lineRule="auto"/>
        <w:rPr>
          <w:sz w:val="20"/>
          <w:szCs w:val="20"/>
          <w:color w:val="auto"/>
        </w:rPr>
      </w:pPr>
      <w:r>
        <w:rPr>
          <w:rFonts w:ascii="Arial" w:cs="Arial" w:eastAsia="Arial" w:hAnsi="Arial"/>
          <w:sz w:val="17"/>
          <w:szCs w:val="17"/>
          <w:color w:val="auto"/>
        </w:rPr>
        <w:t>The process of establishing, maintaining, expanding and streamlining a commercial infrastructure is difficult, expensive and time-consuming. As a result of the COVID-19 pandemic and the related social distancing, in March 2020, we suspended face-to-face interactions between our sales representatives and healthcare professionals. We resumed on a limited basis field-based, face-to-face interactions with healthcare providers beginning in June 2020. During the late part of the summer of 2020, substantially all of our field force personnel were able to resume face-to-face customer interactions in a manner consistent with guidelines from local, state and government health officials in the United States. In the fourth quarter of 2020 and in early 2021, the impact of COVID-19 worsened in some parts of the United States, with some physicians again limiting access to face-to-face interactions with our field force personnel. We are implementing a new Go-to-Market strategy in an effort to accelerate growth of VASCEPA in the United States by shifting reliance on sales force interactions with healthcare professionals to providing managed care and prescription access through an omnichannel platform. Accordingly, we have intentionally slowed the hiring of replacements for our open positions which resulted from ordinary turnover and as announced on September 22, 2021 we have reduced our U.S. field force to approximately 300 sales representatives. As we observe the results of the new Go-to-Market strategy and witness our sales representatives increasingly able to resume direct interactions with healthcare professionals, we will continue to evaluate our needs and, including the need to fill open positions, or expand or further streamline our sales force, as appropriate to meet our business needs. Our sales team promotes VASCEPA to a limited group of physicians and other healthcare professionals in select geographies in the United States and is not large enough to call upon all physicians.</w:t>
      </w:r>
    </w:p>
    <w:p>
      <w:pPr>
        <w:spacing w:after="0" w:line="71" w:lineRule="exact"/>
        <w:rPr>
          <w:sz w:val="20"/>
          <w:szCs w:val="20"/>
          <w:color w:val="auto"/>
        </w:rPr>
      </w:pPr>
    </w:p>
    <w:p>
      <w:pPr>
        <w:ind w:firstLine="509"/>
        <w:spacing w:after="0" w:line="281" w:lineRule="auto"/>
        <w:rPr>
          <w:sz w:val="20"/>
          <w:szCs w:val="20"/>
          <w:color w:val="auto"/>
        </w:rPr>
      </w:pPr>
      <w:r>
        <w:rPr>
          <w:rFonts w:ascii="Arial" w:cs="Arial" w:eastAsia="Arial" w:hAnsi="Arial"/>
          <w:sz w:val="17"/>
          <w:szCs w:val="17"/>
          <w:color w:val="auto"/>
        </w:rPr>
        <w:t>In addition to sales force reductions and the shift to omnichannel in the United States, we continue to work on our own and with our international partners to support regulatory efforts outside the United States based on REDUCE-IT results. As our operations expand with the anticipated growth of our product sales, we expect that we will need to manage additional relationships with various collaborative partners, suppliers and other third parties. Future growth and streamlining efforts will impose significant added responsibilities on members of management, including the need to identify, recruit, maintain and integrate the right number of employees. For example, in Europe we commenced 2021 with approximately 50 professionals involved in pre-approval and pre-launch planning and other commercial preparation activities, with plans to continue to expand our European staff as deemed appropriate on a country by country basis. The time required to secure reimbursement tends to vary from country to country and cannot be reliably predicted at this time. While we believe that we have strong arguments regarding the cost effectiveness of VAZKEPA, the success of such reimbursement negotiations could have a significant impact on our ability to hire and retain personnel and realize the commercial opportunity of VAZKEPA in Europe. Our future financial performance and our ability to commercialize VASCEPA and to compete effectively will depend, in part, on our ability to manage our future growth effectively, and such efforts may be disrupted by ongoing or reinstated COVID-19 protocols. To that end, we must be able to manage our development efforts effectively, and hire, train, integrate and retain an appropriate level of management, administrative and sales and marketing personnel and have limited experience managing a commercial organization. We may not be able to accomplish these tasks, and our failure to accomplish any of them could prevent us from successfully growing our company.</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56" w:lineRule="exact"/>
        <w:rPr>
          <w:sz w:val="20"/>
          <w:szCs w:val="20"/>
          <w:color w:val="auto"/>
        </w:rPr>
      </w:pPr>
    </w:p>
    <w:p>
      <w:pPr>
        <w:ind w:right="620" w:firstLine="509"/>
        <w:spacing w:after="0" w:line="293" w:lineRule="auto"/>
        <w:rPr>
          <w:sz w:val="20"/>
          <w:szCs w:val="20"/>
          <w:color w:val="auto"/>
        </w:rPr>
      </w:pPr>
      <w:r>
        <w:rPr>
          <w:rFonts w:ascii="Arial" w:cs="Arial" w:eastAsia="Arial" w:hAnsi="Arial"/>
          <w:sz w:val="18"/>
          <w:szCs w:val="18"/>
          <w:b w:val="1"/>
          <w:bCs w:val="1"/>
          <w:i w:val="1"/>
          <w:iCs w:val="1"/>
          <w:color w:val="auto"/>
        </w:rPr>
        <w:t>Our supply of product for the commercial market and clinical trials is dependent upon relationships with third-party manufacturers and suppliers.</w:t>
      </w:r>
    </w:p>
    <w:p>
      <w:pPr>
        <w:spacing w:after="0" w:line="62" w:lineRule="exact"/>
        <w:rPr>
          <w:sz w:val="20"/>
          <w:szCs w:val="20"/>
          <w:color w:val="auto"/>
        </w:rPr>
      </w:pPr>
    </w:p>
    <w:p>
      <w:pPr>
        <w:ind w:right="40" w:firstLine="509"/>
        <w:spacing w:after="0" w:line="290" w:lineRule="auto"/>
        <w:rPr>
          <w:sz w:val="20"/>
          <w:szCs w:val="20"/>
          <w:color w:val="auto"/>
        </w:rPr>
      </w:pPr>
      <w:r>
        <w:rPr>
          <w:rFonts w:ascii="Arial" w:cs="Arial" w:eastAsia="Arial" w:hAnsi="Arial"/>
          <w:sz w:val="17"/>
          <w:szCs w:val="17"/>
          <w:color w:val="auto"/>
        </w:rPr>
        <w:t>We have no in-house manufacturing capacity and rely on contract manufacturers for our clinical and commercial product supply. We cannot ensure that we will successfully manufacture any product we may develop, either independently or under manufacturing arrangements, if any, with our third-party manufacturers. Moreover, if our manufacturers should cease doing business with us or experience delays, shortages of supply or excessive demands on their capacity, we may not be able to obtain adequate quantities of product in a timely manner, or at all. If we are not able to continue to operate our business relationships in a manner that is sufficiently profitable for us and our suppliers, certain members of our supply chain could compete with us through supply to competitors, such as generic drug companies, through breach of our agreements or otherwise.</w:t>
      </w:r>
    </w:p>
    <w:p>
      <w:pPr>
        <w:spacing w:after="0" w:line="68" w:lineRule="exact"/>
        <w:rPr>
          <w:sz w:val="20"/>
          <w:szCs w:val="20"/>
          <w:color w:val="auto"/>
        </w:rPr>
      </w:pPr>
    </w:p>
    <w:p>
      <w:pPr>
        <w:ind w:right="60" w:firstLine="509"/>
        <w:spacing w:after="0" w:line="290" w:lineRule="auto"/>
        <w:rPr>
          <w:sz w:val="20"/>
          <w:szCs w:val="20"/>
          <w:color w:val="auto"/>
        </w:rPr>
      </w:pPr>
      <w:r>
        <w:rPr>
          <w:rFonts w:ascii="Arial" w:cs="Arial" w:eastAsia="Arial" w:hAnsi="Arial"/>
          <w:sz w:val="17"/>
          <w:szCs w:val="17"/>
          <w:color w:val="auto"/>
        </w:rPr>
        <w:t>Any manufacturing problem, natural or manmade disaster affecting manufacturing facilities, government action, or the loss of a contract manufacturer could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68" w:lineRule="exact"/>
        <w:rPr>
          <w:sz w:val="20"/>
          <w:szCs w:val="20"/>
          <w:color w:val="auto"/>
        </w:rPr>
      </w:pPr>
    </w:p>
    <w:p>
      <w:pPr>
        <w:ind w:right="80" w:firstLine="509"/>
        <w:spacing w:after="0" w:line="296" w:lineRule="auto"/>
        <w:rPr>
          <w:sz w:val="20"/>
          <w:szCs w:val="20"/>
          <w:color w:val="auto"/>
        </w:rPr>
      </w:pPr>
      <w:r>
        <w:rPr>
          <w:rFonts w:ascii="Arial" w:cs="Arial" w:eastAsia="Arial" w:hAnsi="Arial"/>
          <w:sz w:val="17"/>
          <w:szCs w:val="17"/>
          <w:color w:val="auto"/>
        </w:rPr>
        <w:t>We have contractual freedom to source the API for VASCEPA and to procure other services supporting our supply chain. We have entered into supply agreements with multiple suppliers who also rely on other third-party suppliers to manufacture the API and other elements necessary for the sale of VASCEPA. Our strategy in sourcing API and other components in our supply chain from multiple suppliers has been to expand manufacturing capacity, maintain competitive advantages, and mitigate the risk of reliance on any single supplier.</w:t>
      </w:r>
    </w:p>
    <w:p>
      <w:pPr>
        <w:spacing w:after="0" w:line="62" w:lineRule="exact"/>
        <w:rPr>
          <w:sz w:val="20"/>
          <w:szCs w:val="20"/>
          <w:color w:val="auto"/>
        </w:rPr>
      </w:pPr>
    </w:p>
    <w:p>
      <w:pPr>
        <w:ind w:right="20" w:firstLine="509"/>
        <w:spacing w:after="0" w:line="284" w:lineRule="auto"/>
        <w:rPr>
          <w:sz w:val="20"/>
          <w:szCs w:val="20"/>
          <w:color w:val="auto"/>
        </w:rPr>
      </w:pPr>
      <w:r>
        <w:rPr>
          <w:rFonts w:ascii="Arial" w:cs="Arial" w:eastAsia="Arial" w:hAnsi="Arial"/>
          <w:sz w:val="17"/>
          <w:szCs w:val="17"/>
          <w:color w:val="auto"/>
        </w:rPr>
        <w:t>Expanding manufacturing capacity and qualifying such capacity is complex and subject to numerous regulations and other operational challenges. We require supply capacity to support our direct commercialization of VASCEPA in the United States and VAZKEPA in Europe. We are also committed to providing supply to our commercial partners and distributors in Canada, China, the Middle East and North Africa, and we anticipate potential additional supply requirements as we pursue commercial opportunities in other countries. The resources of our suppliers vary and are limited; costs associated with projected expansion and qualification can be significant. And, lead-times for supply purchases and capacity expansion are long requiring certain supply related decisions and commitment to be made in advance, for example, prior to commercial launch in China and in various European countries. There can be no assurance that the expansion plans of any of our suppliers will be successful. Our aggregate capacity to produce API is dependent upon the continued qualification of our API suppliers and, depending on the ability of existing suppliers to meet our supply demands, potentially the qualifications of new suppliers. Each of our API suppliers has outlined plans for potential further capacity expansion, with certain of these expansion plans delayed due to COVID-19 and other market uncertainties. If no additional API supplier is approved by the U.S. FDA as part of an sNDA, our API supply will be limited to the API we purchase from previously approved suppliers. Similarly, the EMA has not initially approved use of each of our suppliers used for VASCEPA in the United States for VAZKEPA in the EU. While we believe that we have sufficient supply of VAZKEPA to support our initial launch plans in Europe, our supply in Europe will be limited until additional suppliers are qualified which qualifications may be delayed by COVID-19 and our exposure to manufacturing issues with our approved suppliers for the EU is less mitigated than is our objective by having more suppliers qualified. If our third-party manufacturing capacity is not expanded and/or compliant with applicable regulatory requirements, we may not be able to supply sufficient quantities of VASCEPA to meet anticipated demand. We cannot guarantee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75"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There can be no guarantee that current suppliers and future suppliers with which we have contracted to encapsulate API will be continually qualified to manufacture the product to our specifications or that current and any future suppliers will have the manufacturing capacity to meet anticipated demand for VASCEPA.</w:t>
      </w:r>
    </w:p>
    <w:p>
      <w:pPr>
        <w:spacing w:after="0" w:line="210" w:lineRule="exact"/>
        <w:rPr>
          <w:sz w:val="20"/>
          <w:szCs w:val="20"/>
          <w:color w:val="auto"/>
        </w:rPr>
      </w:pPr>
    </w:p>
    <w:p>
      <w:pPr>
        <w:ind w:right="160" w:firstLine="509"/>
        <w:spacing w:after="0" w:line="293" w:lineRule="auto"/>
        <w:rPr>
          <w:sz w:val="20"/>
          <w:szCs w:val="20"/>
          <w:color w:val="auto"/>
        </w:rPr>
      </w:pPr>
      <w:r>
        <w:rPr>
          <w:rFonts w:ascii="Arial" w:cs="Arial" w:eastAsia="Arial" w:hAnsi="Arial"/>
          <w:sz w:val="18"/>
          <w:szCs w:val="18"/>
          <w:b w:val="1"/>
          <w:bCs w:val="1"/>
          <w:i w:val="1"/>
          <w:iCs w:val="1"/>
          <w:color w:val="auto"/>
        </w:rPr>
        <w:t>We may purchase too much or not enough supply to satisfy actual demand, which could have a material adverse effect on our financial results and financial condition.</w:t>
      </w:r>
    </w:p>
    <w:p>
      <w:pPr>
        <w:spacing w:after="0" w:line="62" w:lineRule="exact"/>
        <w:rPr>
          <w:sz w:val="20"/>
          <w:szCs w:val="20"/>
          <w:color w:val="auto"/>
        </w:rPr>
      </w:pPr>
    </w:p>
    <w:p>
      <w:pPr>
        <w:ind w:right="20" w:firstLine="509"/>
        <w:spacing w:after="0" w:line="281" w:lineRule="auto"/>
        <w:rPr>
          <w:sz w:val="20"/>
          <w:szCs w:val="20"/>
          <w:color w:val="auto"/>
        </w:rPr>
      </w:pPr>
      <w:r>
        <w:rPr>
          <w:rFonts w:ascii="Arial" w:cs="Arial" w:eastAsia="Arial" w:hAnsi="Arial"/>
          <w:sz w:val="17"/>
          <w:szCs w:val="17"/>
          <w:color w:val="auto"/>
        </w:rPr>
        <w:t>Certain of our agreements with our suppliers include minimum purchase obligations and limited exclusivity provisions. These purchases are generally made on the basis of rolling 12-month forecasts which in part are binding on us and the balance of which are subject to adjustment by us subject to certain limitations. Certain of our agreements also include contractual minimum purchase commitments regardless of the rolling 12-month forecasts. We may not purchase sufficient quantities of VASCEPA to meet actual demand or our purchase of supply may exceed actual demand. In either case, such event could have a material adverse effect on our financial results and financial condition.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5" w:right="359" w:bottom="1440" w:gutter="0" w:footer="0" w:header="0"/>
        </w:sectPr>
      </w:pPr>
    </w:p>
    <w:bookmarkStart w:id="66" w:name="page67"/>
    <w:bookmarkEnd w:id="66"/>
    <w:p>
      <w:pPr>
        <w:ind w:firstLine="509"/>
        <w:spacing w:after="0" w:line="293" w:lineRule="auto"/>
        <w:rPr>
          <w:sz w:val="20"/>
          <w:szCs w:val="20"/>
          <w:color w:val="auto"/>
        </w:rPr>
      </w:pPr>
      <w:r>
        <w:rPr>
          <w:rFonts w:ascii="Arial" w:cs="Arial" w:eastAsia="Arial" w:hAnsi="Arial"/>
          <w:sz w:val="18"/>
          <w:szCs w:val="18"/>
          <w:b w:val="1"/>
          <w:bCs w:val="1"/>
          <w:i w:val="1"/>
          <w:iCs w:val="1"/>
          <w:color w:val="auto"/>
        </w:rPr>
        <w:t>Our dependence on third parties in the distribution channel from our manufacturers to patients subject us to risks that limit our profitability and could limit our ability to supply VASCEPA to large market segments.</w:t>
      </w:r>
    </w:p>
    <w:p>
      <w:pPr>
        <w:spacing w:after="0" w:line="62" w:lineRule="exact"/>
        <w:rPr>
          <w:sz w:val="20"/>
          <w:szCs w:val="20"/>
          <w:color w:val="auto"/>
        </w:rPr>
      </w:pPr>
    </w:p>
    <w:p>
      <w:pPr>
        <w:ind w:right="40" w:firstLine="509"/>
        <w:spacing w:after="0" w:line="304" w:lineRule="auto"/>
        <w:rPr>
          <w:sz w:val="20"/>
          <w:szCs w:val="20"/>
          <w:color w:val="auto"/>
        </w:rPr>
      </w:pPr>
      <w:r>
        <w:rPr>
          <w:rFonts w:ascii="Arial" w:cs="Arial" w:eastAsia="Arial" w:hAnsi="Arial"/>
          <w:sz w:val="16"/>
          <w:szCs w:val="16"/>
          <w:color w:val="auto"/>
        </w:rPr>
        <w:t>We sell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 These parties exercise a substantial amount of bargaining power over us given their control over large segments of the market for VASCEPA. This bargaining power has led us to bear increasingly higher discounts in the sale of VASCEPA. In addition, payors have broad latitude to change individual products’ formulary position or to implement other barriers that 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pharmacy benefit managers implement plans that act as disincentives for VASCEPA use, such as increasingly higher deductibles. One practical impact of higher deductibles is that they may cause patients to delay filling prescriptions for asymptomatic, chronic care medications such as hypertriglyceridemia earlier in the year, until patients meet their deductible and the cost of VASCEPA is then borne more by their insurance carrier. Collectively, these dynamics negatively affect our profitability for the sale of VASCEPA and could increase over time further impacting our operating results. Consolidation among these industry participants could increase the pressure from these market dynamics.</w:t>
      </w:r>
    </w:p>
    <w:p>
      <w:pPr>
        <w:spacing w:after="0" w:line="187"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b w:val="1"/>
          <w:bCs w:val="1"/>
          <w:i w:val="1"/>
          <w:iCs w:val="1"/>
          <w:color w:val="auto"/>
        </w:rPr>
        <w:t>The manufacture, packaging and distribution of pharmaceutical products such as VASCEPA are subject to U.S. FDA regulations and those of similar foreign regulatory bodies. If we or our third-party manufacturers fail to satisfy these requirements, our product development and commercialization efforts may be materially harmed.</w:t>
      </w:r>
    </w:p>
    <w:p>
      <w:pPr>
        <w:spacing w:after="0" w:line="87"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The manufacture, packaging and distribution of pharmaceutical products, such as VASCEPA, are regulated by the U.S. FDA and similar foreign regulatory bodies and must be conducted in accordance with the U.S. FDA’s cGMPs and comparable requirements of foreign regulatory bodies. There are a limited number of manufacturers that operate under these cGMPs as well as the International Council for Harmonisation of Technical Requirements for Registration of Pharmaceuticals for Human Use, or ICH, regulations and guidelines, that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and penalties,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7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Changes in the manufacturing process or procedure, including a change in the location where the product is manufactured or a change of a third-party manufacturer, may require prior U.S. FDA review and pre-approval of the manufacturing process and procedures in accordance with the U.S. FDA’s cGMPs. Any new facility may be subject to a pre-approval inspection by the U.S. FDA and would again require us to demonstrate product comparability to the U.S. FDA. There are comparable foreign requirements under ICH guidelines. In addition, certain COVID-19 restrictions have affected Regulatory Agencies' ability to conduct facility inspections and may affect the timing of further approvals. This review may be costly and time consuming and could delay or prevent the launch of a product.</w:t>
      </w:r>
    </w:p>
    <w:p>
      <w:pPr>
        <w:spacing w:after="0" w:line="83" w:lineRule="exact"/>
        <w:rPr>
          <w:sz w:val="20"/>
          <w:szCs w:val="20"/>
          <w:color w:val="auto"/>
        </w:rPr>
      </w:pPr>
    </w:p>
    <w:p>
      <w:pPr>
        <w:ind w:right="340" w:firstLine="509"/>
        <w:spacing w:after="0" w:line="314" w:lineRule="auto"/>
        <w:rPr>
          <w:sz w:val="20"/>
          <w:szCs w:val="20"/>
          <w:color w:val="auto"/>
        </w:rPr>
      </w:pPr>
      <w:r>
        <w:rPr>
          <w:rFonts w:ascii="Arial" w:cs="Arial" w:eastAsia="Arial" w:hAnsi="Arial"/>
          <w:sz w:val="16"/>
          <w:szCs w:val="16"/>
          <w:color w:val="auto"/>
        </w:rPr>
        <w:t>Furthermore, the U.S.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Process validation includes stability testing, measurement of impurities and testing of other product specifications by validated test methods. If the U.S. FDA does not consider the result of the process validation or required testing to be satisfactory, the commercial supply of VASCEPA may be delayed, or we may not be able to supply sufficient quantities of VASCEPA to meet anticipated demand.</w:t>
      </w:r>
    </w:p>
    <w:p>
      <w:pPr>
        <w:spacing w:after="0" w:line="52" w:lineRule="exact"/>
        <w:rPr>
          <w:sz w:val="20"/>
          <w:szCs w:val="20"/>
          <w:color w:val="auto"/>
        </w:rPr>
      </w:pPr>
    </w:p>
    <w:p>
      <w:pPr>
        <w:jc w:val="both"/>
        <w:ind w:right="400" w:firstLine="509"/>
        <w:spacing w:after="0" w:line="275" w:lineRule="auto"/>
        <w:rPr>
          <w:sz w:val="20"/>
          <w:szCs w:val="20"/>
          <w:color w:val="auto"/>
        </w:rPr>
      </w:pPr>
      <w:r>
        <w:rPr>
          <w:rFonts w:ascii="Arial" w:cs="Arial" w:eastAsia="Arial" w:hAnsi="Arial"/>
          <w:sz w:val="18"/>
          <w:szCs w:val="18"/>
          <w:color w:val="auto"/>
        </w:rPr>
        <w:t>The U.S.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or we may be prevented from manufacturing or selling VASCEPA, all of which could significantly and adversely affect our business.</w:t>
      </w:r>
    </w:p>
    <w:p>
      <w:pPr>
        <w:spacing w:after="0" w:line="199"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b w:val="1"/>
          <w:bCs w:val="1"/>
          <w:i w:val="1"/>
          <w:iCs w:val="1"/>
          <w:color w:val="auto"/>
        </w:rPr>
        <w:t>Our commercialization of VASCEPA outside the United States is substantially dependent on third parties and other circumstances outside our control.</w:t>
      </w:r>
    </w:p>
    <w:p>
      <w:pPr>
        <w:spacing w:after="0" w:line="76" w:lineRule="exact"/>
        <w:rPr>
          <w:sz w:val="20"/>
          <w:szCs w:val="20"/>
          <w:color w:val="auto"/>
        </w:rPr>
      </w:pPr>
    </w:p>
    <w:p>
      <w:pPr>
        <w:jc w:val="both"/>
        <w:ind w:right="80" w:firstLine="509"/>
        <w:spacing w:after="0" w:line="279" w:lineRule="auto"/>
        <w:rPr>
          <w:sz w:val="20"/>
          <w:szCs w:val="20"/>
          <w:color w:val="auto"/>
        </w:rPr>
      </w:pPr>
      <w:r>
        <w:rPr>
          <w:rFonts w:ascii="Arial" w:cs="Arial" w:eastAsia="Arial" w:hAnsi="Arial"/>
          <w:sz w:val="18"/>
          <w:szCs w:val="18"/>
          <w:color w:val="auto"/>
        </w:rPr>
        <w:t>We have expanded our VASCEPA commercialization activities outside of the United States through several contractual arrangements in territories including China, the Middle East, North Africa and Canada. We continue to assess other opportunities to develop VASCEPA commercialization outside of the United States through similar arrangements.</w:t>
      </w:r>
    </w:p>
    <w:p>
      <w:pPr>
        <w:spacing w:after="0" w:line="75" w:lineRule="exact"/>
        <w:rPr>
          <w:sz w:val="20"/>
          <w:szCs w:val="20"/>
          <w:color w:val="auto"/>
        </w:rPr>
      </w:pPr>
    </w:p>
    <w:p>
      <w:pPr>
        <w:ind w:right="200" w:firstLine="509"/>
        <w:spacing w:after="0" w:line="266" w:lineRule="auto"/>
        <w:rPr>
          <w:sz w:val="20"/>
          <w:szCs w:val="20"/>
          <w:color w:val="auto"/>
        </w:rPr>
      </w:pPr>
      <w:r>
        <w:rPr>
          <w:rFonts w:ascii="Arial" w:cs="Arial" w:eastAsia="Arial" w:hAnsi="Arial"/>
          <w:sz w:val="18"/>
          <w:szCs w:val="18"/>
          <w:color w:val="auto"/>
        </w:rPr>
        <w:t>In February 2015, we entered into a Development, Commercialization and Supply Agreement, or the DCS Agreement, with Edding, related to the development and commercialization of VASCEPA in the China Territory. Under the DCS Agreement, Edding is responsible for development and commercialization activities in the China Territory and associated expenses. Additionally, Edding is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67" w:name="page68"/>
    <w:bookmarkEnd w:id="67"/>
    <w:p>
      <w:pPr>
        <w:spacing w:after="0" w:line="303" w:lineRule="auto"/>
        <w:rPr>
          <w:sz w:val="20"/>
          <w:szCs w:val="20"/>
          <w:color w:val="auto"/>
        </w:rPr>
      </w:pPr>
      <w:r>
        <w:rPr>
          <w:rFonts w:ascii="Arial" w:cs="Arial" w:eastAsia="Arial" w:hAnsi="Arial"/>
          <w:sz w:val="16"/>
          <w:szCs w:val="16"/>
          <w:color w:val="auto"/>
        </w:rPr>
        <w:t>required to conduct clinical trials in the China Territory to secure regulatory approval in certain territories. In December 2017, Edding commenced a pivotal clinical trial aimed to demonstrate that VASCEPA lowers triglyceride levels and otherwise has beneficial effects in Chinese patients with severe hypertriglyceridemia (TG &gt;500 mg/dL), as we previously demonstrated with VASEPA in the more diverse population studied in the MARINE study. In November 2020, we announced statistically significant positive topline results from Edding’s Phase 3 clinical trial of VASCEPA. On February 9, 2021, we announced that the regulatory review processes for approval of VASCEPA in Mainland China and Hong Kong have commenced. The Chinese National Medical Products Administration, or NMPA, has accepted for review the new drug application for VASCEPA, submitted by Edding, based on the results from the Phase 3 clinical trial and the results from our prior studies of VASCEPA. We expect to receive a decision from the NMPA in Mainland China near the end of 2021. The Hong Kong Department of Health is evaluating VASCEPA based on current approvals in the United States and Canada. The review process in Hong Kong is expected to conclude near the end of 2021. Even though such results are similar to the MARINE study, additional clinical development efforts may be necessary in this market to demonstrate the effectiveness of VASCEPA in reducing major adverse cardiovascular events in Chinese patients with persistent cardiovascular risk. Any development and regulatory efforts in the China Territory may be negatively impacted if the coronavirus pandemic continues or spreads, and if resources by regulators and industry professionals continue to be diverted to address the prolonged coronavirus outbreak. Any development and regulatory efforts in the China Territory may be negatively impacted by heightened political tension between China and the United States, including in connection with COVID-19 and other issues expressed between the countries regarding trade practices, tariffs and honoring intellectual property rights. If Edding is not able to effectively develop and commercialize VASCEPA in the China Territory, we may not be able to generate revenue from the DCS Agreement resulting from the sale of VASCEPA in the China Territory.</w:t>
      </w:r>
    </w:p>
    <w:p>
      <w:pPr>
        <w:spacing w:after="0" w:line="63" w:lineRule="exact"/>
        <w:rPr>
          <w:sz w:val="20"/>
          <w:szCs w:val="20"/>
          <w:color w:val="auto"/>
        </w:rPr>
      </w:pPr>
    </w:p>
    <w:p>
      <w:pPr>
        <w:ind w:right="40" w:firstLine="509"/>
        <w:spacing w:after="0" w:line="288" w:lineRule="auto"/>
        <w:rPr>
          <w:sz w:val="20"/>
          <w:szCs w:val="20"/>
          <w:color w:val="auto"/>
        </w:rPr>
      </w:pPr>
      <w:r>
        <w:rPr>
          <w:rFonts w:ascii="Arial" w:cs="Arial" w:eastAsia="Arial" w:hAnsi="Arial"/>
          <w:sz w:val="17"/>
          <w:szCs w:val="17"/>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Biologix obtained approval of VASCEPA in Lebanon in March 2018, in United Arab Emirates in July 2018, in Qatar in January 2020 and Bahrain in December 2020. VASCEPA was launched in Lebanon and the United Arab Emirates in June 2018 and February 2019, respectively. VASCEPA is under registration in additional countries in the Middle East and North Africa regions. Commercialization across the Middle East and North Africa is subject to similar risks as in the China Territory, and has been negatively impacted by COVID-19 and the destabilized local economies in the region.</w:t>
      </w:r>
    </w:p>
    <w:p>
      <w:pPr>
        <w:spacing w:after="0" w:line="73" w:lineRule="exact"/>
        <w:rPr>
          <w:sz w:val="20"/>
          <w:szCs w:val="20"/>
          <w:color w:val="auto"/>
        </w:rPr>
      </w:pPr>
    </w:p>
    <w:p>
      <w:pPr>
        <w:ind w:right="20" w:firstLine="509"/>
        <w:spacing w:after="0" w:line="306" w:lineRule="auto"/>
        <w:rPr>
          <w:sz w:val="20"/>
          <w:szCs w:val="20"/>
          <w:color w:val="auto"/>
        </w:rPr>
      </w:pPr>
      <w:r>
        <w:rPr>
          <w:rFonts w:ascii="Arial" w:cs="Arial" w:eastAsia="Arial" w:hAnsi="Arial"/>
          <w:sz w:val="16"/>
          <w:szCs w:val="16"/>
          <w:color w:val="auto"/>
        </w:rPr>
        <w:t>In September 2017, we entered into an agreement with HLS Therapeutics Inc., or HLS, to register, commercialize and distribute VASCEPA in Canada. Under the agreement, HLS is responsible for regulatory and commercialization activities and associated costs. We are responsible for providing assistance towards local filings, supplying finished product under negotiated supply terms, maintaining intellectual property, and continuing the development and funding of REDUCE-IT related activities. In December 2019, VASCEPA was approved for use in Canada to reduce the risk of cardiovascular events in statin-treated patients with elevated triglycerides, who are at high risk of cardiovascular events due to established cardiovascular disease, or diabetes, and at least one other cardiovascular risk factor. In January 2020, HLS obtained an extended regulatory exclusivity designation. In February 2020, HLS launched VASCEPA in Canada, with strong initial uptake before the impact of COVID-19 pandemic. In July 2020, Patented Medicine Prices Review Board confirmed VASCEPA price is compliant with current guidelines, and CADTH recommended reimbursement for VASCEPA in Canada in secondary prevention population. However, if HLS is not able to effectively commercialize VASCEPA in Canada through effective pricing (initially and over time), reimbursement or otherwise we may not be able to generate revenue from the sale of VASCEPA in Canada.</w:t>
      </w:r>
    </w:p>
    <w:p>
      <w:pPr>
        <w:spacing w:after="0" w:line="57"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Our efforts to launch VAZKEPA on our own in Europe is a complex undertaking for a company that, other than our recent launch of VAZKEPA in Germany in September 2021, has not launched a product in Europe and could be subject to significant risks of execution to our successful development and revenue generation of VAZKEPA in Europe. While various of our suppliers have been inspected and we do not anticipate supply availability limiting our launch in Europe, COVID-19 has limited the ability of suppliers to be inspected and not all of our suppliers have completed all of the requirements of the European regulatory authorities.</w:t>
      </w:r>
    </w:p>
    <w:p>
      <w:pPr>
        <w:spacing w:after="0" w:line="83"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218" w:lineRule="exact"/>
        <w:rPr>
          <w:sz w:val="20"/>
          <w:szCs w:val="20"/>
          <w:color w:val="auto"/>
        </w:rPr>
      </w:pPr>
    </w:p>
    <w:p>
      <w:pPr>
        <w:ind w:right="140" w:firstLine="517"/>
        <w:spacing w:after="0" w:line="279" w:lineRule="auto"/>
        <w:tabs>
          <w:tab w:leader="none" w:pos="644"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relationships with healthcare providers and physicians and third-party payors are subject to applicable anti-kickback, fraud and abuse and other healthcare laws and regulations, which could expose use to criminal sanctions, civil penalties, contractual damages, reputational harm and diminished profits and future earnings.</w:t>
      </w:r>
    </w:p>
    <w:p>
      <w:pPr>
        <w:spacing w:after="0" w:line="75" w:lineRule="exact"/>
        <w:rPr>
          <w:sz w:val="20"/>
          <w:szCs w:val="20"/>
          <w:color w:val="auto"/>
        </w:rPr>
      </w:pPr>
    </w:p>
    <w:p>
      <w:pPr>
        <w:ind w:right="640" w:firstLine="509"/>
        <w:spacing w:after="0" w:line="266"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8" w:name="page69"/>
    <w:bookmarkEnd w:id="68"/>
    <w:p>
      <w:pPr>
        <w:ind w:right="140"/>
        <w:spacing w:after="0" w:line="272" w:lineRule="auto"/>
        <w:rPr>
          <w:sz w:val="20"/>
          <w:szCs w:val="20"/>
          <w:color w:val="auto"/>
        </w:rPr>
      </w:pPr>
      <w:r>
        <w:rPr>
          <w:rFonts w:ascii="Arial" w:cs="Arial" w:eastAsia="Arial" w:hAnsi="Arial"/>
          <w:sz w:val="18"/>
          <w:szCs w:val="18"/>
          <w:color w:val="auto"/>
        </w:rPr>
        <w:t>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are subject to extensive laws designed to prevent fraud, kickbacks, self-dealing and other abusive practices. The applicable federal and state healthcare laws and regulations laws that may affect our ability to operate include, but are not limited to:</w:t>
      </w:r>
    </w:p>
    <w:p>
      <w:pPr>
        <w:spacing w:after="0" w:line="69" w:lineRule="exact"/>
        <w:rPr>
          <w:sz w:val="20"/>
          <w:szCs w:val="20"/>
          <w:color w:val="auto"/>
        </w:rPr>
      </w:pPr>
    </w:p>
    <w:p>
      <w:pPr>
        <w:ind w:left="840"/>
        <w:spacing w:after="0" w:line="252" w:lineRule="auto"/>
        <w:rPr>
          <w:sz w:val="20"/>
          <w:szCs w:val="20"/>
          <w:color w:val="auto"/>
        </w:rPr>
      </w:pPr>
      <w:r>
        <w:rPr>
          <w:rFonts w:ascii="Arial" w:cs="Arial" w:eastAsia="Arial" w:hAnsi="Arial"/>
          <w:sz w:val="17"/>
          <w:szCs w:val="17"/>
          <w:color w:val="auto"/>
        </w:rPr>
        <w:t>the U.S.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FCA. Although there are a number of statutory exemptions and regulatory safe harbors protecting certain activities from prosecution, the exemptions and safe harbors are drawn narrowly, and practices that involve remuneration intended to induce prescribing, purchases, or recommendations may be subject to scrutiny if they do not qualify for an exemption or safe harbor. Our practices may not in all cases meet all of the criteria for safe harbor protection from anti-kickback liability. Violations are subject to significant civil and criminal fines and penalties for each violation, plus up to three times the renumeration involved, imprisonment, and exclusion from government healthcare workers;</w:t>
      </w:r>
    </w:p>
    <w:p>
      <w:pPr>
        <w:spacing w:after="0" w:line="75" w:lineRule="exact"/>
        <w:rPr>
          <w:sz w:val="20"/>
          <w:szCs w:val="20"/>
          <w:color w:val="auto"/>
        </w:rPr>
      </w:pPr>
    </w:p>
    <w:p>
      <w:pPr>
        <w:ind w:left="840" w:right="40"/>
        <w:spacing w:after="0" w:line="251" w:lineRule="auto"/>
        <w:rPr>
          <w:sz w:val="20"/>
          <w:szCs w:val="20"/>
          <w:color w:val="auto"/>
        </w:rPr>
      </w:pPr>
      <w:r>
        <w:rPr>
          <w:rFonts w:ascii="Arial" w:cs="Arial" w:eastAsia="Arial" w:hAnsi="Arial"/>
          <w:sz w:val="17"/>
          <w:szCs w:val="17"/>
          <w:color w:val="auto"/>
        </w:rPr>
        <w:t>the federal civil and criminal false claims laws and civil monetary penalties laws, including the FCA, which prohibits, among other things, any person from knowingly presenting, or causing to be presented, a false or fraudulent claim for payment of government funds, or knowingly making or using, or causing to be made or used, a false record or statement material to an obligation to pay money to the government or knowingly concealing, or knowingly and improperly avoiding, decreasing, or concealing an obligation to pay money to the federal government. The FCA also permits a private individual acting as a “whistleblower” to bring actions on behalf of the federal government alleging violations of the statute and to share in any monetary recovery. Manufacturers can be held liable under the FCA even when they do not submit claims directly to government payors if they are deemed to “case” the submission of false or fraudulent claims. Recently, several pharmaceutical and other healthcare companies have been investigated or faced enforcement actions under the FCA for a variety of alleged improper marketing activities, including allegations that they caused false claims to be submitted because of the company’s marketing of the product for unapproved, and thus allegedly non-reimbursable, uses. Federal enforcement agencies also have showed increased interest in pharmaceutical companies’ product and patient assistance programs, including reimbursement and co-pay support services, and a number of investigations into these programs have resulted in significant civil and criminal settlements. A claim that includes items or services resulting from a violations of the U.S. Anti-Kickback Statute constitutes a false or fraudulent claim under the FCA. When an entity is determined to have violated the FCA, the government may impose civil fines and penalties for each false claim, plus treble damages, and exclude the entity from participation in Medicare, Medicaid and other federal healthcare programs. Pharmaceutical and other healthcare companies also are subject to other federal false claims laws, including, among others, federal criminal healthcare fraud and false statement statutes that extend to non-government health benefit programs;</w:t>
      </w:r>
    </w:p>
    <w:p>
      <w:pPr>
        <w:spacing w:after="0" w:line="75" w:lineRule="exact"/>
        <w:rPr>
          <w:sz w:val="20"/>
          <w:szCs w:val="20"/>
          <w:color w:val="auto"/>
        </w:rPr>
      </w:pPr>
    </w:p>
    <w:p>
      <w:pPr>
        <w:ind w:left="840" w:right="20"/>
        <w:spacing w:after="0" w:line="242" w:lineRule="auto"/>
        <w:rPr>
          <w:sz w:val="20"/>
          <w:szCs w:val="20"/>
          <w:color w:val="auto"/>
        </w:rPr>
      </w:pPr>
      <w:r>
        <w:rPr>
          <w:rFonts w:ascii="Arial" w:cs="Arial" w:eastAsia="Arial" w:hAnsi="Arial"/>
          <w:sz w:val="18"/>
          <w:szCs w:val="18"/>
          <w:color w:val="auto"/>
        </w:rPr>
        <w:t>HIPAA, which, among other things, imposes criminal and civil liability for knowingly and willfully executing a scheme to defraud any healthcare benefit program, including private third-party payor and knowingly and willfully falsifying, concealing or covering up a material fact or making any materially false, fictitious or fraudulent statement in connection with the delivery of or payment for healthcare benefits, items or services;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9" w:name="page70"/>
    <w:bookmarkEnd w:id="69"/>
    <w:p>
      <w:pPr>
        <w:ind w:left="840" w:right="20"/>
        <w:spacing w:after="0" w:line="288" w:lineRule="auto"/>
        <w:rPr>
          <w:sz w:val="20"/>
          <w:szCs w:val="20"/>
          <w:color w:val="auto"/>
        </w:rPr>
      </w:pPr>
      <w:r>
        <w:rPr>
          <w:rFonts w:ascii="Arial" w:cs="Arial" w:eastAsia="Arial" w:hAnsi="Arial"/>
          <w:sz w:val="17"/>
          <w:szCs w:val="17"/>
          <w:color w:val="auto"/>
        </w:rPr>
        <w:t>HIPAA, and its implementing regulations, which impose, among other things,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The Health Information Technology for Economic and Clinical Health Act of 2009, or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73" w:lineRule="exact"/>
        <w:rPr>
          <w:sz w:val="20"/>
          <w:szCs w:val="20"/>
          <w:color w:val="auto"/>
        </w:rPr>
      </w:pPr>
    </w:p>
    <w:p>
      <w:pPr>
        <w:ind w:left="840" w:right="60"/>
        <w:spacing w:after="0" w:line="288" w:lineRule="auto"/>
        <w:rPr>
          <w:sz w:val="20"/>
          <w:szCs w:val="20"/>
          <w:color w:val="auto"/>
        </w:rPr>
      </w:pPr>
      <w:r>
        <w:rPr>
          <w:rFonts w:ascii="Arial" w:cs="Arial" w:eastAsia="Arial" w:hAnsi="Arial"/>
          <w:sz w:val="17"/>
          <w:szCs w:val="17"/>
          <w:color w:val="auto"/>
        </w:rPr>
        <w:t>the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(defined to include doctors, dentists, optometrists, podiatrists, and chiropractors) and teaching hospitals, as well as ownership and investment interests held in the company by physicians and their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73" w:lineRule="exact"/>
        <w:rPr>
          <w:sz w:val="20"/>
          <w:szCs w:val="20"/>
          <w:color w:val="auto"/>
        </w:rPr>
      </w:pPr>
    </w:p>
    <w:p>
      <w:pPr>
        <w:ind w:left="840" w:right="320"/>
        <w:spacing w:after="0" w:line="293" w:lineRule="auto"/>
        <w:rPr>
          <w:sz w:val="20"/>
          <w:szCs w:val="20"/>
          <w:color w:val="auto"/>
        </w:rPr>
      </w:pPr>
      <w:r>
        <w:rPr>
          <w:rFonts w:ascii="Arial" w:cs="Arial" w:eastAsia="Arial" w:hAnsi="Arial"/>
          <w:sz w:val="18"/>
          <w:szCs w:val="18"/>
          <w:color w:val="auto"/>
        </w:rPr>
        <w:t>federal governmental price reporting laws, which require the calculation and reporting of complex pricing metrics in an accurate and timely manner to government programs;</w:t>
      </w:r>
    </w:p>
    <w:p>
      <w:pPr>
        <w:spacing w:after="0" w:line="62" w:lineRule="exact"/>
        <w:rPr>
          <w:sz w:val="20"/>
          <w:szCs w:val="20"/>
          <w:color w:val="auto"/>
        </w:rPr>
      </w:pPr>
    </w:p>
    <w:p>
      <w:pPr>
        <w:ind w:left="840" w:right="380"/>
        <w:spacing w:after="0" w:line="293" w:lineRule="auto"/>
        <w:rPr>
          <w:sz w:val="20"/>
          <w:szCs w:val="20"/>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sz w:val="20"/>
          <w:szCs w:val="20"/>
          <w:color w:val="auto"/>
        </w:rPr>
      </w:pPr>
    </w:p>
    <w:p>
      <w:pPr>
        <w:ind w:left="840" w:right="40"/>
        <w:spacing w:after="0" w:line="287" w:lineRule="auto"/>
        <w:rPr>
          <w:sz w:val="20"/>
          <w:szCs w:val="20"/>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 other state or local laws that require pharmaceutical companies to comply with the pharmaceutical industry’s voluntary compliance guidelines and the relevant compliance guidance promulgated by the federal government or otherwise restrict payments that may be made to healthcare providers; restrict the ability of manufacturers to offer co-pay support to patients for certain prescription drugs; require drug manufacturers to report information related to clinical trials, or information related to payments and other transfers of value to physicians and other healthcare providers or marketing expenditures; and/or require identification or licensing of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70" w:lineRule="exact"/>
        <w:rPr>
          <w:sz w:val="20"/>
          <w:szCs w:val="20"/>
          <w:color w:val="auto"/>
        </w:rPr>
      </w:pPr>
    </w:p>
    <w:p>
      <w:pPr>
        <w:ind w:right="220" w:firstLine="509"/>
        <w:spacing w:after="0" w:line="319" w:lineRule="auto"/>
        <w:rPr>
          <w:sz w:val="20"/>
          <w:szCs w:val="20"/>
          <w:color w:val="auto"/>
        </w:rPr>
      </w:pPr>
      <w:r>
        <w:rPr>
          <w:rFonts w:ascii="Arial" w:cs="Arial" w:eastAsia="Arial" w:hAnsi="Arial"/>
          <w:sz w:val="16"/>
          <w:szCs w:val="16"/>
          <w:color w:val="auto"/>
        </w:rPr>
        <w:t>The distribution of pharmaceutical products is subject to additional requirements and regulations, including extensive record-keeping, licensing, storage and security requirements intended to prevent the unauthorized sale of pharmaceutical products. In addition, manufacturers and other parties involved in the drug supply chain for prescription drug products must also comply with product tracking and tracing requirements and for notifying U.S. FDA of counterfeit, diverted, stolen and intentionally adulterated products or products that are otherwise unfit for distribution in the United States.</w:t>
      </w:r>
    </w:p>
    <w:p>
      <w:pPr>
        <w:spacing w:after="0" w:line="48" w:lineRule="exact"/>
        <w:rPr>
          <w:sz w:val="20"/>
          <w:szCs w:val="20"/>
          <w:color w:val="auto"/>
        </w:rPr>
      </w:pPr>
    </w:p>
    <w:p>
      <w:pPr>
        <w:ind w:firstLine="509"/>
        <w:spacing w:after="0" w:line="299"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and healthcare providers, and such scrutiny 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 For example, in June 2020, we received a CID from the DOJ informing us that the DOJ is investigating whether aspects of our promotional speaker programs and copayment waiver program during the period from January 1, 2015 to the present violated the U.S. Anti-Kickback Statute and the FCA in relation to the sale and marketing of VASCEPA by us and our previous co-marketing partner, Kowa America. Similarly, in March 2021, the FTC issued a CID to us in connection with the FTC’s investigation of whether we have engaged in, or is engaging in, anticompetitive practices or unfair methods of competition relating to VASCEPA. The New York State attorney general similarly issued a subpoena to us regarding the same subject matter on which the FTC CID is focused. The investigations require us to produce documents and answer written questions, or interrogatories, relevant to specified time periods. We are cooperating with the government.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 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70" w:name="page71"/>
    <w:bookmarkEnd w:id="70"/>
    <w:p>
      <w:pPr>
        <w:ind w:right="40"/>
        <w:spacing w:after="0" w:line="319" w:lineRule="auto"/>
        <w:rPr>
          <w:sz w:val="20"/>
          <w:szCs w:val="20"/>
          <w:color w:val="auto"/>
        </w:rPr>
      </w:pPr>
      <w:r>
        <w:rPr>
          <w:rFonts w:ascii="Arial" w:cs="Arial" w:eastAsia="Arial" w:hAnsi="Arial"/>
          <w:sz w:val="16"/>
          <w:szCs w:val="16"/>
          <w:color w:val="auto"/>
        </w:rPr>
        <w:t>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48" w:lineRule="exact"/>
        <w:rPr>
          <w:sz w:val="20"/>
          <w:szCs w:val="20"/>
          <w:color w:val="auto"/>
        </w:rPr>
      </w:pPr>
    </w:p>
    <w:p>
      <w:pPr>
        <w:ind w:right="240" w:firstLine="509"/>
        <w:spacing w:after="0" w:line="275" w:lineRule="auto"/>
        <w:rPr>
          <w:sz w:val="20"/>
          <w:szCs w:val="20"/>
          <w:color w:val="auto"/>
        </w:rPr>
      </w:pPr>
      <w:r>
        <w:rPr>
          <w:rFonts w:ascii="Arial" w:cs="Arial" w:eastAsia="Arial" w:hAnsi="Arial"/>
          <w:sz w:val="18"/>
          <w:szCs w:val="18"/>
          <w:color w:val="auto"/>
        </w:rPr>
        <w:t>Although compliance programs can mitigate the risk of investigation and prosecution for violations of these laws,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77" w:lineRule="exact"/>
        <w:rPr>
          <w:sz w:val="20"/>
          <w:szCs w:val="20"/>
          <w:color w:val="auto"/>
        </w:rPr>
      </w:pPr>
    </w:p>
    <w:p>
      <w:pPr>
        <w:ind w:right="480" w:firstLine="509"/>
        <w:spacing w:after="0" w:line="293" w:lineRule="auto"/>
        <w:rPr>
          <w:sz w:val="20"/>
          <w:szCs w:val="20"/>
          <w:color w:val="auto"/>
        </w:rPr>
      </w:pPr>
      <w:r>
        <w:rPr>
          <w:rFonts w:ascii="Arial" w:cs="Arial" w:eastAsia="Arial" w:hAnsi="Arial"/>
          <w:sz w:val="18"/>
          <w:szCs w:val="18"/>
          <w:color w:val="auto"/>
        </w:rPr>
        <w:t>In addition, with the approval and commercialization of any of our products outside the United States, we will also likely be subject to foreign equivalents of the healthcare laws mentioned above, among other foreign laws.</w:t>
      </w:r>
    </w:p>
    <w:p>
      <w:pPr>
        <w:spacing w:after="0" w:line="197"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62"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U.S. FDA requires us to comply with requirements, commonly referred to as good clinical practices, for conducting, recording, and reporting the results of clinical trials to ensure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dependent on patents, proprietary rights and confidentiality to protect the commercial potential of VASCEPA.</w:t>
      </w:r>
    </w:p>
    <w:p>
      <w:pPr>
        <w:spacing w:after="0" w:line="104"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Our success depends in part on our ability to obtain and maintain intellectual property protection for our drug candidates, technology and know-how, and to operate without infringing the proprietary rights of others. While certain key patents related to our product based on the MARINE clinical study were determined to be invalid as obvious by a district court in the United States, and we are pursuing an appeal process, it remains the case that our ability to successfully implement our business plan and to protect our products with our intellectual property will depend in large part on our ability to:</w:t>
      </w:r>
    </w:p>
    <w:p>
      <w:pPr>
        <w:spacing w:after="0" w:line="47" w:lineRule="exact"/>
        <w:rPr>
          <w:sz w:val="20"/>
          <w:szCs w:val="20"/>
          <w:color w:val="auto"/>
        </w:rPr>
      </w:pPr>
    </w:p>
    <w:p>
      <w:pPr>
        <w:ind w:left="840" w:right="2860" w:firstLine="6"/>
        <w:spacing w:after="0" w:line="360" w:lineRule="auto"/>
        <w:rPr>
          <w:sz w:val="20"/>
          <w:szCs w:val="20"/>
          <w:color w:val="auto"/>
        </w:rPr>
      </w:pPr>
      <w:r>
        <w:rPr>
          <w:rFonts w:ascii="Arial" w:cs="Arial" w:eastAsia="Arial" w:hAnsi="Arial"/>
          <w:sz w:val="18"/>
          <w:szCs w:val="18"/>
          <w:color w:val="auto"/>
        </w:rPr>
        <w:t>obtain, defend and maintain patent protection and market exclusivity for our current and future products; preserve any trade secrets relating to our current and future products; acquire patented or patentable products and technologies; and</w:t>
      </w:r>
    </w:p>
    <w:p>
      <w:pPr>
        <w:ind w:left="840"/>
        <w:spacing w:after="0"/>
        <w:rPr>
          <w:sz w:val="20"/>
          <w:szCs w:val="20"/>
          <w:color w:val="auto"/>
        </w:rPr>
      </w:pPr>
      <w:r>
        <w:rPr>
          <w:rFonts w:ascii="Arial" w:cs="Arial" w:eastAsia="Arial" w:hAnsi="Arial"/>
          <w:sz w:val="18"/>
          <w:szCs w:val="18"/>
          <w:color w:val="auto"/>
        </w:rPr>
        <w:t>operate without infringing the proprietary rights of third parties.</w:t>
      </w:r>
    </w:p>
    <w:p>
      <w:pPr>
        <w:spacing w:after="0" w:line="117" w:lineRule="exact"/>
        <w:rPr>
          <w:sz w:val="20"/>
          <w:szCs w:val="20"/>
          <w:color w:val="auto"/>
        </w:rPr>
      </w:pPr>
    </w:p>
    <w:p>
      <w:pPr>
        <w:ind w:right="120" w:firstLine="509"/>
        <w:spacing w:after="0" w:line="329" w:lineRule="auto"/>
        <w:rPr>
          <w:sz w:val="20"/>
          <w:szCs w:val="20"/>
          <w:color w:val="auto"/>
        </w:rPr>
      </w:pPr>
      <w:r>
        <w:rPr>
          <w:rFonts w:ascii="Arial" w:cs="Arial" w:eastAsia="Arial" w:hAnsi="Arial"/>
          <w:sz w:val="16"/>
          <w:szCs w:val="16"/>
          <w:color w:val="auto"/>
        </w:rPr>
        <w:t>We have prosecuted, and are currently prosecuting, multiple patent applications to protect the intellectual property developed during the VASCEPA development program. As of the date of this report, we had 117 patent applications in the United States that have been either issued or allowed and more than 30 additional patent applications are pending in the United States. Such 120 allowed and issued applications include the following:</w:t>
      </w:r>
    </w:p>
    <w:p>
      <w:pPr>
        <w:spacing w:after="0" w:line="4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one issued U.S. patent directed to a pharmaceutical composition of VASCEPA in a capsule that expires in 2030;</w:t>
      </w:r>
    </w:p>
    <w:p>
      <w:pPr>
        <w:spacing w:after="0" w:line="131" w:lineRule="exact"/>
        <w:rPr>
          <w:sz w:val="20"/>
          <w:szCs w:val="20"/>
          <w:color w:val="auto"/>
        </w:rPr>
      </w:pPr>
    </w:p>
    <w:p>
      <w:pPr>
        <w:ind w:left="840" w:right="40"/>
        <w:spacing w:after="0" w:line="293" w:lineRule="auto"/>
        <w:rPr>
          <w:sz w:val="20"/>
          <w:szCs w:val="20"/>
          <w:color w:val="auto"/>
        </w:rPr>
      </w:pPr>
      <w:r>
        <w:rPr>
          <w:rFonts w:ascii="Arial" w:cs="Arial" w:eastAsia="Arial" w:hAnsi="Arial"/>
          <w:sz w:val="18"/>
          <w:szCs w:val="18"/>
          <w:color w:val="auto"/>
        </w:rPr>
        <w:t>59 U.S. patents covering or related to the use of VASCEPA in either the MARINE or ANCHOR populations that have terms that expire in 2030 or later;</w:t>
      </w:r>
    </w:p>
    <w:p>
      <w:pPr>
        <w:spacing w:after="0" w:line="62" w:lineRule="exact"/>
        <w:rPr>
          <w:sz w:val="20"/>
          <w:szCs w:val="20"/>
          <w:color w:val="auto"/>
        </w:rPr>
      </w:pPr>
    </w:p>
    <w:p>
      <w:pPr>
        <w:ind w:left="840" w:right="840"/>
        <w:spacing w:after="0" w:line="440" w:lineRule="auto"/>
        <w:rPr>
          <w:sz w:val="20"/>
          <w:szCs w:val="20"/>
          <w:color w:val="auto"/>
        </w:rPr>
      </w:pPr>
      <w:r>
        <w:rPr>
          <w:rFonts w:ascii="Arial" w:cs="Arial" w:eastAsia="Arial" w:hAnsi="Arial"/>
          <w:sz w:val="16"/>
          <w:szCs w:val="16"/>
          <w:color w:val="auto"/>
        </w:rPr>
        <w:t>26 U.S. patents covering or related to the use of VASCEPA in the REDUCE-IT population with terms expiring in 2033 or later; three additional U.S. patents directed to a pharmaceutical composition comprised of free fatty acids with a term that expires in 2030;</w:t>
      </w:r>
    </w:p>
    <w:p>
      <w:pPr>
        <w:ind w:left="840" w:right="60"/>
        <w:spacing w:after="0" w:line="293" w:lineRule="auto"/>
        <w:rPr>
          <w:sz w:val="20"/>
          <w:szCs w:val="20"/>
          <w:color w:val="auto"/>
        </w:rPr>
      </w:pPr>
      <w:r>
        <w:rPr>
          <w:rFonts w:ascii="Arial" w:cs="Arial" w:eastAsia="Arial" w:hAnsi="Arial"/>
          <w:sz w:val="18"/>
          <w:szCs w:val="18"/>
          <w:color w:val="auto"/>
        </w:rPr>
        <w:t>five additional patents related to the use of a pharmaceutical composition comprised of free fatty acids to treat the ANCHOR patient population with a term that expires in 2030 or later;</w:t>
      </w:r>
    </w:p>
    <w:p>
      <w:pPr>
        <w:spacing w:after="0" w:line="62" w:lineRule="exact"/>
        <w:rPr>
          <w:sz w:val="20"/>
          <w:szCs w:val="20"/>
          <w:color w:val="auto"/>
        </w:rPr>
      </w:pPr>
    </w:p>
    <w:p>
      <w:pPr>
        <w:ind w:left="840" w:right="120"/>
        <w:spacing w:after="0" w:line="266" w:lineRule="auto"/>
        <w:rPr>
          <w:sz w:val="20"/>
          <w:szCs w:val="20"/>
          <w:color w:val="auto"/>
        </w:rPr>
      </w:pPr>
      <w:r>
        <w:rPr>
          <w:rFonts w:ascii="Arial" w:cs="Arial" w:eastAsia="Arial" w:hAnsi="Arial"/>
          <w:sz w:val="18"/>
          <w:szCs w:val="18"/>
          <w:color w:val="auto"/>
        </w:rPr>
        <w:t>two additional patents related to the use of a pharmaceutical composition comprised of free fatty acids to treat the MARINE patient population with a term that expires in 2030;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1" w:name="page72"/>
    <w:bookmarkEnd w:id="71"/>
    <w:p>
      <w:pPr>
        <w:ind w:left="840" w:right="300"/>
        <w:spacing w:after="0" w:line="293" w:lineRule="auto"/>
        <w:rPr>
          <w:sz w:val="20"/>
          <w:szCs w:val="20"/>
          <w:color w:val="auto"/>
        </w:rPr>
      </w:pPr>
      <w:r>
        <w:rPr>
          <w:rFonts w:ascii="Arial" w:cs="Arial" w:eastAsia="Arial" w:hAnsi="Arial"/>
          <w:sz w:val="18"/>
          <w:szCs w:val="18"/>
          <w:color w:val="auto"/>
        </w:rPr>
        <w:t>three additional patents related to the use of a pharmaceutical composition comprised of free fatty acids to treat the REDUCE-IT population expiring 2033;</w:t>
      </w:r>
    </w:p>
    <w:p>
      <w:pPr>
        <w:spacing w:after="0" w:line="62" w:lineRule="exact"/>
        <w:rPr>
          <w:sz w:val="20"/>
          <w:szCs w:val="20"/>
          <w:color w:val="auto"/>
        </w:rPr>
      </w:pPr>
    </w:p>
    <w:p>
      <w:pPr>
        <w:ind w:left="840" w:right="280"/>
        <w:spacing w:after="0" w:line="293" w:lineRule="auto"/>
        <w:rPr>
          <w:sz w:val="20"/>
          <w:szCs w:val="20"/>
          <w:color w:val="auto"/>
        </w:rPr>
      </w:pPr>
      <w:r>
        <w:rPr>
          <w:rFonts w:ascii="Arial" w:cs="Arial" w:eastAsia="Arial" w:hAnsi="Arial"/>
          <w:sz w:val="18"/>
          <w:szCs w:val="18"/>
          <w:color w:val="auto"/>
        </w:rPr>
        <w:t>four additional patents related to a pharmaceutical composition comprised of free fatty acids and uses thereof to treat both the MARINE and ANCHOR patient populations with a term that expires in 2030;</w:t>
      </w:r>
    </w:p>
    <w:p>
      <w:pPr>
        <w:spacing w:after="0" w:line="62" w:lineRule="exact"/>
        <w:rPr>
          <w:sz w:val="20"/>
          <w:szCs w:val="20"/>
          <w:color w:val="auto"/>
        </w:rPr>
      </w:pPr>
    </w:p>
    <w:p>
      <w:pPr>
        <w:ind w:left="840" w:right="240"/>
        <w:spacing w:after="0" w:line="293" w:lineRule="auto"/>
        <w:rPr>
          <w:sz w:val="20"/>
          <w:szCs w:val="20"/>
          <w:color w:val="auto"/>
        </w:rPr>
      </w:pPr>
      <w:r>
        <w:rPr>
          <w:rFonts w:ascii="Arial" w:cs="Arial" w:eastAsia="Arial" w:hAnsi="Arial"/>
          <w:sz w:val="18"/>
          <w:szCs w:val="18"/>
          <w:color w:val="auto"/>
        </w:rPr>
        <w:t>one additional patent related to the use of a pharmaceutical composition comprised of re-esterified EPA triglyceride to treat the REDUCE-IT population expiring 2033;</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four additional patents related to a formulation of EPA/DHA and uses thereof with a term that expires in 2030;</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two additional patents related to the use of VASCEPA to treat obesity with a term that expires in 2034;</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one additional patent related to the use of VASCEPA to treat prostate cancer with a term that expires in 2037;</w:t>
      </w:r>
    </w:p>
    <w:p>
      <w:pPr>
        <w:spacing w:after="0" w:line="131" w:lineRule="exact"/>
        <w:rPr>
          <w:sz w:val="20"/>
          <w:szCs w:val="20"/>
          <w:color w:val="auto"/>
        </w:rPr>
      </w:pPr>
    </w:p>
    <w:p>
      <w:pPr>
        <w:ind w:left="840" w:right="200"/>
        <w:spacing w:after="0" w:line="293" w:lineRule="auto"/>
        <w:rPr>
          <w:sz w:val="20"/>
          <w:szCs w:val="20"/>
          <w:color w:val="auto"/>
        </w:rPr>
      </w:pPr>
      <w:r>
        <w:rPr>
          <w:rFonts w:ascii="Arial" w:cs="Arial" w:eastAsia="Arial" w:hAnsi="Arial"/>
          <w:sz w:val="18"/>
          <w:szCs w:val="18"/>
          <w:color w:val="auto"/>
        </w:rPr>
        <w:t>four additional patents covering a pharmaceutical composition comprised of EPA and a hydroxyl compound with a term that expires in 2034; and</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five additional patents covering a new combination therapy comprised of EPA and another drug.</w:t>
      </w:r>
    </w:p>
    <w:p>
      <w:pPr>
        <w:spacing w:after="0" w:line="131" w:lineRule="exact"/>
        <w:rPr>
          <w:sz w:val="20"/>
          <w:szCs w:val="20"/>
          <w:color w:val="auto"/>
        </w:rPr>
      </w:pPr>
    </w:p>
    <w:p>
      <w:pPr>
        <w:ind w:right="100" w:firstLine="509"/>
        <w:spacing w:after="0" w:line="272" w:lineRule="auto"/>
        <w:rPr>
          <w:sz w:val="20"/>
          <w:szCs w:val="20"/>
          <w:color w:val="auto"/>
        </w:rPr>
      </w:pPr>
      <w:r>
        <w:rPr>
          <w:rFonts w:ascii="Arial" w:cs="Arial" w:eastAsia="Arial" w:hAnsi="Arial"/>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83" w:lineRule="exact"/>
        <w:rPr>
          <w:sz w:val="20"/>
          <w:szCs w:val="20"/>
          <w:color w:val="auto"/>
        </w:rPr>
      </w:pPr>
    </w:p>
    <w:p>
      <w:pPr>
        <w:ind w:right="140" w:firstLine="509"/>
        <w:spacing w:after="0" w:line="293" w:lineRule="auto"/>
        <w:rPr>
          <w:sz w:val="20"/>
          <w:szCs w:val="20"/>
          <w:color w:val="auto"/>
        </w:rPr>
      </w:pPr>
      <w:r>
        <w:rPr>
          <w:rFonts w:ascii="Arial" w:cs="Arial" w:eastAsia="Arial" w:hAnsi="Arial"/>
          <w:sz w:val="18"/>
          <w:szCs w:val="18"/>
          <w:color w:val="auto"/>
        </w:rPr>
        <w:t>We are the owner of the above-listed patents. We are also the exclusive licensee of certain patents owned by others covering products and products in development.</w:t>
      </w:r>
    </w:p>
    <w:p>
      <w:pPr>
        <w:spacing w:after="0" w:line="62" w:lineRule="exact"/>
        <w:rPr>
          <w:sz w:val="20"/>
          <w:szCs w:val="20"/>
          <w:color w:val="auto"/>
        </w:rPr>
      </w:pPr>
    </w:p>
    <w:p>
      <w:pPr>
        <w:ind w:right="160" w:firstLine="509"/>
        <w:spacing w:after="0" w:line="309" w:lineRule="auto"/>
        <w:rPr>
          <w:sz w:val="20"/>
          <w:szCs w:val="20"/>
          <w:color w:val="auto"/>
        </w:rPr>
      </w:pPr>
      <w:r>
        <w:rPr>
          <w:rFonts w:ascii="Arial" w:cs="Arial" w:eastAsia="Arial" w:hAnsi="Arial"/>
          <w:sz w:val="16"/>
          <w:szCs w:val="16"/>
          <w:color w:val="auto"/>
        </w:rPr>
        <w:t>We are also pursuing patent applications related to VASCEPA in multiple jurisdictions outside the United States. Geographies outside the United States in which VASCEPA is sold and under regulatory review are not subject to the U.S. patent litigation and judgment. No litigation involving potential generic versions of VASCEPA is pending outside the United States. VASCEPA is currently available by prescription in Canada, Lebanon and the United Arab Emirates. In Canada, VASCEPA has the benefit of data protection afforded through Health Canada (until the end of 2027), in addition to separate patent protection with expiration dates that could extend into 2039. We are pursuing additional regulatory approvals for VASCEPA in Europe, China and the Middle East. In China and the Middle East, we are pursuing such regulatory approvals and subsequent commercialization of VASCEPA with commercial partners. The EC approval provides ten years of market protection in the EU. Furthermore, patent protection in Europe includes:</w:t>
      </w:r>
    </w:p>
    <w:p>
      <w:pPr>
        <w:spacing w:after="0" w:line="43"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One allowed patent related to the use of a pharmaceutical composition comprised of 4g of 96% EPA ethyl ester to treat the REDUCE-IT population expiring 2033.</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pending patent applications in Europe have the potential to extend exclusivity into 2039.</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We may be dependent in some cases upon third-party licensors to pursue filing, prosecution and maintenance of patent rights or applications owned or controlled by those parties, including, for example, under our collaboration with Mochida.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 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7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84" w:lineRule="exact"/>
        <w:rPr>
          <w:sz w:val="20"/>
          <w:szCs w:val="20"/>
          <w:color w:val="auto"/>
        </w:rPr>
      </w:pPr>
    </w:p>
    <w:p>
      <w:pPr>
        <w:ind w:right="260" w:firstLine="509"/>
        <w:spacing w:after="0" w:line="255" w:lineRule="auto"/>
        <w:rPr>
          <w:sz w:val="20"/>
          <w:szCs w:val="20"/>
          <w:color w:val="auto"/>
        </w:rPr>
      </w:pPr>
      <w:r>
        <w:rPr>
          <w:rFonts w:ascii="Arial" w:cs="Arial" w:eastAsia="Arial" w:hAnsi="Arial"/>
          <w:sz w:val="18"/>
          <w:szCs w:val="18"/>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72" w:name="page73"/>
    <w:bookmarkEnd w:id="72"/>
    <w:p>
      <w:pPr>
        <w:ind w:right="40"/>
        <w:spacing w:after="0" w:line="259" w:lineRule="auto"/>
        <w:rPr>
          <w:sz w:val="20"/>
          <w:szCs w:val="20"/>
          <w:color w:val="auto"/>
        </w:rPr>
      </w:pPr>
      <w:r>
        <w:rPr>
          <w:rFonts w:ascii="Arial" w:cs="Arial" w:eastAsia="Arial" w:hAnsi="Arial"/>
          <w:sz w:val="18"/>
          <w:szCs w:val="18"/>
          <w:color w:val="auto"/>
        </w:rPr>
        <w:t>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issued patents may not prevent competitors from competing with VASCEPA, even if we seek to enforce our patent rights.</w:t>
      </w:r>
    </w:p>
    <w:p>
      <w:pPr>
        <w:spacing w:after="0" w:line="142"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We plan to vigorously defend our rights under issued patents. For example, on November 30, 2020 we filed a patent infringement lawsuit against Hikma for making, selling, offering to sell and importing generic icosapent ethyl capsules in and into the United States in a manner that we allege has induced the infringement of patents covering the use of VASCEPA to reduce specified cardiovascular risk. On January 25, 2021, we expanded the scope of this patent infringement lawsuit to include a health care insurance provider, Health Net, LLC. We intend to vigorously pursue these ongoing litigation matters, but cannot predict the outcomes or the impact on our business. We likewise plan to engage in similar patent litigation should other competitors arise with products that infringe our intellectual property rights.</w:t>
      </w:r>
    </w:p>
    <w:p>
      <w:pPr>
        <w:spacing w:after="0" w:line="83" w:lineRule="exact"/>
        <w:rPr>
          <w:sz w:val="20"/>
          <w:szCs w:val="20"/>
          <w:color w:val="auto"/>
        </w:rPr>
      </w:pPr>
    </w:p>
    <w:p>
      <w:pPr>
        <w:ind w:right="140" w:firstLine="509"/>
        <w:spacing w:after="0" w:line="311" w:lineRule="auto"/>
        <w:rPr>
          <w:sz w:val="20"/>
          <w:szCs w:val="20"/>
          <w:color w:val="auto"/>
        </w:rPr>
      </w:pPr>
      <w:r>
        <w:rPr>
          <w:rFonts w:ascii="Arial" w:cs="Arial" w:eastAsia="Arial" w:hAnsi="Arial"/>
          <w:sz w:val="16"/>
          <w:szCs w:val="16"/>
          <w:color w:val="auto"/>
        </w:rPr>
        <w:t>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 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55" w:lineRule="exact"/>
        <w:rPr>
          <w:sz w:val="20"/>
          <w:szCs w:val="20"/>
          <w:color w:val="auto"/>
        </w:rPr>
      </w:pPr>
    </w:p>
    <w:p>
      <w:pPr>
        <w:ind w:right="300" w:firstLine="509"/>
        <w:spacing w:after="0" w:line="279"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117" w:lineRule="exact"/>
        <w:rPr>
          <w:sz w:val="20"/>
          <w:szCs w:val="20"/>
          <w:color w:val="auto"/>
        </w:rPr>
      </w:pPr>
    </w:p>
    <w:p>
      <w:pPr>
        <w:ind w:right="140" w:firstLine="509"/>
        <w:spacing w:after="0" w:line="311" w:lineRule="auto"/>
        <w:rPr>
          <w:sz w:val="20"/>
          <w:szCs w:val="20"/>
          <w:color w:val="auto"/>
        </w:rPr>
      </w:pPr>
      <w:r>
        <w:rPr>
          <w:rFonts w:ascii="Arial" w:cs="Arial" w:eastAsia="Arial" w:hAnsi="Arial"/>
          <w:sz w:val="16"/>
          <w:szCs w:val="16"/>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our clinical trials. If granted, many of the resulting granted patents from REDUCE-IT, for example, would expire in 2039, beyond the 2030 and 2033 expiration dates of currently issued REDUCE-IT patents. However, no assurance can be given that any of our pending patent applications will be granted or, if they grant, that they will prevent competitors from competing with VASCEPA.</w:t>
      </w:r>
    </w:p>
    <w:p>
      <w:pPr>
        <w:spacing w:after="0" w:line="55"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184"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76" w:lineRule="exact"/>
        <w:rPr>
          <w:sz w:val="20"/>
          <w:szCs w:val="20"/>
          <w:color w:val="auto"/>
        </w:rPr>
      </w:pPr>
    </w:p>
    <w:p>
      <w:pPr>
        <w:ind w:right="80" w:firstLine="509"/>
        <w:spacing w:after="0" w:line="266" w:lineRule="auto"/>
        <w:rPr>
          <w:sz w:val="20"/>
          <w:szCs w:val="20"/>
          <w:color w:val="auto"/>
        </w:rPr>
      </w:pPr>
      <w:r>
        <w:rPr>
          <w:rFonts w:ascii="Arial" w:cs="Arial" w:eastAsia="Arial" w:hAnsi="Arial"/>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43"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76" w:lineRule="exact"/>
        <w:rPr>
          <w:sz w:val="20"/>
          <w:szCs w:val="20"/>
          <w:color w:val="auto"/>
        </w:rPr>
      </w:pPr>
    </w:p>
    <w:p>
      <w:pPr>
        <w:ind w:right="260" w:firstLine="509"/>
        <w:spacing w:after="0" w:line="314" w:lineRule="auto"/>
        <w:rPr>
          <w:sz w:val="20"/>
          <w:szCs w:val="20"/>
          <w:color w:val="auto"/>
        </w:rPr>
      </w:pPr>
      <w:r>
        <w:rPr>
          <w:rFonts w:ascii="Arial" w:cs="Arial" w:eastAsia="Arial" w:hAnsi="Arial"/>
          <w:sz w:val="16"/>
          <w:szCs w:val="16"/>
          <w:color w:val="auto"/>
        </w:rPr>
        <w:t>In January 2021, we issued financial and business guidance, including expectations regarding inventory build, and 2021 operating expenses. All such guidance and updates are based on estimates, assumptions and the judgment of management. Because of the inherent nature of estimates, including during the uncertainty of COVID-19’s impact on our business, we have suspended providing net revenue guidance and there could be significant differences between our estimates and the actual amount of product demand. If we fail to realize or if we change or update any element of our publicly disclosed financial guidance as we have done in the past or other expectations about our business change, our stock price could decline in value.</w:t>
      </w:r>
    </w:p>
    <w:p>
      <w:pPr>
        <w:spacing w:after="0" w:line="187" w:lineRule="exact"/>
        <w:rPr>
          <w:sz w:val="20"/>
          <w:szCs w:val="20"/>
          <w:color w:val="auto"/>
        </w:rPr>
      </w:pPr>
    </w:p>
    <w:p>
      <w:pPr>
        <w:ind w:right="460" w:firstLine="517"/>
        <w:spacing w:after="0" w:line="293" w:lineRule="auto"/>
        <w:tabs>
          <w:tab w:leader="none" w:pos="644"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loss of key personnel could have an adverse effect on our business, particularly in light of our recent announcement of management succession plan.</w:t>
      </w:r>
    </w:p>
    <w:p>
      <w:pPr>
        <w:spacing w:after="0" w:line="62"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We are highly dependent upon the efforts of our senior management. The loss of the services of one or more members of senior management could have a material adverse effect on us. Given our rapidly expanding enterprise coupled with a streamlined management structure and sales force, the departure of any key person could have a significant impact and would be potentially disruptive to our business until such time as a suitable replacement is hired. In the third quarter of 2021, John Thero and Joseph Kennedy, our President and Chief Executive Officer, and our Executive Vice President and General Counsel, respectively, retired and we welcomed Karim Mikhail, previously our Senior Vice President, Commercial Head Europe and Jason Marks as our new President and Chief Executive Officer and our new Senior Vice President and Chief Legal Officer, respectively. Although these transitions have been smooth, any such changes to senior management can be disruptive to operations, including by distracting management from our core business and effective employee productivity. Furthermore, because of the specialized nature of our business, as our business plan progresses, we will be highly dependent upon our ability to attract and retain qualified scientific, technical and key management personnel. As we continue to expand our commercialization efforts, particularly on a global scale, we may experience increased turnover among members of our senior management team. We may have difficulty identifying, attracting and integrating new executives to replace any such losses. As we prepare for commercialization in Europe, we need to rapidly hire employees and ensure that they are well trained and working cohesively with core values which are consistent with our existing operations and which, we believe, help improve our position for success. In the United States, employees are increasingly being recruited by other companies. While our business priorities emphasize continued promotion of VASCEPA in the United States, the current and potential threat of generic competition can create employee uncertainty which could lead to increased employee turnover.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196" w:lineRule="exact"/>
        <w:rPr>
          <w:sz w:val="20"/>
          <w:szCs w:val="20"/>
          <w:color w:val="auto"/>
        </w:rPr>
      </w:pPr>
    </w:p>
    <w:p>
      <w:pPr>
        <w:ind w:right="60" w:firstLine="509"/>
        <w:spacing w:after="0" w:line="230" w:lineRule="exact"/>
        <w:rPr>
          <w:sz w:val="20"/>
          <w:szCs w:val="20"/>
          <w:color w:val="auto"/>
        </w:rPr>
      </w:pPr>
      <w:r>
        <w:rPr>
          <w:rFonts w:ascii="Arial" w:cs="Arial" w:eastAsia="Arial" w:hAnsi="Arial"/>
          <w:sz w:val="16"/>
          <w:szCs w:val="16"/>
          <w:b w:val="1"/>
          <w:bCs w:val="1"/>
          <w:i w:val="1"/>
          <w:iCs w:val="1"/>
          <w:color w:val="auto"/>
        </w:rPr>
        <w:t>Our internal computer systems, or those of our third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party clinical research organizations or other contractors or consultants, may fail or suffer security breaches, which could result in a material disruption of our commercial, research and development and other programs.</w:t>
      </w:r>
    </w:p>
    <w:p>
      <w:pPr>
        <w:spacing w:after="0" w:line="109" w:lineRule="exact"/>
        <w:rPr>
          <w:sz w:val="20"/>
          <w:szCs w:val="20"/>
          <w:color w:val="auto"/>
        </w:rPr>
      </w:pPr>
    </w:p>
    <w:p>
      <w:pPr>
        <w:ind w:right="20" w:firstLine="509"/>
        <w:spacing w:after="0" w:line="230" w:lineRule="exact"/>
        <w:rPr>
          <w:sz w:val="20"/>
          <w:szCs w:val="20"/>
          <w:color w:val="auto"/>
        </w:rPr>
      </w:pPr>
      <w:r>
        <w:rPr>
          <w:rFonts w:ascii="Arial" w:cs="Arial" w:eastAsia="Arial" w:hAnsi="Arial"/>
          <w:sz w:val="18"/>
          <w:szCs w:val="18"/>
          <w:color w:val="auto"/>
        </w:rPr>
        <w:t>Despite the implementation of security measures, our internal computer systems and those of our third</w:t>
      </w:r>
      <w:r>
        <w:rPr>
          <w:rFonts w:ascii="MS PGothic" w:cs="MS PGothic" w:eastAsia="MS PGothic" w:hAnsi="MS PGothic"/>
          <w:sz w:val="18"/>
          <w:szCs w:val="18"/>
          <w:color w:val="auto"/>
        </w:rPr>
        <w:t>‑</w:t>
      </w:r>
      <w:r>
        <w:rPr>
          <w:rFonts w:ascii="Arial" w:cs="Arial" w:eastAsia="Arial" w:hAnsi="Arial"/>
          <w:sz w:val="18"/>
          <w:szCs w:val="18"/>
          <w:color w:val="auto"/>
        </w:rPr>
        <w:t>party clinical research organizations and other contractors and consultants are vulnerable to damage from computer viruses, unauthorized access, natural disasters, terrorism, war, and telecommunication and electrical failures. Any such incident could cause interruptions in our operations or a material disruption of our programs. To the extent that any disruption or security breach results in a loss of or damage to our data or applications or other data or applications relating to our technology or products candidates, or inappropriate disclosure of confidential or proprietary information, we could incur liabilities and our research and development program could be delayed.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74" w:name="page75"/>
    <w:bookmarkEnd w:id="74"/>
    <w:p>
      <w:pPr>
        <w:ind w:firstLine="509"/>
        <w:spacing w:after="0" w:line="284" w:lineRule="auto"/>
        <w:rPr>
          <w:sz w:val="20"/>
          <w:szCs w:val="20"/>
          <w:color w:val="auto"/>
        </w:rPr>
      </w:pPr>
      <w:r>
        <w:rPr>
          <w:rFonts w:ascii="Arial" w:cs="Arial" w:eastAsia="Arial" w:hAnsi="Arial"/>
          <w:sz w:val="17"/>
          <w:szCs w:val="17"/>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For example, in June 2019, a report published by security researchers claimed that a database belonging to one of our vendors containing information about individuals who use or have expressed interest in VASCEPA was accessible to unauthorized users. Although we were informed that such breach did not include social security numbers or credit card information, we cannot guarantee that a more material breach will not occur in the future.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and to repair reputational costs.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We may incur significant costs or divert significant internal resources as a result of any regulatory actions or private litigation. Any of the foregoing consequences may adversely affect our business and financial condition.</w:t>
      </w:r>
    </w:p>
    <w:p>
      <w:pPr>
        <w:spacing w:after="0" w:line="81" w:lineRule="exact"/>
        <w:rPr>
          <w:sz w:val="20"/>
          <w:szCs w:val="20"/>
          <w:color w:val="auto"/>
        </w:rPr>
      </w:pPr>
    </w:p>
    <w:p>
      <w:pPr>
        <w:ind w:right="60" w:firstLine="509"/>
        <w:spacing w:after="0" w:line="306" w:lineRule="auto"/>
        <w:rPr>
          <w:sz w:val="20"/>
          <w:szCs w:val="20"/>
          <w:color w:val="auto"/>
        </w:rPr>
      </w:pPr>
      <w:r>
        <w:rPr>
          <w:rFonts w:ascii="Arial" w:cs="Arial" w:eastAsia="Arial" w:hAnsi="Arial"/>
          <w:sz w:val="16"/>
          <w:szCs w:val="16"/>
          <w:color w:val="auto"/>
        </w:rPr>
        <w:t>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117"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We are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62"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 change in our tax residence and/or tax laws could have a negative effect on our future profitability.</w:t>
      </w:r>
    </w:p>
    <w:p>
      <w:pPr>
        <w:spacing w:after="0" w:line="117"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We expect that our tax jurisdiction will remain in Ireland. 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Up to December 31, 2019, where a company was treated as tax resident under the domestic laws of both the UK and Ireland, then the provisions of article 4(3) of the Double Tax Agreement, or DTA, between the UK and Ireland provided that such enterprise would be treated as resident only in the jurisdiction in which its place of effective management is situated. We had at all times sought to conduct our affairs in such a way so as to be solely resident in Ireland for tax purposes by virtue of having our place of effective management situated in Ireland.</w:t>
      </w:r>
    </w:p>
    <w:p>
      <w:pPr>
        <w:spacing w:after="0" w:line="73"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These rules regarding determination of tax residence changed effective January 1, 2020, when a modified Ireland-UK DTA came into effect pursuant to the OECD’s Multilateral Instrument, or MLI. Under the modified Ireland-UK DTA, from January 1, 2020, we would be solely tax resident in Ireland and not tax resident in the UK if we continued to be centrally managed and controlled in Ireland and if it were mutually agreed between the Irish and UK tax authorities under the MLI “tie-breaker rule” that we are solely tax resident in Ireland. Having made the relevant submission under the amended provisions, we received confirmation effective January 1, 2020 of the mutual agreement of Irish and UK tax authorities that we are solely tax resident in Ireland for the purposes of the modified DTA.</w:t>
      </w:r>
    </w:p>
    <w:p>
      <w:pPr>
        <w:spacing w:after="0" w:line="83" w:lineRule="exact"/>
        <w:rPr>
          <w:sz w:val="20"/>
          <w:szCs w:val="20"/>
          <w:color w:val="auto"/>
        </w:rPr>
      </w:pPr>
    </w:p>
    <w:p>
      <w:pPr>
        <w:ind w:right="40" w:firstLine="509"/>
        <w:spacing w:after="0" w:line="266" w:lineRule="auto"/>
        <w:rPr>
          <w:sz w:val="20"/>
          <w:szCs w:val="20"/>
          <w:color w:val="auto"/>
        </w:rPr>
      </w:pPr>
      <w:r>
        <w:rPr>
          <w:rFonts w:ascii="Arial" w:cs="Arial" w:eastAsia="Arial" w:hAnsi="Arial"/>
          <w:sz w:val="18"/>
          <w:szCs w:val="18"/>
          <w:color w:val="auto"/>
        </w:rPr>
        <w:t>However, we cannot assure you that we are or will continue to be solely resident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and the basis on which our</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75" w:name="page76"/>
    <w:bookmarkEnd w:id="75"/>
    <w:p>
      <w:pPr>
        <w:ind w:right="100"/>
        <w:spacing w:after="0" w:line="293" w:lineRule="auto"/>
        <w:rPr>
          <w:sz w:val="20"/>
          <w:szCs w:val="20"/>
          <w:color w:val="auto"/>
        </w:rPr>
      </w:pPr>
      <w:r>
        <w:rPr>
          <w:rFonts w:ascii="Arial" w:cs="Arial" w:eastAsia="Arial" w:hAnsi="Arial"/>
          <w:sz w:val="18"/>
          <w:szCs w:val="18"/>
          <w:color w:val="auto"/>
        </w:rPr>
        <w:t>income is taxed may also change. Similarly, if the tax residency of our Irish or UK subsidiaries were to change from their current jurisdiction, they may be subject to a charge to local capital gains tax on their assets and the basis on which their income is taxed may also change.</w:t>
      </w:r>
    </w:p>
    <w:p>
      <w:pPr>
        <w:spacing w:after="0" w:line="62" w:lineRule="exact"/>
        <w:rPr>
          <w:sz w:val="20"/>
          <w:szCs w:val="20"/>
          <w:color w:val="auto"/>
        </w:rPr>
      </w:pPr>
    </w:p>
    <w:p>
      <w:pPr>
        <w:ind w:right="340" w:firstLine="509"/>
        <w:spacing w:after="0" w:line="275" w:lineRule="auto"/>
        <w:rPr>
          <w:sz w:val="20"/>
          <w:szCs w:val="20"/>
          <w:color w:val="auto"/>
        </w:rPr>
      </w:pPr>
      <w:r>
        <w:rPr>
          <w:rFonts w:ascii="Arial" w:cs="Arial" w:eastAsia="Arial" w:hAnsi="Arial"/>
          <w:sz w:val="18"/>
          <w:szCs w:val="18"/>
          <w:color w:val="auto"/>
        </w:rPr>
        <w:t>Our and our subsidiaries’ income tax returns are periodically examined by various tax authorities, including the Internal Revenue Service, or the IRS, and states. For example, the IRS began an examination of our 2018 US income tax return in the first quarter of 2020. Although the outcome of tax audits is always uncertain and could result in significant cash tax payments, we do not believe the outcome of any ongoing or future audits will have a material adverse effect on our consolidated financial position or results of operations.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could be adversely affected by our exposure to customer concentration risk.</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A significant portion of our sales are to wholesalers in the pharmaceutical industry. Three customers individually accounted for 10% or more of our U.S. gross product sales. Customers A, B, and C accounted for 27%, 37%, and 28%, respectively, of gross product sales for the three and nine months ended September 30, 2021 and 2020, and represented 34%, 37%, and 21%, respectively, of the gross accounts receivable balance as of September 30, 2021. Customers A, B, and C accounted for 25%, 37%, and 30%, respectively, of gross product sales for the nine months ended September 30, 2020, and represented 37%, 32%, and 25%, respectively, of the gross accounts receivable balance as of September 30, 2020. We expect that we may have customer concentration risk as we enter additional countries.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117"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We have not yet reached sustained profitability. For the fiscal years ended December 31, 2020, 2019, and 2018, we reported losses of approximately $18.0 million, $22.6 million, and $116.4 million, and we had an accumulated deficit as of December 31, 2020 of $1.4 billion. For the three months ended September 30, 2021 and 2020, we reported losses of approximately $13.2 million and $6.8 million, respectively, and we had an accumulated deficit as of September 30, 2021 of $1.4 billion. Substantially all of our operating losses resulted from costs incurred in connection with our research and development programs, from general and administrative costs associated with our operations, and costs related to the commercialization of VASCEPA.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 for a full year.</w:t>
      </w:r>
    </w:p>
    <w:p>
      <w:pPr>
        <w:spacing w:after="0" w:line="117" w:lineRule="exact"/>
        <w:rPr>
          <w:sz w:val="20"/>
          <w:szCs w:val="20"/>
          <w:color w:val="auto"/>
        </w:rPr>
      </w:pPr>
    </w:p>
    <w:p>
      <w:pPr>
        <w:ind w:right="160" w:firstLine="509"/>
        <w:spacing w:after="0" w:line="272" w:lineRule="auto"/>
        <w:rPr>
          <w:sz w:val="20"/>
          <w:szCs w:val="20"/>
          <w:color w:val="auto"/>
        </w:rPr>
      </w:pPr>
      <w:r>
        <w:rPr>
          <w:rFonts w:ascii="Arial" w:cs="Arial" w:eastAsia="Arial" w:hAnsi="Arial"/>
          <w:sz w:val="18"/>
          <w:szCs w:val="18"/>
          <w:color w:val="auto"/>
        </w:rPr>
        <w:t>Our ability to become profitable on a sustained basis depends upon our ability to generate revenue. We have been generating product revenue from sales of VASCEPA since January 2013, but we may not be able to generate sufficient revenue to achieve a steady state of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83"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Even though VASCEPA has been approved by the U.S. FDA for marketing in the United States for two important indications, recently received marketing authorization in Europe and is approved in smaller jurisdictions, it may not gain enough market acceptance to support profitability. We anticipate continuing to incur significant costs associated with expanding the commercialization of VASCEPA. We may not achieve profitability on a sustained basis in the near term due to high costs associated with, for example, our expanded commercialization efforts in the United States and our expected commercialization efforts in Europe. If we are unable to continue to generate robust product revenues, we will not become profitable on a sustained basis in the near term, if ever, and may be unable to continue operations without continued funding.</w:t>
      </w:r>
    </w:p>
    <w:p>
      <w:pPr>
        <w:spacing w:after="0" w:line="203"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62"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operations may be affected by a variety of factors, including those risks and uncertainties described in this Part II, Item 1A and the following:</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recent and potential launches of additional generic versions of VASCEPA;</w:t>
      </w:r>
    </w:p>
    <w:p>
      <w:pPr>
        <w:spacing w:after="0" w:line="131" w:lineRule="exact"/>
        <w:rPr>
          <w:sz w:val="20"/>
          <w:szCs w:val="20"/>
          <w:color w:val="auto"/>
        </w:rPr>
      </w:pPr>
    </w:p>
    <w:p>
      <w:pPr>
        <w:ind w:left="840" w:right="120"/>
        <w:spacing w:after="0" w:line="293" w:lineRule="auto"/>
        <w:rPr>
          <w:sz w:val="20"/>
          <w:szCs w:val="20"/>
          <w:color w:val="auto"/>
        </w:rPr>
      </w:pPr>
      <w:r>
        <w:rPr>
          <w:rFonts w:ascii="Arial" w:cs="Arial" w:eastAsia="Arial" w:hAnsi="Arial"/>
          <w:sz w:val="18"/>
          <w:szCs w:val="18"/>
          <w:color w:val="auto"/>
        </w:rPr>
        <w:t>continued and prolonged disruption to our business, or delays in resuming normal business activities, or reinstating restrictions after protocols have been lifted, from the COVID-19 pandemic;</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continuing evolution of the medical community’s and the public’s perception of the REDUCE-IT study results;</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level of demand for VASCEPA, due to changes in prescriber sentiment, quarterly changes in distributor purchases, and other factors;</w:t>
      </w:r>
    </w:p>
    <w:p>
      <w:pPr>
        <w:spacing w:after="0" w:line="142" w:lineRule="exact"/>
        <w:rPr>
          <w:sz w:val="20"/>
          <w:szCs w:val="20"/>
          <w:color w:val="auto"/>
        </w:rPr>
      </w:pPr>
    </w:p>
    <w:p>
      <w:pPr>
        <w:jc w:val="both"/>
        <w:ind w:left="840" w:right="320"/>
        <w:spacing w:after="0" w:line="279" w:lineRule="auto"/>
        <w:rPr>
          <w:sz w:val="20"/>
          <w:szCs w:val="20"/>
          <w:color w:val="auto"/>
        </w:rPr>
      </w:pPr>
      <w:r>
        <w:rPr>
          <w:rFonts w:ascii="Arial" w:cs="Arial" w:eastAsia="Arial" w:hAnsi="Arial"/>
          <w:sz w:val="18"/>
          <w:szCs w:val="18"/>
          <w:color w:val="auto"/>
        </w:rPr>
        <w:t>the extent to which coverage and reimbursement for VASCEPA is available from government and health administration authorities, private health insurers, managed care programs and other third-party payers and the timing and extent to which such coverage and reimbursement changes;</w:t>
      </w:r>
    </w:p>
    <w:p>
      <w:pPr>
        <w:spacing w:after="0" w:line="75" w:lineRule="exact"/>
        <w:rPr>
          <w:sz w:val="20"/>
          <w:szCs w:val="20"/>
          <w:color w:val="auto"/>
        </w:rPr>
      </w:pPr>
    </w:p>
    <w:p>
      <w:pPr>
        <w:ind w:left="840" w:right="20"/>
        <w:spacing w:after="0" w:line="293" w:lineRule="auto"/>
        <w:rPr>
          <w:sz w:val="20"/>
          <w:szCs w:val="20"/>
          <w:color w:val="auto"/>
        </w:rPr>
      </w:pPr>
      <w:r>
        <w:rPr>
          <w:rFonts w:ascii="Arial" w:cs="Arial" w:eastAsia="Arial" w:hAnsi="Arial"/>
          <w:sz w:val="18"/>
          <w:szCs w:val="18"/>
          <w:color w:val="auto"/>
        </w:rPr>
        <w:t>the timing, cost and level of investment in our sales and marketing efforts to support VASCEPA sales, including our recently announced Go-to-Market strategy, and the resulting effectiveness of those efforts;</w:t>
      </w:r>
    </w:p>
    <w:p>
      <w:pPr>
        <w:spacing w:after="0" w:line="62" w:lineRule="exact"/>
        <w:rPr>
          <w:sz w:val="20"/>
          <w:szCs w:val="20"/>
          <w:color w:val="auto"/>
        </w:rPr>
      </w:pPr>
    </w:p>
    <w:p>
      <w:pPr>
        <w:ind w:left="840" w:right="380"/>
        <w:spacing w:after="0" w:line="293" w:lineRule="auto"/>
        <w:rPr>
          <w:sz w:val="20"/>
          <w:szCs w:val="20"/>
          <w:color w:val="auto"/>
        </w:rPr>
      </w:pPr>
      <w:r>
        <w:rPr>
          <w:rFonts w:ascii="Arial" w:cs="Arial" w:eastAsia="Arial" w:hAnsi="Arial"/>
          <w:sz w:val="18"/>
          <w:szCs w:val="18"/>
          <w:color w:val="auto"/>
        </w:rPr>
        <w:t>disruptions or delays in our or our partners’ commercial or development activities, including as a result of political instability, civil unrest, terrorism, pandemics or other natural disasters, such as the coronavirus outbreak;</w:t>
      </w:r>
    </w:p>
    <w:p>
      <w:pPr>
        <w:spacing w:after="0" w:line="62" w:lineRule="exact"/>
        <w:rPr>
          <w:sz w:val="20"/>
          <w:szCs w:val="20"/>
          <w:color w:val="auto"/>
        </w:rPr>
      </w:pPr>
    </w:p>
    <w:p>
      <w:pPr>
        <w:ind w:left="840"/>
        <w:spacing w:after="0" w:line="279" w:lineRule="auto"/>
        <w:rPr>
          <w:sz w:val="20"/>
          <w:szCs w:val="20"/>
          <w:color w:val="auto"/>
        </w:rPr>
      </w:pPr>
      <w:r>
        <w:rPr>
          <w:rFonts w:ascii="Arial" w:cs="Arial" w:eastAsia="Arial" w:hAnsi="Arial"/>
          <w:sz w:val="18"/>
          <w:szCs w:val="18"/>
          <w:color w:val="auto"/>
        </w:rPr>
        <w:t>the timing and ability of efforts outside the United States, to develop, register and commercialize VASCEPA in Europe, China Territory, several Middle Eastern and North African countries, and Canada, for example, including obtaining necessary regulatory approvals, favorable pricing and establishing marketing channels;</w:t>
      </w:r>
    </w:p>
    <w:p>
      <w:pPr>
        <w:spacing w:after="0" w:line="7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outcomes of litigation and other legal proceedings; and</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ongoing regulatory dialogue.</w:t>
      </w:r>
    </w:p>
    <w:p>
      <w:pPr>
        <w:spacing w:after="0" w:line="266" w:lineRule="exact"/>
        <w:rPr>
          <w:sz w:val="20"/>
          <w:szCs w:val="20"/>
          <w:color w:val="auto"/>
        </w:rPr>
      </w:pPr>
    </w:p>
    <w:p>
      <w:pPr>
        <w:ind w:left="260" w:right="280"/>
        <w:spacing w:after="0" w:line="293" w:lineRule="auto"/>
        <w:rPr>
          <w:sz w:val="20"/>
          <w:szCs w:val="20"/>
          <w:color w:val="auto"/>
        </w:rPr>
      </w:pP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We currently operate with limited resources. We believe that our cash and cash equivalents balance of $222.9 million and short-term investment balance of $256.3 million as of September 30, 2021 will be sufficient to fund our projected operations for at least 12 months. We have based this estimate on assumptions that may prove to be wrong, and we could deplete our capital resources sooner than we expect or fail to achieve positive cash flow. Depending on the level of cash generated from operations, and depending in part on the rate of prescription growth for VASCEPA, additional capital may be required to support planned VASCEPA promotion and potential VASCEPA promotion beyond which we are currently executing and for commercialization of VAZKEPA in Europe. If additional capital is required and we are unable to obtain additional capital on satisfactory terms, or at all, we may be forced to delay, limit or eliminate certain promotional activities. We anticipate that quarterly net cash outflows in future periods will be variable as a result of the timing of certain items, including our purchases of API, VASCEPA promotional activities from approval by the U.S. FDA for the new indication and expanded label and the impact from COVID-19 on our operations and those of our customers and any current or potential generic competition.</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order to fully realize the market potential of VASCEPA, we may need to enter into a new strategic collaboration or raise additional capital.</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timing, amount and consistency of revenue generated from the commercial sale of VASCEPA;</w:t>
      </w:r>
    </w:p>
    <w:p>
      <w:pPr>
        <w:spacing w:after="0" w:line="131" w:lineRule="exact"/>
        <w:rPr>
          <w:sz w:val="20"/>
          <w:szCs w:val="20"/>
          <w:color w:val="auto"/>
        </w:rPr>
      </w:pPr>
    </w:p>
    <w:p>
      <w:pPr>
        <w:ind w:left="960" w:right="100"/>
        <w:spacing w:after="0" w:line="272" w:lineRule="auto"/>
        <w:rPr>
          <w:sz w:val="20"/>
          <w:szCs w:val="20"/>
          <w:color w:val="auto"/>
        </w:rPr>
      </w:pPr>
      <w:r>
        <w:rPr>
          <w:rFonts w:ascii="Arial" w:cs="Arial" w:eastAsia="Arial" w:hAnsi="Arial"/>
          <w:sz w:val="18"/>
          <w:szCs w:val="18"/>
          <w:color w:val="auto"/>
        </w:rPr>
        <w:t>the costs associated with commercializing VASCEPA in the United States, including expenditures such as potential direct-to-consumer advertising and increased sales force sizing, and for commercializing VAZKEPA in Europe, including hiring experienced professionals, and for additional regulatory approvals internationally, if any, the cost and timing of securing commercial supply of VASCEPA and the timing of entering into any new strategic collaboration with others relating to the commercialization of VASCEPA, if at all, and the terms of any such collaboration;</w:t>
      </w:r>
    </w:p>
    <w:p>
      <w:pPr>
        <w:spacing w:after="0" w:line="8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continued costs associated with litigation and other legal proceedings and governmental inquiries;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the time and costs involved in obtaining additional regulatory approvals for VASCEPA based on REDUCE-IT results internationally;</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77" w:name="page78"/>
    <w:bookmarkEnd w:id="77"/>
    <w:p>
      <w:pPr>
        <w:ind w:right="200" w:firstLine="509"/>
        <w:spacing w:after="0" w:line="293" w:lineRule="auto"/>
        <w:rPr>
          <w:sz w:val="20"/>
          <w:szCs w:val="20"/>
          <w:color w:val="auto"/>
        </w:rPr>
      </w:pPr>
      <w:r>
        <w:rPr>
          <w:rFonts w:ascii="Arial" w:cs="Arial" w:eastAsia="Arial" w:hAnsi="Arial"/>
          <w:sz w:val="18"/>
          <w:szCs w:val="18"/>
          <w:color w:val="auto"/>
        </w:rPr>
        <w:t>If we require additional funds and adequate funds are not available to us in amounts or on terms acceptable to us or on a timely basis, or at all, our commercialization efforts for VASCEPA, and our business generally, may suffer materially.</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 Changes in tax laws could have a material adverse effect on our business, financial condition and results of operations.</w:t>
      </w:r>
    </w:p>
    <w:p>
      <w:pPr>
        <w:spacing w:after="0" w:line="131"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Tax law and policies in the United States and Ireland are unsettled and may be subject to significant change, including based on adjustments in political perspectives and administration shifts. In the United States and internationally, how to tax entities with international operations, like Amarin, has been subject to significant re-evaluation. We believe we developed VASCEPA in and from Ireland based on understanding of applicable requirements. In recent years, particularly since 2013 when commercial sale of VASCEPA commenced in the United States, the majority of our consolidated operations have been in the United States. Ownership of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under applicable requirements. In addition, utilization of these accumulated net operating loss carryforwards assumes that tax treaties between Ireland and other countries, particularly the United States, do not change in a manner that limit our future ability to offset earnings with these operating loss carryforwards for tax purposes.</w:t>
      </w:r>
    </w:p>
    <w:p>
      <w:pPr>
        <w:spacing w:after="0" w:line="62" w:lineRule="exact"/>
        <w:rPr>
          <w:sz w:val="20"/>
          <w:szCs w:val="20"/>
          <w:color w:val="auto"/>
        </w:rPr>
      </w:pPr>
    </w:p>
    <w:p>
      <w:pPr>
        <w:ind w:right="20" w:firstLine="509"/>
        <w:spacing w:after="0" w:line="303" w:lineRule="auto"/>
        <w:rPr>
          <w:sz w:val="20"/>
          <w:szCs w:val="20"/>
          <w:color w:val="auto"/>
        </w:rPr>
      </w:pPr>
      <w:r>
        <w:rPr>
          <w:rFonts w:ascii="Arial" w:cs="Arial" w:eastAsia="Arial" w:hAnsi="Arial"/>
          <w:sz w:val="17"/>
          <w:szCs w:val="17"/>
          <w:color w:val="auto"/>
        </w:rPr>
        <w:t>Similarly, a change in our Irish tax residence could materially affect our ability to obtain and maintain profitability, if otherwise achievable. Changes in tax law and tax rates, particularly in the United States and Ireland, could also impact our assessment of deferred taxes. Any change in our assessment of the realizability or the timing for realizing deferred taxes could have a negative impact our future profitability.</w:t>
      </w:r>
    </w:p>
    <w:p>
      <w:pPr>
        <w:spacing w:after="0" w:line="56" w:lineRule="exact"/>
        <w:rPr>
          <w:sz w:val="20"/>
          <w:szCs w:val="20"/>
          <w:color w:val="auto"/>
        </w:rPr>
      </w:pPr>
    </w:p>
    <w:p>
      <w:pPr>
        <w:ind w:right="60" w:firstLine="509"/>
        <w:spacing w:after="0" w:line="287" w:lineRule="auto"/>
        <w:rPr>
          <w:sz w:val="20"/>
          <w:szCs w:val="20"/>
          <w:color w:val="auto"/>
        </w:rPr>
      </w:pPr>
      <w:r>
        <w:rPr>
          <w:rFonts w:ascii="Arial" w:cs="Arial" w:eastAsia="Arial" w:hAnsi="Arial"/>
          <w:sz w:val="17"/>
          <w:szCs w:val="17"/>
          <w:color w:val="auto"/>
        </w:rPr>
        <w:t>Changes in tax laws (including in response to the COVID-19 pandemic)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In particular, there have been a number of significant changes to the U.S. federal income tax rules in recent years and additional tax reform proposed by the Biden administration may be enacted. The effect of any such tax reform is uncertain. As we continue to expand internationally, we will be subject to varied and complex tax regimes, and the tax laws of one jurisdiction may impact our expansion to or operations in other jurisdictions. Additionally, new, changed, modified, or newly interpreted or applied tax laws could increase our partners’ and our compliance, operating and other costs, as well as the costs of our products. As we expand the scale of our business activities, any changes in the taxation of such activities may increase our effective tax rate and harm our business, financial condition, and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131"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75" w:lineRule="exact"/>
        <w:rPr>
          <w:sz w:val="20"/>
          <w:szCs w:val="20"/>
          <w:color w:val="auto"/>
        </w:rPr>
      </w:pPr>
    </w:p>
    <w:p>
      <w:pPr>
        <w:ind w:right="100" w:firstLine="509"/>
        <w:spacing w:after="0" w:line="292" w:lineRule="auto"/>
        <w:rPr>
          <w:sz w:val="20"/>
          <w:szCs w:val="20"/>
          <w:color w:val="auto"/>
        </w:rPr>
      </w:pPr>
      <w:r>
        <w:rPr>
          <w:rFonts w:ascii="Arial" w:cs="Arial" w:eastAsia="Arial" w:hAnsi="Arial"/>
          <w:sz w:val="17"/>
          <w:szCs w:val="17"/>
          <w:color w:val="auto"/>
        </w:rPr>
        <w:t>As of October 29, 2021, we had 395,825,887 common shares outstanding including 395,629,060 shares held as ADSs and 196,827 held as ordinary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131" w:lineRule="exact"/>
        <w:rPr>
          <w:sz w:val="20"/>
          <w:szCs w:val="20"/>
          <w:color w:val="auto"/>
        </w:rPr>
      </w:pPr>
    </w:p>
    <w:p>
      <w:pPr>
        <w:ind w:left="840" w:right="200"/>
        <w:spacing w:after="0" w:line="293" w:lineRule="auto"/>
        <w:rPr>
          <w:sz w:val="20"/>
          <w:szCs w:val="20"/>
          <w:color w:val="auto"/>
        </w:rPr>
      </w:pPr>
      <w:r>
        <w:rPr>
          <w:rFonts w:ascii="Arial" w:cs="Arial" w:eastAsia="Arial" w:hAnsi="Arial"/>
          <w:sz w:val="18"/>
          <w:szCs w:val="18"/>
          <w:color w:val="auto"/>
        </w:rPr>
        <w:t>litigation and regulatory developments in the United States affecting our VASCEPA promotional rights, and regulatory developments in other countries;</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actual or potential medical results relating to our products or our competitors’ products;</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interim failures or setbacks in product development;</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innovation by us or our competitors;</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currency exchange rate fluctuations; and</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period-to-period variations in our results of operations.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8" w:name="page79"/>
    <w:bookmarkEnd w:id="78"/>
    <w:p>
      <w:pPr>
        <w:ind w:right="40" w:firstLine="509"/>
        <w:spacing w:after="0" w:line="287" w:lineRule="auto"/>
        <w:rPr>
          <w:sz w:val="20"/>
          <w:szCs w:val="20"/>
          <w:color w:val="auto"/>
        </w:rPr>
      </w:pPr>
      <w:r>
        <w:rPr>
          <w:rFonts w:ascii="Arial" w:cs="Arial" w:eastAsia="Arial" w:hAnsi="Arial"/>
          <w:sz w:val="17"/>
          <w:szCs w:val="17"/>
          <w:color w:val="auto"/>
        </w:rPr>
        <w:t>Further, the United Kingdom ceased to be a member of the European Union on January 31, 2020, commonly referred to as Brexit, and the 11-month implementation period ended on December 31, 2020 and a new trade deal between the United Kingdom and the European Union was agreed to on December 24, 2020. The effects of Brexit are uncertain and may have a negative effect on global economic conditions, financial markets and our business, which could reduce the price of our ADSs and common shares. In particular, Brexit could lead to a period of considerable uncertainty in relation to the UK financial and banking markets, as well as on the regulatory process in Europe, which could cause the broader global financial markets to experience significant volatility. Asset valuations, currency exchange rates and credit ratings may also be subject to increased market volatility due to the ongoing uncertainty. Lack of clarity about future UK laws and regulations as the United Kingdom determines which EU rules and regulations to replace or replicate could decrease foreign direct investment in the UK, increase costs, disrupt our business, depress economic activity and restrict our access to capital, any of which could negatively impact the price of our ADSs and common shares.</w:t>
      </w:r>
    </w:p>
    <w:p>
      <w:pPr>
        <w:spacing w:after="0" w:line="205" w:lineRule="exact"/>
        <w:rPr>
          <w:sz w:val="20"/>
          <w:szCs w:val="20"/>
          <w:color w:val="auto"/>
        </w:rPr>
      </w:pPr>
    </w:p>
    <w:p>
      <w:pPr>
        <w:ind w:right="300" w:firstLine="509"/>
        <w:spacing w:after="0" w:line="279"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75"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In accordance with the guidelines specified under Rule 10b5-1 of the Securities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If we were to be characterized as a passive foreign investment company there could be adverse consequences to U.S. investors.</w:t>
      </w:r>
    </w:p>
    <w:p>
      <w:pPr>
        <w:spacing w:after="0" w:line="142"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A non-U.S. corporation will be classified as a passive foreign investment company, or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In addition, a non-U.S. corporation will be treated as owning its proportionate share of the assets and earning its proportionate share of the income of any other corporation in which it owns, directly or indirectly, no more than 25% (by value) of the stock.</w:t>
      </w:r>
    </w:p>
    <w:p>
      <w:pPr>
        <w:spacing w:after="0" w:line="68"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Based on certain estimates of our gross income and gross assets, the latter determined by reference to the expected value of our ADSs and shares, we believe that we will not be classified as a PFIC for the taxable year ended December 31, 2020 and we do not expect to be treated as a PFIC in any future taxable year for the foreseeable future. However, because PFIC status is based on our income, assets and activities for the entire taxable year, which we expect may vary substantially over time, it is not possible to determine whether we will be characterized as a PFIC for any taxable year until after the close of the taxable year. Moreover, we must determine our PFIC status annually based on tests that are factual in nature, and our status in future years will depend on our income, assets and activities in each of those years. There can be no assurance that we will not be considered a PFIC for any taxable year.</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131" w:lineRule="exact"/>
        <w:rPr>
          <w:sz w:val="20"/>
          <w:szCs w:val="20"/>
          <w:color w:val="auto"/>
        </w:rPr>
      </w:pPr>
    </w:p>
    <w:p>
      <w:pPr>
        <w:ind w:right="200" w:firstLine="509"/>
        <w:spacing w:after="0" w:line="275"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31" w:lineRule="exact"/>
        <w:rPr>
          <w:sz w:val="20"/>
          <w:szCs w:val="20"/>
          <w:color w:val="auto"/>
        </w:rPr>
      </w:pPr>
    </w:p>
    <w:p>
      <w:pPr>
        <w:ind w:right="260" w:firstLine="509"/>
        <w:spacing w:after="0" w:line="279"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75" w:lineRule="exact"/>
        <w:rPr>
          <w:sz w:val="20"/>
          <w:szCs w:val="20"/>
          <w:color w:val="auto"/>
        </w:rPr>
      </w:pPr>
    </w:p>
    <w:p>
      <w:pPr>
        <w:jc w:val="both"/>
        <w:ind w:left="840" w:right="120"/>
        <w:spacing w:after="0" w:line="279" w:lineRule="auto"/>
        <w:rPr>
          <w:sz w:val="20"/>
          <w:szCs w:val="20"/>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75" w:lineRule="exact"/>
        <w:rPr>
          <w:sz w:val="20"/>
          <w:szCs w:val="20"/>
          <w:color w:val="auto"/>
        </w:rPr>
      </w:pPr>
    </w:p>
    <w:p>
      <w:pPr>
        <w:ind w:left="840" w:right="520"/>
        <w:spacing w:after="0" w:line="299" w:lineRule="auto"/>
        <w:rPr>
          <w:sz w:val="20"/>
          <w:szCs w:val="20"/>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79" w:name="page80"/>
    <w:bookmarkEnd w:id="79"/>
    <w:p>
      <w:pPr>
        <w:ind w:left="840" w:right="300"/>
        <w:spacing w:after="0" w:line="329" w:lineRule="auto"/>
        <w:rPr>
          <w:sz w:val="20"/>
          <w:szCs w:val="20"/>
          <w:color w:val="auto"/>
        </w:rPr>
      </w:pPr>
      <w:r>
        <w:rPr>
          <w:rFonts w:ascii="Arial" w:cs="Arial" w:eastAsia="Arial" w:hAnsi="Arial"/>
          <w:sz w:val="16"/>
          <w:szCs w:val="16"/>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40" w:lineRule="exact"/>
        <w:rPr>
          <w:sz w:val="20"/>
          <w:szCs w:val="20"/>
          <w:color w:val="auto"/>
        </w:rPr>
      </w:pPr>
    </w:p>
    <w:p>
      <w:pPr>
        <w:ind w:left="840" w:right="200"/>
        <w:spacing w:after="0" w:line="272" w:lineRule="auto"/>
        <w:rPr>
          <w:sz w:val="20"/>
          <w:szCs w:val="20"/>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83" w:lineRule="exact"/>
        <w:rPr>
          <w:sz w:val="20"/>
          <w:szCs w:val="20"/>
          <w:color w:val="auto"/>
        </w:rPr>
      </w:pPr>
    </w:p>
    <w:p>
      <w:pPr>
        <w:ind w:left="840" w:right="60"/>
        <w:spacing w:after="0" w:line="309" w:lineRule="auto"/>
        <w:rPr>
          <w:sz w:val="20"/>
          <w:szCs w:val="20"/>
          <w:color w:val="auto"/>
        </w:rPr>
      </w:pPr>
      <w:r>
        <w:rPr>
          <w:rFonts w:ascii="Arial" w:cs="Arial" w:eastAsia="Arial" w:hAnsi="Arial"/>
          <w:sz w:val="16"/>
          <w:szCs w:val="16"/>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56" w:lineRule="exact"/>
        <w:rPr>
          <w:sz w:val="20"/>
          <w:szCs w:val="20"/>
          <w:color w:val="auto"/>
        </w:rPr>
      </w:pPr>
    </w:p>
    <w:p>
      <w:pPr>
        <w:ind w:left="840" w:right="60"/>
        <w:spacing w:after="0" w:line="319" w:lineRule="auto"/>
        <w:rPr>
          <w:sz w:val="20"/>
          <w:szCs w:val="20"/>
          <w:color w:val="auto"/>
        </w:rPr>
      </w:pPr>
      <w:r>
        <w:rPr>
          <w:rFonts w:ascii="Arial" w:cs="Arial" w:eastAsia="Arial" w:hAnsi="Arial"/>
          <w:sz w:val="16"/>
          <w:szCs w:val="16"/>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48" w:lineRule="exact"/>
        <w:rPr>
          <w:sz w:val="20"/>
          <w:szCs w:val="20"/>
          <w:color w:val="auto"/>
        </w:rPr>
      </w:pPr>
    </w:p>
    <w:p>
      <w:pPr>
        <w:ind w:left="840" w:right="40"/>
        <w:spacing w:after="0" w:line="311" w:lineRule="auto"/>
        <w:rPr>
          <w:sz w:val="20"/>
          <w:szCs w:val="20"/>
          <w:color w:val="auto"/>
        </w:rPr>
      </w:pPr>
      <w:r>
        <w:rPr>
          <w:rFonts w:ascii="Arial" w:cs="Arial" w:eastAsia="Arial" w:hAnsi="Arial"/>
          <w:sz w:val="16"/>
          <w:szCs w:val="16"/>
          <w:color w:val="auto"/>
        </w:rPr>
        <w:t>The quorum requirement for a shareholders’ meeting is a minimum of two shareholders entitled to vote at the meeting and present in person or by proxy or, in the case of a shareholder which is a corporation, represented by a duly authorized officer (although the marketplace rules of the Nasdaq Stock Market require that shareholders holding at least one-third of our outstanding shares of voting stock are present at the meeting or by proxy).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5"/>
          <w:szCs w:val="15"/>
          <w:b w:val="1"/>
          <w:bCs w:val="1"/>
          <w:i w:val="1"/>
          <w:iCs w:val="1"/>
          <w:color w:val="auto"/>
        </w:rPr>
        <w:t>Shareholder protections found in provisions under the UK City Code on Takeovers and Mergers, or the Takeover Code, do not apply to us.</w:t>
      </w:r>
    </w:p>
    <w:p>
      <w:pPr>
        <w:spacing w:after="0" w:line="165"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The Takeover Code provides a framework within which takeovers of certain companies organized in the United Kingdom are regulated and conducted. However, because our place of central management and control is currently outside of the United Kingdom, we are not subject to the Takeover Code. As a result, our shareholders are not entitled to the benefit of certain takeover offer protections provided under the Takeover Code. The following is a brief summary of some of the most important rules of the Takeover Code which, as noted, does not apply to us:</w:t>
      </w:r>
    </w:p>
    <w:p>
      <w:pPr>
        <w:spacing w:after="0" w:line="62" w:lineRule="exact"/>
        <w:rPr>
          <w:sz w:val="20"/>
          <w:szCs w:val="20"/>
          <w:color w:val="auto"/>
        </w:rPr>
      </w:pPr>
    </w:p>
    <w:p>
      <w:pPr>
        <w:ind w:left="840" w:right="120"/>
        <w:spacing w:after="0" w:line="329" w:lineRule="auto"/>
        <w:rPr>
          <w:sz w:val="20"/>
          <w:szCs w:val="20"/>
          <w:color w:val="auto"/>
        </w:rPr>
      </w:pPr>
      <w:r>
        <w:rPr>
          <w:rFonts w:ascii="Arial" w:cs="Arial" w:eastAsia="Arial" w:hAnsi="Arial"/>
          <w:sz w:val="16"/>
          <w:szCs w:val="16"/>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the potential offer.</w:t>
      </w:r>
    </w:p>
    <w:p>
      <w:pPr>
        <w:spacing w:after="0" w:line="40" w:lineRule="exact"/>
        <w:rPr>
          <w:sz w:val="20"/>
          <w:szCs w:val="20"/>
          <w:color w:val="auto"/>
        </w:rPr>
      </w:pPr>
    </w:p>
    <w:p>
      <w:pPr>
        <w:ind w:left="840" w:right="100"/>
        <w:spacing w:after="0" w:line="319" w:lineRule="auto"/>
        <w:rPr>
          <w:sz w:val="20"/>
          <w:szCs w:val="20"/>
          <w:color w:val="auto"/>
        </w:rPr>
      </w:pPr>
      <w:r>
        <w:rPr>
          <w:rFonts w:ascii="Arial" w:cs="Arial" w:eastAsia="Arial" w:hAnsi="Arial"/>
          <w:sz w:val="16"/>
          <w:szCs w:val="16"/>
          <w:color w:val="auto"/>
        </w:rPr>
        <w:t>When a person or group of persons who are treated as “acting in concert” with each other (a) acquires interests in shares carrying 30% or more of the voting rights of a company (which percentage is treated by the Takeover Code as the level at which effective control is obtained) or (b) increases the aggregate percentage interest they have when they are already interested in not less than 30% and not more than 50%, they must make a cash offer to all other shareholders at the highest price paid by them in the 12 months before the offer was announced.</w:t>
      </w:r>
    </w:p>
    <w:p>
      <w:pPr>
        <w:spacing w:after="0" w:line="48" w:lineRule="exact"/>
        <w:rPr>
          <w:sz w:val="20"/>
          <w:szCs w:val="20"/>
          <w:color w:val="auto"/>
        </w:rPr>
      </w:pPr>
    </w:p>
    <w:p>
      <w:pPr>
        <w:ind w:left="840"/>
        <w:spacing w:after="0" w:line="314" w:lineRule="auto"/>
        <w:rPr>
          <w:sz w:val="20"/>
          <w:szCs w:val="20"/>
          <w:color w:val="auto"/>
        </w:rPr>
      </w:pPr>
      <w:r>
        <w:rPr>
          <w:rFonts w:ascii="Arial" w:cs="Arial" w:eastAsia="Arial" w:hAnsi="Arial"/>
          <w:sz w:val="16"/>
          <w:szCs w:val="16"/>
          <w:color w:val="auto"/>
        </w:rPr>
        <w:t>When interests in shares of any class representing 10% of shares of that class have been acquired for cash by an offeror (i.e., a bidder) during the offer period (i.e., broadly speaking, the period after the potential offer has been made public) and within 12 months prior to commencement of the offer period, the offer must be in cash or be accompanied by a cash alternative for all shareholders of that class at the highest price paid by the offeror in that period. Further, if an offeror acquires any interest in shares for cash during the offer period, the offer for the shares must be in cash or accompanied by a cash alternative at a price at least equal to the price paid for such shares during the offer period.</w:t>
      </w:r>
    </w:p>
    <w:p>
      <w:pPr>
        <w:spacing w:after="0" w:line="52" w:lineRule="exact"/>
        <w:rPr>
          <w:sz w:val="20"/>
          <w:szCs w:val="20"/>
          <w:color w:val="auto"/>
        </w:rPr>
      </w:pPr>
    </w:p>
    <w:p>
      <w:pPr>
        <w:ind w:left="840" w:right="80"/>
        <w:spacing w:after="0" w:line="266" w:lineRule="auto"/>
        <w:rPr>
          <w:sz w:val="20"/>
          <w:szCs w:val="20"/>
          <w:color w:val="auto"/>
        </w:rPr>
      </w:pPr>
      <w:r>
        <w:rPr>
          <w:rFonts w:ascii="Arial" w:cs="Arial" w:eastAsia="Arial" w:hAnsi="Arial"/>
          <w:sz w:val="18"/>
          <w:szCs w:val="18"/>
          <w:color w:val="auto"/>
        </w:rPr>
        <w:t>If after an announcement is made, the offeror acquires an interest in shares in an offeree company (i.e., a target) at a price higher than the value of the offer, the offer must be increased accordingly.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80" w:name="page81"/>
    <w:bookmarkEnd w:id="80"/>
    <w:p>
      <w:pPr>
        <w:ind w:left="840"/>
        <w:spacing w:after="0" w:line="293" w:lineRule="auto"/>
        <w:rPr>
          <w:sz w:val="20"/>
          <w:szCs w:val="20"/>
          <w:color w:val="auto"/>
        </w:rPr>
      </w:pPr>
      <w:r>
        <w:rPr>
          <w:rFonts w:ascii="Arial" w:cs="Arial" w:eastAsia="Arial" w:hAnsi="Arial"/>
          <w:sz w:val="18"/>
          <w:szCs w:val="18"/>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62" w:lineRule="exact"/>
        <w:rPr>
          <w:sz w:val="20"/>
          <w:szCs w:val="20"/>
          <w:color w:val="auto"/>
        </w:rPr>
      </w:pPr>
    </w:p>
    <w:p>
      <w:pPr>
        <w:ind w:left="840" w:right="240"/>
        <w:spacing w:after="0" w:line="324" w:lineRule="auto"/>
        <w:rPr>
          <w:sz w:val="20"/>
          <w:szCs w:val="20"/>
          <w:color w:val="auto"/>
        </w:rPr>
      </w:pPr>
      <w:r>
        <w:rPr>
          <w:rFonts w:ascii="Arial" w:cs="Arial" w:eastAsia="Arial" w:hAnsi="Arial"/>
          <w:sz w:val="17"/>
          <w:szCs w:val="17"/>
          <w:color w:val="auto"/>
        </w:rPr>
        <w:t>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3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All shareholders must be given the same information.</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directors of those parties issuing takeover circulars must include statements taking responsibility for the contents thereof.</w:t>
      </w:r>
    </w:p>
    <w:p>
      <w:pPr>
        <w:spacing w:after="0" w:line="131" w:lineRule="exact"/>
        <w:rPr>
          <w:sz w:val="20"/>
          <w:szCs w:val="20"/>
          <w:color w:val="auto"/>
        </w:rPr>
      </w:pPr>
    </w:p>
    <w:p>
      <w:pPr>
        <w:ind w:left="840" w:right="260"/>
        <w:spacing w:after="0" w:line="293" w:lineRule="auto"/>
        <w:rPr>
          <w:sz w:val="20"/>
          <w:szCs w:val="20"/>
          <w:color w:val="auto"/>
        </w:rPr>
      </w:pPr>
      <w:r>
        <w:rPr>
          <w:rFonts w:ascii="Arial" w:cs="Arial" w:eastAsia="Arial" w:hAnsi="Arial"/>
          <w:sz w:val="18"/>
          <w:szCs w:val="18"/>
          <w:color w:val="auto"/>
        </w:rPr>
        <w:t>Profit forecasts, quantified financial benefits statements and asset valuations must be made to specified standards and must be reported on by professional advisers.</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Misleading, inaccurate or unsubstantiated statements made in documents or to the media must be publicly corrected immediately.</w:t>
      </w:r>
    </w:p>
    <w:p>
      <w:pPr>
        <w:spacing w:after="0" w:line="131" w:lineRule="exact"/>
        <w:rPr>
          <w:sz w:val="20"/>
          <w:szCs w:val="20"/>
          <w:color w:val="auto"/>
        </w:rPr>
      </w:pPr>
    </w:p>
    <w:p>
      <w:pPr>
        <w:ind w:left="840" w:right="20"/>
        <w:spacing w:after="0" w:line="275" w:lineRule="auto"/>
        <w:rPr>
          <w:sz w:val="20"/>
          <w:szCs w:val="20"/>
          <w:color w:val="auto"/>
        </w:rPr>
      </w:pPr>
      <w:r>
        <w:rPr>
          <w:rFonts w:ascii="Arial" w:cs="Arial" w:eastAsia="Arial" w:hAnsi="Arial"/>
          <w:sz w:val="18"/>
          <w:szCs w:val="18"/>
          <w:color w:val="auto"/>
        </w:rPr>
        <w:t>Actions during the course of an offer (or even before if the board of the offeree company is aware that an offer is imminent) by the offeree company, which might frustrate the offer are generally prohibited unless shareholders approve these plans (or the bidder consents to the proposed course of action). Frustrating actions would include, for example, issuing new shares, lengthening the notice period for directors under their service contract or agreeing to sell off material parts of the target group.</w:t>
      </w:r>
    </w:p>
    <w:p>
      <w:pPr>
        <w:spacing w:after="0" w:line="77" w:lineRule="exact"/>
        <w:rPr>
          <w:sz w:val="20"/>
          <w:szCs w:val="20"/>
          <w:color w:val="auto"/>
        </w:rPr>
      </w:pPr>
    </w:p>
    <w:p>
      <w:pPr>
        <w:ind w:left="840" w:right="220"/>
        <w:spacing w:after="0" w:line="279" w:lineRule="auto"/>
        <w:rPr>
          <w:sz w:val="20"/>
          <w:szCs w:val="20"/>
          <w:color w:val="auto"/>
        </w:rPr>
      </w:pPr>
      <w:r>
        <w:rPr>
          <w:rFonts w:ascii="Arial" w:cs="Arial" w:eastAsia="Arial" w:hAnsi="Arial"/>
          <w:sz w:val="18"/>
          <w:szCs w:val="18"/>
          <w:color w:val="auto"/>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w:t>
      </w:r>
    </w:p>
    <w:p>
      <w:pPr>
        <w:spacing w:after="0" w:line="75" w:lineRule="exact"/>
        <w:rPr>
          <w:sz w:val="20"/>
          <w:szCs w:val="20"/>
          <w:color w:val="auto"/>
        </w:rPr>
      </w:pPr>
    </w:p>
    <w:p>
      <w:pPr>
        <w:ind w:left="840" w:right="100"/>
        <w:spacing w:after="0" w:line="329" w:lineRule="auto"/>
        <w:rPr>
          <w:sz w:val="20"/>
          <w:szCs w:val="20"/>
          <w:color w:val="auto"/>
        </w:rPr>
      </w:pPr>
      <w:r>
        <w:rPr>
          <w:rFonts w:ascii="Arial" w:cs="Arial" w:eastAsia="Arial" w:hAnsi="Arial"/>
          <w:sz w:val="16"/>
          <w:szCs w:val="16"/>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and pension schemes appended to the offeree board of directors’ circular or published on a website.</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131"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190" w:lineRule="exact"/>
        <w:rPr>
          <w:sz w:val="20"/>
          <w:szCs w:val="20"/>
          <w:color w:val="auto"/>
        </w:rPr>
      </w:pPr>
    </w:p>
    <w:p>
      <w:pPr>
        <w:ind w:left="260" w:right="320" w:firstLine="509"/>
        <w:spacing w:after="0" w:line="293"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62" w:lineRule="exact"/>
        <w:rPr>
          <w:sz w:val="20"/>
          <w:szCs w:val="20"/>
          <w:color w:val="auto"/>
        </w:rPr>
      </w:pPr>
    </w:p>
    <w:p>
      <w:pPr>
        <w:ind w:right="200" w:firstLine="509"/>
        <w:spacing w:after="0" w:line="270" w:lineRule="auto"/>
        <w:rPr>
          <w:sz w:val="20"/>
          <w:szCs w:val="20"/>
          <w:color w:val="auto"/>
        </w:rPr>
      </w:pPr>
      <w:r>
        <w:rPr>
          <w:rFonts w:ascii="Arial" w:cs="Arial" w:eastAsia="Arial" w:hAnsi="Arial"/>
          <w:sz w:val="18"/>
          <w:szCs w:val="18"/>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131" w:lineRule="exact"/>
        <w:rPr>
          <w:sz w:val="20"/>
          <w:szCs w:val="20"/>
          <w:color w:val="auto"/>
        </w:rPr>
      </w:pPr>
    </w:p>
    <w:p>
      <w:pPr>
        <w:ind w:right="20" w:firstLine="509"/>
        <w:spacing w:after="0" w:line="266" w:lineRule="auto"/>
        <w:rPr>
          <w:sz w:val="20"/>
          <w:szCs w:val="20"/>
          <w:color w:val="auto"/>
        </w:rPr>
      </w:pPr>
      <w:r>
        <w:rPr>
          <w:rFonts w:ascii="Arial" w:cs="Arial" w:eastAsia="Arial" w:hAnsi="Arial"/>
          <w:sz w:val="18"/>
          <w:szCs w:val="18"/>
          <w:color w:val="auto"/>
        </w:rPr>
        <w:t>The pharmaceutical industry in which we operate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1" w:name="page82"/>
    <w:bookmarkEnd w:id="81"/>
    <w:p>
      <w:pPr>
        <w:ind w:right="100"/>
        <w:spacing w:after="0" w:line="293" w:lineRule="auto"/>
        <w:rPr>
          <w:sz w:val="20"/>
          <w:szCs w:val="20"/>
          <w:color w:val="auto"/>
        </w:rPr>
      </w:pPr>
      <w:r>
        <w:rPr>
          <w:rFonts w:ascii="Arial" w:cs="Arial" w:eastAsia="Arial" w:hAnsi="Arial"/>
          <w:sz w:val="18"/>
          <w:szCs w:val="18"/>
          <w:color w:val="auto"/>
        </w:rPr>
        <w:t>health. We cannot assure you that unforeseen problems will not develop with these technologies or applications or that any commercially feasible products will ultimately be developed by us.</w:t>
      </w:r>
    </w:p>
    <w:p>
      <w:pPr>
        <w:spacing w:after="0" w:line="197" w:lineRule="exact"/>
        <w:rPr>
          <w:sz w:val="20"/>
          <w:szCs w:val="20"/>
          <w:color w:val="auto"/>
        </w:rPr>
      </w:pPr>
    </w:p>
    <w:p>
      <w:pPr>
        <w:ind w:right="240" w:firstLine="509"/>
        <w:spacing w:after="0" w:line="279"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75"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The continued uncertainty concerning the UK’s legal, political and economic relationship with the EU after Brexit may be a source of instability in the international markets, create significant currency fluctuations, and/or otherwise adversely affect trading agreements or similar cross-border co-operation arrangements (whether economic, tax, fiscal, legal, regulatory or otherwise.</w:t>
      </w:r>
    </w:p>
    <w:p>
      <w:pPr>
        <w:spacing w:after="0" w:line="75" w:lineRule="exact"/>
        <w:rPr>
          <w:sz w:val="20"/>
          <w:szCs w:val="20"/>
          <w:color w:val="auto"/>
        </w:rPr>
      </w:pPr>
    </w:p>
    <w:p>
      <w:pPr>
        <w:ind w:firstLine="509"/>
        <w:spacing w:after="0" w:line="319" w:lineRule="auto"/>
        <w:rPr>
          <w:sz w:val="20"/>
          <w:szCs w:val="20"/>
          <w:color w:val="auto"/>
        </w:rPr>
      </w:pPr>
      <w:r>
        <w:rPr>
          <w:rFonts w:ascii="Arial" w:cs="Arial" w:eastAsia="Arial" w:hAnsi="Arial"/>
          <w:sz w:val="16"/>
          <w:szCs w:val="16"/>
          <w:color w:val="auto"/>
        </w:rPr>
        <w:t>These developments, or the perception that any of them could occur,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48" w:lineRule="exact"/>
        <w:rPr>
          <w:sz w:val="20"/>
          <w:szCs w:val="20"/>
          <w:color w:val="auto"/>
        </w:rPr>
      </w:pPr>
    </w:p>
    <w:p>
      <w:pPr>
        <w:jc w:val="both"/>
        <w:ind w:right="160" w:firstLine="509"/>
        <w:spacing w:after="0" w:line="279" w:lineRule="auto"/>
        <w:rPr>
          <w:sz w:val="20"/>
          <w:szCs w:val="20"/>
          <w:color w:val="auto"/>
        </w:rPr>
      </w:pPr>
      <w:r>
        <w:rPr>
          <w:rFonts w:ascii="Arial" w:cs="Arial" w:eastAsia="Arial" w:hAnsi="Arial"/>
          <w:sz w:val="18"/>
          <w:szCs w:val="18"/>
          <w:color w:val="auto"/>
        </w:rPr>
        <w:t>If the UK and the EU are unable to implement acceptable agreements or if other EU member states pursue withdrawal, barrier-free access between the UK and other EU member states or among the European Economic Area, or EEA, overall could be diminished or eliminated. The long-term effects of Brexit will depend on any agreements (or lack thereof) between the UK and the EU.</w:t>
      </w:r>
    </w:p>
    <w:p>
      <w:pPr>
        <w:spacing w:after="0" w:line="75" w:lineRule="exact"/>
        <w:rPr>
          <w:sz w:val="20"/>
          <w:szCs w:val="20"/>
          <w:color w:val="auto"/>
        </w:rPr>
      </w:pPr>
    </w:p>
    <w:p>
      <w:pPr>
        <w:ind w:right="220" w:firstLine="509"/>
        <w:spacing w:after="0" w:line="272" w:lineRule="auto"/>
        <w:rPr>
          <w:sz w:val="20"/>
          <w:szCs w:val="20"/>
          <w:color w:val="auto"/>
        </w:rPr>
      </w:pPr>
      <w:r>
        <w:rPr>
          <w:rFonts w:ascii="Arial" w:cs="Arial" w:eastAsia="Arial" w:hAnsi="Arial"/>
          <w:sz w:val="18"/>
          <w:szCs w:val="18"/>
          <w:color w:val="auto"/>
        </w:rPr>
        <w:t>Such a withdrawal from the EU is unprecedented, and it is unclear how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 In addition to the foregoing, our UK operations support our current and future operations and clinical activities in other countries in the EU and EEA and these operations and clinical activities could be disrupted by the ongoing effects of Brexit.</w:t>
      </w:r>
    </w:p>
    <w:p>
      <w:pPr>
        <w:spacing w:after="0" w:line="83" w:lineRule="exact"/>
        <w:rPr>
          <w:sz w:val="20"/>
          <w:szCs w:val="20"/>
          <w:color w:val="auto"/>
        </w:rPr>
      </w:pPr>
    </w:p>
    <w:p>
      <w:pPr>
        <w:ind w:right="160" w:firstLine="509"/>
        <w:spacing w:after="0" w:line="287" w:lineRule="auto"/>
        <w:rPr>
          <w:sz w:val="20"/>
          <w:szCs w:val="20"/>
          <w:color w:val="auto"/>
        </w:rPr>
      </w:pPr>
      <w:r>
        <w:rPr>
          <w:rFonts w:ascii="Arial" w:cs="Arial" w:eastAsia="Arial" w:hAnsi="Arial"/>
          <w:sz w:val="17"/>
          <w:szCs w:val="17"/>
          <w:color w:val="auto"/>
        </w:rPr>
        <w:t>We may also face new regulatory costs and challenges that could have an adverse effect on our operations. The impact of the terms of the recent trade deal between the UK and EU are uncertain.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commercialization of our products in the UK. Any delay in commercializing our products in the UK and/or the EU could restrict our ability to generate revenue and achieve and sustain profitability. The uncertainty around the UK’s future relationship with the EU continues to cause economic uncertainty which could adversely impact customer confidence resulting in customers reducing their spending budgets on our solutions, which could adversely affect our business, revenue, financial condition, results of operations and could adversely affect the market price of our ADSs.</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Negative economic conditions would likely have a negative effect on our ability to obtain financing on acceptable terms.</w:t>
      </w:r>
    </w:p>
    <w:p>
      <w:pPr>
        <w:spacing w:after="0" w:line="131" w:lineRule="exact"/>
        <w:rPr>
          <w:sz w:val="20"/>
          <w:szCs w:val="20"/>
          <w:color w:val="auto"/>
        </w:rPr>
      </w:pPr>
    </w:p>
    <w:p>
      <w:pPr>
        <w:ind w:right="160" w:firstLine="509"/>
        <w:spacing w:after="0" w:line="314" w:lineRule="auto"/>
        <w:rPr>
          <w:sz w:val="20"/>
          <w:szCs w:val="20"/>
          <w:color w:val="auto"/>
        </w:rPr>
      </w:pPr>
      <w:r>
        <w:rPr>
          <w:rFonts w:ascii="Arial" w:cs="Arial" w:eastAsia="Arial" w:hAnsi="Arial"/>
          <w:sz w:val="16"/>
          <w:szCs w:val="16"/>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deterioration in financial markets and confidence in economies, particularly in light of the continued volatility attributed to COVID-19.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shareholders, restrict our operations or require us to relinquish rights.</w:t>
      </w:r>
    </w:p>
    <w:p>
      <w:pPr>
        <w:spacing w:after="0" w:line="142" w:lineRule="exact"/>
        <w:rPr>
          <w:sz w:val="20"/>
          <w:szCs w:val="20"/>
          <w:color w:val="auto"/>
        </w:rPr>
      </w:pPr>
    </w:p>
    <w:p>
      <w:pPr>
        <w:ind w:right="180" w:firstLine="509"/>
        <w:spacing w:after="0" w:line="303" w:lineRule="auto"/>
        <w:rPr>
          <w:sz w:val="20"/>
          <w:szCs w:val="20"/>
          <w:color w:val="auto"/>
        </w:rPr>
      </w:pPr>
      <w:r>
        <w:rPr>
          <w:rFonts w:ascii="Arial" w:cs="Arial" w:eastAsia="Arial" w:hAnsi="Arial"/>
          <w:sz w:val="17"/>
          <w:szCs w:val="17"/>
          <w:color w:val="auto"/>
        </w:rPr>
        <w:t>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56" w:lineRule="exact"/>
        <w:rPr>
          <w:sz w:val="20"/>
          <w:szCs w:val="20"/>
          <w:color w:val="auto"/>
        </w:rPr>
      </w:pPr>
    </w:p>
    <w:p>
      <w:pPr>
        <w:ind w:right="140" w:firstLine="509"/>
        <w:spacing w:after="0" w:line="275" w:lineRule="auto"/>
        <w:rPr>
          <w:sz w:val="20"/>
          <w:szCs w:val="20"/>
          <w:color w:val="auto"/>
        </w:rPr>
      </w:pPr>
      <w:r>
        <w:rPr>
          <w:rFonts w:ascii="Arial" w:cs="Arial" w:eastAsia="Arial" w:hAnsi="Arial"/>
          <w:sz w:val="18"/>
          <w:szCs w:val="18"/>
          <w:color w:val="auto"/>
        </w:rPr>
        <w:t>Debt financing, if available, may involve agreements that include burdensome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2" w:name="page83"/>
    <w:bookmarkEnd w:id="82"/>
    <w:p>
      <w:pPr>
        <w:ind w:right="360" w:firstLine="509"/>
        <w:spacing w:after="0" w:line="279"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6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diversion of managerial resources from day-to-day operations;</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misjudgment with respect to the value;</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higher than expected transaction costs; or</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an inability to successfully consummate any such transaction or collaboration.</w:t>
      </w:r>
    </w:p>
    <w:p>
      <w:pPr>
        <w:spacing w:after="0" w:line="117"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8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Shares purchased in the third quarter of 2021 are as follows:</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40" w:type="dxa"/>
            <w:vAlign w:val="bottom"/>
          </w:tcPr>
          <w:p>
            <w:pPr>
              <w:spacing w:after="0"/>
              <w:rPr>
                <w:sz w:val="20"/>
                <w:szCs w:val="20"/>
                <w:color w:val="auto"/>
              </w:rPr>
            </w:pPr>
            <w:r>
              <w:rPr>
                <w:rFonts w:ascii="Arial" w:cs="Arial" w:eastAsia="Arial" w:hAnsi="Arial"/>
                <w:sz w:val="14"/>
                <w:szCs w:val="14"/>
                <w:b w:val="1"/>
                <w:bCs w:val="1"/>
                <w:i w:val="1"/>
                <w:iCs w:val="1"/>
                <w:color w:val="auto"/>
              </w:rPr>
              <w:t>Period</w:t>
            </w:r>
          </w:p>
        </w:tc>
        <w:tc>
          <w:tcPr>
            <w:tcW w:w="160" w:type="dxa"/>
            <w:vAlign w:val="bottom"/>
          </w:tcPr>
          <w:p>
            <w:pPr>
              <w:spacing w:after="0"/>
              <w:rPr>
                <w:sz w:val="14"/>
                <w:szCs w:val="14"/>
                <w:color w:val="auto"/>
              </w:rPr>
            </w:pPr>
          </w:p>
        </w:tc>
        <w:tc>
          <w:tcPr>
            <w:tcW w:w="1680" w:type="dxa"/>
            <w:vAlign w:val="bottom"/>
          </w:tcPr>
          <w:p>
            <w:pPr>
              <w:jc w:val="right"/>
              <w:ind w:right="259"/>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ind w:right="176"/>
              <w:spacing w:after="0"/>
              <w:rPr>
                <w:sz w:val="20"/>
                <w:szCs w:val="20"/>
                <w:color w:val="auto"/>
              </w:rPr>
            </w:pPr>
            <w:r>
              <w:rPr>
                <w:rFonts w:ascii="Arial" w:cs="Arial" w:eastAsia="Arial" w:hAnsi="Arial"/>
                <w:sz w:val="14"/>
                <w:szCs w:val="14"/>
                <w:b w:val="1"/>
                <w:bCs w:val="1"/>
                <w:color w:val="auto"/>
              </w:rPr>
              <w:t>Average Price</w:t>
            </w:r>
          </w:p>
        </w:tc>
        <w:tc>
          <w:tcPr>
            <w:tcW w:w="80" w:type="dxa"/>
            <w:vAlign w:val="bottom"/>
          </w:tcPr>
          <w:p>
            <w:pPr>
              <w:spacing w:after="0"/>
              <w:rPr>
                <w:sz w:val="14"/>
                <w:szCs w:val="14"/>
                <w:color w:val="auto"/>
              </w:rPr>
            </w:pPr>
          </w:p>
        </w:tc>
      </w:tr>
      <w:tr>
        <w:trPr>
          <w:trHeight w:val="217"/>
        </w:trPr>
        <w:tc>
          <w:tcPr>
            <w:tcW w:w="5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Borders>
              <w:bottom w:val="single" w:sz="8" w:color="auto"/>
            </w:tcBorders>
          </w:tcPr>
          <w:p>
            <w:pPr>
              <w:jc w:val="right"/>
              <w:ind w:right="139"/>
              <w:spacing w:after="0" w:line="217" w:lineRule="exact"/>
              <w:rPr>
                <w:sz w:val="20"/>
                <w:szCs w:val="20"/>
                <w:color w:val="auto"/>
              </w:rPr>
            </w:pPr>
            <w:r>
              <w:rPr>
                <w:rFonts w:ascii="Arial" w:cs="Arial" w:eastAsia="Arial" w:hAnsi="Arial"/>
                <w:sz w:val="14"/>
                <w:szCs w:val="14"/>
                <w:b w:val="1"/>
                <w:bCs w:val="1"/>
                <w:color w:val="auto"/>
              </w:rPr>
              <w:t xml:space="preserve">Shares Purchased </w:t>
            </w:r>
            <w:r>
              <w:rPr>
                <w:rFonts w:ascii="Arial" w:cs="Arial" w:eastAsia="Arial" w:hAnsi="Arial"/>
                <w:sz w:val="19"/>
                <w:szCs w:val="19"/>
                <w:b w:val="1"/>
                <w:bCs w:val="1"/>
                <w:color w:val="auto"/>
                <w:vertAlign w:val="superscript"/>
              </w:rPr>
              <w:t>(1)</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7"/>
              </w:rPr>
              <w:t>Paid per Share</w:t>
            </w:r>
          </w:p>
        </w:tc>
        <w:tc>
          <w:tcPr>
            <w:tcW w:w="80" w:type="dxa"/>
            <w:vAlign w:val="bottom"/>
          </w:tcPr>
          <w:p>
            <w:pPr>
              <w:spacing w:after="0"/>
              <w:rPr>
                <w:sz w:val="18"/>
                <w:szCs w:val="18"/>
                <w:color w:val="auto"/>
              </w:rPr>
            </w:pPr>
          </w:p>
        </w:tc>
      </w:tr>
      <w:tr>
        <w:trPr>
          <w:trHeight w:val="25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July 1 - 31, 2021</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44,282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80" w:type="dxa"/>
            <w:vAlign w:val="bottom"/>
            <w:shd w:val="clear" w:color="auto" w:fill="CFF0FC"/>
          </w:tcPr>
          <w:p>
            <w:pPr>
              <w:spacing w:after="0"/>
              <w:rPr>
                <w:sz w:val="21"/>
                <w:szCs w:val="21"/>
                <w:color w:val="auto"/>
              </w:rPr>
            </w:pPr>
          </w:p>
        </w:tc>
      </w:tr>
      <w:tr>
        <w:trPr>
          <w:trHeight w:val="250"/>
        </w:trPr>
        <w:tc>
          <w:tcPr>
            <w:tcW w:w="5440" w:type="dxa"/>
            <w:vAlign w:val="bottom"/>
          </w:tcPr>
          <w:p>
            <w:pPr>
              <w:spacing w:after="0"/>
              <w:rPr>
                <w:sz w:val="20"/>
                <w:szCs w:val="20"/>
                <w:color w:val="auto"/>
              </w:rPr>
            </w:pPr>
            <w:r>
              <w:rPr>
                <w:rFonts w:ascii="Arial" w:cs="Arial" w:eastAsia="Arial" w:hAnsi="Arial"/>
                <w:sz w:val="18"/>
                <w:szCs w:val="18"/>
                <w:color w:val="auto"/>
              </w:rPr>
              <w:t>August 1 - 31, 2021</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81,453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21"/>
                <w:szCs w:val="21"/>
                <w:color w:val="auto"/>
              </w:rPr>
            </w:pPr>
          </w:p>
        </w:tc>
      </w:tr>
      <w:tr>
        <w:trPr>
          <w:trHeight w:val="257"/>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September 1 - 30, 2021</w:t>
            </w:r>
          </w:p>
        </w:tc>
        <w:tc>
          <w:tcPr>
            <w:tcW w:w="160" w:type="dxa"/>
            <w:vAlign w:val="bottom"/>
            <w:tcBorders>
              <w:bottom w:val="single" w:sz="8" w:color="CFF0FC"/>
            </w:tcBorders>
            <w:shd w:val="clear" w:color="auto" w:fill="CFF0FC"/>
          </w:tcPr>
          <w:p>
            <w:pPr>
              <w:spacing w:after="0"/>
              <w:rPr>
                <w:sz w:val="22"/>
                <w:szCs w:val="2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544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125,735</w:t>
            </w:r>
          </w:p>
        </w:tc>
        <w:tc>
          <w:tcPr>
            <w:tcW w:w="2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-176530</wp:posOffset>
            </wp:positionV>
            <wp:extent cx="15430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-176530</wp:posOffset>
            </wp:positionV>
            <wp:extent cx="5143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ind w:left="380" w:right="120" w:hanging="372"/>
        <w:spacing w:after="0" w:line="228" w:lineRule="auto"/>
        <w:tabs>
          <w:tab w:leader="none" w:pos="326" w:val="left"/>
        </w:tabs>
        <w:numPr>
          <w:ilvl w:val="0"/>
          <w:numId w:val="24"/>
        </w:numPr>
        <w:rPr>
          <w:rFonts w:ascii="Arial" w:cs="Arial" w:eastAsia="Arial" w:hAnsi="Arial"/>
          <w:sz w:val="24"/>
          <w:szCs w:val="24"/>
          <w:color w:val="auto"/>
          <w:vertAlign w:val="superscript"/>
        </w:rPr>
      </w:pPr>
      <w:r>
        <w:rPr>
          <w:rFonts w:ascii="Arial" w:cs="Arial" w:eastAsia="Arial" w:hAnsi="Arial"/>
          <w:sz w:val="18"/>
          <w:szCs w:val="18"/>
          <w:color w:val="auto"/>
        </w:rPr>
        <w:t>Represents shares withheld to satisfy tax withholding amounts due from employees related to the receipt of stock which resulted from the exercise or vesting of equity awards.</w:t>
      </w:r>
    </w:p>
    <w:p>
      <w:pPr>
        <w:spacing w:after="0" w:line="3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Exhibits</w:t>
            </w:r>
          </w:p>
        </w:tc>
        <w:tc>
          <w:tcPr>
            <w:tcW w:w="4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560" w:type="dxa"/>
            <w:vAlign w:val="bottom"/>
            <w:gridSpan w:val="5"/>
          </w:tcPr>
          <w:p>
            <w:pPr>
              <w:ind w:left="520"/>
              <w:spacing w:after="0"/>
              <w:rPr>
                <w:sz w:val="20"/>
                <w:szCs w:val="20"/>
                <w:color w:val="auto"/>
              </w:rPr>
            </w:pPr>
            <w:r>
              <w:rPr>
                <w:rFonts w:ascii="Arial" w:cs="Arial" w:eastAsia="Arial" w:hAnsi="Arial"/>
                <w:sz w:val="18"/>
                <w:szCs w:val="18"/>
                <w:color w:val="auto"/>
              </w:rPr>
              <w:t>The following exhibits are incorporated by reference or filed or furnished as part of this report.</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720" w:type="dxa"/>
            <w:vAlign w:val="bottom"/>
          </w:tcPr>
          <w:p>
            <w:pPr>
              <w:jc w:val="center"/>
              <w:ind w:left="119"/>
              <w:spacing w:after="0"/>
              <w:rPr>
                <w:sz w:val="20"/>
                <w:szCs w:val="20"/>
                <w:color w:val="auto"/>
              </w:rPr>
            </w:pPr>
            <w:r>
              <w:rPr>
                <w:rFonts w:ascii="Arial" w:cs="Arial" w:eastAsia="Arial" w:hAnsi="Arial"/>
                <w:sz w:val="14"/>
                <w:szCs w:val="14"/>
                <w:b w:val="1"/>
                <w:bCs w:val="1"/>
                <w:color w:val="auto"/>
                <w:w w:val="94"/>
              </w:rPr>
              <w:t>Exhibit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360" w:type="dxa"/>
            <w:vAlign w:val="bottom"/>
          </w:tcPr>
          <w:p>
            <w:pPr>
              <w:ind w:left="1960"/>
              <w:spacing w:after="0"/>
              <w:rPr>
                <w:sz w:val="20"/>
                <w:szCs w:val="20"/>
                <w:color w:val="auto"/>
              </w:rPr>
            </w:pPr>
            <w:r>
              <w:rPr>
                <w:rFonts w:ascii="Arial" w:cs="Arial" w:eastAsia="Arial" w:hAnsi="Arial"/>
                <w:sz w:val="14"/>
                <w:szCs w:val="14"/>
                <w:b w:val="1"/>
                <w:bCs w:val="1"/>
                <w:color w:val="auto"/>
              </w:rPr>
              <w:t>Incorporated by Reference Herein</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20" w:type="dxa"/>
            <w:vAlign w:val="bottom"/>
            <w:vMerge w:val="restart"/>
          </w:tcPr>
          <w:p>
            <w:pPr>
              <w:jc w:val="center"/>
              <w:ind w:left="119"/>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6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Description</w:t>
            </w:r>
          </w:p>
        </w:tc>
        <w:tc>
          <w:tcPr>
            <w:tcW w:w="4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7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160" w:type="dxa"/>
            <w:vAlign w:val="bottom"/>
            <w:tcBorders>
              <w:bottom w:val="single" w:sz="8" w:color="auto"/>
            </w:tcBorders>
            <w:vMerge w:val="continue"/>
          </w:tcPr>
          <w:p>
            <w:pPr>
              <w:spacing w:after="0"/>
              <w:rPr>
                <w:sz w:val="16"/>
                <w:szCs w:val="16"/>
                <w:color w:val="auto"/>
              </w:rPr>
            </w:pPr>
          </w:p>
        </w:tc>
        <w:tc>
          <w:tcPr>
            <w:tcW w:w="436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Form</w:t>
            </w:r>
          </w:p>
        </w:tc>
        <w:tc>
          <w:tcPr>
            <w:tcW w:w="16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bl>
    <w:p>
      <w:pPr>
        <w:spacing w:after="0" w:line="158" w:lineRule="exact"/>
        <w:rPr>
          <w:sz w:val="20"/>
          <w:szCs w:val="20"/>
          <w:color w:val="auto"/>
        </w:rPr>
      </w:pPr>
    </w:p>
    <w:p>
      <w:pPr>
        <w:sectPr>
          <w:pgSz w:w="11900" w:h="16838" w:orient="portrait"/>
          <w:cols w:equalWidth="0" w:num="1">
            <w:col w:w="11240"/>
          </w:cols>
          <w:pgMar w:left="320" w:top="688" w:right="339" w:bottom="1440" w:gutter="0" w:footer="0" w:header="0"/>
        </w:sectPr>
      </w:pPr>
    </w:p>
    <w:p>
      <w:pPr>
        <w:spacing w:after="0" w:line="17" w:lineRule="exact"/>
        <w:rPr>
          <w:sz w:val="20"/>
          <w:szCs w:val="20"/>
          <w:color w:val="auto"/>
        </w:rPr>
      </w:pPr>
    </w:p>
    <w:p>
      <w:pPr>
        <w:ind w:left="120"/>
        <w:spacing w:after="0"/>
        <w:rPr>
          <w:rFonts w:ascii="Arial" w:cs="Arial" w:eastAsia="Arial" w:hAnsi="Arial"/>
          <w:sz w:val="15"/>
          <w:szCs w:val="15"/>
          <w:u w:val="single" w:color="auto"/>
          <w:color w:val="0000FF"/>
        </w:rPr>
      </w:pPr>
      <w:hyperlink w:anchor="page86">
        <w:r>
          <w:rPr>
            <w:rFonts w:ascii="Arial" w:cs="Arial" w:eastAsia="Arial" w:hAnsi="Arial"/>
            <w:sz w:val="15"/>
            <w:szCs w:val="15"/>
            <w:u w:val="single" w:color="auto"/>
            <w:color w:val="0000FF"/>
          </w:rPr>
          <w:t>10.1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2000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20"/>
        <w:spacing w:after="0"/>
        <w:rPr>
          <w:rFonts w:ascii="Arial" w:cs="Arial" w:eastAsia="Arial" w:hAnsi="Arial"/>
          <w:sz w:val="15"/>
          <w:szCs w:val="15"/>
          <w:u w:val="single" w:color="auto"/>
          <w:color w:val="0000FF"/>
        </w:rPr>
      </w:pPr>
      <w:hyperlink w:anchor="page92">
        <w:r>
          <w:rPr>
            <w:rFonts w:ascii="Arial" w:cs="Arial" w:eastAsia="Arial" w:hAnsi="Arial"/>
            <w:sz w:val="15"/>
            <w:szCs w:val="15"/>
            <w:u w:val="single" w:color="auto"/>
            <w:color w:val="0000FF"/>
          </w:rPr>
          <w:t>31.1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2000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0"/>
        <w:spacing w:after="0"/>
        <w:rPr>
          <w:rFonts w:ascii="Arial" w:cs="Arial" w:eastAsia="Arial" w:hAnsi="Arial"/>
          <w:sz w:val="15"/>
          <w:szCs w:val="15"/>
          <w:u w:val="single" w:color="auto"/>
          <w:color w:val="0000FF"/>
        </w:rPr>
      </w:pPr>
      <w:hyperlink w:anchor="page93">
        <w:r>
          <w:rPr>
            <w:rFonts w:ascii="Arial" w:cs="Arial" w:eastAsia="Arial" w:hAnsi="Arial"/>
            <w:sz w:val="15"/>
            <w:szCs w:val="15"/>
            <w:u w:val="single" w:color="auto"/>
            <w:color w:val="0000FF"/>
          </w:rPr>
          <w:t>31.2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2000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spacing w:after="0"/>
        <w:rPr>
          <w:rFonts w:ascii="Arial" w:cs="Arial" w:eastAsia="Arial" w:hAnsi="Arial"/>
          <w:sz w:val="15"/>
          <w:szCs w:val="15"/>
          <w:u w:val="single" w:color="auto"/>
          <w:color w:val="0000FF"/>
        </w:rPr>
      </w:pPr>
      <w:hyperlink w:anchor="page94">
        <w:r>
          <w:rPr>
            <w:rFonts w:ascii="Arial" w:cs="Arial" w:eastAsia="Arial" w:hAnsi="Arial"/>
            <w:sz w:val="15"/>
            <w:szCs w:val="15"/>
            <w:u w:val="single" w:color="auto"/>
            <w:color w:val="0000FF"/>
          </w:rPr>
          <w:t>32.1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2000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160" w:type="dxa"/>
            <w:vAlign w:val="bottom"/>
            <w:gridSpan w:val="10"/>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Employment Agreement between Jason Marks and</w:t>
              </w:r>
            </w:hyperlink>
          </w:p>
        </w:tc>
        <w:tc>
          <w:tcPr>
            <w:tcW w:w="1060" w:type="dxa"/>
            <w:vAlign w:val="bottom"/>
          </w:tcPr>
          <w:p>
            <w:pPr>
              <w:ind w:left="20"/>
              <w:spacing w:after="0"/>
              <w:rPr>
                <w:sz w:val="20"/>
                <w:szCs w:val="20"/>
                <w:color w:val="auto"/>
              </w:rPr>
            </w:pPr>
            <w:r>
              <w:rPr>
                <w:rFonts w:ascii="Arial" w:cs="Arial" w:eastAsia="Arial" w:hAnsi="Arial"/>
                <w:sz w:val="18"/>
                <w:szCs w:val="18"/>
                <w:color w:val="auto"/>
                <w:w w:val="91"/>
              </w:rPr>
              <w:t>Filed herewith</w:t>
            </w:r>
          </w:p>
        </w:tc>
      </w:tr>
      <w:tr>
        <w:trPr>
          <w:trHeight w:val="20"/>
        </w:trPr>
        <w:tc>
          <w:tcPr>
            <w:tcW w:w="20" w:type="dxa"/>
            <w:vAlign w:val="bottom"/>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0"/>
        </w:trPr>
        <w:tc>
          <w:tcPr>
            <w:tcW w:w="4160" w:type="dxa"/>
            <w:vAlign w:val="bottom"/>
            <w:gridSpan w:val="10"/>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Amarin Corporation plc, dated July 19, 2021</w:t>
              </w:r>
            </w:hyperlink>
          </w:p>
        </w:tc>
        <w:tc>
          <w:tcPr>
            <w:tcW w:w="1060" w:type="dxa"/>
            <w:vAlign w:val="bottom"/>
          </w:tcPr>
          <w:p>
            <w:pPr>
              <w:spacing w:after="0"/>
              <w:rPr>
                <w:sz w:val="18"/>
                <w:szCs w:val="18"/>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98"/>
        </w:trPr>
        <w:tc>
          <w:tcPr>
            <w:tcW w:w="4160" w:type="dxa"/>
            <w:vAlign w:val="bottom"/>
            <w:gridSpan w:val="10"/>
          </w:tcPr>
          <w:p>
            <w:pPr>
              <w:spacing w:after="0"/>
              <w:rPr>
                <w:rFonts w:ascii="Arial" w:cs="Arial" w:eastAsia="Arial" w:hAnsi="Arial"/>
                <w:sz w:val="18"/>
                <w:szCs w:val="18"/>
                <w:color w:val="0000FF"/>
                <w:w w:val="98"/>
              </w:rPr>
            </w:pPr>
            <w:hyperlink w:anchor="page92">
              <w:r>
                <w:rPr>
                  <w:rFonts w:ascii="Arial" w:cs="Arial" w:eastAsia="Arial" w:hAnsi="Arial"/>
                  <w:sz w:val="18"/>
                  <w:szCs w:val="18"/>
                  <w:color w:val="0000FF"/>
                  <w:w w:val="98"/>
                </w:rPr>
                <w:t>Certification of President and Chief Executive Officer</w:t>
              </w:r>
            </w:hyperlink>
          </w:p>
        </w:tc>
        <w:tc>
          <w:tcPr>
            <w:tcW w:w="1060" w:type="dxa"/>
            <w:vAlign w:val="bottom"/>
          </w:tcPr>
          <w:p>
            <w:pPr>
              <w:ind w:left="20"/>
              <w:spacing w:after="0"/>
              <w:rPr>
                <w:sz w:val="20"/>
                <w:szCs w:val="20"/>
                <w:color w:val="auto"/>
              </w:rPr>
            </w:pPr>
            <w:r>
              <w:rPr>
                <w:rFonts w:ascii="Arial" w:cs="Arial" w:eastAsia="Arial" w:hAnsi="Arial"/>
                <w:sz w:val="18"/>
                <w:szCs w:val="18"/>
                <w:color w:val="auto"/>
                <w:w w:val="91"/>
              </w:rPr>
              <w:t>Filed herewith</w:t>
            </w:r>
          </w:p>
        </w:tc>
      </w:tr>
      <w:tr>
        <w:trPr>
          <w:trHeight w:val="20"/>
        </w:trPr>
        <w:tc>
          <w:tcPr>
            <w:tcW w:w="20" w:type="dxa"/>
            <w:vAlign w:val="bottom"/>
            <w:shd w:val="clear" w:color="auto" w:fill="0000EE"/>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9"/>
        </w:trPr>
        <w:tc>
          <w:tcPr>
            <w:tcW w:w="4160" w:type="dxa"/>
            <w:vAlign w:val="bottom"/>
            <w:gridSpan w:val="10"/>
          </w:tcPr>
          <w:p>
            <w:pPr>
              <w:spacing w:after="0"/>
              <w:rPr>
                <w:rFonts w:ascii="Arial" w:cs="Arial" w:eastAsia="Arial" w:hAnsi="Arial"/>
                <w:sz w:val="18"/>
                <w:szCs w:val="18"/>
                <w:color w:val="0000FF"/>
                <w:w w:val="94"/>
              </w:rPr>
            </w:pPr>
            <w:hyperlink w:anchor="page92">
              <w:r>
                <w:rPr>
                  <w:rFonts w:ascii="Arial" w:cs="Arial" w:eastAsia="Arial" w:hAnsi="Arial"/>
                  <w:sz w:val="18"/>
                  <w:szCs w:val="18"/>
                  <w:color w:val="0000FF"/>
                  <w:w w:val="94"/>
                </w:rPr>
                <w:t>(Principal Executive Officer) pursuant to Section 302 of</w:t>
              </w:r>
            </w:hyperlink>
          </w:p>
        </w:tc>
        <w:tc>
          <w:tcPr>
            <w:tcW w:w="10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0"/>
        </w:trPr>
        <w:tc>
          <w:tcPr>
            <w:tcW w:w="4160" w:type="dxa"/>
            <w:vAlign w:val="bottom"/>
            <w:gridSpan w:val="10"/>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Sarbanes-Oxley Act of 2002</w:t>
              </w:r>
            </w:hyperlink>
          </w:p>
        </w:tc>
        <w:tc>
          <w:tcPr>
            <w:tcW w:w="1060" w:type="dxa"/>
            <w:vAlign w:val="bottom"/>
          </w:tcPr>
          <w:p>
            <w:pPr>
              <w:spacing w:after="0"/>
              <w:rPr>
                <w:sz w:val="18"/>
                <w:szCs w:val="18"/>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06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98"/>
        </w:trPr>
        <w:tc>
          <w:tcPr>
            <w:tcW w:w="4160" w:type="dxa"/>
            <w:vAlign w:val="bottom"/>
            <w:gridSpan w:val="10"/>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Certification of Senior Vice President and Chief</w:t>
              </w:r>
            </w:hyperlink>
          </w:p>
        </w:tc>
        <w:tc>
          <w:tcPr>
            <w:tcW w:w="1060" w:type="dxa"/>
            <w:vAlign w:val="bottom"/>
          </w:tcPr>
          <w:p>
            <w:pPr>
              <w:ind w:left="20"/>
              <w:spacing w:after="0"/>
              <w:rPr>
                <w:sz w:val="20"/>
                <w:szCs w:val="20"/>
                <w:color w:val="auto"/>
              </w:rPr>
            </w:pPr>
            <w:r>
              <w:rPr>
                <w:rFonts w:ascii="Arial" w:cs="Arial" w:eastAsia="Arial" w:hAnsi="Arial"/>
                <w:sz w:val="18"/>
                <w:szCs w:val="18"/>
                <w:color w:val="auto"/>
                <w:w w:val="91"/>
              </w:rPr>
              <w:t>Filed herewith</w:t>
            </w:r>
          </w:p>
        </w:tc>
      </w:tr>
      <w:tr>
        <w:trPr>
          <w:trHeight w:val="20"/>
        </w:trPr>
        <w:tc>
          <w:tcPr>
            <w:tcW w:w="2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9"/>
        </w:trPr>
        <w:tc>
          <w:tcPr>
            <w:tcW w:w="4160" w:type="dxa"/>
            <w:vAlign w:val="bottom"/>
            <w:gridSpan w:val="10"/>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Financial Officer (Principal Financial Officer and</w:t>
              </w:r>
            </w:hyperlink>
          </w:p>
        </w:tc>
        <w:tc>
          <w:tcPr>
            <w:tcW w:w="10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9"/>
        </w:trPr>
        <w:tc>
          <w:tcPr>
            <w:tcW w:w="4160" w:type="dxa"/>
            <w:vAlign w:val="bottom"/>
            <w:gridSpan w:val="10"/>
          </w:tcPr>
          <w:p>
            <w:pPr>
              <w:spacing w:after="0"/>
              <w:rPr>
                <w:rFonts w:ascii="Arial" w:cs="Arial" w:eastAsia="Arial" w:hAnsi="Arial"/>
                <w:sz w:val="18"/>
                <w:szCs w:val="18"/>
                <w:color w:val="0000FF"/>
                <w:w w:val="93"/>
              </w:rPr>
            </w:pPr>
            <w:hyperlink w:anchor="page93">
              <w:r>
                <w:rPr>
                  <w:rFonts w:ascii="Arial" w:cs="Arial" w:eastAsia="Arial" w:hAnsi="Arial"/>
                  <w:sz w:val="18"/>
                  <w:szCs w:val="18"/>
                  <w:color w:val="0000FF"/>
                  <w:w w:val="93"/>
                </w:rPr>
                <w:t>Principal Accounting Officer) pursuant to Section 302 of</w:t>
              </w:r>
            </w:hyperlink>
          </w:p>
        </w:tc>
        <w:tc>
          <w:tcPr>
            <w:tcW w:w="10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0"/>
        </w:trPr>
        <w:tc>
          <w:tcPr>
            <w:tcW w:w="4160" w:type="dxa"/>
            <w:vAlign w:val="bottom"/>
            <w:gridSpan w:val="10"/>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Sarbanes-Oxley Act of 2002</w:t>
              </w:r>
            </w:hyperlink>
          </w:p>
        </w:tc>
        <w:tc>
          <w:tcPr>
            <w:tcW w:w="1060" w:type="dxa"/>
            <w:vAlign w:val="bottom"/>
          </w:tcPr>
          <w:p>
            <w:pPr>
              <w:spacing w:after="0"/>
              <w:rPr>
                <w:sz w:val="18"/>
                <w:szCs w:val="18"/>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06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98"/>
        </w:trPr>
        <w:tc>
          <w:tcPr>
            <w:tcW w:w="4160" w:type="dxa"/>
            <w:vAlign w:val="bottom"/>
            <w:gridSpan w:val="10"/>
          </w:tcPr>
          <w:p>
            <w:pPr>
              <w:spacing w:after="0"/>
              <w:rPr>
                <w:rFonts w:ascii="Arial" w:cs="Arial" w:eastAsia="Arial" w:hAnsi="Arial"/>
                <w:sz w:val="18"/>
                <w:szCs w:val="18"/>
                <w:color w:val="0000FF"/>
                <w:w w:val="98"/>
              </w:rPr>
            </w:pPr>
            <w:hyperlink w:anchor="page94">
              <w:r>
                <w:rPr>
                  <w:rFonts w:ascii="Arial" w:cs="Arial" w:eastAsia="Arial" w:hAnsi="Arial"/>
                  <w:sz w:val="18"/>
                  <w:szCs w:val="18"/>
                  <w:color w:val="0000FF"/>
                  <w:w w:val="98"/>
                </w:rPr>
                <w:t>Certification of President and Chief Executive Officer</w:t>
              </w:r>
            </w:hyperlink>
          </w:p>
        </w:tc>
        <w:tc>
          <w:tcPr>
            <w:tcW w:w="1060" w:type="dxa"/>
            <w:vAlign w:val="bottom"/>
          </w:tcPr>
          <w:p>
            <w:pPr>
              <w:ind w:left="20"/>
              <w:spacing w:after="0"/>
              <w:rPr>
                <w:sz w:val="20"/>
                <w:szCs w:val="20"/>
                <w:color w:val="auto"/>
              </w:rPr>
            </w:pPr>
            <w:r>
              <w:rPr>
                <w:rFonts w:ascii="Arial" w:cs="Arial" w:eastAsia="Arial" w:hAnsi="Arial"/>
                <w:sz w:val="18"/>
                <w:szCs w:val="18"/>
                <w:color w:val="auto"/>
                <w:w w:val="91"/>
              </w:rPr>
              <w:t>Filed herewith</w:t>
            </w:r>
          </w:p>
        </w:tc>
      </w:tr>
      <w:tr>
        <w:trPr>
          <w:trHeight w:val="20"/>
        </w:trPr>
        <w:tc>
          <w:tcPr>
            <w:tcW w:w="2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9"/>
        </w:trPr>
        <w:tc>
          <w:tcPr>
            <w:tcW w:w="4160" w:type="dxa"/>
            <w:vAlign w:val="bottom"/>
            <w:gridSpan w:val="10"/>
          </w:tcPr>
          <w:p>
            <w:pPr>
              <w:spacing w:after="0"/>
              <w:rPr>
                <w:rFonts w:ascii="Arial" w:cs="Arial" w:eastAsia="Arial" w:hAnsi="Arial"/>
                <w:sz w:val="18"/>
                <w:szCs w:val="18"/>
                <w:color w:val="0000FF"/>
                <w:w w:val="95"/>
              </w:rPr>
            </w:pPr>
            <w:hyperlink w:anchor="page94">
              <w:r>
                <w:rPr>
                  <w:rFonts w:ascii="Arial" w:cs="Arial" w:eastAsia="Arial" w:hAnsi="Arial"/>
                  <w:sz w:val="18"/>
                  <w:szCs w:val="18"/>
                  <w:color w:val="0000FF"/>
                  <w:w w:val="95"/>
                </w:rPr>
                <w:t>(Principal Executive Officer) and Senior Vice President</w:t>
              </w:r>
            </w:hyperlink>
          </w:p>
        </w:tc>
        <w:tc>
          <w:tcPr>
            <w:tcW w:w="10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0"/>
        </w:trPr>
        <w:tc>
          <w:tcPr>
            <w:tcW w:w="4160" w:type="dxa"/>
            <w:vAlign w:val="bottom"/>
            <w:gridSpan w:val="10"/>
          </w:tcPr>
          <w:p>
            <w:pPr>
              <w:spacing w:after="0"/>
              <w:rPr>
                <w:rFonts w:ascii="Arial" w:cs="Arial" w:eastAsia="Arial" w:hAnsi="Arial"/>
                <w:sz w:val="18"/>
                <w:szCs w:val="18"/>
                <w:color w:val="0000FF"/>
                <w:w w:val="96"/>
              </w:rPr>
            </w:pPr>
            <w:hyperlink w:anchor="page94">
              <w:r>
                <w:rPr>
                  <w:rFonts w:ascii="Arial" w:cs="Arial" w:eastAsia="Arial" w:hAnsi="Arial"/>
                  <w:sz w:val="18"/>
                  <w:szCs w:val="18"/>
                  <w:color w:val="0000FF"/>
                  <w:w w:val="96"/>
                </w:rPr>
                <w:t>and Chief Financial Officer (Principal Financial Officer</w:t>
              </w:r>
            </w:hyperlink>
          </w:p>
        </w:tc>
        <w:tc>
          <w:tcPr>
            <w:tcW w:w="10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9"/>
        </w:trPr>
        <w:tc>
          <w:tcPr>
            <w:tcW w:w="4160" w:type="dxa"/>
            <w:vAlign w:val="bottom"/>
            <w:gridSpan w:val="10"/>
          </w:tcPr>
          <w:p>
            <w:pPr>
              <w:spacing w:after="0"/>
              <w:rPr>
                <w:rFonts w:ascii="Arial" w:cs="Arial" w:eastAsia="Arial" w:hAnsi="Arial"/>
                <w:sz w:val="18"/>
                <w:szCs w:val="18"/>
                <w:color w:val="0000FF"/>
                <w:w w:val="98"/>
              </w:rPr>
            </w:pPr>
            <w:hyperlink w:anchor="page94">
              <w:r>
                <w:rPr>
                  <w:rFonts w:ascii="Arial" w:cs="Arial" w:eastAsia="Arial" w:hAnsi="Arial"/>
                  <w:sz w:val="18"/>
                  <w:szCs w:val="18"/>
                  <w:color w:val="0000FF"/>
                  <w:w w:val="98"/>
                </w:rPr>
                <w:t>and Principal Accounting Officer) pursuant to Section</w:t>
              </w:r>
            </w:hyperlink>
          </w:p>
        </w:tc>
        <w:tc>
          <w:tcPr>
            <w:tcW w:w="10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0"/>
        </w:trPr>
        <w:tc>
          <w:tcPr>
            <w:tcW w:w="4160" w:type="dxa"/>
            <w:vAlign w:val="bottom"/>
            <w:gridSpan w:val="10"/>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906 of Sarbanes-Oxley Act of 2002</w:t>
              </w:r>
            </w:hyperlink>
          </w:p>
        </w:tc>
        <w:tc>
          <w:tcPr>
            <w:tcW w:w="1060" w:type="dxa"/>
            <w:vAlign w:val="bottom"/>
          </w:tcPr>
          <w:p>
            <w:pPr>
              <w:spacing w:after="0"/>
              <w:rPr>
                <w:sz w:val="18"/>
                <w:szCs w:val="18"/>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20" w:space="620"/>
            <w:col w:w="10200"/>
          </w:cols>
          <w:pgMar w:left="320" w:top="688" w:right="33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101.SCH</w:t>
            </w:r>
          </w:p>
        </w:tc>
        <w:tc>
          <w:tcPr>
            <w:tcW w:w="4260" w:type="dxa"/>
            <w:vAlign w:val="bottom"/>
          </w:tcPr>
          <w:p>
            <w:pPr>
              <w:ind w:left="160"/>
              <w:spacing w:after="0"/>
              <w:rPr>
                <w:sz w:val="20"/>
                <w:szCs w:val="20"/>
                <w:color w:val="auto"/>
              </w:rPr>
            </w:pPr>
            <w:r>
              <w:rPr>
                <w:rFonts w:ascii="Arial" w:cs="Arial" w:eastAsia="Arial" w:hAnsi="Arial"/>
                <w:sz w:val="18"/>
                <w:szCs w:val="18"/>
                <w:color w:val="auto"/>
                <w:w w:val="95"/>
              </w:rPr>
              <w:t>Inline XBRL Taxonomy Extension Schema Document</w:t>
            </w:r>
          </w:p>
        </w:tc>
        <w:tc>
          <w:tcPr>
            <w:tcW w:w="610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418"/>
        </w:trPr>
        <w:tc>
          <w:tcPr>
            <w:tcW w:w="880" w:type="dxa"/>
            <w:vAlign w:val="bottom"/>
          </w:tcPr>
          <w:p>
            <w:pPr>
              <w:ind w:left="20"/>
              <w:spacing w:after="0"/>
              <w:rPr>
                <w:sz w:val="20"/>
                <w:szCs w:val="20"/>
                <w:color w:val="auto"/>
              </w:rPr>
            </w:pPr>
            <w:r>
              <w:rPr>
                <w:rFonts w:ascii="Arial" w:cs="Arial" w:eastAsia="Arial" w:hAnsi="Arial"/>
                <w:sz w:val="18"/>
                <w:szCs w:val="18"/>
                <w:color w:val="auto"/>
              </w:rPr>
              <w:t>101.CAL</w:t>
            </w:r>
          </w:p>
        </w:tc>
        <w:tc>
          <w:tcPr>
            <w:tcW w:w="10360" w:type="dxa"/>
            <w:vAlign w:val="bottom"/>
            <w:gridSpan w:val="2"/>
          </w:tcPr>
          <w:p>
            <w:pPr>
              <w:ind w:left="160"/>
              <w:spacing w:after="0"/>
              <w:rPr>
                <w:sz w:val="20"/>
                <w:szCs w:val="20"/>
                <w:color w:val="auto"/>
              </w:rPr>
            </w:pPr>
            <w:r>
              <w:rPr>
                <w:rFonts w:ascii="Arial" w:cs="Arial" w:eastAsia="Arial" w:hAnsi="Arial"/>
                <w:sz w:val="18"/>
                <w:szCs w:val="18"/>
                <w:color w:val="auto"/>
              </w:rPr>
              <w:t>Inline XBRL Taxonomy Extension Calculation Linkbase Filed herewith</w:t>
            </w:r>
          </w:p>
        </w:tc>
      </w:tr>
      <w:tr>
        <w:trPr>
          <w:trHeight w:val="230"/>
        </w:trPr>
        <w:tc>
          <w:tcPr>
            <w:tcW w:w="88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Document</w:t>
            </w:r>
          </w:p>
        </w:tc>
        <w:tc>
          <w:tcPr>
            <w:tcW w:w="6100" w:type="dxa"/>
            <w:vAlign w:val="bottom"/>
          </w:tcPr>
          <w:p>
            <w:pPr>
              <w:spacing w:after="0"/>
              <w:rPr>
                <w:sz w:val="20"/>
                <w:szCs w:val="20"/>
                <w:color w:val="auto"/>
              </w:rPr>
            </w:pPr>
          </w:p>
        </w:tc>
      </w:tr>
      <w:tr>
        <w:trPr>
          <w:trHeight w:val="418"/>
        </w:trPr>
        <w:tc>
          <w:tcPr>
            <w:tcW w:w="880" w:type="dxa"/>
            <w:vAlign w:val="bottom"/>
          </w:tcPr>
          <w:p>
            <w:pPr>
              <w:ind w:left="20"/>
              <w:spacing w:after="0"/>
              <w:rPr>
                <w:sz w:val="20"/>
                <w:szCs w:val="20"/>
                <w:color w:val="auto"/>
              </w:rPr>
            </w:pPr>
            <w:r>
              <w:rPr>
                <w:rFonts w:ascii="Arial" w:cs="Arial" w:eastAsia="Arial" w:hAnsi="Arial"/>
                <w:sz w:val="18"/>
                <w:szCs w:val="18"/>
                <w:color w:val="auto"/>
              </w:rPr>
              <w:t>101.DEF</w:t>
            </w:r>
          </w:p>
        </w:tc>
        <w:tc>
          <w:tcPr>
            <w:tcW w:w="4260" w:type="dxa"/>
            <w:vAlign w:val="bottom"/>
          </w:tcPr>
          <w:p>
            <w:pPr>
              <w:ind w:left="160"/>
              <w:spacing w:after="0"/>
              <w:rPr>
                <w:sz w:val="20"/>
                <w:szCs w:val="20"/>
                <w:color w:val="auto"/>
              </w:rPr>
            </w:pPr>
            <w:r>
              <w:rPr>
                <w:rFonts w:ascii="Arial" w:cs="Arial" w:eastAsia="Arial" w:hAnsi="Arial"/>
                <w:sz w:val="18"/>
                <w:szCs w:val="18"/>
                <w:color w:val="auto"/>
                <w:w w:val="95"/>
              </w:rPr>
              <w:t>Inline XBRL Taxonomy Extension Definition Linkbase</w:t>
            </w:r>
          </w:p>
        </w:tc>
        <w:tc>
          <w:tcPr>
            <w:tcW w:w="610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30"/>
        </w:trPr>
        <w:tc>
          <w:tcPr>
            <w:tcW w:w="88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Document</w:t>
            </w:r>
          </w:p>
        </w:tc>
        <w:tc>
          <w:tcPr>
            <w:tcW w:w="6100" w:type="dxa"/>
            <w:vAlign w:val="bottom"/>
          </w:tcPr>
          <w:p>
            <w:pPr>
              <w:spacing w:after="0"/>
              <w:rPr>
                <w:sz w:val="20"/>
                <w:szCs w:val="20"/>
                <w:color w:val="auto"/>
              </w:rPr>
            </w:pPr>
          </w:p>
        </w:tc>
      </w:tr>
      <w:tr>
        <w:trPr>
          <w:trHeight w:val="418"/>
        </w:trPr>
        <w:tc>
          <w:tcPr>
            <w:tcW w:w="880" w:type="dxa"/>
            <w:vAlign w:val="bottom"/>
          </w:tcPr>
          <w:p>
            <w:pPr>
              <w:ind w:left="20"/>
              <w:spacing w:after="0"/>
              <w:rPr>
                <w:sz w:val="20"/>
                <w:szCs w:val="20"/>
                <w:color w:val="auto"/>
              </w:rPr>
            </w:pPr>
            <w:r>
              <w:rPr>
                <w:rFonts w:ascii="Arial" w:cs="Arial" w:eastAsia="Arial" w:hAnsi="Arial"/>
                <w:sz w:val="18"/>
                <w:szCs w:val="18"/>
                <w:color w:val="auto"/>
              </w:rPr>
              <w:t>101.LAB</w:t>
            </w:r>
          </w:p>
        </w:tc>
        <w:tc>
          <w:tcPr>
            <w:tcW w:w="4260" w:type="dxa"/>
            <w:vAlign w:val="bottom"/>
          </w:tcPr>
          <w:p>
            <w:pPr>
              <w:ind w:left="160"/>
              <w:spacing w:after="0"/>
              <w:rPr>
                <w:sz w:val="20"/>
                <w:szCs w:val="20"/>
                <w:color w:val="auto"/>
              </w:rPr>
            </w:pPr>
            <w:r>
              <w:rPr>
                <w:rFonts w:ascii="Arial" w:cs="Arial" w:eastAsia="Arial" w:hAnsi="Arial"/>
                <w:sz w:val="18"/>
                <w:szCs w:val="18"/>
                <w:color w:val="auto"/>
              </w:rPr>
              <w:t>Inline XBRL Taxonomy Extension Label Linkbase</w:t>
            </w:r>
          </w:p>
        </w:tc>
        <w:tc>
          <w:tcPr>
            <w:tcW w:w="610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30"/>
        </w:trPr>
        <w:tc>
          <w:tcPr>
            <w:tcW w:w="88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Document</w:t>
            </w:r>
          </w:p>
        </w:tc>
        <w:tc>
          <w:tcPr>
            <w:tcW w:w="6100" w:type="dxa"/>
            <w:vAlign w:val="bottom"/>
          </w:tcPr>
          <w:p>
            <w:pPr>
              <w:spacing w:after="0"/>
              <w:rPr>
                <w:sz w:val="20"/>
                <w:szCs w:val="20"/>
                <w:color w:val="auto"/>
              </w:rPr>
            </w:pPr>
          </w:p>
        </w:tc>
      </w:tr>
      <w:tr>
        <w:trPr>
          <w:trHeight w:val="418"/>
        </w:trPr>
        <w:tc>
          <w:tcPr>
            <w:tcW w:w="880" w:type="dxa"/>
            <w:vAlign w:val="bottom"/>
          </w:tcPr>
          <w:p>
            <w:pPr>
              <w:ind w:left="20"/>
              <w:spacing w:after="0"/>
              <w:rPr>
                <w:sz w:val="20"/>
                <w:szCs w:val="20"/>
                <w:color w:val="auto"/>
              </w:rPr>
            </w:pPr>
            <w:r>
              <w:rPr>
                <w:rFonts w:ascii="Arial" w:cs="Arial" w:eastAsia="Arial" w:hAnsi="Arial"/>
                <w:sz w:val="18"/>
                <w:szCs w:val="18"/>
                <w:color w:val="auto"/>
              </w:rPr>
              <w:t>101.PRE</w:t>
            </w:r>
          </w:p>
        </w:tc>
        <w:tc>
          <w:tcPr>
            <w:tcW w:w="4260" w:type="dxa"/>
            <w:vAlign w:val="bottom"/>
          </w:tcPr>
          <w:p>
            <w:pPr>
              <w:ind w:left="160"/>
              <w:spacing w:after="0"/>
              <w:rPr>
                <w:sz w:val="20"/>
                <w:szCs w:val="20"/>
                <w:color w:val="auto"/>
              </w:rPr>
            </w:pPr>
            <w:r>
              <w:rPr>
                <w:rFonts w:ascii="Arial" w:cs="Arial" w:eastAsia="Arial" w:hAnsi="Arial"/>
                <w:sz w:val="18"/>
                <w:szCs w:val="18"/>
                <w:color w:val="auto"/>
              </w:rPr>
              <w:t>Inline XBRL Taxonomy Extension Presentation</w:t>
            </w:r>
          </w:p>
        </w:tc>
        <w:tc>
          <w:tcPr>
            <w:tcW w:w="610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30"/>
        </w:trPr>
        <w:tc>
          <w:tcPr>
            <w:tcW w:w="88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Linkbase Document</w:t>
            </w:r>
          </w:p>
        </w:tc>
        <w:tc>
          <w:tcPr>
            <w:tcW w:w="6100" w:type="dxa"/>
            <w:vAlign w:val="bottom"/>
          </w:tcPr>
          <w:p>
            <w:pPr>
              <w:spacing w:after="0"/>
              <w:rPr>
                <w:sz w:val="20"/>
                <w:szCs w:val="20"/>
                <w:color w:val="auto"/>
              </w:rPr>
            </w:pPr>
          </w:p>
        </w:tc>
      </w:tr>
      <w:tr>
        <w:trPr>
          <w:trHeight w:val="418"/>
        </w:trPr>
        <w:tc>
          <w:tcPr>
            <w:tcW w:w="880" w:type="dxa"/>
            <w:vAlign w:val="bottom"/>
          </w:tcPr>
          <w:p>
            <w:pPr>
              <w:ind w:left="20"/>
              <w:spacing w:after="0"/>
              <w:rPr>
                <w:sz w:val="20"/>
                <w:szCs w:val="20"/>
                <w:color w:val="auto"/>
              </w:rPr>
            </w:pPr>
            <w:r>
              <w:rPr>
                <w:rFonts w:ascii="Arial" w:cs="Arial" w:eastAsia="Arial" w:hAnsi="Arial"/>
                <w:sz w:val="18"/>
                <w:szCs w:val="18"/>
                <w:color w:val="auto"/>
              </w:rPr>
              <w:t>104</w:t>
            </w:r>
          </w:p>
        </w:tc>
        <w:tc>
          <w:tcPr>
            <w:tcW w:w="4260" w:type="dxa"/>
            <w:vAlign w:val="bottom"/>
          </w:tcPr>
          <w:p>
            <w:pPr>
              <w:ind w:left="160"/>
              <w:spacing w:after="0"/>
              <w:rPr>
                <w:sz w:val="20"/>
                <w:szCs w:val="20"/>
                <w:color w:val="auto"/>
              </w:rPr>
            </w:pPr>
            <w:r>
              <w:rPr>
                <w:rFonts w:ascii="Arial" w:cs="Arial" w:eastAsia="Arial" w:hAnsi="Arial"/>
                <w:sz w:val="18"/>
                <w:szCs w:val="18"/>
                <w:color w:val="auto"/>
              </w:rPr>
              <w:t>Cover Page Interactive Data File</w:t>
            </w:r>
          </w:p>
        </w:tc>
        <w:tc>
          <w:tcPr>
            <w:tcW w:w="610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30"/>
        </w:trPr>
        <w:tc>
          <w:tcPr>
            <w:tcW w:w="880" w:type="dxa"/>
            <w:vAlign w:val="bottom"/>
          </w:tcPr>
          <w:p>
            <w:pPr>
              <w:spacing w:after="0"/>
              <w:rPr>
                <w:sz w:val="19"/>
                <w:szCs w:val="19"/>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w w:val="99"/>
              </w:rPr>
              <w:t>(formatted as inline XBRL with applicable taxonomy</w:t>
            </w:r>
          </w:p>
        </w:tc>
        <w:tc>
          <w:tcPr>
            <w:tcW w:w="6100" w:type="dxa"/>
            <w:vAlign w:val="bottom"/>
          </w:tcPr>
          <w:p>
            <w:pPr>
              <w:spacing w:after="0"/>
              <w:rPr>
                <w:sz w:val="19"/>
                <w:szCs w:val="19"/>
                <w:color w:val="auto"/>
              </w:rPr>
            </w:pPr>
          </w:p>
        </w:tc>
      </w:tr>
      <w:tr>
        <w:trPr>
          <w:trHeight w:val="230"/>
        </w:trPr>
        <w:tc>
          <w:tcPr>
            <w:tcW w:w="88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extension information contained in Exhibits 101.*)</w:t>
            </w:r>
          </w:p>
        </w:tc>
        <w:tc>
          <w:tcPr>
            <w:tcW w:w="6100" w:type="dxa"/>
            <w:vAlign w:val="bottom"/>
          </w:tcPr>
          <w:p>
            <w:pPr>
              <w:spacing w:after="0"/>
              <w:rPr>
                <w:sz w:val="20"/>
                <w:szCs w:val="20"/>
                <w:color w:val="auto"/>
              </w:rPr>
            </w:pPr>
          </w:p>
        </w:tc>
      </w:tr>
      <w:tr>
        <w:trPr>
          <w:trHeight w:val="932"/>
        </w:trPr>
        <w:tc>
          <w:tcPr>
            <w:tcW w:w="8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84</w:t>
            </w:r>
          </w:p>
        </w:tc>
      </w:tr>
      <w:tr>
        <w:trPr>
          <w:trHeight w:val="115"/>
        </w:trPr>
        <w:tc>
          <w:tcPr>
            <w:tcW w:w="8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6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84" w:name="page85"/>
    <w:bookmarkEnd w:id="84"/>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43"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AMARIN CORPORATION PLC</w:t>
      </w:r>
    </w:p>
    <w:p>
      <w:pPr>
        <w:spacing w:after="0" w:line="347" w:lineRule="exact"/>
        <w:rPr>
          <w:sz w:val="20"/>
          <w:szCs w:val="20"/>
          <w:color w:val="auto"/>
        </w:rPr>
      </w:pPr>
    </w:p>
    <w:p>
      <w:pPr>
        <w:ind w:left="6780"/>
        <w:spacing w:after="0"/>
        <w:tabs>
          <w:tab w:leader="none" w:pos="7220" w:val="left"/>
        </w:tabs>
        <w:rPr>
          <w:sz w:val="20"/>
          <w:szCs w:val="20"/>
          <w:color w:val="auto"/>
        </w:rPr>
      </w:pPr>
      <w:r>
        <w:rPr>
          <w:rFonts w:ascii="Arial" w:cs="Arial" w:eastAsia="Arial" w:hAnsi="Arial"/>
          <w:sz w:val="18"/>
          <w:szCs w:val="18"/>
          <w:color w:val="auto"/>
        </w:rPr>
        <w:t>By:</w:t>
        <w:tab/>
        <w:t>/s/ Karim Mikhail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23495</wp:posOffset>
            </wp:positionV>
            <wp:extent cx="254571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Karim Mikhail</w:t>
      </w:r>
    </w:p>
    <w:p>
      <w:pPr>
        <w:spacing w:after="0" w:line="30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(On behalf of the Registrant)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2021</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88" w:right="519"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2342515</wp:posOffset>
            </wp:positionH>
            <wp:positionV relativeFrom="page">
              <wp:posOffset>88900</wp:posOffset>
            </wp:positionV>
            <wp:extent cx="2837180" cy="5568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283718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color w:val="auto"/>
        </w:rPr>
        <w:t>July 19, 2021</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Mr. Jason Marks</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Dear Jason:</w:t>
      </w:r>
    </w:p>
    <w:p>
      <w:pPr>
        <w:spacing w:after="0" w:line="220" w:lineRule="exact"/>
        <w:rPr>
          <w:sz w:val="20"/>
          <w:szCs w:val="20"/>
          <w:color w:val="auto"/>
        </w:rPr>
      </w:pPr>
    </w:p>
    <w:p>
      <w:pPr>
        <w:ind w:right="80" w:firstLine="749"/>
        <w:spacing w:after="0" w:line="266" w:lineRule="auto"/>
        <w:rPr>
          <w:sz w:val="20"/>
          <w:szCs w:val="20"/>
          <w:color w:val="auto"/>
        </w:rPr>
      </w:pPr>
      <w:r>
        <w:rPr>
          <w:rFonts w:ascii="Arial" w:cs="Arial" w:eastAsia="Arial" w:hAnsi="Arial"/>
          <w:sz w:val="22"/>
          <w:szCs w:val="22"/>
          <w:color w:val="auto"/>
        </w:rPr>
        <w:t>On behalf of Amarin Corporation plc (the “Company”), I am pleased to confirm our offer to employ you as Senior Vice President, Chief Legal Officer. The initial terms and conditions of your employment, should you accept this offer, are set forth below in this letter agreement (the “Agreement”),</w:t>
      </w:r>
    </w:p>
    <w:p>
      <w:pPr>
        <w:spacing w:after="0" w:line="179" w:lineRule="exact"/>
        <w:rPr>
          <w:sz w:val="20"/>
          <w:szCs w:val="20"/>
          <w:color w:val="auto"/>
        </w:rPr>
      </w:pPr>
    </w:p>
    <w:p>
      <w:pPr>
        <w:ind w:firstLine="800"/>
        <w:spacing w:after="0" w:line="302" w:lineRule="auto"/>
        <w:tabs>
          <w:tab w:leader="none" w:pos="1397" w:val="left"/>
        </w:tabs>
        <w:numPr>
          <w:ilvl w:val="0"/>
          <w:numId w:val="25"/>
        </w:numPr>
        <w:rPr>
          <w:rFonts w:ascii="Arial" w:cs="Arial" w:eastAsia="Arial" w:hAnsi="Arial"/>
          <w:sz w:val="19"/>
          <w:szCs w:val="19"/>
          <w:color w:val="010000"/>
        </w:rPr>
      </w:pPr>
      <w:r>
        <w:rPr>
          <w:rFonts w:ascii="Arial" w:cs="Arial" w:eastAsia="Arial" w:hAnsi="Arial"/>
          <w:sz w:val="19"/>
          <w:szCs w:val="19"/>
          <w:b w:val="1"/>
          <w:bCs w:val="1"/>
          <w:color w:val="auto"/>
        </w:rPr>
        <w:t xml:space="preserve">Position: </w:t>
      </w:r>
      <w:r>
        <w:rPr>
          <w:rFonts w:ascii="Arial" w:cs="Arial" w:eastAsia="Arial" w:hAnsi="Arial"/>
          <w:sz w:val="19"/>
          <w:szCs w:val="19"/>
          <w:color w:val="auto"/>
        </w:rPr>
        <w:t>Senior Vice President, Chief Legal Officer is a full-time position as an officer of the Company. You</w:t>
      </w:r>
      <w:r>
        <w:rPr>
          <w:rFonts w:ascii="Arial" w:cs="Arial" w:eastAsia="Arial" w:hAnsi="Arial"/>
          <w:sz w:val="19"/>
          <w:szCs w:val="19"/>
          <w:b w:val="1"/>
          <w:bCs w:val="1"/>
          <w:color w:val="auto"/>
        </w:rPr>
        <w:t xml:space="preserve"> </w:t>
      </w:r>
      <w:r>
        <w:rPr>
          <w:rFonts w:ascii="Arial" w:cs="Arial" w:eastAsia="Arial" w:hAnsi="Arial"/>
          <w:sz w:val="19"/>
          <w:szCs w:val="19"/>
          <w:color w:val="auto"/>
        </w:rPr>
        <w:t>will report to the Company’s Chief Executive Officer (the “CEO”) and to the Company’s Board of Directors (the “Board”), having such powers and duties as may from time to time be prescribed by the CEO and/or the Board. It is understood and agreed that, while you render services to the Company, you will not engage in any other full or part-time employment activities, devoting your business time (except for permitted vacation and reasonable periods of illness or other incapacity) and best efforts, business judgment, skill, and knowledge to the advancement of the Company and interests of the Company. Notwithstanding the foregoing sentence to the contrary, you shall be permitted to (i) serve on corporate, civic, or charitable boards or committees of non-profit organizations, (to the extent there are no conflicts) (ii) lecture, speak, or attend industry-related or academic conferences or events, and (iii) manage personal investments (including, without limitation, passive real estate investments, unrelated business investments, and investments in publicly traded companies; provided, such investments are that of a passive investor of less than 5% (five percent) of any class of securities of a publicly traded entity), so long as such activities do not materially interfere with the Employee’s duties as set forth in this Agreement (herein, “Permitted Activities”).</w:t>
      </w:r>
    </w:p>
    <w:p>
      <w:pPr>
        <w:spacing w:after="0" w:line="162" w:lineRule="exact"/>
        <w:rPr>
          <w:rFonts w:ascii="Arial" w:cs="Arial" w:eastAsia="Arial" w:hAnsi="Arial"/>
          <w:sz w:val="19"/>
          <w:szCs w:val="19"/>
          <w:color w:val="010000"/>
        </w:rPr>
      </w:pPr>
    </w:p>
    <w:p>
      <w:pPr>
        <w:ind w:right="20" w:firstLine="800"/>
        <w:spacing w:after="0" w:line="276" w:lineRule="auto"/>
        <w:tabs>
          <w:tab w:leader="none" w:pos="1397" w:val="left"/>
        </w:tabs>
        <w:numPr>
          <w:ilvl w:val="0"/>
          <w:numId w:val="25"/>
        </w:numPr>
        <w:rPr>
          <w:rFonts w:ascii="Arial" w:cs="Arial" w:eastAsia="Arial" w:hAnsi="Arial"/>
          <w:sz w:val="21"/>
          <w:szCs w:val="21"/>
          <w:color w:val="010000"/>
        </w:rPr>
      </w:pPr>
      <w:r>
        <w:rPr>
          <w:rFonts w:ascii="Arial" w:cs="Arial" w:eastAsia="Arial" w:hAnsi="Arial"/>
          <w:sz w:val="21"/>
          <w:szCs w:val="21"/>
          <w:color w:val="auto"/>
        </w:rPr>
        <w:t>In addition to your role as Senior Vice President, Chief Legal Officer of the Company, you acknowledge and agree that you may be required, without additional compensation, to perform duties for certain affiliated entities of the Company, including without limitation Amarin Pharma, Inc., the Company’s wholly owned subsidiary, and to accept any reasonable office or position with any such affiliate as the Company’s Board of Directors may require, including, but not limited to, service as an officer or director of any such affiliate. Amarin Pharma, Inc. will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ACTIVE/110535145.3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6" w:name="page87"/>
    <w:bookmarkEnd w:id="86"/>
    <w:p>
      <w:pPr>
        <w:spacing w:after="0" w:line="2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2342515</wp:posOffset>
            </wp:positionH>
            <wp:positionV relativeFrom="page">
              <wp:posOffset>88900</wp:posOffset>
            </wp:positionV>
            <wp:extent cx="2837180" cy="5568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2837180" cy="556895"/>
                    </a:xfrm>
                    <a:prstGeom prst="rect">
                      <a:avLst/>
                    </a:prstGeom>
                    <a:noFill/>
                  </pic:spPr>
                </pic:pic>
              </a:graphicData>
            </a:graphic>
          </wp:anchor>
        </w:drawing>
      </w:r>
    </w:p>
    <w:p>
      <w:pPr>
        <w:ind w:right="140"/>
        <w:spacing w:after="0" w:line="276" w:lineRule="auto"/>
        <w:rPr>
          <w:sz w:val="20"/>
          <w:szCs w:val="20"/>
          <w:color w:val="auto"/>
        </w:rPr>
      </w:pPr>
      <w:r>
        <w:rPr>
          <w:rFonts w:ascii="Arial" w:cs="Arial" w:eastAsia="Arial" w:hAnsi="Arial"/>
          <w:sz w:val="22"/>
          <w:szCs w:val="22"/>
          <w:color w:val="auto"/>
        </w:rPr>
        <w:t>maintain and distribute employment-related records. The duties of the Company set forth herein may be discharged by Amarin Corporation plc or Amarin Pharma, Inc.</w:t>
      </w:r>
    </w:p>
    <w:p>
      <w:pPr>
        <w:spacing w:after="0" w:line="168" w:lineRule="exact"/>
        <w:rPr>
          <w:sz w:val="20"/>
          <w:szCs w:val="20"/>
          <w:color w:val="auto"/>
        </w:rPr>
      </w:pPr>
    </w:p>
    <w:p>
      <w:pPr>
        <w:ind w:right="100" w:firstLine="800"/>
        <w:spacing w:after="0" w:line="319" w:lineRule="auto"/>
        <w:tabs>
          <w:tab w:leader="none" w:pos="1397" w:val="left"/>
        </w:tabs>
        <w:numPr>
          <w:ilvl w:val="0"/>
          <w:numId w:val="26"/>
        </w:numPr>
        <w:rPr>
          <w:rFonts w:ascii="Arial" w:cs="Arial" w:eastAsia="Arial" w:hAnsi="Arial"/>
          <w:sz w:val="19"/>
          <w:szCs w:val="19"/>
          <w:color w:val="010000"/>
        </w:rPr>
      </w:pPr>
      <w:r>
        <w:rPr>
          <w:rFonts w:ascii="Arial" w:cs="Arial" w:eastAsia="Arial" w:hAnsi="Arial"/>
          <w:sz w:val="19"/>
          <w:szCs w:val="19"/>
          <w:b w:val="1"/>
          <w:bCs w:val="1"/>
          <w:color w:val="auto"/>
        </w:rPr>
        <w:t xml:space="preserve">Work Location: </w:t>
      </w:r>
      <w:r>
        <w:rPr>
          <w:rFonts w:ascii="Arial" w:cs="Arial" w:eastAsia="Arial" w:hAnsi="Arial"/>
          <w:sz w:val="19"/>
          <w:szCs w:val="19"/>
          <w:color w:val="auto"/>
        </w:rPr>
        <w:t>Your principal place of employment will be the Company’s U.S. offices, which are currently</w:t>
      </w:r>
      <w:r>
        <w:rPr>
          <w:rFonts w:ascii="Arial" w:cs="Arial" w:eastAsia="Arial" w:hAnsi="Arial"/>
          <w:sz w:val="19"/>
          <w:szCs w:val="19"/>
          <w:b w:val="1"/>
          <w:bCs w:val="1"/>
          <w:color w:val="auto"/>
        </w:rPr>
        <w:t xml:space="preserve"> </w:t>
      </w:r>
      <w:r>
        <w:rPr>
          <w:rFonts w:ascii="Arial" w:cs="Arial" w:eastAsia="Arial" w:hAnsi="Arial"/>
          <w:sz w:val="19"/>
          <w:szCs w:val="19"/>
          <w:color w:val="auto"/>
        </w:rPr>
        <w:t>located in Bridgewater, New Jersey, subject to business travel requirements. Notwithstanding the foregoing to the contrary, you may provide services from other locations as mutually agreed to by the CEO and you; provided that, the performance of your duties from any remote location does not interfere with the diligent exercise of your duties as set forth in this Agreement.</w:t>
      </w:r>
    </w:p>
    <w:p>
      <w:pPr>
        <w:spacing w:after="0" w:line="134" w:lineRule="exact"/>
        <w:rPr>
          <w:rFonts w:ascii="Arial" w:cs="Arial" w:eastAsia="Arial" w:hAnsi="Arial"/>
          <w:sz w:val="19"/>
          <w:szCs w:val="19"/>
          <w:color w:val="010000"/>
        </w:rPr>
      </w:pPr>
    </w:p>
    <w:p>
      <w:pPr>
        <w:ind w:right="220" w:firstLine="800"/>
        <w:spacing w:after="0" w:line="364" w:lineRule="auto"/>
        <w:tabs>
          <w:tab w:leader="none" w:pos="1397" w:val="left"/>
        </w:tabs>
        <w:numPr>
          <w:ilvl w:val="0"/>
          <w:numId w:val="26"/>
        </w:numPr>
        <w:rPr>
          <w:rFonts w:ascii="Arial" w:cs="Arial" w:eastAsia="Arial" w:hAnsi="Arial"/>
          <w:sz w:val="19"/>
          <w:szCs w:val="19"/>
          <w:color w:val="010000"/>
        </w:rPr>
      </w:pPr>
      <w:r>
        <w:rPr>
          <w:rFonts w:ascii="Arial" w:cs="Arial" w:eastAsia="Arial" w:hAnsi="Arial"/>
          <w:sz w:val="19"/>
          <w:szCs w:val="19"/>
          <w:b w:val="1"/>
          <w:bCs w:val="1"/>
          <w:color w:val="auto"/>
        </w:rPr>
        <w:t>Start Date</w:t>
      </w:r>
      <w:r>
        <w:rPr>
          <w:rFonts w:ascii="Arial" w:cs="Arial" w:eastAsia="Arial" w:hAnsi="Arial"/>
          <w:sz w:val="19"/>
          <w:szCs w:val="19"/>
          <w:color w:val="auto"/>
        </w:rPr>
        <w:t>: Unless otherwise agreed, your first day of employment will be September 1, 2021, or such earlier</w:t>
      </w:r>
      <w:r>
        <w:rPr>
          <w:rFonts w:ascii="Arial" w:cs="Arial" w:eastAsia="Arial" w:hAnsi="Arial"/>
          <w:sz w:val="19"/>
          <w:szCs w:val="19"/>
          <w:b w:val="1"/>
          <w:bCs w:val="1"/>
          <w:color w:val="auto"/>
        </w:rPr>
        <w:t xml:space="preserve"> </w:t>
      </w:r>
      <w:r>
        <w:rPr>
          <w:rFonts w:ascii="Arial" w:cs="Arial" w:eastAsia="Arial" w:hAnsi="Arial"/>
          <w:sz w:val="19"/>
          <w:szCs w:val="19"/>
          <w:color w:val="auto"/>
        </w:rPr>
        <w:t>date as may be mutually determined. The actual first day of your employment will be referred to herein as the “Start Date.”</w:t>
      </w:r>
    </w:p>
    <w:p>
      <w:pPr>
        <w:spacing w:after="0" w:line="93" w:lineRule="exact"/>
        <w:rPr>
          <w:rFonts w:ascii="Arial" w:cs="Arial" w:eastAsia="Arial" w:hAnsi="Arial"/>
          <w:sz w:val="19"/>
          <w:szCs w:val="19"/>
          <w:color w:val="010000"/>
        </w:rPr>
      </w:pPr>
    </w:p>
    <w:p>
      <w:pPr>
        <w:ind w:right="100" w:firstLine="800"/>
        <w:spacing w:after="0" w:line="264" w:lineRule="auto"/>
        <w:tabs>
          <w:tab w:leader="none" w:pos="1397" w:val="left"/>
        </w:tabs>
        <w:numPr>
          <w:ilvl w:val="0"/>
          <w:numId w:val="26"/>
        </w:numPr>
        <w:rPr>
          <w:rFonts w:ascii="Arial" w:cs="Arial" w:eastAsia="Arial" w:hAnsi="Arial"/>
          <w:sz w:val="22"/>
          <w:szCs w:val="22"/>
          <w:color w:val="010000"/>
        </w:rPr>
      </w:pPr>
      <w:r>
        <w:rPr>
          <w:rFonts w:ascii="Arial" w:cs="Arial" w:eastAsia="Arial" w:hAnsi="Arial"/>
          <w:sz w:val="22"/>
          <w:szCs w:val="22"/>
          <w:b w:val="1"/>
          <w:bCs w:val="1"/>
          <w:color w:val="auto"/>
        </w:rPr>
        <w:t xml:space="preserve">Salary: </w:t>
      </w:r>
      <w:r>
        <w:rPr>
          <w:rFonts w:ascii="Arial" w:cs="Arial" w:eastAsia="Arial" w:hAnsi="Arial"/>
          <w:sz w:val="22"/>
          <w:szCs w:val="22"/>
          <w:color w:val="auto"/>
        </w:rPr>
        <w:t>The Company will pay you an initial base salary at the annual rate of $475,000, subject to periodic</w:t>
      </w:r>
      <w:r>
        <w:rPr>
          <w:rFonts w:ascii="Arial" w:cs="Arial" w:eastAsia="Arial" w:hAnsi="Arial"/>
          <w:sz w:val="22"/>
          <w:szCs w:val="22"/>
          <w:b w:val="1"/>
          <w:bCs w:val="1"/>
          <w:color w:val="auto"/>
        </w:rPr>
        <w:t xml:space="preserve"> </w:t>
      </w:r>
      <w:r>
        <w:rPr>
          <w:rFonts w:ascii="Arial" w:cs="Arial" w:eastAsia="Arial" w:hAnsi="Arial"/>
          <w:sz w:val="22"/>
          <w:szCs w:val="22"/>
          <w:color w:val="auto"/>
        </w:rPr>
        <w:t>review and adjustment at the discretion of the Company and shall be eligible for adjustment during the next review period for 2022. Currently our policy is to make salary payments semi-monthly. Your base salary in effect at any given time is referred to herein as the “Base Salary.”</w:t>
      </w:r>
    </w:p>
    <w:p>
      <w:pPr>
        <w:spacing w:after="0" w:line="182" w:lineRule="exact"/>
        <w:rPr>
          <w:rFonts w:ascii="Arial" w:cs="Arial" w:eastAsia="Arial" w:hAnsi="Arial"/>
          <w:sz w:val="22"/>
          <w:szCs w:val="22"/>
          <w:color w:val="010000"/>
        </w:rPr>
      </w:pPr>
    </w:p>
    <w:p>
      <w:pPr>
        <w:ind w:firstLine="800"/>
        <w:spacing w:after="0" w:line="305" w:lineRule="auto"/>
        <w:tabs>
          <w:tab w:leader="none" w:pos="1397" w:val="left"/>
        </w:tabs>
        <w:numPr>
          <w:ilvl w:val="0"/>
          <w:numId w:val="26"/>
        </w:numPr>
        <w:rPr>
          <w:rFonts w:ascii="Arial" w:cs="Arial" w:eastAsia="Arial" w:hAnsi="Arial"/>
          <w:sz w:val="19"/>
          <w:szCs w:val="19"/>
          <w:color w:val="010000"/>
        </w:rPr>
      </w:pPr>
      <w:r>
        <w:rPr>
          <w:rFonts w:ascii="Arial" w:cs="Arial" w:eastAsia="Arial" w:hAnsi="Arial"/>
          <w:sz w:val="19"/>
          <w:szCs w:val="19"/>
          <w:b w:val="1"/>
          <w:bCs w:val="1"/>
          <w:color w:val="auto"/>
        </w:rPr>
        <w:t xml:space="preserve">Annual Bonus: </w:t>
      </w:r>
      <w:r>
        <w:rPr>
          <w:rFonts w:ascii="Arial" w:cs="Arial" w:eastAsia="Arial" w:hAnsi="Arial"/>
          <w:sz w:val="19"/>
          <w:szCs w:val="19"/>
          <w:color w:val="auto"/>
        </w:rPr>
        <w:t>You will be eligible to receive an annual performance bonus. The Company will target the</w:t>
      </w:r>
      <w:r>
        <w:rPr>
          <w:rFonts w:ascii="Arial" w:cs="Arial" w:eastAsia="Arial" w:hAnsi="Arial"/>
          <w:sz w:val="19"/>
          <w:szCs w:val="19"/>
          <w:b w:val="1"/>
          <w:bCs w:val="1"/>
          <w:color w:val="auto"/>
        </w:rPr>
        <w:t xml:space="preserve"> </w:t>
      </w:r>
      <w:r>
        <w:rPr>
          <w:rFonts w:ascii="Arial" w:cs="Arial" w:eastAsia="Arial" w:hAnsi="Arial"/>
          <w:sz w:val="19"/>
          <w:szCs w:val="19"/>
          <w:color w:val="auto"/>
        </w:rPr>
        <w:t>bonus at up to 50% of your Base Salary for the applicable year. Any bonus for 2021 will not be prorated based on the Start Date in consideration for you forgoing significant amounts of short- and long-term incentives in connection with your previous employment. The actual bonus is discretionary and will be subject to the Company’s assessment of your performance, as well as business conditions at the Company. Except for the year in which your employment commences, the bonus also will be subject to your employment for the full period covered by the bonus, approval by and adjustment at the discretion of the Company’s Board of Directors or an authorized committee thereof, and the terms of any applicable bonus plan. The Company may also make adjustments in the targeted amount of your annual performance bonus. Any bonus awarded to you will be paid by March 15 of the year following the bonus year to which such bonus relates.</w:t>
      </w:r>
    </w:p>
    <w:p>
      <w:pPr>
        <w:spacing w:after="0" w:line="147" w:lineRule="exact"/>
        <w:rPr>
          <w:rFonts w:ascii="Arial" w:cs="Arial" w:eastAsia="Arial" w:hAnsi="Arial"/>
          <w:sz w:val="19"/>
          <w:szCs w:val="19"/>
          <w:color w:val="010000"/>
        </w:rPr>
      </w:pPr>
    </w:p>
    <w:p>
      <w:pPr>
        <w:ind w:firstLine="800"/>
        <w:spacing w:after="0" w:line="310" w:lineRule="auto"/>
        <w:tabs>
          <w:tab w:leader="none" w:pos="1397" w:val="left"/>
        </w:tabs>
        <w:numPr>
          <w:ilvl w:val="0"/>
          <w:numId w:val="26"/>
        </w:numPr>
        <w:rPr>
          <w:rFonts w:ascii="Arial" w:cs="Arial" w:eastAsia="Arial" w:hAnsi="Arial"/>
          <w:sz w:val="19"/>
          <w:szCs w:val="19"/>
          <w:color w:val="010000"/>
        </w:rPr>
      </w:pPr>
      <w:r>
        <w:rPr>
          <w:rFonts w:ascii="Arial" w:cs="Arial" w:eastAsia="Arial" w:hAnsi="Arial"/>
          <w:sz w:val="19"/>
          <w:szCs w:val="19"/>
          <w:b w:val="1"/>
          <w:bCs w:val="1"/>
          <w:color w:val="auto"/>
        </w:rPr>
        <w:t xml:space="preserve">Benefits: </w:t>
      </w:r>
      <w:r>
        <w:rPr>
          <w:rFonts w:ascii="Arial" w:cs="Arial" w:eastAsia="Arial" w:hAnsi="Arial"/>
          <w:sz w:val="19"/>
          <w:szCs w:val="19"/>
          <w:color w:val="auto"/>
        </w:rPr>
        <w:t>You and your dependents will be eligible to participate in the employee benefits and insurance</w:t>
      </w:r>
      <w:r>
        <w:rPr>
          <w:rFonts w:ascii="Arial" w:cs="Arial" w:eastAsia="Arial" w:hAnsi="Arial"/>
          <w:sz w:val="19"/>
          <w:szCs w:val="19"/>
          <w:b w:val="1"/>
          <w:bCs w:val="1"/>
          <w:color w:val="auto"/>
        </w:rPr>
        <w:t xml:space="preserve"> </w:t>
      </w:r>
      <w:r>
        <w:rPr>
          <w:rFonts w:ascii="Arial" w:cs="Arial" w:eastAsia="Arial" w:hAnsi="Arial"/>
          <w:sz w:val="19"/>
          <w:szCs w:val="19"/>
          <w:color w:val="auto"/>
        </w:rPr>
        <w:t>programs generally made available to the Company’s full-time U.S. employees, including health, life, disability and dental insurance. You will be eligible for up to 18 days of paid time off or such other amount determined by the Company, which shall accrue and in other respects be administered in accordance with the Company’s U.S. paid time off policy, as in effect from time to time. You will be reimbursed for all necessary and reasonable business expenses you incur while carrying out your duties on behalf of the Company; provided such reimbursement shall be conditioned on you following the Company’s U.S. reimbursement</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ACTIVE/110535145.3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7" w:name="page88"/>
    <w:bookmarkEnd w:id="87"/>
    <w:p>
      <w:pPr>
        <w:spacing w:after="0" w:line="2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2342515</wp:posOffset>
            </wp:positionH>
            <wp:positionV relativeFrom="page">
              <wp:posOffset>88900</wp:posOffset>
            </wp:positionV>
            <wp:extent cx="2837180" cy="5568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2837180" cy="556895"/>
                    </a:xfrm>
                    <a:prstGeom prst="rect">
                      <a:avLst/>
                    </a:prstGeom>
                    <a:noFill/>
                  </pic:spPr>
                </pic:pic>
              </a:graphicData>
            </a:graphic>
          </wp:anchor>
        </w:drawing>
      </w:r>
    </w:p>
    <w:p>
      <w:pPr>
        <w:ind w:right="20"/>
        <w:spacing w:after="0" w:line="308" w:lineRule="auto"/>
        <w:rPr>
          <w:sz w:val="20"/>
          <w:szCs w:val="20"/>
          <w:color w:val="auto"/>
        </w:rPr>
      </w:pPr>
      <w:r>
        <w:rPr>
          <w:rFonts w:ascii="Arial" w:cs="Arial" w:eastAsia="Arial" w:hAnsi="Arial"/>
          <w:sz w:val="19"/>
          <w:szCs w:val="19"/>
          <w:color w:val="auto"/>
        </w:rPr>
        <w:t>policies and claims procedure, including by providing reasonable documentation of such expenses. The Company shall reimburse you for costs, fees, and expenses incurred by you to maintain your current licenses to practice law, as well as, but not limited to dues for one (1) national and one (1) state bar association membership, costs for continuing legal education credits, other costs associated with the states in which you are licensed, and pay for you to obtain any in-house counsel registrations which may be required in the future; provided that, such costs, fees, and expenses are incurred, reported, and substantiated in accordance with the Company’s customary practices and policies for reimbursement of business-related expenses and applicable federal tax laws</w:t>
      </w:r>
    </w:p>
    <w:p>
      <w:pPr>
        <w:spacing w:after="0" w:line="148" w:lineRule="exact"/>
        <w:rPr>
          <w:sz w:val="20"/>
          <w:szCs w:val="20"/>
          <w:color w:val="auto"/>
        </w:rPr>
      </w:pPr>
    </w:p>
    <w:p>
      <w:pPr>
        <w:ind w:firstLine="800"/>
        <w:spacing w:after="0" w:line="302" w:lineRule="auto"/>
        <w:tabs>
          <w:tab w:leader="none" w:pos="1397" w:val="left"/>
        </w:tabs>
        <w:numPr>
          <w:ilvl w:val="0"/>
          <w:numId w:val="27"/>
        </w:numPr>
        <w:rPr>
          <w:rFonts w:ascii="Arial" w:cs="Arial" w:eastAsia="Arial" w:hAnsi="Arial"/>
          <w:sz w:val="19"/>
          <w:szCs w:val="19"/>
          <w:color w:val="010000"/>
        </w:rPr>
      </w:pPr>
      <w:r>
        <w:rPr>
          <w:rFonts w:ascii="Arial" w:cs="Arial" w:eastAsia="Arial" w:hAnsi="Arial"/>
          <w:sz w:val="19"/>
          <w:szCs w:val="19"/>
          <w:b w:val="1"/>
          <w:bCs w:val="1"/>
          <w:color w:val="auto"/>
        </w:rPr>
        <w:t xml:space="preserve">Equity Participation: </w:t>
      </w:r>
      <w:r>
        <w:rPr>
          <w:rFonts w:ascii="Arial" w:cs="Arial" w:eastAsia="Arial" w:hAnsi="Arial"/>
          <w:sz w:val="19"/>
          <w:szCs w:val="19"/>
          <w:color w:val="auto"/>
        </w:rPr>
        <w:t>Subject to the approval of the Company’s Board of Directors, and subject to the terms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conditions set forth in Amarin Corporation plc’s 2020 Stock Incentive Plan and the applicable equity award agreements (collectively, the “Equity Documents”), including, without limitation, with respect to vesting, following the Start Date you will be awarded (i) an option to purchase </w:t>
      </w:r>
      <w:r>
        <w:rPr>
          <w:rFonts w:ascii="Arial" w:cs="Arial" w:eastAsia="Arial" w:hAnsi="Arial"/>
          <w:sz w:val="19"/>
          <w:szCs w:val="19"/>
          <w:b w:val="1"/>
          <w:bCs w:val="1"/>
          <w:color w:val="auto"/>
        </w:rPr>
        <w:t>100,000</w:t>
      </w:r>
      <w:r>
        <w:rPr>
          <w:rFonts w:ascii="Arial" w:cs="Arial" w:eastAsia="Arial" w:hAnsi="Arial"/>
          <w:sz w:val="19"/>
          <w:szCs w:val="19"/>
          <w:color w:val="auto"/>
        </w:rPr>
        <w:t xml:space="preserve"> of the Company’s ordinary shares, which will have an exercise price equal to the closing market price on date of grant (the “Option”) and be subject to time-based vesting, (ii) </w:t>
      </w:r>
      <w:r>
        <w:rPr>
          <w:rFonts w:ascii="Arial" w:cs="Arial" w:eastAsia="Arial" w:hAnsi="Arial"/>
          <w:sz w:val="19"/>
          <w:szCs w:val="19"/>
          <w:b w:val="1"/>
          <w:bCs w:val="1"/>
          <w:color w:val="auto"/>
        </w:rPr>
        <w:t>100,000</w:t>
      </w:r>
      <w:r>
        <w:rPr>
          <w:rFonts w:ascii="Arial" w:cs="Arial" w:eastAsia="Arial" w:hAnsi="Arial"/>
          <w:sz w:val="19"/>
          <w:szCs w:val="19"/>
          <w:color w:val="auto"/>
        </w:rPr>
        <w:t xml:space="preserve"> restricted stock units (“RSUs”) subject to time-based vesting, and (iii) </w:t>
      </w:r>
      <w:r>
        <w:rPr>
          <w:rFonts w:ascii="Arial" w:cs="Arial" w:eastAsia="Arial" w:hAnsi="Arial"/>
          <w:sz w:val="19"/>
          <w:szCs w:val="19"/>
          <w:b w:val="1"/>
          <w:bCs w:val="1"/>
          <w:color w:val="auto"/>
        </w:rPr>
        <w:t>100,000</w:t>
      </w:r>
      <w:r>
        <w:rPr>
          <w:rFonts w:ascii="Arial" w:cs="Arial" w:eastAsia="Arial" w:hAnsi="Arial"/>
          <w:sz w:val="19"/>
          <w:szCs w:val="19"/>
          <w:color w:val="auto"/>
        </w:rPr>
        <w:t xml:space="preserve"> RSUs subject to performance-based milestone vesting as set for in the Attachment “A”. </w:t>
      </w:r>
      <w:r>
        <w:rPr>
          <w:rFonts w:ascii="Arial" w:cs="Arial" w:eastAsia="Arial" w:hAnsi="Arial"/>
          <w:sz w:val="19"/>
          <w:szCs w:val="19"/>
          <w:b w:val="1"/>
          <w:bCs w:val="1"/>
          <w:color w:val="auto"/>
        </w:rPr>
        <w:t>At-will Employment, Accrued Obligations:</w:t>
      </w:r>
      <w:r>
        <w:rPr>
          <w:rFonts w:ascii="Arial" w:cs="Arial" w:eastAsia="Arial" w:hAnsi="Arial"/>
          <w:sz w:val="19"/>
          <w:szCs w:val="19"/>
          <w:color w:val="auto"/>
        </w:rPr>
        <w:t xml:space="preserve"> Your employment is “at will” meaning you or the Company may terminate it at any time for any or no reason. Similarly, the terms of employment outlined in this Agreement are subject to change at any time. The last date of your employment with the Company is referred to herein as the “Date of Termination.” In the event of the termination of your employment for any reason, the Company shall pay you the “Accrued Obligations,” defined as (i) your Base Salary through the Date of Termination, (ii) an amount equal to the value of your accrued unused paid time off days, if any, and (iii) the amount of any business expenses properly incurred by you on behalf of the Company prior to any such termination and not yet reimbursed, if any.</w:t>
      </w:r>
    </w:p>
    <w:p>
      <w:pPr>
        <w:spacing w:after="0" w:line="200" w:lineRule="exact"/>
        <w:rPr>
          <w:rFonts w:ascii="Arial" w:cs="Arial" w:eastAsia="Arial" w:hAnsi="Arial"/>
          <w:sz w:val="19"/>
          <w:szCs w:val="19"/>
          <w:color w:val="010000"/>
        </w:rPr>
      </w:pPr>
    </w:p>
    <w:p>
      <w:pPr>
        <w:spacing w:after="0" w:line="226" w:lineRule="exact"/>
        <w:rPr>
          <w:rFonts w:ascii="Arial" w:cs="Arial" w:eastAsia="Arial" w:hAnsi="Arial"/>
          <w:sz w:val="19"/>
          <w:szCs w:val="19"/>
          <w:color w:val="010000"/>
        </w:rPr>
      </w:pPr>
    </w:p>
    <w:p>
      <w:pPr>
        <w:ind w:right="920" w:firstLine="800"/>
        <w:spacing w:after="0" w:line="364" w:lineRule="auto"/>
        <w:tabs>
          <w:tab w:leader="none" w:pos="1397" w:val="left"/>
        </w:tabs>
        <w:numPr>
          <w:ilvl w:val="0"/>
          <w:numId w:val="27"/>
        </w:numPr>
        <w:rPr>
          <w:rFonts w:ascii="Arial" w:cs="Arial" w:eastAsia="Arial" w:hAnsi="Arial"/>
          <w:sz w:val="19"/>
          <w:szCs w:val="19"/>
          <w:color w:val="010000"/>
        </w:rPr>
      </w:pPr>
      <w:r>
        <w:rPr>
          <w:rFonts w:ascii="Arial" w:cs="Arial" w:eastAsia="Arial" w:hAnsi="Arial"/>
          <w:sz w:val="19"/>
          <w:szCs w:val="19"/>
          <w:b w:val="1"/>
          <w:bCs w:val="1"/>
          <w:color w:val="auto"/>
        </w:rPr>
        <w:t>Severance Benefits</w:t>
      </w:r>
      <w:r>
        <w:rPr>
          <w:rFonts w:ascii="Arial" w:cs="Arial" w:eastAsia="Arial" w:hAnsi="Arial"/>
          <w:sz w:val="19"/>
          <w:szCs w:val="19"/>
          <w:color w:val="auto"/>
        </w:rPr>
        <w:t>: As a Senior Vice President, you are an “Eligible Executive” under the Company’s</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Severance and Change in Control Plan, effective as of January 28, 2021 (the “Severance Plan”).</w:t>
      </w:r>
    </w:p>
    <w:p>
      <w:pPr>
        <w:spacing w:after="0" w:line="93" w:lineRule="exact"/>
        <w:rPr>
          <w:rFonts w:ascii="Arial" w:cs="Arial" w:eastAsia="Arial" w:hAnsi="Arial"/>
          <w:sz w:val="19"/>
          <w:szCs w:val="19"/>
          <w:color w:val="010000"/>
        </w:rPr>
      </w:pPr>
    </w:p>
    <w:p>
      <w:pPr>
        <w:ind w:right="20" w:firstLine="800"/>
        <w:spacing w:after="0" w:line="307" w:lineRule="auto"/>
        <w:tabs>
          <w:tab w:leader="none" w:pos="1397" w:val="left"/>
        </w:tabs>
        <w:numPr>
          <w:ilvl w:val="0"/>
          <w:numId w:val="27"/>
        </w:numPr>
        <w:rPr>
          <w:rFonts w:ascii="Arial" w:cs="Arial" w:eastAsia="Arial" w:hAnsi="Arial"/>
          <w:sz w:val="19"/>
          <w:szCs w:val="19"/>
          <w:color w:val="010000"/>
        </w:rPr>
      </w:pPr>
      <w:r>
        <w:rPr>
          <w:rFonts w:ascii="Arial" w:cs="Arial" w:eastAsia="Arial" w:hAnsi="Arial"/>
          <w:sz w:val="19"/>
          <w:szCs w:val="19"/>
          <w:b w:val="1"/>
          <w:bCs w:val="1"/>
          <w:color w:val="auto"/>
        </w:rPr>
        <w:t xml:space="preserve">Taxes; Section 409A: </w:t>
      </w:r>
      <w:r>
        <w:rPr>
          <w:rFonts w:ascii="Arial" w:cs="Arial" w:eastAsia="Arial" w:hAnsi="Arial"/>
          <w:sz w:val="19"/>
          <w:szCs w:val="19"/>
          <w:color w:val="auto"/>
        </w:rPr>
        <w:t>All forms of compensation referred to in this Agreement are subject to reduction to reflect</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withholdings and payroll taxes and other deductions required by law. You hereby acknowledge that the Company does not have a duty to design its compensation policies in a manner that minimizes tax liabilities. 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ACTIVE/110535145.3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2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2342515</wp:posOffset>
            </wp:positionH>
            <wp:positionV relativeFrom="page">
              <wp:posOffset>88900</wp:posOffset>
            </wp:positionV>
            <wp:extent cx="2837180" cy="5568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2837180" cy="556895"/>
                    </a:xfrm>
                    <a:prstGeom prst="rect">
                      <a:avLst/>
                    </a:prstGeom>
                    <a:noFill/>
                  </pic:spPr>
                </pic:pic>
              </a:graphicData>
            </a:graphic>
          </wp:anchor>
        </w:drawing>
      </w:r>
    </w:p>
    <w:p>
      <w:pPr>
        <w:ind w:right="100"/>
        <w:spacing w:after="0" w:line="311" w:lineRule="auto"/>
        <w:rPr>
          <w:sz w:val="20"/>
          <w:szCs w:val="20"/>
          <w:color w:val="auto"/>
        </w:rPr>
      </w:pPr>
      <w:r>
        <w:rPr>
          <w:rFonts w:ascii="Arial" w:cs="Arial" w:eastAsia="Arial" w:hAnsi="Arial"/>
          <w:sz w:val="19"/>
          <w:szCs w:val="19"/>
          <w:color w:val="auto"/>
        </w:rPr>
        <w:t>incurred in one taxable year shall not affect the in-kind benefits to be provided or the expenses eligible for reimbursement in any other taxable year. Such right to reimbursement or in-kind benefits is not subject to liquidation or exchange for another benefit. The parties intend that this Agreement will be administered to comply with or satisfy an exemption from Section 409A of the Code. To the extent that any provision of this Agreement is ambiguous as to its compliance with Section 409A of the Code, the provision shall be read in such a manner so that all payments hereunder comply with Section 409A of the Code.</w:t>
      </w:r>
    </w:p>
    <w:p>
      <w:pPr>
        <w:spacing w:after="0" w:line="144" w:lineRule="exact"/>
        <w:rPr>
          <w:sz w:val="20"/>
          <w:szCs w:val="20"/>
          <w:color w:val="auto"/>
        </w:rPr>
      </w:pPr>
    </w:p>
    <w:p>
      <w:pPr>
        <w:ind w:right="120" w:firstLine="800"/>
        <w:spacing w:after="0" w:line="262" w:lineRule="auto"/>
        <w:tabs>
          <w:tab w:leader="none" w:pos="1397" w:val="left"/>
        </w:tabs>
        <w:numPr>
          <w:ilvl w:val="0"/>
          <w:numId w:val="28"/>
        </w:numPr>
        <w:rPr>
          <w:rFonts w:ascii="Arial" w:cs="Arial" w:eastAsia="Arial" w:hAnsi="Arial"/>
          <w:sz w:val="22"/>
          <w:szCs w:val="22"/>
          <w:color w:val="010000"/>
        </w:rPr>
      </w:pPr>
      <w:r>
        <w:rPr>
          <w:rFonts w:ascii="Arial" w:cs="Arial" w:eastAsia="Arial" w:hAnsi="Arial"/>
          <w:sz w:val="22"/>
          <w:szCs w:val="22"/>
          <w:b w:val="1"/>
          <w:bCs w:val="1"/>
          <w:color w:val="auto"/>
        </w:rPr>
        <w:t>Nondisclosure, Developments and Noncompetition Agreement</w:t>
      </w:r>
      <w:r>
        <w:rPr>
          <w:rFonts w:ascii="Arial" w:cs="Arial" w:eastAsia="Arial" w:hAnsi="Arial"/>
          <w:sz w:val="22"/>
          <w:szCs w:val="22"/>
          <w:color w:val="auto"/>
        </w:rPr>
        <w:t>. As a condition of your employment, you are</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to enter into the enclosed Nondisclosure, Developments and Noncompetition Agreement, the terms of which are incorporated by reference into this Agreement; provided, however, and notwithstanding anything to the contrary in the Nondisclosure, Developments and Noncompetition Agreement, it will not be enforced in a way that would prevent you from practicing law.</w:t>
      </w:r>
    </w:p>
    <w:p>
      <w:pPr>
        <w:spacing w:after="0" w:line="185" w:lineRule="exact"/>
        <w:rPr>
          <w:rFonts w:ascii="Arial" w:cs="Arial" w:eastAsia="Arial" w:hAnsi="Arial"/>
          <w:sz w:val="22"/>
          <w:szCs w:val="22"/>
          <w:color w:val="010000"/>
        </w:rPr>
      </w:pPr>
    </w:p>
    <w:p>
      <w:pPr>
        <w:ind w:firstLine="800"/>
        <w:spacing w:after="0" w:line="307" w:lineRule="auto"/>
        <w:tabs>
          <w:tab w:leader="none" w:pos="1397" w:val="left"/>
        </w:tabs>
        <w:numPr>
          <w:ilvl w:val="0"/>
          <w:numId w:val="28"/>
        </w:numPr>
        <w:rPr>
          <w:rFonts w:ascii="Arial" w:cs="Arial" w:eastAsia="Arial" w:hAnsi="Arial"/>
          <w:sz w:val="19"/>
          <w:szCs w:val="19"/>
          <w:color w:val="010000"/>
        </w:rPr>
      </w:pPr>
      <w:r>
        <w:rPr>
          <w:rFonts w:ascii="Arial" w:cs="Arial" w:eastAsia="Arial" w:hAnsi="Arial"/>
          <w:sz w:val="19"/>
          <w:szCs w:val="19"/>
          <w:b w:val="1"/>
          <w:bCs w:val="1"/>
          <w:color w:val="auto"/>
        </w:rPr>
        <w:t xml:space="preserve">Representation Regarding Other Obligations: </w:t>
      </w:r>
      <w:r>
        <w:rPr>
          <w:rFonts w:ascii="Arial" w:cs="Arial" w:eastAsia="Arial" w:hAnsi="Arial"/>
          <w:sz w:val="19"/>
          <w:szCs w:val="19"/>
          <w:color w:val="auto"/>
        </w:rPr>
        <w:t>This offer is conditioned on your representation that you are</w:t>
      </w:r>
      <w:r>
        <w:rPr>
          <w:rFonts w:ascii="Arial" w:cs="Arial" w:eastAsia="Arial" w:hAnsi="Arial"/>
          <w:sz w:val="19"/>
          <w:szCs w:val="19"/>
          <w:b w:val="1"/>
          <w:bCs w:val="1"/>
          <w:color w:val="auto"/>
        </w:rPr>
        <w:t xml:space="preserve"> </w:t>
      </w:r>
      <w:r>
        <w:rPr>
          <w:rFonts w:ascii="Arial" w:cs="Arial" w:eastAsia="Arial" w:hAnsi="Arial"/>
          <w:sz w:val="19"/>
          <w:szCs w:val="19"/>
          <w:color w:val="auto"/>
        </w:rPr>
        <w:t>not subject to any confidentiality, noncompetition agreement or any other similar type of restriction that may affect your ability to devote full time and attention to your work at the Company. If you have entered into any agreement that may restrict your activities on behalf of the Company, please provide me with a copy of the agreement as soon as possible. You agree that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w:t>
      </w:r>
    </w:p>
    <w:p>
      <w:pPr>
        <w:spacing w:after="0" w:line="149" w:lineRule="exact"/>
        <w:rPr>
          <w:rFonts w:ascii="Arial" w:cs="Arial" w:eastAsia="Arial" w:hAnsi="Arial"/>
          <w:sz w:val="19"/>
          <w:szCs w:val="19"/>
          <w:color w:val="010000"/>
        </w:rPr>
      </w:pPr>
    </w:p>
    <w:p>
      <w:pPr>
        <w:ind w:right="220" w:firstLine="800"/>
        <w:spacing w:after="0" w:line="281" w:lineRule="auto"/>
        <w:tabs>
          <w:tab w:leader="none" w:pos="1397" w:val="left"/>
        </w:tabs>
        <w:numPr>
          <w:ilvl w:val="0"/>
          <w:numId w:val="28"/>
        </w:numPr>
        <w:rPr>
          <w:rFonts w:ascii="Arial" w:cs="Arial" w:eastAsia="Arial" w:hAnsi="Arial"/>
          <w:sz w:val="21"/>
          <w:szCs w:val="21"/>
          <w:color w:val="010000"/>
        </w:rPr>
      </w:pPr>
      <w:r>
        <w:rPr>
          <w:rFonts w:ascii="Arial" w:cs="Arial" w:eastAsia="Arial" w:hAnsi="Arial"/>
          <w:sz w:val="21"/>
          <w:szCs w:val="21"/>
          <w:b w:val="1"/>
          <w:bCs w:val="1"/>
          <w:color w:val="auto"/>
        </w:rPr>
        <w:t xml:space="preserve">Other Conditions: </w:t>
      </w:r>
      <w:r>
        <w:rPr>
          <w:rFonts w:ascii="Arial" w:cs="Arial" w:eastAsia="Arial" w:hAnsi="Arial"/>
          <w:sz w:val="21"/>
          <w:szCs w:val="21"/>
          <w:color w:val="auto"/>
        </w:rPr>
        <w:t>The Company’s offer of employment is contingent on the completion of references checks</w:t>
      </w:r>
      <w:r>
        <w:rPr>
          <w:rFonts w:ascii="Arial" w:cs="Arial" w:eastAsia="Arial" w:hAnsi="Arial"/>
          <w:sz w:val="21"/>
          <w:szCs w:val="21"/>
          <w:b w:val="1"/>
          <w:bCs w:val="1"/>
          <w:color w:val="auto"/>
        </w:rPr>
        <w:t xml:space="preserve"> </w:t>
      </w:r>
      <w:r>
        <w:rPr>
          <w:rFonts w:ascii="Arial" w:cs="Arial" w:eastAsia="Arial" w:hAnsi="Arial"/>
          <w:sz w:val="21"/>
          <w:szCs w:val="21"/>
          <w:color w:val="auto"/>
        </w:rPr>
        <w:t>and a background investigation that are satisfactory to the Company (as determined by the Company), your submission of satisfactory proof of your identity and your legal authorization to work in the United States, and a satisfactory Company-paid initial-employment drug screen, in each case to the extent not already completed.</w:t>
      </w:r>
    </w:p>
    <w:p>
      <w:pPr>
        <w:spacing w:after="0" w:line="165" w:lineRule="exact"/>
        <w:rPr>
          <w:rFonts w:ascii="Arial" w:cs="Arial" w:eastAsia="Arial" w:hAnsi="Arial"/>
          <w:sz w:val="21"/>
          <w:szCs w:val="21"/>
          <w:color w:val="010000"/>
        </w:rPr>
      </w:pPr>
    </w:p>
    <w:p>
      <w:pPr>
        <w:ind w:firstLine="800"/>
        <w:spacing w:after="0" w:line="307" w:lineRule="auto"/>
        <w:tabs>
          <w:tab w:leader="none" w:pos="1397" w:val="left"/>
        </w:tabs>
        <w:numPr>
          <w:ilvl w:val="0"/>
          <w:numId w:val="28"/>
        </w:numPr>
        <w:rPr>
          <w:rFonts w:ascii="Arial" w:cs="Arial" w:eastAsia="Arial" w:hAnsi="Arial"/>
          <w:sz w:val="19"/>
          <w:szCs w:val="19"/>
          <w:color w:val="010000"/>
        </w:rPr>
      </w:pPr>
      <w:r>
        <w:rPr>
          <w:rFonts w:ascii="Arial" w:cs="Arial" w:eastAsia="Arial" w:hAnsi="Arial"/>
          <w:sz w:val="19"/>
          <w:szCs w:val="19"/>
          <w:b w:val="1"/>
          <w:bCs w:val="1"/>
          <w:color w:val="auto"/>
        </w:rPr>
        <w:t xml:space="preserve">Entire Agreement, Amendment and Enforcement: </w:t>
      </w:r>
      <w:r>
        <w:rPr>
          <w:rFonts w:ascii="Arial" w:cs="Arial" w:eastAsia="Arial" w:hAnsi="Arial"/>
          <w:sz w:val="19"/>
          <w:szCs w:val="19"/>
          <w:color w:val="auto"/>
        </w:rPr>
        <w:t>This Agreement, together with the Nondisclosure,</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Developments and Noncompetition Agreement and the Equity Documents, constitutes the complete agreement between you and the Company, contains all of the terms of your employment with the Company and supersedes any prior agreements, representations or understandings (whether written, oral or implied) between you and the Company. This Agreement may be amended or modified only by a written instrument signed by you and by a duly authorized representative of the Company. The terms of this Agreement and the resolution of any disputes as to the meaning, effect, performance or validity of this Agreement or arising out of, related to, or in any way connected with, this Agreement, your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ACTIVE/110535145.3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9" w:name="page90"/>
    <w:bookmarkEnd w:id="89"/>
    <w:p>
      <w:pPr>
        <w:spacing w:after="0" w:line="2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2342515</wp:posOffset>
            </wp:positionH>
            <wp:positionV relativeFrom="page">
              <wp:posOffset>88900</wp:posOffset>
            </wp:positionV>
            <wp:extent cx="2837180" cy="5568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2837180" cy="556895"/>
                    </a:xfrm>
                    <a:prstGeom prst="rect">
                      <a:avLst/>
                    </a:prstGeom>
                    <a:noFill/>
                  </pic:spPr>
                </pic:pic>
              </a:graphicData>
            </a:graphic>
          </wp:anchor>
        </w:drawing>
      </w:r>
    </w:p>
    <w:p>
      <w:pPr>
        <w:spacing w:after="0" w:line="262" w:lineRule="auto"/>
        <w:rPr>
          <w:sz w:val="20"/>
          <w:szCs w:val="20"/>
          <w:color w:val="auto"/>
        </w:rPr>
      </w:pPr>
      <w:r>
        <w:rPr>
          <w:rFonts w:ascii="Arial" w:cs="Arial" w:eastAsia="Arial" w:hAnsi="Arial"/>
          <w:sz w:val="22"/>
          <w:szCs w:val="22"/>
          <w:color w:val="auto"/>
        </w:rPr>
        <w:t>employment with the Company or any other relationship between you and the Company (the “Disputes”) will be governed by the laws of the State of New Jersey, excluding laws relating to conflicts or choice of law. You and the Company submit to the exclusive personal jurisdiction of the federal and state courts located in the State of New Jersey in connection with any Dispute or any claim related to any Dispute.</w:t>
      </w:r>
    </w:p>
    <w:p>
      <w:pPr>
        <w:spacing w:after="0" w:line="185" w:lineRule="exact"/>
        <w:rPr>
          <w:sz w:val="20"/>
          <w:szCs w:val="20"/>
          <w:color w:val="auto"/>
        </w:rPr>
      </w:pPr>
    </w:p>
    <w:p>
      <w:pPr>
        <w:ind w:right="40" w:firstLine="800"/>
        <w:spacing w:after="0" w:line="310" w:lineRule="auto"/>
        <w:tabs>
          <w:tab w:leader="none" w:pos="1397" w:val="left"/>
        </w:tabs>
        <w:numPr>
          <w:ilvl w:val="0"/>
          <w:numId w:val="29"/>
        </w:numPr>
        <w:rPr>
          <w:rFonts w:ascii="Arial" w:cs="Arial" w:eastAsia="Arial" w:hAnsi="Arial"/>
          <w:sz w:val="19"/>
          <w:szCs w:val="19"/>
          <w:color w:val="010000"/>
        </w:rPr>
      </w:pPr>
      <w:r>
        <w:rPr>
          <w:rFonts w:ascii="Arial" w:cs="Arial" w:eastAsia="Arial" w:hAnsi="Arial"/>
          <w:sz w:val="19"/>
          <w:szCs w:val="19"/>
          <w:b w:val="1"/>
          <w:bCs w:val="1"/>
          <w:color w:val="auto"/>
        </w:rPr>
        <w:t xml:space="preserve">Assignment: </w:t>
      </w:r>
      <w:r>
        <w:rPr>
          <w:rFonts w:ascii="Arial" w:cs="Arial" w:eastAsia="Arial" w:hAnsi="Arial"/>
          <w:sz w:val="19"/>
          <w:szCs w:val="19"/>
          <w:color w:val="auto"/>
        </w:rPr>
        <w:t>Neither you nor the Company may make any assignment of this Agreement or any interest in it, by</w:t>
      </w:r>
      <w:r>
        <w:rPr>
          <w:rFonts w:ascii="Arial" w:cs="Arial" w:eastAsia="Arial" w:hAnsi="Arial"/>
          <w:sz w:val="19"/>
          <w:szCs w:val="19"/>
          <w:b w:val="1"/>
          <w:bCs w:val="1"/>
          <w:color w:val="auto"/>
        </w:rPr>
        <w:t xml:space="preserve"> </w:t>
      </w:r>
      <w:r>
        <w:rPr>
          <w:rFonts w:ascii="Arial" w:cs="Arial" w:eastAsia="Arial" w:hAnsi="Arial"/>
          <w:sz w:val="19"/>
          <w:szCs w:val="19"/>
          <w:color w:val="auto"/>
        </w:rPr>
        <w:t>operation of law or otherwise, without the prior written consent of the other; provided, however, that the Company may assign its rights and obligations under this Agreement without your consent to one of its affiliates or to any person with whom the Company shall hereafter effect a reorganization, consolidate with, or merge into or to whom it transfers all or substantially all of its properties or assets. This Agreement shall inure to the benefit of and be binding upon you and the Company, and each of our respective successors, executors, administrators, heirs and permitted assigns.</w:t>
      </w:r>
    </w:p>
    <w:p>
      <w:pPr>
        <w:spacing w:after="0" w:line="142" w:lineRule="exact"/>
        <w:rPr>
          <w:rFonts w:ascii="Arial" w:cs="Arial" w:eastAsia="Arial" w:hAnsi="Arial"/>
          <w:sz w:val="19"/>
          <w:szCs w:val="19"/>
          <w:color w:val="010000"/>
        </w:rPr>
      </w:pPr>
    </w:p>
    <w:p>
      <w:pPr>
        <w:ind w:right="300" w:firstLine="800"/>
        <w:spacing w:after="0" w:line="319" w:lineRule="auto"/>
        <w:tabs>
          <w:tab w:leader="none" w:pos="1397" w:val="left"/>
        </w:tabs>
        <w:numPr>
          <w:ilvl w:val="0"/>
          <w:numId w:val="29"/>
        </w:numPr>
        <w:rPr>
          <w:rFonts w:ascii="Arial" w:cs="Arial" w:eastAsia="Arial" w:hAnsi="Arial"/>
          <w:sz w:val="19"/>
          <w:szCs w:val="19"/>
          <w:color w:val="010000"/>
        </w:rPr>
      </w:pPr>
      <w:r>
        <w:rPr>
          <w:rFonts w:ascii="Arial" w:cs="Arial" w:eastAsia="Arial" w:hAnsi="Arial"/>
          <w:sz w:val="19"/>
          <w:szCs w:val="19"/>
          <w:b w:val="1"/>
          <w:bCs w:val="1"/>
          <w:color w:val="auto"/>
        </w:rPr>
        <w:t xml:space="preserve">Severability. </w:t>
      </w:r>
      <w:r>
        <w:rPr>
          <w:rFonts w:ascii="Arial" w:cs="Arial" w:eastAsia="Arial" w:hAnsi="Arial"/>
          <w:sz w:val="19"/>
          <w:szCs w:val="19"/>
          <w:color w:val="auto"/>
        </w:rPr>
        <w:t>If any portion or provision of this Agreement shall to any extent be declared illegal or</w:t>
      </w:r>
      <w:r>
        <w:rPr>
          <w:rFonts w:ascii="Arial" w:cs="Arial" w:eastAsia="Arial" w:hAnsi="Arial"/>
          <w:sz w:val="19"/>
          <w:szCs w:val="19"/>
          <w:b w:val="1"/>
          <w:bCs w:val="1"/>
          <w:color w:val="auto"/>
        </w:rPr>
        <w:t xml:space="preserve"> </w:t>
      </w:r>
      <w:r>
        <w:rPr>
          <w:rFonts w:ascii="Arial" w:cs="Arial" w:eastAsia="Arial" w:hAnsi="Arial"/>
          <w:sz w:val="19"/>
          <w:szCs w:val="19"/>
          <w:color w:val="auto"/>
        </w:rPr>
        <w:t>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34" w:lineRule="exact"/>
        <w:rPr>
          <w:rFonts w:ascii="Arial" w:cs="Arial" w:eastAsia="Arial" w:hAnsi="Arial"/>
          <w:sz w:val="19"/>
          <w:szCs w:val="19"/>
          <w:color w:val="010000"/>
        </w:rPr>
      </w:pPr>
    </w:p>
    <w:p>
      <w:pPr>
        <w:ind w:right="240" w:firstLine="800"/>
        <w:spacing w:after="0" w:line="269" w:lineRule="auto"/>
        <w:tabs>
          <w:tab w:leader="none" w:pos="1397" w:val="left"/>
        </w:tabs>
        <w:numPr>
          <w:ilvl w:val="0"/>
          <w:numId w:val="29"/>
        </w:numPr>
        <w:rPr>
          <w:rFonts w:ascii="Arial" w:cs="Arial" w:eastAsia="Arial" w:hAnsi="Arial"/>
          <w:sz w:val="22"/>
          <w:szCs w:val="22"/>
          <w:color w:val="010000"/>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separate counterparts. When both counterparts are signed,</w:t>
      </w:r>
      <w:r>
        <w:rPr>
          <w:rFonts w:ascii="Arial" w:cs="Arial" w:eastAsia="Arial" w:hAnsi="Arial"/>
          <w:sz w:val="22"/>
          <w:szCs w:val="22"/>
          <w:b w:val="1"/>
          <w:bCs w:val="1"/>
          <w:color w:val="auto"/>
        </w:rPr>
        <w:t xml:space="preserve"> </w:t>
      </w:r>
      <w:r>
        <w:rPr>
          <w:rFonts w:ascii="Arial" w:cs="Arial" w:eastAsia="Arial" w:hAnsi="Arial"/>
          <w:sz w:val="22"/>
          <w:szCs w:val="22"/>
          <w:color w:val="auto"/>
        </w:rPr>
        <w:t>they shall be treated together as one and the same document. PDF copies of signed counterparts shall be equally effective as originals.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ACTIVE/110535145.3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2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2342515</wp:posOffset>
            </wp:positionH>
            <wp:positionV relativeFrom="page">
              <wp:posOffset>88900</wp:posOffset>
            </wp:positionV>
            <wp:extent cx="2837180" cy="5568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2837180" cy="556895"/>
                    </a:xfrm>
                    <a:prstGeom prst="rect">
                      <a:avLst/>
                    </a:prstGeom>
                    <a:noFill/>
                  </pic:spPr>
                </pic:pic>
              </a:graphicData>
            </a:graphic>
          </wp:anchor>
        </w:drawing>
      </w:r>
    </w:p>
    <w:p>
      <w:pPr>
        <w:ind w:firstLine="749"/>
        <w:spacing w:after="0" w:line="327" w:lineRule="auto"/>
        <w:rPr>
          <w:sz w:val="20"/>
          <w:szCs w:val="20"/>
          <w:color w:val="auto"/>
        </w:rPr>
      </w:pPr>
      <w:r>
        <w:rPr>
          <w:rFonts w:ascii="Arial" w:cs="Arial" w:eastAsia="Arial" w:hAnsi="Arial"/>
          <w:sz w:val="19"/>
          <w:szCs w:val="19"/>
          <w:color w:val="auto"/>
        </w:rPr>
        <w:t>We are excited about the opportunity to work with you at Amarin. If you have any questions about this information, please do not hesitate to call. Otherwise, please confirm your acceptance of this offer of employment by signing this Agreement and the Nondisclosure, Developments and Noncompetition Agreement and returning both to me no later than August 1, 2021.</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Signed for and on behalf of:</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AMARIN CORPORATION PLC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Signed: </w:t>
      </w:r>
      <w:r>
        <w:rPr>
          <w:rFonts w:ascii="Arial" w:cs="Arial" w:eastAsia="Arial" w:hAnsi="Arial"/>
          <w:sz w:val="22"/>
          <w:szCs w:val="22"/>
          <w:i w:val="1"/>
          <w:iCs w:val="1"/>
          <w:color w:val="auto"/>
        </w:rPr>
        <w:t>___</w:t>
      </w:r>
      <w:r>
        <w:rPr>
          <w:rFonts w:ascii="Arial" w:cs="Arial" w:eastAsia="Arial" w:hAnsi="Arial"/>
          <w:sz w:val="22"/>
          <w:szCs w:val="22"/>
          <w:i w:val="1"/>
          <w:iCs w:val="1"/>
          <w:u w:val="single" w:color="auto"/>
          <w:color w:val="auto"/>
        </w:rPr>
        <w:t>/s/ Donna Pasek</w:t>
      </w:r>
      <w:r>
        <w:rPr>
          <w:rFonts w:ascii="Arial" w:cs="Arial" w:eastAsia="Arial" w:hAnsi="Arial"/>
          <w:sz w:val="22"/>
          <w:szCs w:val="22"/>
          <w:i w:val="1"/>
          <w:iCs w:val="1"/>
          <w:color w:val="auto"/>
        </w:rPr>
        <w:t>____________ ______________</w:t>
      </w:r>
    </w:p>
    <w:p>
      <w:pPr>
        <w:spacing w:after="0" w:line="21"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i w:val="1"/>
          <w:iCs w:val="1"/>
          <w:color w:val="auto"/>
        </w:rPr>
        <w:t>Name:</w:t>
        <w:tab/>
        <w:t>Donna Pasek</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Title: Sr. VP Human Resources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Dated: ___</w:t>
      </w:r>
      <w:r>
        <w:rPr>
          <w:rFonts w:ascii="Arial" w:cs="Arial" w:eastAsia="Arial" w:hAnsi="Arial"/>
          <w:sz w:val="22"/>
          <w:szCs w:val="22"/>
          <w:u w:val="single" w:color="auto"/>
          <w:color w:val="auto"/>
        </w:rPr>
        <w:t>August 13, 2021</w:t>
      </w:r>
      <w:r>
        <w:rPr>
          <w:rFonts w:ascii="Arial" w:cs="Arial" w:eastAsia="Arial" w:hAnsi="Arial"/>
          <w:sz w:val="22"/>
          <w:szCs w:val="22"/>
          <w:b w:val="1"/>
          <w:bCs w:val="1"/>
          <w:color w:val="auto"/>
        </w:rPr>
        <w:t>____________</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ACCEPTED:</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Signed: __</w:t>
      </w:r>
      <w:r>
        <w:rPr>
          <w:rFonts w:ascii="Arial" w:cs="Arial" w:eastAsia="Arial" w:hAnsi="Arial"/>
          <w:sz w:val="22"/>
          <w:szCs w:val="22"/>
          <w:i w:val="1"/>
          <w:iCs w:val="1"/>
          <w:u w:val="single" w:color="auto"/>
          <w:color w:val="auto"/>
        </w:rPr>
        <w:t>/s/ Jason Marks</w:t>
      </w:r>
      <w:r>
        <w:rPr>
          <w:rFonts w:ascii="Arial" w:cs="Arial" w:eastAsia="Arial" w:hAnsi="Arial"/>
          <w:sz w:val="22"/>
          <w:szCs w:val="22"/>
          <w:b w:val="1"/>
          <w:bCs w:val="1"/>
          <w:color w:val="auto"/>
        </w:rPr>
        <w:t>__________________________</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Name:</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Dated: ___ </w:t>
      </w:r>
      <w:r>
        <w:rPr>
          <w:rFonts w:ascii="Arial" w:cs="Arial" w:eastAsia="Arial" w:hAnsi="Arial"/>
          <w:sz w:val="22"/>
          <w:szCs w:val="22"/>
          <w:u w:val="single" w:color="auto"/>
          <w:color w:val="auto"/>
        </w:rPr>
        <w:t>August 3, 2021</w:t>
      </w:r>
      <w:r>
        <w:rPr>
          <w:rFonts w:ascii="Arial" w:cs="Arial" w:eastAsia="Arial" w:hAnsi="Arial"/>
          <w:sz w:val="22"/>
          <w:szCs w:val="22"/>
          <w:b w:val="1"/>
          <w:bCs w:val="1"/>
          <w:color w:val="auto"/>
        </w:rPr>
        <w:t>_____________</w:t>
      </w:r>
    </w:p>
    <w:p>
      <w:pPr>
        <w:spacing w:after="0" w:line="200" w:lineRule="exact"/>
        <w:rPr>
          <w:sz w:val="20"/>
          <w:szCs w:val="20"/>
          <w:color w:val="auto"/>
        </w:rPr>
      </w:pPr>
    </w:p>
    <w:p>
      <w:pPr>
        <w:spacing w:after="0" w:line="28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Enclosures:</w:t>
        <w:tab/>
        <w:t>Attachment A</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Nondisclosure, Developments and Noncompetition Agreement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ACTIVE/110535145.3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Karim Mikhail, certify that:</w:t>
      </w:r>
    </w:p>
    <w:p>
      <w:pPr>
        <w:spacing w:after="0" w:line="131"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30" w:lineRule="exact"/>
        <w:rPr>
          <w:rFonts w:ascii="Arial" w:cs="Arial" w:eastAsia="Arial" w:hAnsi="Arial"/>
          <w:sz w:val="18"/>
          <w:szCs w:val="18"/>
          <w:color w:val="auto"/>
        </w:rPr>
      </w:pPr>
    </w:p>
    <w:p>
      <w:pPr>
        <w:ind w:left="520" w:right="280" w:hanging="512"/>
        <w:spacing w:after="0" w:line="279" w:lineRule="auto"/>
        <w:tabs>
          <w:tab w:leader="none" w:pos="3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520" w:right="360" w:hanging="512"/>
        <w:spacing w:after="0" w:line="324" w:lineRule="auto"/>
        <w:tabs>
          <w:tab w:leader="none" w:pos="371"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520" w:right="260" w:hanging="512"/>
        <w:spacing w:after="0" w:line="279" w:lineRule="auto"/>
        <w:tabs>
          <w:tab w:leader="none" w:pos="3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020" w:right="80" w:hanging="479"/>
        <w:spacing w:after="0" w:line="279" w:lineRule="auto"/>
        <w:tabs>
          <w:tab w:leader="none" w:pos="89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20" w:right="320" w:hanging="479"/>
        <w:spacing w:after="0" w:line="279" w:lineRule="auto"/>
        <w:tabs>
          <w:tab w:leader="none" w:pos="89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020" w:right="480" w:hanging="479"/>
        <w:spacing w:after="0" w:line="359" w:lineRule="auto"/>
        <w:tabs>
          <w:tab w:leader="none" w:pos="895"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120" w:hanging="479"/>
        <w:spacing w:after="0" w:line="279" w:lineRule="auto"/>
        <w:tabs>
          <w:tab w:leader="none" w:pos="89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520" w:right="300" w:hanging="512"/>
        <w:spacing w:after="0" w:line="324" w:lineRule="auto"/>
        <w:tabs>
          <w:tab w:leader="none" w:pos="371"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020" w:right="40" w:hanging="479"/>
        <w:spacing w:after="0" w:line="324" w:lineRule="auto"/>
        <w:tabs>
          <w:tab w:leader="none" w:pos="895"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1020" w:right="540" w:hanging="479"/>
        <w:spacing w:after="0" w:line="293" w:lineRule="auto"/>
        <w:tabs>
          <w:tab w:leader="none" w:pos="89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7580" w:val="left"/>
          <w:tab w:leader="none" w:pos="794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Karim Mikhail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4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Karim Mikhail</w:t>
      </w:r>
    </w:p>
    <w:p>
      <w:pPr>
        <w:spacing w:after="0" w:line="5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Michael W. Kalb, certify that:</w:t>
      </w:r>
    </w:p>
    <w:p>
      <w:pPr>
        <w:spacing w:after="0" w:line="131"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30" w:lineRule="exact"/>
        <w:rPr>
          <w:rFonts w:ascii="Arial" w:cs="Arial" w:eastAsia="Arial" w:hAnsi="Arial"/>
          <w:sz w:val="18"/>
          <w:szCs w:val="18"/>
          <w:color w:val="auto"/>
        </w:rPr>
      </w:pPr>
    </w:p>
    <w:p>
      <w:pPr>
        <w:ind w:left="520" w:right="280" w:hanging="512"/>
        <w:spacing w:after="0" w:line="279" w:lineRule="auto"/>
        <w:tabs>
          <w:tab w:leader="none" w:pos="3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520" w:right="360" w:hanging="512"/>
        <w:spacing w:after="0" w:line="324" w:lineRule="auto"/>
        <w:tabs>
          <w:tab w:leader="none" w:pos="371"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520" w:right="260" w:hanging="512"/>
        <w:spacing w:after="0" w:line="279" w:lineRule="auto"/>
        <w:tabs>
          <w:tab w:leader="none" w:pos="3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020" w:right="80" w:hanging="479"/>
        <w:spacing w:after="0" w:line="279" w:lineRule="auto"/>
        <w:tabs>
          <w:tab w:leader="none" w:pos="89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20" w:right="320" w:hanging="479"/>
        <w:spacing w:after="0" w:line="279" w:lineRule="auto"/>
        <w:tabs>
          <w:tab w:leader="none" w:pos="89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020" w:right="480" w:hanging="479"/>
        <w:spacing w:after="0" w:line="359" w:lineRule="auto"/>
        <w:tabs>
          <w:tab w:leader="none" w:pos="895"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120" w:hanging="479"/>
        <w:spacing w:after="0" w:line="279" w:lineRule="auto"/>
        <w:tabs>
          <w:tab w:leader="none" w:pos="89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520" w:right="300" w:hanging="512"/>
        <w:spacing w:after="0" w:line="324" w:lineRule="auto"/>
        <w:tabs>
          <w:tab w:leader="none" w:pos="371"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020" w:right="40" w:hanging="479"/>
        <w:spacing w:after="0" w:line="324" w:lineRule="auto"/>
        <w:tabs>
          <w:tab w:leader="none" w:pos="895"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1020" w:right="540" w:hanging="479"/>
        <w:spacing w:after="0" w:line="293" w:lineRule="auto"/>
        <w:tabs>
          <w:tab w:leader="none" w:pos="89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7680" w:val="left"/>
          <w:tab w:leader="none" w:pos="804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Michael W. Kalb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4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Michael W. Kalb</w:t>
      </w:r>
    </w:p>
    <w:p>
      <w:pPr>
        <w:spacing w:after="0" w:line="5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5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51" w:lineRule="exact"/>
        <w:rPr>
          <w:sz w:val="20"/>
          <w:szCs w:val="20"/>
          <w:color w:val="auto"/>
        </w:rPr>
      </w:pPr>
    </w:p>
    <w:p>
      <w:pPr>
        <w:jc w:val="both"/>
        <w:ind w:right="100"/>
        <w:spacing w:after="0" w:line="275"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and Section 1350 of Chapter 63 of Title 18 of the United States Code (18 U.S.C. §1350), Karim Mikhail, President and Chief Executive Officer (Principal Executive Officer) of Amarin Corporation plc (the “Company”), and Michael W. Kalb, Senior Vice President and Chief Financial Officer (Principal Financial Officer and Principal Accounting Officer) of the Company, each hereby certifies that, to the best of his knowledge:</w:t>
      </w:r>
    </w:p>
    <w:p>
      <w:pPr>
        <w:spacing w:after="0" w:line="199" w:lineRule="exact"/>
        <w:rPr>
          <w:sz w:val="20"/>
          <w:szCs w:val="20"/>
          <w:color w:val="auto"/>
        </w:rPr>
      </w:pPr>
    </w:p>
    <w:p>
      <w:pPr>
        <w:ind w:right="160" w:firstLine="8"/>
        <w:spacing w:after="0" w:line="324" w:lineRule="auto"/>
        <w:tabs>
          <w:tab w:leader="none" w:pos="3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September 30, 2021, to which this Certification is attached as Exhibit 32.1 (the “Quarterly Report”) fully complies with the requirements of Section 13(a) or 15(d) of the Securities Exchange Act of 1934; and</w:t>
      </w:r>
    </w:p>
    <w:p>
      <w:pPr>
        <w:spacing w:after="0" w:line="160" w:lineRule="exact"/>
        <w:rPr>
          <w:rFonts w:ascii="Arial" w:cs="Arial" w:eastAsia="Arial" w:hAnsi="Arial"/>
          <w:sz w:val="17"/>
          <w:szCs w:val="17"/>
          <w:color w:val="auto"/>
        </w:rPr>
      </w:pPr>
    </w:p>
    <w:p>
      <w:pPr>
        <w:ind w:right="480" w:firstLine="8"/>
        <w:spacing w:after="0" w:line="293" w:lineRule="auto"/>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572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5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Karim Mikhail</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Date: November 3, 2021</w:t>
            </w:r>
          </w:p>
        </w:tc>
        <w:tc>
          <w:tcPr>
            <w:tcW w:w="5500" w:type="dxa"/>
            <w:vAlign w:val="bottom"/>
            <w:gridSpan w:val="2"/>
          </w:tcPr>
          <w:p>
            <w:pPr>
              <w:ind w:left="20"/>
              <w:spacing w:after="0"/>
              <w:rPr>
                <w:sz w:val="20"/>
                <w:szCs w:val="20"/>
                <w:color w:val="auto"/>
              </w:rPr>
            </w:pPr>
            <w:r>
              <w:rPr>
                <w:rFonts w:ascii="Arial" w:cs="Arial" w:eastAsia="Arial" w:hAnsi="Arial"/>
                <w:sz w:val="18"/>
                <w:szCs w:val="18"/>
                <w:color w:val="auto"/>
              </w:rPr>
              <w:t>Karim Mikhail</w:t>
            </w:r>
          </w:p>
        </w:tc>
      </w:tr>
      <w:tr>
        <w:trPr>
          <w:trHeight w:val="256"/>
        </w:trPr>
        <w:tc>
          <w:tcPr>
            <w:tcW w:w="5720" w:type="dxa"/>
            <w:vAlign w:val="bottom"/>
          </w:tcPr>
          <w:p>
            <w:pPr>
              <w:spacing w:after="0"/>
              <w:rPr>
                <w:sz w:val="22"/>
                <w:szCs w:val="22"/>
                <w:color w:val="auto"/>
              </w:rPr>
            </w:pPr>
          </w:p>
        </w:tc>
        <w:tc>
          <w:tcPr>
            <w:tcW w:w="550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720" w:type="dxa"/>
            <w:vAlign w:val="bottom"/>
          </w:tcPr>
          <w:p>
            <w:pPr>
              <w:spacing w:after="0"/>
              <w:rPr>
                <w:sz w:val="20"/>
                <w:szCs w:val="20"/>
                <w:color w:val="auto"/>
              </w:rPr>
            </w:pPr>
          </w:p>
        </w:tc>
        <w:tc>
          <w:tcPr>
            <w:tcW w:w="550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20"/>
        </w:trPr>
        <w:tc>
          <w:tcPr>
            <w:tcW w:w="5720" w:type="dxa"/>
            <w:vAlign w:val="bottom"/>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5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Michael W. Kalb</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Date: November 3, 2021</w:t>
            </w:r>
          </w:p>
        </w:tc>
        <w:tc>
          <w:tcPr>
            <w:tcW w:w="5500" w:type="dxa"/>
            <w:vAlign w:val="bottom"/>
            <w:gridSpan w:val="2"/>
          </w:tcPr>
          <w:p>
            <w:pPr>
              <w:ind w:left="20"/>
              <w:spacing w:after="0"/>
              <w:rPr>
                <w:sz w:val="20"/>
                <w:szCs w:val="20"/>
                <w:color w:val="auto"/>
              </w:rPr>
            </w:pPr>
            <w:r>
              <w:rPr>
                <w:rFonts w:ascii="Arial" w:cs="Arial" w:eastAsia="Arial" w:hAnsi="Arial"/>
                <w:sz w:val="18"/>
                <w:szCs w:val="18"/>
                <w:color w:val="auto"/>
              </w:rPr>
              <w:t>Michael W. Kalb</w:t>
            </w:r>
          </w:p>
        </w:tc>
      </w:tr>
      <w:tr>
        <w:trPr>
          <w:trHeight w:val="256"/>
        </w:trPr>
        <w:tc>
          <w:tcPr>
            <w:tcW w:w="5720" w:type="dxa"/>
            <w:vAlign w:val="bottom"/>
          </w:tcPr>
          <w:p>
            <w:pPr>
              <w:spacing w:after="0"/>
              <w:rPr>
                <w:sz w:val="22"/>
                <w:szCs w:val="22"/>
                <w:color w:val="auto"/>
              </w:rPr>
            </w:pPr>
          </w:p>
        </w:tc>
        <w:tc>
          <w:tcPr>
            <w:tcW w:w="550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5720" w:type="dxa"/>
            <w:vAlign w:val="bottom"/>
          </w:tcPr>
          <w:p>
            <w:pPr>
              <w:spacing w:after="0"/>
              <w:rPr>
                <w:sz w:val="20"/>
                <w:szCs w:val="20"/>
                <w:color w:val="auto"/>
              </w:rPr>
            </w:pPr>
          </w:p>
        </w:tc>
        <w:tc>
          <w:tcPr>
            <w:tcW w:w="550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283"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94" w:name="page95"/>
    <w:bookmarkEnd w:id="9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4"/>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upperLetter"/>
      <w:start w:val="9"/>
    </w:lvl>
  </w:abstractNum>
  <w:abstractNum w:abstractNumId="17">
    <w:nsid w:val="79838CB2"/>
    <w:multiLevelType w:val="hybridMultilevel"/>
    <w:lvl w:ilvl="0">
      <w:lvlJc w:val="left"/>
      <w:lvlText w:val="(%1)"/>
      <w:numFmt w:val="upperLetter"/>
      <w:start w:val="35"/>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3"/>
    </w:lvl>
  </w:abstractNum>
  <w:abstractNum w:abstractNumId="26">
    <w:nsid w:val="3A95F874"/>
    <w:multiLevelType w:val="hybridMultilevel"/>
    <w:lvl w:ilvl="0">
      <w:lvlJc w:val="left"/>
      <w:lvlText w:val="%1."/>
      <w:numFmt w:val="decimal"/>
      <w:start w:val="8"/>
    </w:lvl>
  </w:abstractNum>
  <w:abstractNum w:abstractNumId="27">
    <w:nsid w:val="8138641"/>
    <w:multiLevelType w:val="hybridMultilevel"/>
    <w:lvl w:ilvl="0">
      <w:lvlJc w:val="left"/>
      <w:lvlText w:val="%1."/>
      <w:numFmt w:val="decimal"/>
      <w:start w:val="11"/>
    </w:lvl>
  </w:abstractNum>
  <w:abstractNum w:abstractNumId="28">
    <w:nsid w:val="1E7FF521"/>
    <w:multiLevelType w:val="hybridMultilevel"/>
    <w:lvl w:ilvl="0">
      <w:lvlJc w:val="left"/>
      <w:lvlText w:val="%1."/>
      <w:numFmt w:val="decimal"/>
      <w:start w:val="15"/>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2021-11-03T05:20:14Z</dcterms:created>
  <dcterms:modified xsi:type="dcterms:W3CDTF">2021-11-03T05:20:14Z</dcterms:modified>
</cp:coreProperties>
</file>