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4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ind w:left="360" w:hanging="352"/>
        <w:spacing w:after="0" w:line="215" w:lineRule="auto"/>
        <w:tabs>
          <w:tab w:leader="none" w:pos="36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26" w:lineRule="exact"/>
        <w:rPr>
          <w:sz w:val="24"/>
          <w:szCs w:val="24"/>
          <w:color w:val="auto"/>
        </w:rPr>
      </w:pPr>
    </w:p>
    <w:p>
      <w:pPr>
        <w:ind w:left="520"/>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0-21392</w:t>
      </w:r>
    </w:p>
    <w:p>
      <w:pPr>
        <w:spacing w:after="0" w:line="12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1"/>
          <w:szCs w:val="41"/>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-270510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7480" w:type="dxa"/>
            <w:vAlign w:val="bottom"/>
            <w:gridSpan w:val="4"/>
          </w:tcPr>
          <w:p>
            <w:pPr>
              <w:jc w:val="center"/>
              <w:ind w:left="36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4"/>
        </w:trPr>
        <w:tc>
          <w:tcPr>
            <w:tcW w:w="44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51"/>
        </w:trPr>
        <w:tc>
          <w:tcPr>
            <w:tcW w:w="4420" w:type="dxa"/>
            <w:vAlign w:val="bottom"/>
          </w:tcPr>
          <w:p>
            <w:pPr>
              <w:jc w:val="center"/>
              <w:ind w:left="113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60" w:type="dxa"/>
            <w:vAlign w:val="bottom"/>
            <w:gridSpan w:val="3"/>
          </w:tcPr>
          <w:p>
            <w:pPr>
              <w:jc w:val="center"/>
              <w:ind w:right="17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44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760" w:type="dxa"/>
            <w:vAlign w:val="bottom"/>
            <w:gridSpan w:val="3"/>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8140" w:type="dxa"/>
            <w:vAlign w:val="bottom"/>
            <w:gridSpan w:val="5"/>
          </w:tcPr>
          <w:p>
            <w:pPr>
              <w:jc w:val="center"/>
              <w:ind w:left="2978"/>
              <w:spacing w:after="0"/>
              <w:rPr>
                <w:sz w:val="20"/>
                <w:szCs w:val="20"/>
                <w:color w:val="auto"/>
              </w:rPr>
            </w:pPr>
            <w:r>
              <w:rPr>
                <w:rFonts w:ascii="Times New Roman" w:cs="Times New Roman" w:eastAsia="Times New Roman" w:hAnsi="Times New Roman"/>
                <w:sz w:val="18"/>
                <w:szCs w:val="18"/>
                <w:b w:val="1"/>
                <w:bCs w:val="1"/>
                <w:color w:val="auto"/>
                <w:w w:val="99"/>
              </w:rPr>
              <w:t>Iconic Offices, The Greenway, Block C Ardilaun Court,</w:t>
            </w: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7480" w:type="dxa"/>
            <w:vAlign w:val="bottom"/>
            <w:gridSpan w:val="4"/>
          </w:tcPr>
          <w:p>
            <w:pPr>
              <w:jc w:val="center"/>
              <w:ind w:left="3638"/>
              <w:spacing w:after="0"/>
              <w:rPr>
                <w:sz w:val="20"/>
                <w:szCs w:val="20"/>
                <w:color w:val="auto"/>
              </w:rPr>
            </w:pPr>
            <w:r>
              <w:rPr>
                <w:rFonts w:ascii="Times New Roman" w:cs="Times New Roman" w:eastAsia="Times New Roman" w:hAnsi="Times New Roman"/>
                <w:sz w:val="18"/>
                <w:szCs w:val="18"/>
                <w:b w:val="1"/>
                <w:bCs w:val="1"/>
                <w:color w:val="auto"/>
                <w:w w:val="98"/>
              </w:rPr>
              <w:t>112-114 St Stephens Green, Dublin 2, Ireland</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88"/>
        </w:trPr>
        <w:tc>
          <w:tcPr>
            <w:tcW w:w="4420" w:type="dxa"/>
            <w:vAlign w:val="bottom"/>
          </w:tcPr>
          <w:p>
            <w:pPr>
              <w:spacing w:after="0"/>
              <w:rPr>
                <w:sz w:val="16"/>
                <w:szCs w:val="16"/>
                <w:color w:val="auto"/>
              </w:rPr>
            </w:pPr>
          </w:p>
        </w:tc>
        <w:tc>
          <w:tcPr>
            <w:tcW w:w="30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17"/>
        </w:trPr>
        <w:tc>
          <w:tcPr>
            <w:tcW w:w="4420" w:type="dxa"/>
            <w:vAlign w:val="bottom"/>
          </w:tcPr>
          <w:p>
            <w:pPr>
              <w:spacing w:after="0"/>
              <w:rPr>
                <w:sz w:val="18"/>
                <w:szCs w:val="18"/>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+353 (0) 1 6699 020</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149"/>
        </w:trPr>
        <w:tc>
          <w:tcPr>
            <w:tcW w:w="7480" w:type="dxa"/>
            <w:vAlign w:val="bottom"/>
            <w:gridSpan w:val="4"/>
          </w:tcPr>
          <w:p>
            <w:pPr>
              <w:jc w:val="center"/>
              <w:ind w:left="3638"/>
              <w:spacing w:after="0" w:line="149" w:lineRule="exact"/>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35"/>
        </w:trPr>
        <w:tc>
          <w:tcPr>
            <w:tcW w:w="8140" w:type="dxa"/>
            <w:vAlign w:val="bottom"/>
            <w:tcBorders>
              <w:bottom w:val="single" w:sz="8" w:color="auto"/>
            </w:tcBorders>
            <w:gridSpan w:val="5"/>
          </w:tcPr>
          <w:p>
            <w:pPr>
              <w:jc w:val="center"/>
              <w:ind w:left="301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7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r>
      <w:tr>
        <w:trPr>
          <w:trHeight w:val="220"/>
        </w:trPr>
        <w:tc>
          <w:tcPr>
            <w:tcW w:w="4420" w:type="dxa"/>
            <w:vAlign w:val="bottom"/>
            <w:tcBorders>
              <w:left w:val="single" w:sz="8" w:color="auto"/>
            </w:tcBorders>
          </w:tcPr>
          <w:p>
            <w:pPr>
              <w:jc w:val="center"/>
              <w:ind w:left="38"/>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700" w:type="dxa"/>
            <w:vAlign w:val="bottom"/>
          </w:tcPr>
          <w:p>
            <w:pPr>
              <w:spacing w:after="0"/>
              <w:rPr>
                <w:sz w:val="19"/>
                <w:szCs w:val="19"/>
                <w:color w:val="auto"/>
              </w:rPr>
            </w:pPr>
          </w:p>
        </w:tc>
        <w:tc>
          <w:tcPr>
            <w:tcW w:w="3760" w:type="dxa"/>
            <w:vAlign w:val="bottom"/>
            <w:tcBorders>
              <w:right w:val="single" w:sz="8" w:color="auto"/>
            </w:tcBorders>
            <w:gridSpan w:val="3"/>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0"/>
        </w:trPr>
        <w:tc>
          <w:tcPr>
            <w:tcW w:w="44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12"/>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American Depositary Shares (ADS(s)), each ADS</w:t>
            </w:r>
          </w:p>
        </w:tc>
        <w:tc>
          <w:tcPr>
            <w:tcW w:w="1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r>
      <w:tr>
        <w:trPr>
          <w:trHeight w:val="203"/>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10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r>
      <w:tr>
        <w:trPr>
          <w:trHeight w:val="210"/>
        </w:trPr>
        <w:tc>
          <w:tcPr>
            <w:tcW w:w="4420" w:type="dxa"/>
            <w:vAlign w:val="bottom"/>
          </w:tcPr>
          <w:p>
            <w:pPr>
              <w:jc w:val="center"/>
              <w:ind w:left="18"/>
              <w:spacing w:after="0"/>
              <w:rPr>
                <w:sz w:val="20"/>
                <w:szCs w:val="20"/>
                <w:color w:val="auto"/>
              </w:rPr>
            </w:pPr>
            <w:r>
              <w:rPr>
                <w:rFonts w:ascii="Times New Roman" w:cs="Times New Roman" w:eastAsia="Times New Roman" w:hAnsi="Times New Roman"/>
                <w:sz w:val="16"/>
                <w:szCs w:val="16"/>
                <w:color w:val="auto"/>
              </w:rPr>
              <w:t>Amarin Corporation plc</w:t>
            </w:r>
          </w:p>
        </w:tc>
        <w:tc>
          <w:tcPr>
            <w:tcW w:w="1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700" w:type="dxa"/>
            <w:vAlign w:val="bottom"/>
          </w:tcPr>
          <w:p>
            <w:pPr>
              <w:spacing w:after="0"/>
              <w:rPr>
                <w:sz w:val="18"/>
                <w:szCs w:val="18"/>
                <w:color w:val="auto"/>
              </w:rPr>
            </w:pPr>
          </w:p>
        </w:tc>
        <w:tc>
          <w:tcPr>
            <w:tcW w:w="3760" w:type="dxa"/>
            <w:vAlign w:val="bottom"/>
            <w:tcBorders>
              <w:right w:val="single" w:sz="8" w:color="auto"/>
            </w:tcBorders>
            <w:gridSpan w:val="3"/>
          </w:tcPr>
          <w:p>
            <w:pPr>
              <w:jc w:val="center"/>
              <w:ind w:right="659"/>
              <w:spacing w:after="0"/>
              <w:rPr>
                <w:sz w:val="20"/>
                <w:szCs w:val="20"/>
                <w:color w:val="auto"/>
              </w:rPr>
            </w:pPr>
            <w:r>
              <w:rPr>
                <w:rFonts w:ascii="Times New Roman" w:cs="Times New Roman" w:eastAsia="Times New Roman" w:hAnsi="Times New Roman"/>
                <w:sz w:val="16"/>
                <w:szCs w:val="16"/>
                <w:color w:val="auto"/>
              </w:rPr>
              <w:t>NASDAQ Stock Market LLC</w:t>
            </w:r>
          </w:p>
        </w:tc>
      </w:tr>
      <w:tr>
        <w:trPr>
          <w:trHeight w:val="3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4"/>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700" w:type="dxa"/>
            <w:vAlign w:val="bottom"/>
          </w:tcPr>
          <w:p>
            <w:pPr>
              <w:jc w:val="center"/>
              <w:ind w:right="79"/>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57"/>
        </w:trPr>
        <w:tc>
          <w:tcPr>
            <w:tcW w:w="814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7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4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28" w:lineRule="exact"/>
        <w:rPr>
          <w:sz w:val="24"/>
          <w:szCs w:val="24"/>
          <w:color w:val="auto"/>
        </w:rPr>
      </w:pPr>
    </w:p>
    <w:p>
      <w:pPr>
        <w:ind w:firstLine="37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4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300" w:firstLine="374"/>
        <w:spacing w:after="0" w:line="27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9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520" w:type="dxa"/>
            <w:vAlign w:val="bottom"/>
          </w:tcPr>
          <w:p>
            <w:pPr>
              <w:ind w:left="1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552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24"/>
                <w:szCs w:val="24"/>
                <w:color w:val="auto"/>
              </w:rPr>
            </w:pPr>
          </w:p>
        </w:tc>
      </w:tr>
    </w:tbl>
    <w:p>
      <w:pPr>
        <w:spacing w:after="0" w:line="34" w:lineRule="exact"/>
        <w:rPr>
          <w:sz w:val="24"/>
          <w:szCs w:val="24"/>
          <w:color w:val="auto"/>
        </w:rPr>
      </w:pPr>
    </w:p>
    <w:p>
      <w:pPr>
        <w:jc w:val="both"/>
        <w:ind w:right="20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w:t>
      </w:r>
    </w:p>
    <w:p>
      <w:pPr>
        <w:spacing w:after="0" w:line="26" w:lineRule="exact"/>
        <w:rPr>
          <w:sz w:val="24"/>
          <w:szCs w:val="24"/>
          <w:color w:val="auto"/>
        </w:rPr>
      </w:pPr>
    </w:p>
    <w:p>
      <w:pPr>
        <w:ind w:left="380" w:right="80" w:hanging="373"/>
        <w:spacing w:after="0" w:line="216" w:lineRule="exact"/>
        <w:rPr>
          <w:sz w:val="20"/>
          <w:szCs w:val="20"/>
          <w:color w:val="auto"/>
        </w:rPr>
      </w:pPr>
      <w:r>
        <w:rPr>
          <w:rFonts w:ascii="Times New Roman" w:cs="Times New Roman" w:eastAsia="Times New Roman" w:hAnsi="Times New Roman"/>
          <w:sz w:val="16"/>
          <w:szCs w:val="16"/>
          <w:color w:val="auto"/>
        </w:rPr>
        <w:t xml:space="preserve">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If securities are registered pursuant to Section 12(b) of the Act, indicate by check mark whether the financial statements of the registrant included in the filing reflect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the correction of an error to previously issued financial statements  </w:t>
      </w:r>
      <w:r>
        <w:rPr>
          <w:rFonts w:ascii="MS PGothic" w:cs="MS PGothic" w:eastAsia="MS PGothic" w:hAnsi="MS PGothic"/>
          <w:sz w:val="16"/>
          <w:szCs w:val="16"/>
          <w:color w:val="auto"/>
        </w:rPr>
        <w:t>☐</w:t>
      </w:r>
    </w:p>
    <w:p>
      <w:pPr>
        <w:spacing w:after="0" w:line="37" w:lineRule="exact"/>
        <w:rPr>
          <w:sz w:val="24"/>
          <w:szCs w:val="24"/>
          <w:color w:val="auto"/>
        </w:rPr>
      </w:pPr>
    </w:p>
    <w:p>
      <w:pPr>
        <w:ind w:right="180" w:firstLine="374"/>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7"/>
          <w:szCs w:val="17"/>
          <w:color w:val="auto"/>
        </w:rPr>
        <w:t>§240.10D-1(b).</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ind w:left="380"/>
        <w:spacing w:after="0" w:line="184" w:lineRule="exact"/>
        <w:tabs>
          <w:tab w:leader="none" w:pos="788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374"/>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2022 was approximately $721.2 million, based upon the closing price on the NASDAQ Global Market reported for such date.</w:t>
      </w:r>
    </w:p>
    <w:p>
      <w:pPr>
        <w:spacing w:after="0" w:line="2" w:lineRule="exact"/>
        <w:rPr>
          <w:sz w:val="24"/>
          <w:szCs w:val="24"/>
          <w:color w:val="auto"/>
        </w:rPr>
      </w:pPr>
    </w:p>
    <w:p>
      <w:pPr>
        <w:ind w:right="460" w:firstLine="374"/>
        <w:spacing w:after="0" w:line="298" w:lineRule="auto"/>
        <w:rPr>
          <w:sz w:val="20"/>
          <w:szCs w:val="20"/>
          <w:color w:val="auto"/>
        </w:rPr>
      </w:pPr>
      <w:r>
        <w:rPr>
          <w:rFonts w:ascii="Times New Roman" w:cs="Times New Roman" w:eastAsia="Times New Roman" w:hAnsi="Times New Roman"/>
          <w:sz w:val="16"/>
          <w:szCs w:val="16"/>
          <w:color w:val="auto"/>
        </w:rPr>
        <w:t>406,115,721 shares were outstanding as of February 24, 2023, including 385,785,809 shares held as American Depositary Shares (ADSs), each representing one Ordinary Share, 50 pence par value per share, and 20,329,912 Ordinary Shares.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34" w:lineRule="exact"/>
        <w:rPr>
          <w:sz w:val="24"/>
          <w:szCs w:val="24"/>
          <w:color w:val="auto"/>
        </w:rPr>
      </w:pPr>
    </w:p>
    <w:p>
      <w:pPr>
        <w:ind w:right="620" w:firstLine="374"/>
        <w:spacing w:after="0" w:line="298" w:lineRule="auto"/>
        <w:rPr>
          <w:sz w:val="20"/>
          <w:szCs w:val="20"/>
          <w:color w:val="auto"/>
        </w:rPr>
      </w:pPr>
      <w:r>
        <w:rPr>
          <w:rFonts w:ascii="Times New Roman" w:cs="Times New Roman" w:eastAsia="Times New Roman" w:hAnsi="Times New Roman"/>
          <w:sz w:val="16"/>
          <w:szCs w:val="16"/>
          <w:color w:val="auto"/>
        </w:rPr>
        <w:t>Certain information required to be disclosed in Part III of this Annual Report on Form 10-K is incorporated by reference from the registrant’s definitive proxy statement to be filed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gridSpan w:val="16"/>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3"/>
          </w:tcPr>
          <w:p>
            <w:pPr>
              <w:jc w:val="center"/>
              <w:ind w:right="426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9"/>
                <w:szCs w:val="19"/>
                <w:color w:val="auto"/>
              </w:rPr>
            </w:pPr>
          </w:p>
        </w:tc>
        <w:tc>
          <w:tcPr>
            <w:tcW w:w="3520" w:type="dxa"/>
            <w:vAlign w:val="bottom"/>
            <w:gridSpan w:val="16"/>
          </w:tcPr>
          <w:p>
            <w:pPr>
              <w:spacing w:after="0"/>
              <w:rPr>
                <w:sz w:val="19"/>
                <w:szCs w:val="19"/>
                <w:color w:val="auto"/>
              </w:rPr>
            </w:pPr>
          </w:p>
        </w:tc>
        <w:tc>
          <w:tcPr>
            <w:tcW w:w="580" w:type="dxa"/>
            <w:vAlign w:val="bottom"/>
            <w:tcBorders>
              <w:top w:val="single" w:sz="8" w:color="0000FF"/>
            </w:tcBorders>
            <w:gridSpan w:val="2"/>
          </w:tcPr>
          <w:p>
            <w:pPr>
              <w:spacing w:after="0"/>
              <w:rPr>
                <w:sz w:val="19"/>
                <w:szCs w:val="19"/>
                <w:color w:val="auto"/>
              </w:rPr>
            </w:pPr>
          </w:p>
        </w:tc>
        <w:tc>
          <w:tcPr>
            <w:tcW w:w="4300" w:type="dxa"/>
            <w:vAlign w:val="bottom"/>
            <w:gridSpan w:val="10"/>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020" w:type="dxa"/>
            <w:vAlign w:val="bottom"/>
            <w:gridSpan w:val="19"/>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9"/>
                <w:szCs w:val="19"/>
                <w:color w:val="auto"/>
              </w:rPr>
            </w:pPr>
          </w:p>
        </w:tc>
        <w:tc>
          <w:tcPr>
            <w:tcW w:w="7700" w:type="dxa"/>
            <w:vAlign w:val="bottom"/>
            <w:gridSpan w:val="2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7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20" w:type="dxa"/>
            <w:vAlign w:val="bottom"/>
            <w:tcBorders>
              <w:bottom w:val="single" w:sz="8" w:color="0000EE"/>
            </w:tcBorders>
          </w:tcPr>
          <w:p>
            <w:pPr>
              <w:spacing w:after="0"/>
              <w:rPr>
                <w:sz w:val="24"/>
                <w:szCs w:val="24"/>
                <w:color w:val="auto"/>
              </w:rPr>
            </w:pPr>
          </w:p>
        </w:tc>
        <w:tc>
          <w:tcPr>
            <w:tcW w:w="4240" w:type="dxa"/>
            <w:vAlign w:val="bottom"/>
            <w:gridSpan w:val="8"/>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0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760" w:type="dxa"/>
            <w:vAlign w:val="bottom"/>
            <w:gridSpan w:val="1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80" w:type="dxa"/>
            <w:vAlign w:val="bottom"/>
            <w:gridSpan w:val="3"/>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9"/>
                <w:szCs w:val="19"/>
                <w:color w:val="auto"/>
              </w:rPr>
            </w:pPr>
          </w:p>
        </w:tc>
        <w:tc>
          <w:tcPr>
            <w:tcW w:w="420" w:type="dxa"/>
            <w:vAlign w:val="bottom"/>
            <w:tcBorders>
              <w:top w:val="single" w:sz="8" w:color="0000FF"/>
            </w:tcBorders>
            <w:gridSpan w:val="3"/>
          </w:tcPr>
          <w:p>
            <w:pPr>
              <w:spacing w:after="0"/>
              <w:rPr>
                <w:sz w:val="19"/>
                <w:szCs w:val="19"/>
                <w:color w:val="auto"/>
              </w:rPr>
            </w:pPr>
          </w:p>
        </w:tc>
        <w:tc>
          <w:tcPr>
            <w:tcW w:w="7300" w:type="dxa"/>
            <w:vAlign w:val="bottom"/>
            <w:gridSpan w:val="21"/>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16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22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960" w:type="dxa"/>
            <w:vAlign w:val="bottom"/>
            <w:gridSpan w:val="15"/>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20" w:type="dxa"/>
            <w:vAlign w:val="bottom"/>
            <w:gridSpan w:val="5"/>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4"/>
          </w:tcPr>
          <w:p>
            <w:pPr>
              <w:jc w:val="center"/>
              <w:ind w:right="4240"/>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900" w:type="dxa"/>
            <w:vAlign w:val="bottom"/>
          </w:tcPr>
          <w:p>
            <w:pPr>
              <w:spacing w:after="0"/>
              <w:rPr>
                <w:sz w:val="24"/>
                <w:szCs w:val="24"/>
                <w:color w:val="auto"/>
              </w:rPr>
            </w:pP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960" w:type="dxa"/>
            <w:vAlign w:val="bottom"/>
            <w:gridSpan w:val="3"/>
          </w:tcPr>
          <w:p>
            <w:pPr>
              <w:spacing w:after="0"/>
              <w:rPr>
                <w:sz w:val="19"/>
                <w:szCs w:val="19"/>
                <w:color w:val="auto"/>
              </w:rPr>
            </w:pPr>
          </w:p>
        </w:tc>
        <w:tc>
          <w:tcPr>
            <w:tcW w:w="700" w:type="dxa"/>
            <w:vAlign w:val="bottom"/>
            <w:tcBorders>
              <w:top w:val="single" w:sz="8" w:color="0000FF"/>
            </w:tcBorders>
            <w:gridSpan w:val="6"/>
          </w:tcPr>
          <w:p>
            <w:pPr>
              <w:spacing w:after="0"/>
              <w:rPr>
                <w:sz w:val="19"/>
                <w:szCs w:val="19"/>
                <w:color w:val="auto"/>
              </w:rPr>
            </w:pPr>
          </w:p>
        </w:tc>
        <w:tc>
          <w:tcPr>
            <w:tcW w:w="4240" w:type="dxa"/>
            <w:vAlign w:val="bottom"/>
            <w:gridSpan w:val="8"/>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0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71"/>
        </w:trPr>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568"/>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9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SPECIAL NOTE REGARDING</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 AND INDUSTRY DATA</w:t>
      </w:r>
    </w:p>
    <w:p>
      <w:pPr>
        <w:spacing w:after="0" w:line="153"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and benefits and market opportunity for VASCEPA (brand name VAZKEPA in Europe but predominately referenced in this document by its brand name in the United States and other countries where it is approved, VASCEPA or icosapent ethyl) and factors that can affect such success; plans to obtain regulatory approvals and favorable market access and pricing in several jurisdictions, to expand promotion of VASCEPA and statements regarding cost and pricing of VASCEPA and other treatments;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4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2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2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79"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to “Amarin,” the “Company,” “we,” “our” and “us” refer to Amarin Corporation plc and its subsidiaries, on a consolidated basis, unless otherwise indicated.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w:t>
      </w:r>
    </w:p>
    <w:p>
      <w:pPr>
        <w:spacing w:after="0" w:line="12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principal office is located at Iconic Offices, The Greenway, Block C Ardilaun Court, 112-114 St Stephens Green, Dublin 2 Ireland. Our registered office is located at One New Change, London EC4M 9AF, England. Our primary office for our European market access team is located at Überbauung Metalli, Gotthardstrasse 2, Zug CH-6300, Switzerland. Our primary office in the United States is located at 440 Route 22, Bridgewater, NJ 08807, USA. Our telephone number at that location is (908) 719-1315.</w:t>
      </w:r>
    </w:p>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Annual Report on Form 10-K, our ordinary shares may also be referred to as “common shares” or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00" w:firstLine="509"/>
        <w:spacing w:after="0" w:line="235"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w:t>
      </w:r>
    </w:p>
    <w:p>
      <w:pPr>
        <w:spacing w:after="0" w:line="14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directly by us or to and through our collaborations with third-party companies.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Since VASCEPA was made commercially available in 2013, more than twenty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 with a 1-gram capsule:</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(1)</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bl>
    <w:p>
      <w:pPr>
        <w:spacing w:after="0" w:line="152" w:lineRule="exact"/>
        <w:rPr>
          <w:sz w:val="20"/>
          <w:szCs w:val="20"/>
          <w:color w:val="auto"/>
        </w:rPr>
      </w:pPr>
    </w:p>
    <w:p>
      <w:pPr>
        <w:ind w:left="5580" w:right="3680" w:hanging="5063"/>
        <w:spacing w:after="0" w:line="532" w:lineRule="auto"/>
        <w:tabs>
          <w:tab w:leader="none" w:pos="7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Teva launched a 0.5-gram capsule in September 2022 and a 1-gram capsule in January 2023.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jc w:val="both"/>
        <w:ind w:right="200" w:firstLine="509"/>
        <w:spacing w:after="0" w:line="281" w:lineRule="auto"/>
        <w:rPr>
          <w:sz w:val="20"/>
          <w:szCs w:val="20"/>
          <w:color w:val="auto"/>
        </w:rPr>
      </w:pPr>
      <w:r>
        <w:rPr>
          <w:rFonts w:ascii="Times New Roman" w:cs="Times New Roman" w:eastAsia="Times New Roman" w:hAnsi="Times New Roman"/>
          <w:sz w:val="18"/>
          <w:szCs w:val="18"/>
          <w:color w:val="auto"/>
        </w:rPr>
        <w:t>In June 2022, to address shifts within our U.S. business due to these generic competitors, we announced a comprehensive cost and organizational restructuring plan which is expected to result in savings of $100.0 million over the subsequent twelve months compared to 2021 operating expenses. Our U.S. cost reduction plan included:</w:t>
      </w:r>
    </w:p>
    <w:p>
      <w:pPr>
        <w:spacing w:after="0" w:line="54" w:lineRule="exact"/>
        <w:rPr>
          <w:sz w:val="20"/>
          <w:szCs w:val="20"/>
          <w:color w:val="auto"/>
        </w:rPr>
      </w:pPr>
    </w:p>
    <w:p>
      <w:pPr>
        <w:ind w:left="1020" w:right="1060" w:hanging="503"/>
        <w:spacing w:after="0" w:line="28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workforce reduction: </w:t>
      </w:r>
      <w:r>
        <w:rPr>
          <w:rFonts w:ascii="Times New Roman" w:cs="Times New Roman" w:eastAsia="Times New Roman" w:hAnsi="Times New Roman"/>
          <w:sz w:val="18"/>
          <w:szCs w:val="18"/>
          <w:color w:val="auto"/>
        </w:rPr>
        <w:t>The reduction of our U.S. field force and corporate positions. Our U.S. field force was reduced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300 sales representatives to approximately 75 sales representatives.</w:t>
      </w:r>
    </w:p>
    <w:p>
      <w:pPr>
        <w:spacing w:after="0" w:line="50"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Streamlined operational expenditures: </w:t>
      </w:r>
      <w:r>
        <w:rPr>
          <w:rFonts w:ascii="Times New Roman" w:cs="Times New Roman" w:eastAsia="Times New Roman" w:hAnsi="Times New Roman"/>
          <w:sz w:val="18"/>
          <w:szCs w:val="18"/>
          <w:color w:val="auto"/>
        </w:rPr>
        <w:t>Includes reductions and reallocations in overall selling, general and administrative expenses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related to refining our research and development strategy to a more focused, stepwise approach for our fixed-dose combination, or FDC, program.</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In alignment with our U.S. cost reduction plan, our focus is primarily on engaging with our top VASCEPA brand prescribers, maintaining our exclusive formulary coverage with specific payers, and implementing targeted promotional initiatives amid the continued pressure from generic competitors.</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7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thirteen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general organization reimbursement. In countries where individual price reimbursement allowed prior to national reimbursement, product can be made available on a patient by patient basis, while national reimbursement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on Form 10-K, we have received and made VAZKEPA available under individual reimbursement or received national reimbursement and launched commercial operations in the following countries,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order to launch impactfully throughout Europe, we are building a core team of experienced professionals and highly capable local commercial teams involved with pre-launch planning and other commercial preparation activities and we are leveraging third-party relationships for various support activities. We are implementing an impactful and cost-effective hybrid commercial model balancing optimally digital and face-to-face approach, which will be utilized throughout Europe as launches are rolled out.</w:t>
      </w:r>
    </w:p>
    <w:p>
      <w:pPr>
        <w:spacing w:after="0" w:line="12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individual physician level. Generally, less data is available and at reduced frequencies than in the United States. However, this greater concentration of at-risk patients being treated by specialists in Europe should allow for more efficient promotion in Europe than in the United States. In Europe, VAZKEPA has the benefit of ten years of market protection, and we have been issued a patent that expires in 2033 with additional pending applications that could extend exclusivity into 2039.</w:t>
      </w:r>
    </w:p>
    <w:p>
      <w:pPr>
        <w:spacing w:after="0" w:line="1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as part of the German reimbursement process, VAZKEPA was made available in Germany with temporary reimbursement while negotiations for final reimbursement were ongoing and VAZKEPA was included in the country's electronic prescribing system as of October 1, 2021. On August 19, 2022, reimbursement negotiations were concluded without agreement. As a result, we discontinued our German business operations as of September 1, 2022. Following the local reimbursement process and initiated by G-KV, we moved to the Arbitration Board. In November 2022, the Arbitration Board process was concluded without reaching a deal. German legislation allows re-submission of a pricing and reimbursement dossier with new data and we plan to resubmit once we have a new dossier ready.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February 2015, we entered into an exclusive agreement with Eddingpharm (Asia) Macao Commercial Offshore Limited, or Edding, to develop and commercialize VASCEPA in what we refer to as the China Territory, consisting of the territories of Mainland China, Hong Kong, Macau and Taiwan. On February 23, 2022 the Hong Kong Department of Health completed their evaluation of the clinical trial conducted in China and approved the use of VASCEPA under the REDUCE-IT indication. In China, on October 10, 2022, following the completion of product testing by the China National Institutes for Food and Drug Control, or NIFDC, the final National Medical Products Administration, or NMPA, review of the VASCEPA NDA was initiated with Edding expecting approval by the end of 2022. Due to delays at the Center for Drug Evaluation, or CDE, as a result of the resurgence of COVID-19 in the Beijing area at the end of 2022, Edding has communicated that an approval in Mainland China could be achieved by mid-year of 2023.</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2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180" w:type="dxa"/>
            <w:vAlign w:val="bottom"/>
          </w:tcPr>
          <w:p>
            <w:pPr>
              <w:spacing w:after="0"/>
              <w:rPr>
                <w:sz w:val="16"/>
                <w:szCs w:val="16"/>
                <w:color w:val="auto"/>
              </w:rPr>
            </w:pPr>
          </w:p>
        </w:tc>
        <w:tc>
          <w:tcPr>
            <w:tcW w:w="14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0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2018</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rPr>
              <w:t>August 2021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80" w:type="dxa"/>
            <w:vAlign w:val="bottom"/>
          </w:tcPr>
          <w:p>
            <w:pPr>
              <w:spacing w:after="0"/>
              <w:rPr>
                <w:sz w:val="20"/>
                <w:szCs w:val="20"/>
                <w:color w:val="auto"/>
              </w:rPr>
            </w:pPr>
          </w:p>
        </w:tc>
        <w:tc>
          <w:tcPr>
            <w:tcW w:w="14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October 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80" w:type="dxa"/>
            <w:vAlign w:val="bottom"/>
          </w:tcPr>
          <w:p>
            <w:pPr>
              <w:spacing w:after="0"/>
              <w:rPr>
                <w:sz w:val="20"/>
                <w:szCs w:val="20"/>
                <w:color w:val="auto"/>
              </w:rPr>
            </w:pPr>
          </w:p>
        </w:tc>
        <w:tc>
          <w:tcPr>
            <w:tcW w:w="14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April 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Canadian regulatory authority has granted priority review status for the upcoming New Drug Submission, which was filed in April 2019.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As of December 31, 2022, reimbursement coverage is approximately 70% of publicly covered lives and 95% for private coverage. Public reimbursement is now available in Ontario, Quebec, Saskatchewan, New Brunswick Northwest Territories and for the Non-Insured Health Benefits program for the First Nations and Inuit people.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continue to assess other potential partnership opportunities for VASCEPA with companies outside of the United States and Europe with the intention of partnering in all other international markets where VASCEPA receives local regulatory approval. We have completed the first of a three year plan to submit and obtain regulatory approval in 20 additional countries in order to ensure that patients in the top 50 cardiometabolic markets worldwide can benefit from VASCEPA. Through the date of this Annual Report on Form 10-K, we have filed for regulatory review in 10 countries and have received approval in seven countries outside of European Medicines Agency, or EMA, regulatory approval authority, including in Switzerland, Australia and New Zealand, under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6" w:name="page7"/>
    <w:bookmarkEnd w:id="6"/>
    <w:p>
      <w:pPr>
        <w:ind w:right="480"/>
        <w:spacing w:after="0" w:line="282" w:lineRule="auto"/>
        <w:rPr>
          <w:sz w:val="20"/>
          <w:szCs w:val="20"/>
          <w:color w:val="auto"/>
        </w:rPr>
      </w:pPr>
      <w:r>
        <w:rPr>
          <w:rFonts w:ascii="Times New Roman" w:cs="Times New Roman" w:eastAsia="Times New Roman" w:hAnsi="Times New Roman"/>
          <w:sz w:val="18"/>
          <w:szCs w:val="18"/>
          <w:color w:val="auto"/>
        </w:rPr>
        <w:t>REDUCE-IT indication. In February 2023, we entered into an agreement with CSL Seqirus to secure pricing and reimbursement, commercialize and distribute VAZKEPA in Australia and New Zealand.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REDUCE-IT Study (basis for expanded U.S. FDA approved indication and label expansion in December 2019)</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REDUCE-IT study was designed to evaluate the efficacy of VASCEPA in reducing major cardiovascular events in an at-risk patient population also receiving statin therapy. REDUCE-IT was a multinational,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was comprised of patients on optimized statin therapy plus placebo. The active arm of the study was comprised of patients on optimized statin therapy plus VASCEPA. All subjects enrolled in the study had elevated triglyceride levels and either established coronary heart disease or risk factors for coronary heart disease.</w:t>
      </w:r>
    </w:p>
    <w:p>
      <w:pPr>
        <w:spacing w:after="0" w:line="133"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August 2011, we reached agreement with the U.S. FDA on a special protocol assessment, or SPA, agreement for the design of the REDUCE-IT cardiovascular outcomes study. An SPA is an evaluation by the U.S. FDA of a protocol with the goal of reaching an agreement that the Phase 3 trial protocol design, clinical endpoints, and statistical analyses are acceptable to support regulatory approval. The U.S. FDA agreed that, based on the information we submitted to the agency, the design and planned analysis of the REDUCE-IT study adequately addressed the objectives necessary to support a regulatory submission. An SPA is generally binding upon the U.S. FDA unless a substantial scientific issue essential to determining safety or efficacy of the drug is identified after the testing begins.</w:t>
      </w:r>
    </w:p>
    <w:p>
      <w:pPr>
        <w:spacing w:after="0" w:line="13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It is believed that the effects of the omega-3 acid eicosapentaenoic acid, or EPA, are not due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With respect to triglyceride levels, our scientific rationale for the REDUCE-IT study was supported by (i) epidemiological data that suggests elevated triglyceride levels correlate with increased cardiovascular disease risk, (ii) genetic data that suggest triglyceride and/or triglyceride-rich lipoproteins (as well as LDL-C, known as bad cholesterol) are independently in the causal pathway for cardiovascular disease and (iii) clinical data that suggest substantial triglyceride reduction in patients with elevated baseline triglyceride levels correlates with reduced cardiovascular risk. The REDUCE-IT study was designed to determine the clinical benefit, if any, of stable EPA therapy in statin-treated patients with elevated triglyceride levels.</w:t>
      </w:r>
    </w:p>
    <w:p>
      <w:pPr>
        <w:spacing w:after="0" w:line="13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September 2011, we engaged a clinical research organization, or CRO, and began initial trial and clinical site preparation for REDUCE-IT. In December 2011, we announced that the first patient was dosed in the study. In 2016, we completed patient enrollment and randomization of 8,179 individual patients into the REDUCE-IT study. Our personnel remained blinded to the efficacy and safety data from the REDUCE-IT study until after the study was completed and the database was locked in 2018.</w:t>
      </w:r>
    </w:p>
    <w:p>
      <w:pPr>
        <w:spacing w:after="0" w:line="1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November 10, 2018, we announced primary results from our REDUCE-IT study as late-breaking clinical results at the 2018 Scientific Sessions of the AHA and the results were concurrently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REDUCE-IT met its primary endpoint demonstrating a 25% RRR, to a high degree of statistical significance (p&lt;0.001), in first occurrence of MACE in the intent-to-treat patient population with use of VASCEPA 4 grams/day as compared to placebo. Patients qualified to enroll in REDUCE-IT had LDL-C between 41-100 mg/dL (median baseline LDL-C 75 mg/dL) controlled by statin therapy and various cardiovascular risk factors including persistent elevated TG between 135-499 mg/dL (median baseline 216 mg/dL) and either established cardiovascular disease (secondary prevention cohort) or age 50 or more with diabetes mellitus and at least one other CV risk factor (primary prevention cohort). Approximately 59% of the patients had diabetes at baseline, approximately 71% of the patients had established cardiovascular disease at time of enrollment and approximately 29% were primary prevention subjects at high risk for cardiovascular disease. REDUCE-IT also showed a 26% RRR in its key secondary composite endpoint of cardiovascular death, heart attacks and stroke (p&lt;0.001). We expended more than $300.0 million to fund completion of the REDUCE-IT study.</w:t>
      </w:r>
    </w:p>
    <w:p>
      <w:pPr>
        <w:spacing w:after="0" w:line="1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VASCEPA in the REDUCE-IT study demonstrated a number needed to treat, or NNT, of 21 for the first occurrence of MACE in the 5-point primary composite endpoint. NNT is a statistical concept intended to provide a measurement of the impact of a medicine or therapy by estimating the number of patients that need to be treated in order to have an impact on one person.</w:t>
      </w:r>
    </w:p>
    <w:p>
      <w:pPr>
        <w:spacing w:after="0" w:line="12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An additional seven secondary endpoints were achieved below the key secondary endpoint, in order of sequential statistical testing within the prespecified hierarchy:</w:t>
      </w:r>
    </w:p>
    <w:p>
      <w:pPr>
        <w:spacing w:after="0" w:line="54" w:lineRule="exact"/>
        <w:rPr>
          <w:sz w:val="20"/>
          <w:szCs w:val="20"/>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or nonfatal heart attack: 25%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heart attack: 31% RRR (p&lt;0.001)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or emergent revascularization: 35% RRR (p&lt;0.001)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 w:name="page8"/>
    <w:bookmarkEnd w:id="7"/>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Cardiovascular death: 20% RRR (p=0.03)</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Hospitalization for unstable angina: 32% RRR (p=0.002)</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Fatal or nonfatal stroke: 28% RRR (p=0.01)</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nonfatal heart attack or nonfatal stroke: 23% RRR (p&lt;0.001)</w:t>
      </w:r>
    </w:p>
    <w:p>
      <w:pPr>
        <w:spacing w:after="0" w:line="17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next prespecified secondary endpoint in the hierarchy was the only such endpoint that did not achieve statistical significance although it trended positively:</w:t>
      </w:r>
    </w:p>
    <w:p>
      <w:pPr>
        <w:spacing w:after="0" w:line="54" w:lineRule="exact"/>
        <w:rPr>
          <w:sz w:val="20"/>
          <w:szCs w:val="20"/>
          <w:color w:val="auto"/>
        </w:rPr>
      </w:pPr>
    </w:p>
    <w:p>
      <w:pPr>
        <w:ind w:left="1280" w:hanging="388"/>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mortality, which includes mortality from non-cardiovascular and cardiovascular events: 13% RRR (p=0.09)</w:t>
      </w:r>
    </w:p>
    <w:p>
      <w:pPr>
        <w:spacing w:after="0" w:line="17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Positive REDUCE-IT results were consistent across various patient subgroups, including female/male, diabetic/non-diabetic and secondary/primary prevention.</w:t>
      </w:r>
    </w:p>
    <w:p>
      <w:pPr>
        <w:spacing w:after="0" w:line="10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Overall adverse event rates in REDUCE-IT were similar across treatment groups and VASCEPA was well tolerated. VASCEPA was associated with an increase (3% vs 2%) in the reported rate of atrial fibrillation or atrial flutter requiring hospitalization in a double-blind, placebo-controlled trial. The incidence of atrial fibrillation was greater in patients with a previous history of atrial fibrillation or atrial flutter. It is not known whether patients with allergies to fish and/or shellfish are at an increased risk of an allergic reaction to VASCEPA. VASCEPA was associated with an increase (12% vs 10%) in the reported rate of bleeding in a double-blind, placebo-controlled trial. The reported incidence of bleeding was greater in patients receiving concomitant antithrombotic medications, such as aspirin, clopidogrel or warfarin.</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Common adverse reactions in the cardiovascular outcomes trial (incidence ≥3% and ≥1% more frequent than placebo) were: musculoskeletal pain (4% vs 3%), peripheral edema (7% vs 5%), constipation (5% vs 4%), gout (4% vs 3%), and atrial fibrillation (5% vs 4%). Common adverse reactions in the hypertriglyceridemia trials (incidence &gt;1% more frequent than placebo) were: arthralgia (2% vs 1%) and oropharyngeal pain (1% vs 0.3%). Patients receiving VASCEPA and concomitant anticoagulants and/or anti-platelet agents for bleeding are to be monitored. In the REDUCE-IT trial, cardiovascular benefits appeared not to be influenced significantly by TG levels at baseline (above or below 150 mg/dL baseline range) or as achieved at one year, potentially suggesting mechanisms at work with use of VASCEPA that are independent of baseline TG levels or therapy-driven reduction in TG levels. Determining the mechanisms responsible for the benefit shown in REDUCE-IT was not the focus of REDUCE-IT. As summarized from the primary results of REDUCE-IT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potential VASCEPA mechanisms of action at work in REDUCE-IT may include TG reduction, anti-thrombotic effects, antiplatelet or anticoagulant effects, membrane-stabilizing effects, effects on stabilization and/or regression of coronary plaque and inflammation reduction, each as supported by earlier stage mechanistic studies.</w:t>
      </w:r>
    </w:p>
    <w:p>
      <w:pPr>
        <w:spacing w:after="0" w:line="14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U.S. FDA granted Priority Review designation to our March 2019 supplemental new drug application, or sNDA, seeking an expanded indication for VASCEPA in the United States based on the positive results of the REDUCE-IT study. The U.S. FDA grants Priority Review designation to applications for drugs that, if approved, have the potential to offer significant improvements in the effectiveness and safety of the treatment of serious conditions when compared to standard applications. In November 2019, the U.S.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U.S. FDA approved a new indication and label expansion for VASCEPA capsules. VASCEPA is the first and only drug approved by the U.S.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4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on Form 10-K, 30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fourth quarter of 2022 as listed below:</w:t>
      </w:r>
    </w:p>
    <w:p>
      <w:pPr>
        <w:spacing w:after="0" w:line="72" w:lineRule="exact"/>
        <w:rPr>
          <w:sz w:val="20"/>
          <w:szCs w:val="20"/>
          <w:color w:val="auto"/>
        </w:rPr>
      </w:pPr>
    </w:p>
    <w:p>
      <w:pPr>
        <w:ind w:left="1020" w:right="1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the American Society of Preventive Cardiology published a clinical practice statement delineating key attributes that define the field of preventive cardiology, including that REDUCE-IT established that icosapent ethyl, or IPE, reduced CV events among patients fasting TG 135 to 499 mg/dL and that results from REDUCE-IT have not been replicated in trials using mixed omega-3 fatty acids suggesting that the CV benefit is attributed to EPA.</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NICE released its guidelines on lipid management, which included that IPE is recommended for patients with established CVD and elevated fasting TG and who are taking statins with LDL-C levels between 1.04 and 2.60 mmol/L, as per the REDUCE-IT results.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8" w:name="page9"/>
    <w:bookmarkEnd w:id="8"/>
    <w:p>
      <w:pPr>
        <w:ind w:left="1020" w:right="10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Finnish Medical Association and the Finnish Association of Internists published updated guidelines on dyslipidemia treatment, including that IPE is indicated for patients on statin therapy who have elevated TG levels and are at particularly high risk for arterial disease.</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National Society of Cardiometabolic Medicine in China released its consensus statement on the role of omega-3 fatty acids in the prevention and treatment of CVD in Chinese patients. The consensus statement reviewed current knowledge about omega-3 fatty acids and their use in managing CVD in the Chinese population. The following key recommendations were included on use of IPE:</w:t>
      </w:r>
    </w:p>
    <w:p>
      <w:pPr>
        <w:spacing w:after="0" w:line="67" w:lineRule="exact"/>
        <w:rPr>
          <w:rFonts w:ascii="Times New Roman" w:cs="Times New Roman" w:eastAsia="Times New Roman" w:hAnsi="Times New Roman"/>
          <w:sz w:val="18"/>
          <w:szCs w:val="18"/>
          <w:color w:val="auto"/>
        </w:rPr>
      </w:pPr>
    </w:p>
    <w:p>
      <w:pPr>
        <w:ind w:left="1540" w:right="4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oHigh-dose IPE can confer CV benefits in patients with high TG levels at high risk for ASCVD and who have additional CV risk factors.</w:t>
      </w:r>
    </w:p>
    <w:p>
      <w:pPr>
        <w:spacing w:after="0" w:line="53" w:lineRule="exact"/>
        <w:rPr>
          <w:rFonts w:ascii="Times New Roman" w:cs="Times New Roman" w:eastAsia="Times New Roman" w:hAnsi="Times New Roman"/>
          <w:sz w:val="18"/>
          <w:szCs w:val="18"/>
          <w:color w:val="auto"/>
        </w:rPr>
      </w:pPr>
    </w:p>
    <w:p>
      <w:pPr>
        <w:ind w:left="1540" w:right="22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oEPA levels may be the driving force behind CV benefit reported with IPE, a concept supported by JELIS and REDUCE-IT trials in which serum EPA levels were inversely associated with CV risk in a dose-response relationship as well as in a sub-analysis of REDUCE-IT, which showed that the CV reduction reported with IPE was attributed to changes in EPA levels rather than lipid biomarkers.</w:t>
      </w:r>
    </w:p>
    <w:p>
      <w:pPr>
        <w:spacing w:after="0" w:line="71" w:lineRule="exact"/>
        <w:rPr>
          <w:rFonts w:ascii="Times New Roman" w:cs="Times New Roman" w:eastAsia="Times New Roman" w:hAnsi="Times New Roman"/>
          <w:sz w:val="18"/>
          <w:szCs w:val="18"/>
          <w:color w:val="auto"/>
        </w:rPr>
      </w:pPr>
    </w:p>
    <w:p>
      <w:pPr>
        <w:ind w:left="1540" w:right="1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oIPE is the only omega-3 fatty acid approved by the FDA, Health Canada and the European Medicines Agency, or EMA, for CV risk reduction in patients with CVD or diabetes with other ASCVD risk factors.</w:t>
      </w:r>
    </w:p>
    <w:p>
      <w:pPr>
        <w:spacing w:after="0" w:line="10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2022, we announced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 post hoc sub-analysis of REDUCE-IT, published in the Journal of the American Heart Association, or JAHA, found VASCEPA reduced the risk of cardiovascular death, strokes, heart attacks, coronary revascularization and unstable angina by 34% in patients with a history of percutaneous coronary intervention, or PCI, noting 8.5% and 5.4% absolute risk reductions, respectively, for the primary and secondary composite endpoints.</w:t>
      </w:r>
    </w:p>
    <w:p>
      <w:pPr>
        <w:spacing w:after="0" w:line="71"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a post hoc sub-analysis of REDUCE-IT, published in the Journal of the American College of Cardiology found VASCEPA significantly reduced the total ischemic event risk of cardiovascular death, stroke, myocardial infarction, coronary revascularization, or hospitalization for unstable angina by 35% in patients who had a prior heart attack.</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presented data at the 2022 European Society of Cardiology Congress that VASCEPA significantly reduced ST-segment elevation myocardial infarction by 40% and non-ST segment elevated myocardial by 27%.</w:t>
      </w:r>
    </w:p>
    <w:p>
      <w:pPr>
        <w:spacing w:after="0" w:line="53" w:lineRule="exact"/>
        <w:rPr>
          <w:rFonts w:ascii="Times New Roman" w:cs="Times New Roman" w:eastAsia="Times New Roman" w:hAnsi="Times New Roman"/>
          <w:sz w:val="18"/>
          <w:szCs w:val="18"/>
          <w:color w:val="auto"/>
        </w:rPr>
      </w:pPr>
    </w:p>
    <w:p>
      <w:pPr>
        <w:ind w:left="1020" w:right="340" w:hanging="503"/>
        <w:spacing w:after="0" w:line="31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a post hoc exploratory analysis of REDUCE-IT found VASCEPA significantly reduced the risk of cardiovascular death, strokes, heart attacks, coronary revascularization and unstable angina in current/former smokers by 23% and former smokers by 29%.</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MARINE Trial (first U.S. FDA-approved label for VASCEPA approved in July 2012)</w:t>
      </w:r>
    </w:p>
    <w:p>
      <w:pPr>
        <w:spacing w:after="0" w:line="8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MARINE trial was a Phase 3, multi-center, placebo-controlled, randomized, double-blind, 12-week study for patients with very high triglycerides which was completed in 2010.</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 VASCEPA was well tolerated in the MARINE trial, with a safety profile comparable to placebo and there were no treatment-related serious adverse events observed.</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Observed Clinical Safety of VASCEPA in MARINE, ANCHOR and Early Development</w:t>
      </w:r>
    </w:p>
    <w:p>
      <w:pPr>
        <w:spacing w:after="0" w:line="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2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Prior to commencing the REDUCE-IT, MARINE and ANCHOR trials, we conducted a pre-clinical program for VASCEPA, including toxicology and pharmacology studies. In addition, we previously investigated VASCEPA in central nervous system disorders in several double-blind, placebo-controlled studies, including Phase 3 trials in Huntington’s disease. Over 1,000 patients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9" w:name="page10"/>
    <w:bookmarkEnd w:id="9"/>
    <w:p>
      <w:pPr>
        <w:ind w:right="180"/>
        <w:spacing w:after="0" w:line="282" w:lineRule="auto"/>
        <w:rPr>
          <w:sz w:val="20"/>
          <w:szCs w:val="20"/>
          <w:color w:val="auto"/>
        </w:rPr>
      </w:pPr>
      <w:r>
        <w:rPr>
          <w:rFonts w:ascii="Times New Roman" w:cs="Times New Roman" w:eastAsia="Times New Roman" w:hAnsi="Times New Roman"/>
          <w:sz w:val="18"/>
          <w:szCs w:val="18"/>
          <w:color w:val="auto"/>
        </w:rPr>
        <w:t>were dosed with VASCEPA in these studies, with over 100 receiving continuous treatment for a year or more. In all studies performed to date, VASCEPA has shown a favorable safety and tolerability profile.</w:t>
      </w:r>
    </w:p>
    <w:p>
      <w:pPr>
        <w:spacing w:after="0" w:line="10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REDUCE-IT,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Study in China</w:t>
      </w:r>
    </w:p>
    <w:p>
      <w:pPr>
        <w:spacing w:after="0" w:line="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Edding completed a Phase 3 study of VASCEPA in China, the study design of which was similar to, but larger than, our MARINE study. In November 2020, along with Edding, we announced statistically significant topline positive results.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23, 2022, the Hong Kong Department of Health completed their evaluation and approved the use of VASCEPA under the REDUCE-IT indication. Edding has communicated that an approval in Mainland China could be achieved by mid-year of 2023.</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Mochida</w:t>
      </w:r>
    </w:p>
    <w:p>
      <w:pPr>
        <w:spacing w:after="0" w:line="9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Japan, ethyl-EPA is marketed under the product name of Epadel by Mochida Pharmaceutical Co., Ltd., or Mochida, and is indicated for hyperlipidemia and peripheral vascular disease.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150 mg/dL (median of 272 mg/dL at entry) and HDL-C &lt;40 mg/dL.</w:t>
      </w:r>
    </w:p>
    <w:p>
      <w:pPr>
        <w:spacing w:after="0" w:line="12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w:t>
      </w:r>
    </w:p>
    <w:p>
      <w:pPr>
        <w:spacing w:after="0" w:line="138"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data related to RESPECT-EPA was presented at the American Heart Association, or AHA, 2022 Scientific Sessions, A Randomized Trial for Evaluation in Secondary Prevention Efficacy of Combination Therapy - Statin and Eicosapentaenoic Acid and PROMINENT, Pemafibrate to Reduce Cardiovascular Outcomes by Reducing Triglycerides in Patients with Diabetes Study. The RESPECT-EPA clinical trial is an independent study funded by the Japanese Heart Foundation and is the third study to show CV benefit consistent with REDUCE-IT and JELIS. The study achieved a borderline statistical significance with a 21.5% reduction in the primary composite endpoint measuring cardiovascular risk and achieved a statistically significant 26.6% reduction in the secondary composite endpoint.</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Fixed-Dose Combination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10, 2022, we announced that we have initiated development of a fixed-dose combination product that has both icosapent ethyl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Benefits and Market Opportunity for VASCEPA</w:t>
      </w:r>
    </w:p>
    <w:p>
      <w:pPr>
        <w:spacing w:after="0" w:line="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VASCEPA, encapsulated in 1-gram capsules, is 1-gram of icosapent ethyl, or ethyl-EPA, and contains no docosahexaenoic acid, or DHA. Icosapent ethyl is the only active ingredient. We believe that icosapent ethyl, in the stable form as it is presented in VASCEPA, is more effective than if combined with other omega-3 molecules. In particular, based on clinical evidence, we believe that the removal of DHA mitigates against the LDL-C raising effect observed in omega-3 compositions that include DHA. Based on the results of the REDUCE-IT trial, VASCEPA was the first omega-3 based product, or any type of product, to demonstrate a statistically significant reduction in cardiovascular risk beyond cholesterol lowering therapy in high-risk patients approved for treatment. Prior to REDUCE-IT, based on the MARINE trial, VASCEPA was the first omega-3 based product to demonstrate statistically significant triglyceride reduction without a statistically significant increase in LDL-C in this very high triglyceride population.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Guidelines for the management of very high triglyceride levels ( 500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or apo B, non-HDL-C, and very low-density lipoprotein cholesterol, or VLDL-C. The effect of VASCEPA on the risk for pancreatitis in patients with hypertriglyceridemia has not been determined.</w:t>
      </w:r>
    </w:p>
    <w:p>
      <w:pPr>
        <w:spacing w:after="0" w:line="12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 xml:space="preserve">We believe that the results of the REDUCE-IT, ANCHOR and MARINE clinical trials of VASCEPA and VASCEPA’s EPA only/DHA-free composition position VASCEPA to achieve a global “best-in-class” prescription therapy in studied patient populations. Potential mechanisms of action at work in the reduction of cardiovascular events seen in REDUCE-IT as discussed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publication of REDUCE-IT primary results include TG reduction, anti-thrombotic effects, antiplatelet or anticoagulant effects, membrane-stabilizing effects, effects on stabilization and/or regression of coronary plaque and inflammation reduction. Mechanisms responsible for the benefit shown in REDUCE-IT were not studied in REDUCE-IT as that was not the purpose of an outcomes study. While the mechanisms of action of VASCEPA have been broadly studied and continue to be studied, similar to other drugs with multifactorial mechanisms of action, such as aspirin, statins and metformin, we may never fully determine to what extent, if any, each of these effects or others may be responsible for the CV risk reduction benefit demonstrated in REDUCE-IT.</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Heart attacks, strokes and other cardiovascular events represent the leading cause of death and disability among men and women in western societies. According to the </w:t>
      </w:r>
      <w:r>
        <w:rPr>
          <w:rFonts w:ascii="Times New Roman" w:cs="Times New Roman" w:eastAsia="Times New Roman" w:hAnsi="Times New Roman"/>
          <w:sz w:val="18"/>
          <w:szCs w:val="18"/>
          <w:i w:val="1"/>
          <w:iCs w:val="1"/>
          <w:color w:val="auto"/>
        </w:rPr>
        <w:t>Heart Disease and Stroke Statistics—2022 Update</w:t>
      </w:r>
      <w:r>
        <w:rPr>
          <w:rFonts w:ascii="Times New Roman" w:cs="Times New Roman" w:eastAsia="Times New Roman" w:hAnsi="Times New Roman"/>
          <w:sz w:val="18"/>
          <w:szCs w:val="18"/>
          <w:color w:val="auto"/>
        </w:rPr>
        <w:t xml:space="preserve"> from the AHA, CVD is the underlying cause of death in approximately one out of every three deaths – one death approximately every 36 seconds. Approximately 127 million adults in the United States live with one or more types of cardiovascular disease with an estimated 1 million new or recurrent coronary events and 795,000 new or recurrent strokes occurring each year. An estimated 28 million adults  20 years of age have high total serum cholesterol levels ( 240 mg/dL), and an estimated 70 million adults  20 years of age have borderline high or high low-density lipoprotein (“bad”) cholesterol, or LDL-C, levels ( 130 mg/dL). According to the Cardiovascular Disease: A Costly Burden for America Projections Through 2035 from the AHA, 45% of the United States population is projected to have some form of CVD by 2035 and total costs of CVD are expected to reach $1.1 trillion in 2035, with direct medical costs projected to reach $749.0 billion and indirect costs estimated to reach $368.0 billion.</w:t>
      </w:r>
    </w:p>
    <w:p>
      <w:pPr>
        <w:spacing w:after="0" w:line="13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It is estimated that more than 50 million adults in the United States have elevated triglyceride levels ≥150 mg/dL. Additionally, approximately 2 to 3 million adults in the United States have very high triglyceride levels ( 500 mg/dL), the condition for which VASCEPA received its initial drug approval from the U.S. FDA in 2012 based on the MARINE clinical trial. There are approximately 5 to 15 million people in the United States that meet the specific REDUCE-IT inclusion criteria. Additionally, the U.S. FDA-approved label for VASCEPA mentions maximally tolerated statin therapy in the indication statement. Since 1976, mean triglyceride levels have increased, along with the growing epidemic of obesity, insulin resistance, and type 2 diabetes mellitus. In contrast, mean LDL-C levels have decreased. Multiple primary and secondary prevention trials have shown a significant RRR of 25% to 35% in the risk of cardiovascular events with statin therapy, leaving significant persistent residual CV risk despite the achievement of target LDL-C levels.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81" w:lineRule="exact"/>
        <w:rPr>
          <w:sz w:val="20"/>
          <w:szCs w:val="20"/>
          <w:color w:val="auto"/>
        </w:rPr>
      </w:pPr>
    </w:p>
    <w:p>
      <w:pPr>
        <w:ind w:right="160" w:firstLine="509"/>
        <w:spacing w:after="0" w:line="263" w:lineRule="auto"/>
        <w:rPr>
          <w:sz w:val="20"/>
          <w:szCs w:val="20"/>
          <w:color w:val="auto"/>
        </w:rPr>
      </w:pPr>
      <w:r>
        <w:rPr>
          <w:rFonts w:ascii="Times New Roman" w:cs="Times New Roman" w:eastAsia="Times New Roman" w:hAnsi="Times New Roman"/>
          <w:sz w:val="18"/>
          <w:szCs w:val="18"/>
          <w:color w:val="auto"/>
        </w:rPr>
        <w:t>Cardiovascular diseases remain the leading cause of disease burden in the world. There are more than 500 million people reportedly living with cardiovascular diseases globally, with 290 million in China. In the European Union, there are approximately 60 million people reportedly living with cardiovascular disease, including approximately 38 million diagnosed with ischemic heart disease, stroke or peripheral heart disease. The proportion of patients dying from cardiovascular disease is reportedly higher in Europe than in the United States and there are more patients on statin therapy in Europe in aggregate compared to the United States. Caring for cardiovascular disease in Europe is expensive with annual spending estimated to currently exceed €200 billion annually.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for VASCEPA</w:t>
      </w:r>
    </w:p>
    <w:p>
      <w:pPr>
        <w:spacing w:after="0" w:line="9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We manage the manufacturing and supply of VASCEPA and have done so since we began clinical development of VASCEPA prior to the drug’s marketing approval by the U.S. FDA in 2012. We rely on contract manufacturers in each step of our commercial and clinical product supply chain. These steps include API, manufacturing, encapsulation of the active pharmaceutical ingredient, or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w:t>
      </w:r>
    </w:p>
    <w:p>
      <w:pPr>
        <w:spacing w:after="0" w:line="1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regulatory process generally requires extensive details as part of the submission provided to a country or region in connection with a company's request for regulatory approval. Suppliers must be specifically identified as part of the submission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 w:name="page12"/>
    <w:bookmarkEnd w:id="11"/>
    <w:p>
      <w:pPr>
        <w:ind w:right="140"/>
        <w:spacing w:after="0" w:line="258" w:lineRule="auto"/>
        <w:rPr>
          <w:sz w:val="20"/>
          <w:szCs w:val="20"/>
          <w:color w:val="auto"/>
        </w:rPr>
      </w:pPr>
      <w:r>
        <w:rPr>
          <w:rFonts w:ascii="Times New Roman" w:cs="Times New Roman" w:eastAsia="Times New Roman" w:hAnsi="Times New Roman"/>
          <w:sz w:val="18"/>
          <w:szCs w:val="18"/>
          <w:color w:val="auto"/>
        </w:rPr>
        <w:t>qualification and approval for commercialization in a country or region. As a result, only supply, as approved, may be used in finished goods available for sale in a specific country or region. The U.S. FDA has approved several international large-scale API manufacturers, global encapsulation leaders and multiple U.S.-based packagers for use in the manufacturing of VASCEPA. All of our manufacturing facilities were approved by the U.S. FDA following successful preapproval inspections and they remain active manufacturers of VASCEPA under U.S. FDA authority. The European Regulatory Authorities has approved an additional European-based packager for use in the manufacturing of VAZKEPA for the European markets.</w:t>
      </w:r>
    </w:p>
    <w:p>
      <w:pPr>
        <w:spacing w:after="0" w:line="1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API material that constitutes ethyl-EPA is a chemical modification of a naturally occurring substance that is derived from specific fish sourced from qualified producers. The fishing from which the raw material for VASCEPA is derived is regulated by local government agencies under policies designed to ensure sustainability of the marine life supply. A limited number of other manufacturers have the ability, scale, know-how, sufficient supply chain capability and suitable, industrial-scale facilities to produce ethyl-EPA to the required level of purity. We have worked with our suppliers to build required scale, quality and cost-efficiency needed to meet our current and anticipated future market requirements. Among the conditions for U.S. FDA approval of a pharmaceutical product is the requirement that the manufacturer’s quality control and manufacturing procedures are validated and conform to pharmaceutical current Good Manufacturing Practice, or cGMP, which, under applicable regulations, must be followed at all times. The U.S. FDA typically inspects manufacturing facilities before regulatory approval of a product candidate, such as VASCEPA, and on a periodic basis after the initial approval. Consistent with cGMP regulations, pharmaceutical manufacturers must expend resources and time to ensure compliance with product specifications as well as production, record keeping, quality control, reporting, and other regulatory requirements.</w:t>
      </w:r>
    </w:p>
    <w:p>
      <w:pPr>
        <w:spacing w:after="0" w:line="14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Similar to the U.S. FDA, regulators in other countries in which we, or our partners, sell or seek to sell VASCEPA, regulate manufacturer’s quality control and manufacturing procedures. For Europe, various suppliers have been inspected and approved by European regulatory authorities and we do not anticipate supply availability limiting our launch in Europe.</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Production of VASCEPA, from sourcing of starting materials through stocking of finished goods inventory requires significant coordination between companies and considerable lead-times. We are often making purchasing decisions for supply more than a year in advance of anticipated product sales. Planning for capacity expansion also requires significant lead-times as, for example, creation of new manufacturing facilities for API can require multiple years to construct, equip and qualify.</w:t>
      </w:r>
    </w:p>
    <w:p>
      <w:pPr>
        <w:spacing w:after="0" w:line="12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2022, we reviewed our contractual supplier purchase obligations and have taken steps to amend supplier agreements to align supply arrangements with current and future market demand, while we decrease our current inventory levels primarily related to North America approved inventory. As of December 31, 2022, we had inventory of $392.4 million, of which approximately 90% is inventory approved for use in North America. We continue to negotiate with our contract suppliers to align our supply arrangements with current and future global market demand.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w:t>
      </w:r>
    </w:p>
    <w:p>
      <w:pPr>
        <w:spacing w:after="0" w:line="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2020, following our unsuccessful appeals of a court ruling in favor of two generic drug companies, Dr. Reddy's, and Hikma, and certain of their affiliates, or collectively, the Defendants, several of the Company's patents covering the MARINE indication were declared invalid. As a result, the following generic versions of VASCEPA have obtained U.S. FDA approval with labeling consistent with the MARINE indication of VASCEPA, have entered the U.S. market and represent our main competitors: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(1)</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 Teva launched a 0.5-gram capsule in September 2022 and a 1-gram capsule in January 2023.</w:t>
      </w:r>
    </w:p>
    <w:p>
      <w:pPr>
        <w:spacing w:after="0" w:line="178" w:lineRule="exact"/>
        <w:rPr>
          <w:sz w:val="20"/>
          <w:szCs w:val="20"/>
          <w:color w:val="auto"/>
        </w:rPr>
      </w:pPr>
    </w:p>
    <w:p>
      <w:pPr>
        <w:ind w:right="160" w:firstLine="509"/>
        <w:spacing w:after="0" w:line="234"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4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or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 Results of the PROMINENT trial were presented at the 2022 AHA Scientific Session in November 2022, confirming that pemafibrate did not lower the incidence of cardiovascular events among the studied population.</w:t>
      </w:r>
    </w:p>
    <w:p>
      <w:pPr>
        <w:spacing w:after="0" w:line="13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08"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34"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the U.S. FDA’s stringent regulatory oversight, as significant advantages versus omega-3 dietary supplements regardless of clinical study results and other scientific data.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8"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 and Rest of World</w:t>
      </w:r>
    </w:p>
    <w:p>
      <w:pPr>
        <w:spacing w:after="0" w:line="1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March 26, 2021, the EC granted approval of the marketing authorization application in the EU for VAZKEPA as an approved therapy to reduce cardiovascular risk in high-risk statin-treated patients with elevated TG levels, which is based on the REDUCE-IT indication. There is currently no other drug that is approved for cardiovascular risk reduction in at-risk patients in Europe. In addition, there is currently no other direct competition for Canada and the Middle East. However, consistent with the U.S., our competitors include large, well-established pharmaceutical companies, specialty and generic pharmaceutical companies, marketing companies, and specialized cardiovascular treatment companies.</w:t>
      </w:r>
    </w:p>
    <w:p>
      <w:pPr>
        <w:spacing w:after="0" w:line="129"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VASCEPA also faces competition from dietary supplement manufacturers marketing omega-3 productions as nutritional supplements. In Europe, such products are classified as food, not as prescription drugs or as over-the-counter drugs.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Current Therapies</w:t>
      </w:r>
    </w:p>
    <w:p>
      <w:pPr>
        <w:spacing w:after="0" w:line="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HTG is a prevalent lipid disorder in approximately 25% of the U.S. adult population. Both epidemiological and genetic data have shown associations between HTG and coronary heart disease. Many of those patients are taking statin therapy directed at lowering the risk of CVD by lowering their LDL-C levels, primarily. Recently, real world administrative database analyses have reported an increased CVD risk as well as direct healthcare costs associated with HTG despite statin therapy and controlled LDL-C compared to those with TG&lt;150 mg/dL.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Regulatory Matters</w:t>
      </w:r>
    </w:p>
    <w:p>
      <w:pPr>
        <w:spacing w:after="0" w:line="9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Any product development activities related to VASCEPA or products that we may develop or acquire in the future will be subject to extensive regulation by various government authorities, including the U.S. FDA and comparable regulatory authorities in other countries, which regulate the design, research, clinical and nonclinical development, testing, manufacturing, storage, distribution, import, export, labeling, advertising and marketing of pharmaceutical products. Generally, before a new drug can be sold, considerable data demonstrating its quality, safety and efficacy must be obtained, organized into a format specific to each regulatory authority, submitted for review and approved by the regulatory authority. The data are generated in two distinct development stages: preclinical and clinical. Drugs must be approved by regulatory authorities before they are first marketed for example, by the U.S. FDA through the new drug application, or NDA, process in the United States or the marketing authorization application, or MAA, process under the EMA in the EU. For new chemical entities, the preclinical development stage generally involves synthesizing the active component, developing the formulation, determining the manufacturing process and controls, as well as carrying out non-human toxicology, pharmacology and drug metabolism studies which support subsequent clinical testing.</w:t>
      </w:r>
    </w:p>
    <w:p>
      <w:pPr>
        <w:spacing w:after="0" w:line="14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and its safety in use, provide an adequate basis for physician labeling and may include comparisons with placebo and/or other comparator treatments. The duration of treatment is often extended to mimic the actual use of a product during marketing.</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Development and Approval</w:t>
      </w:r>
    </w:p>
    <w:p>
      <w:pPr>
        <w:spacing w:after="0" w:line="9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U.S. FDA’s refusal to approve pending applications, withdrawal of an approval, a clinical hold,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ind w:firstLine="509"/>
        <w:spacing w:after="0" w:line="254" w:lineRule="auto"/>
        <w:rPr>
          <w:sz w:val="20"/>
          <w:szCs w:val="20"/>
          <w:color w:val="auto"/>
        </w:rPr>
      </w:pPr>
      <w:r>
        <w:rPr>
          <w:rFonts w:ascii="Times New Roman" w:cs="Times New Roman" w:eastAsia="Times New Roman" w:hAnsi="Times New Roman"/>
          <w:sz w:val="18"/>
          <w:szCs w:val="18"/>
          <w:color w:val="auto"/>
        </w:rPr>
        <w:t>Prior to the start of human clinical studies for a new drug in the United States, preclinical laboratory and animal tests are often performed under the U.S. FDA’s Good Laboratory Practices regulations, or GLP, and an IND is filed with the U.S.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U.S. FDA prior to commencement of a clinical trial. If the U.S. FDA has concerns about the clinical plan or the safety of the proposed studies, it may suspend or terminate the study at any time. Studies must be conducted in accordance with Good Clinical Practice, or GCP, including the requirement that subjects provide their informed consent,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Review Process</w:t>
      </w:r>
    </w:p>
    <w:p>
      <w:pPr>
        <w:spacing w:after="0" w:line="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results of nonclinical studies and clinical trials, together with other information, including manufacturing information and information on the composition of the drug and proposed labeling, are submitted to the U.S. FDA in an NDA requesting approval to market the drug for one or more specified indications. Each NDA is typically accompanied by a user fee and there is also an annual prescription drug product program fee for human drugs. The U.S. FDA reviews an NDA to determine, among other things, whether a drug is safe and effective for its intended use and whether the product is being manufactured in accordance with cGMP requirements to assure and preserve the product’s identity, strength, quality and purity. The U.S. FDA will conduct a pre-approval inspection of the manufacturing facilities for the new drug and may audit data from clinical trials to ensure compliance with GCP requirements. Additionally, the U.S.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U.S. FDA is not bound by the recommendations of an advisory committee, but it considers such recommendations carefully when making decisions.</w:t>
      </w:r>
    </w:p>
    <w:p>
      <w:pPr>
        <w:spacing w:after="0" w:line="14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After the U.S. FDA evaluates an NDA,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and usually describes all the specific deficiencies in the NDA identified by the U.S. FDA. The complete response letter may require additional clinical data and/or additional clinical trial(s), and/or other information. If a complete response letter is issued, the applicant may either resubmit the NDA, addressing all of the deficiencies identified in the letter, withdraw the application, or request a hearing. Even if such data and information is submitted, the U.S. FDA may ultimately decide that the NDA does not satisfy the criteria for approval.</w:t>
      </w:r>
    </w:p>
    <w:p>
      <w:pPr>
        <w:spacing w:after="0" w:line="13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color w:val="auto"/>
        </w:rPr>
        <w:t>Following the approval process of any drug product, the U.S.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requirements or if problems occur following initial marketing.</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Off-label Promotion in the United States</w:t>
      </w:r>
    </w:p>
    <w:p>
      <w:pPr>
        <w:spacing w:after="0" w:line="9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However, recent case law has called into question the extent to which government in the United States, including the U.S. FDA, can, and is willing to seek to, prevent truthful and non-misleading speech related to off-label uses of U.S. FDA-approved products such as VASCEPA.</w:t>
      </w:r>
    </w:p>
    <w:p>
      <w:pPr>
        <w:spacing w:after="0" w:line="1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Requirements in the United States</w:t>
      </w:r>
    </w:p>
    <w:p>
      <w:pPr>
        <w:spacing w:after="0" w:line="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Following approval of a new product, a pharmaceutical company generally must engage in numerous specific monitoring and recordkeeping activities, such as routine safety surveillance, and must continue to submit periodic and other reports to the applicable regulatory agencies, including any cases of adverse events and appropriate quality control records. Such reports submitted to the U.S. FDA may result in changes to the label and/or other post-marketing requirements or actions, including product withdrawal. Additionally, under the Food and Drug Omnibus Reform Act of 2022, or FDORA, sponsors of approved drugs must provide six months’ notice to the FDA of any changes in marketing status, such as the withdrawal of a drug, and failure to do so could result in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5" w:name="page16"/>
    <w:bookmarkEnd w:id="15"/>
    <w:p>
      <w:pPr>
        <w:spacing w:after="0" w:line="266" w:lineRule="auto"/>
        <w:rPr>
          <w:sz w:val="20"/>
          <w:szCs w:val="20"/>
          <w:color w:val="auto"/>
        </w:rPr>
      </w:pPr>
      <w:r>
        <w:rPr>
          <w:rFonts w:ascii="Times New Roman" w:cs="Times New Roman" w:eastAsia="Times New Roman" w:hAnsi="Times New Roman"/>
          <w:sz w:val="18"/>
          <w:szCs w:val="18"/>
          <w:color w:val="auto"/>
        </w:rPr>
        <w:t>FDA placing the product on a list of discontinued products, which would revoke the product’s ability to be marketed.These are viable risks once a product is on the market. Additionally, modifications or enhancements to the products or labeling or changes of site of manufacture are often subject to the approval of the U.S. FDA and other regulators, which may or may not be received or may result in a lengthy review process.</w:t>
      </w:r>
    </w:p>
    <w:p>
      <w:pPr>
        <w:spacing w:after="0" w:line="12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Prescription drug advertising is subject to federal, state and foreign regulations. In the United States, the U.S. FDA regulates prescription drug promotion, including direct-to-consumer advertising. Prescription drug promotional materials must be submitted to the U.S. FDA in conjunction with their first use. Any distribution of prescription drug products and pharmaceutical samples must comply with the U.S. Prescription Drug Marketing Act, or the PDMA, a part of the FDCA.</w:t>
      </w:r>
    </w:p>
    <w:p>
      <w:pPr>
        <w:spacing w:after="0" w:line="1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once a product is approved, its manufacture is subject to comprehensive and continuing regulation by the U.S. FDA. U.S. FDA regulations require that products be manufactured in specific approved facilities and in accordance with pharmaceutical cGMPs, and NDA holders must list their products and register their manufacturing establishments with the U.S. FDA and certain state agencies. Third-party manufacturers and other entities involved in the manufacture and distribution of approved drugs, and those supplying products, ingredients, and components of them, are also required to register their establishments with the U.S. FDA and certain state agencies.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U.S. FDA at any time, and the discovery of violative conditions, including failure to conform to cGMPs, could result in enforcement actions that interrupt the operation of any such facilities or the ability to distribute products manufactured, processed or tested by them. In addition, manufacturers and other parties involved in the drug supply chain for prescription drug products must also comply with product tracking and tracing requirements and for notifying the U.S. FDA of counterfeit, diverted, stolen and intentionally adulterated products or products that are otherwise unfit for distribution in the United States.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U.S. FDA Marketing Exclusivity and Generic Competition</w:t>
      </w:r>
    </w:p>
    <w:p>
      <w:pPr>
        <w:spacing w:after="0" w:line="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New chemical entity, or NCE, marketing exclusivity precludes approval during the five-year exclusivity period of certain 505(b)(2) applications and ANDAs submitted by another company for another version of the drug. The timelines and conditions under the ANDA process that permit the start of patent litigation and allow the U.S. FDA to approve generic versions of brand name drugs like VASCEPA differ based on whether a drug receives three-year, or five-year, NCE marketing exclusivity.</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In May 2016, after litigation, the U.S. FDA determined that VASCEPA was entitled to NCE marketing exclusivity. The related 30-month stay expired on January 26, 2020, seven-and-a-half years after U.S. FDA approval of VASCEPA.</w:t>
      </w:r>
    </w:p>
    <w:p>
      <w:pPr>
        <w:spacing w:after="0" w:line="13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three-year period of exclusivity under the Hatch-Waxman Amendments is generally granted for a drug product that contains an active moiety that has been previously approved,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For example, we received such three-year regulatory exclusivity in connection with the approval based on the REDUCE-IT outcomes study results. Such three-year exclusivity protection precludes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for a period of three years from the date of U.S. FDA approval. The U.S.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U.S. FDA from approving an NDA that relies only on its own data to support the change or innovation.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Regulatory exclusivity is in addition to exclusivity afforded by issued patents related to VASCEPA.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 and Approval</w:t>
      </w:r>
    </w:p>
    <w:p>
      <w:pPr>
        <w:spacing w:after="0" w:line="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below EU rules relating to drug development, approval and post-approval are generally applicable in the European Economic Area, or EEA, which consists of the EU Member States, Norway, Liechtenstein and Iceland.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Trials Regulation</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April 2014, the EU adopted Clinical Trials Regulation (EU) No 536/2014, which replaced the Clinical Trials Directive 2001/20/EC on January 31, 2022 and overhauled the system of approvals for clinical trials. Specifically, the new Regulation, which is directly applicable in all EU Member States, such that no national implementing legislation in each EU Member State is required, aims to simplify and streamline the approval of clinical trials in the EU. For example, the new Regulation provides for a streamlined application procedure through a single entry point and strictly defined deadlines for the assessment of clinical trial applications.</w:t>
      </w:r>
    </w:p>
    <w:p>
      <w:pPr>
        <w:spacing w:after="0" w:line="2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Drug Review and Approval</w:t>
      </w:r>
    </w:p>
    <w:p>
      <w:pPr>
        <w:spacing w:after="0" w:line="9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Medicinal products can only be commercialized after obtaining a marketing authorization. To obtain regulatory approval of a medicinal product in the EU, a company must submit a marketing authorization application, or MAA. Centralized marketing authorizations are issued by the EC through the centralized procedure based on the opinion of the CHMP of the EMA and are valid throughout the EU as well as Iceland, Norway and Lichtenstein. The centralized procedure is mandatory for certain types of products, such as biotechnology medicinal products, orphan medicinal products, advanced-therapy medicinal products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3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EC, who makes the final decision to grant a marketing authorization, which is issued within 67 days of receipt of the EMA's recommendation. Accelerated assessments may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13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EU and only cover their respective territory, are available for products not falling within the mandatory scope of the centralized procedure. Where a product has already been authorized for marketing in a Member State of the EU, this national marketing authorization can be recognized in other EU Member States through the mutual recognition procedure. If the product has not received a national marketing authorization in any EU Member State at the time of application, it can be approved simultaneously in various Member States through the decentralized procedure.</w:t>
      </w:r>
    </w:p>
    <w:p>
      <w:pPr>
        <w:spacing w:after="0" w:line="1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Now that the United Kingdom, which comprises Great Britain and Northern Ireland, has left the EU, Great Britain is no longer covered by centralized marketing authorizations, while under the Northern Ireland Protocol centralized marketing authorizations continue to be recognized in Northern Ireland. All medicinal products with a centralized marketing authorization were automatically converted to Great Britain marketing authorizations on January 1, 2021. For a period of three years from January 1, 2021, the MHRA may rely on a decision taken by the EC on the approval of a new marketing authorization in the centralized procedure, in order to quickly grant a Great Britain marketing authorization despite a separate application being required. On January 24, 2023, the MHRA announced that a new international recognition framework will be put in place from January 1, 2024. Under this new framework, the MHRA will have regard to decisions on the approval of a marketing authorization made by the EMA and certain other regulators when considering whether to grant a UK marketing authorization. The MHRA also has the power to have regard to marketing authorizations approved in EU Member States through decentralized or mutual recognition procedures with a view to more quickly granting a marketing authorization in the UK or Great Britain.</w:t>
      </w:r>
    </w:p>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Periods of Authorization and Renewals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 marketing authorization in the EU is valid for five years, in principle, and it may be renewed after five years on the basis of a re-evaluation of the risk benefit balance by the EMA for a centrally authorized product, or by the competent authority of the authorizing Member State for a nationally authorized product. Once renewed, the marketing authorization is valid for an unlimited period, unless the EC or the competent authority decides, on justified grounds relating to pharmacovigilance, to proceed with one additional five-year renewal period. Any authorization that is not followed by the placement of the product on the EU market, in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ind w:right="920"/>
        <w:spacing w:after="0" w:line="282" w:lineRule="auto"/>
        <w:rPr>
          <w:sz w:val="20"/>
          <w:szCs w:val="20"/>
          <w:color w:val="auto"/>
        </w:rPr>
      </w:pPr>
      <w:r>
        <w:rPr>
          <w:rFonts w:ascii="Times New Roman" w:cs="Times New Roman" w:eastAsia="Times New Roman" w:hAnsi="Times New Roman"/>
          <w:sz w:val="18"/>
          <w:szCs w:val="18"/>
          <w:color w:val="auto"/>
        </w:rPr>
        <w:t>case of the centralized procedure, or on the market of the authorizing Member State for a nationally authorized product, within three years after authorization, or if the product is removed from the market for three consecutive years, ceases to be valid.</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Data and Market Exclusivity</w:t>
      </w:r>
    </w:p>
    <w:p>
      <w:pPr>
        <w:spacing w:after="0" w:line="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EU,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 year period of market exclusivity, a generic or biosimilar marketing authorization application can be submitted, and the innovator's data may be referenced, but no generic or biosimilar product can be marketed until the expiration of the market exclusivity. The overall ten 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to the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Regulatory Requirements after obtaining Marketing Authorization</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Where a marketing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1020" w:right="1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5"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medical products, including industry-sponsored continuing medical education and advertising directed toward the prescribers of medical products and/or the general public, are strictly regulated in the EU. Direct-to-consumer advertising of prescription medicines is prohibited across the EU.</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 of New Drug Compounds</w:t>
      </w:r>
    </w:p>
    <w:p>
      <w:pPr>
        <w:spacing w:after="0" w:line="9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Whether or not we obtain U.S.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U.S. FDA and IRB, respectively. Once the CTA is approved in accordance with a country’s requirements, clinical trial development may proceed. Similarly, clinical trials conducted in countries such as Australia, Canada, and New Zealand, require review and approval of clinical trial proposals by an ethics committee, which provides a combined ethical and scientific review process. Most countries in which clinical studies are conducted require the approval of the clinical trial proposals by both the national regulatory body and an ethics committee.</w:t>
      </w:r>
    </w:p>
    <w:p>
      <w:pPr>
        <w:spacing w:after="0" w:line="13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product licensing, pricing and reimbursement vary from country to country. In all cases, the clinical trials must be conducted in accordance with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 and Data Regulation</w:t>
      </w:r>
    </w:p>
    <w:p>
      <w:pPr>
        <w:spacing w:after="0" w:line="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U.S.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knowingly and willfully offering, paying, soliciting, or receiving remuneration, directly or indirectly, in cash or in kind,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 to apply to arrangements between pharmaceutical manufacturers on one hand and prescribers, purchasers, and formulary managers on the other.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Moreover, there are no safe harbors for many common practices, such as educational and research grants or patient or product support programs. On November 20, 2020, the United States Department of Health and Human Services, or HHS, Office of Inspector General, or OIG, finalized further modifications to the federal Anti-Kickback Statute. Under the final rules, OIG added safe harbor protections under the Anti-Kickback Statute for certain coordinated care and value-based arrangements among clinicians, providers, and others. These rules, with exceptions, became effective January 19, 2021. We continue to evaluate what effect, if any, these rules will have on our business.</w:t>
      </w:r>
    </w:p>
    <w:p>
      <w:pPr>
        <w:spacing w:after="0" w:line="14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federal civil and criminal false claim laws, including the civil monetary penalty laws and the civil False Claims Act prohibits, among other things, any person or entity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or transmit properly to the federal government.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actions on behalf of the federal government alleging violations of the statute and to share in any monetary recovery. Recently, several pharmaceutical and other healthcare companies have been investigated or faced enforcement actions under the federal civil False Claims Act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Pharmaceutical and other healthcare companies also are subject to other federal false claims laws, including, among others, federal criminal healthcare fraud and false statement statutes that extend to non-government health benefit programs.</w:t>
      </w:r>
    </w:p>
    <w:p>
      <w:pPr>
        <w:spacing w:after="0" w:line="13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as amended by the Health Information Technology for Economic and Clinical Health Act of 2009, or HITECH, including the Final Omnibus Rule published in January 2013, collectively referred to herein as HIPAA,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 In addition, HITECH imposes certain requirements relating to the privacy, security and transmission of individually identifiable health information. It requires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federal Physician Payment Sunshine Act, implemented as the Open Payments Program, requires manufacturers of drugs, devices, biologics, and medical supplies for which payment is available under Medicare, Medicaid or the Children’s Health Insurance Program (with certain exceptions) to report annually to the Centers for Medicare and Medicaid Services, or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Effective January 1, 2022, applicable manufacturers are also required to report information regarding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9" w:name="page20"/>
    <w:bookmarkEnd w:id="19"/>
    <w:p>
      <w:pPr>
        <w:ind w:right="360"/>
        <w:spacing w:after="0" w:line="282" w:lineRule="auto"/>
        <w:rPr>
          <w:sz w:val="20"/>
          <w:szCs w:val="20"/>
          <w:color w:val="auto"/>
        </w:rPr>
      </w:pPr>
      <w:r>
        <w:rPr>
          <w:rFonts w:ascii="Times New Roman" w:cs="Times New Roman" w:eastAsia="Times New Roman" w:hAnsi="Times New Roman"/>
          <w:sz w:val="18"/>
          <w:szCs w:val="18"/>
          <w:color w:val="auto"/>
        </w:rPr>
        <w:t>payments and transfers of value provided to physician assistants, nurse practitioners, clinical nurse specialists, certified nurse anesthetists, and certified nurse-midwives.</w:t>
      </w:r>
    </w:p>
    <w:p>
      <w:pPr>
        <w:spacing w:after="0" w:line="10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federal government price reporting laws require us to calculate and report complex pricing metrics in an accurate and timely manner to government programs. Additionally, federal consumer protection and unfair competition laws broadly regulate marketplace activities and activities that potentially harm consumers.</w:t>
      </w:r>
    </w:p>
    <w:p>
      <w:pPr>
        <w:spacing w:after="0" w:line="12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Many foreign countries and the majority of states also have statutes or regulations similar to the federal Anti-Kickback Statute and False Claims Act, which may apply to sales or marketing arrangements and claims involving healthcare items or services reimbursed by non-governmental third-party payors, including private insurers. Other states or localities may have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relate to insurance fraud in the case of claims involving private insurers; and/or require identification or licensing of sales representatives.</w:t>
      </w:r>
    </w:p>
    <w:p>
      <w:pPr>
        <w:spacing w:after="0" w:line="13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healthcare providers, marketing expenditures, and drug pricing information. Certain state and local laws require the registration of pharmaceutical sales representatives. State and foreign laws, including for example the California Consumer Privacy Act, or CCPA, and the European Union General Data Protection Regulation, or GDPR, also govern the privacy and security of health information in some circumstances, many of which differ from each other in significant ways and often are not preempted by HIPAA, thus complicating compliance efforts.</w:t>
      </w:r>
    </w:p>
    <w:p>
      <w:pPr>
        <w:spacing w:after="0" w:line="13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CCPA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has commenced enforcement against violators as of July 1, 2020. While there is currently an exception for protected health information that is subject to HIPAA and clinical trial regulations, as currently written, the CCPA may impact our business activities.</w:t>
      </w:r>
    </w:p>
    <w:p>
      <w:pPr>
        <w:spacing w:after="0" w:line="133" w:lineRule="exact"/>
        <w:rPr>
          <w:sz w:val="20"/>
          <w:szCs w:val="20"/>
          <w:color w:val="auto"/>
        </w:rPr>
      </w:pPr>
    </w:p>
    <w:p>
      <w:pPr>
        <w:ind w:right="40" w:firstLine="509"/>
        <w:spacing w:after="0" w:line="251"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pursuant to European data protection laws, such as the GDPR. We may decide to conduct clinical trials or continue to enroll subjects in our ongoing or future clinical trials, which may result in us becoming subject to additional privacy restrictions. The collection, use, storage, disclosure, transfer, or other processing of personal data regarding individuals in the EEA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since the UK's exit of the EU, often referred to as Brexit, companies have to now comply with the GDPR and also the United Kingdom GDPR, or UK GDPR, which, together with the amended UK Data Protection Act of 2018, retains the GDPR in UK national law. The UK GDPR follows fines up to the greater of £17.5 million or 4% of global turnover. The GDPR and UK GDPR, and other applicable data protection laws, impose restrictions in relation to the international transfer of personal data. For example, in order to transfer data outside of the EEA or the UK to a non-adequate country, the GDPR and UK GDPR (as applicable) requires us to enter into an appropriate transfer mechanism, and may require us to take additional steps to ensure an essentially equivalent level of data protection. These transfer mechanisms are subject to change, and implementing new or revised transfer mechanisms or ensuring an essentially equivalent protection may involve additional expense and potentially increased compliance risk. In the event a legislator, government, regulator or court imposes additional restrictions on international transfers, there may be operational interruption in the performance of services for customers and internal processing of employee information. Such restrictions may also increase our obligations in relation to carrying out international transfers of personal data, and incur additional expense and increased regulatory liabilities. On June 28,</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0" w:name="page21"/>
    <w:bookmarkEnd w:id="20"/>
    <w:p>
      <w:pPr>
        <w:ind w:right="180"/>
        <w:spacing w:after="0" w:line="266" w:lineRule="auto"/>
        <w:rPr>
          <w:sz w:val="20"/>
          <w:szCs w:val="20"/>
          <w:color w:val="auto"/>
        </w:rPr>
      </w:pPr>
      <w:r>
        <w:rPr>
          <w:rFonts w:ascii="Times New Roman" w:cs="Times New Roman" w:eastAsia="Times New Roman" w:hAnsi="Times New Roman"/>
          <w:sz w:val="18"/>
          <w:szCs w:val="18"/>
          <w:color w:val="auto"/>
        </w:rPr>
        <w:t>2021, the EC adopted an adequacy decision in respect of transfers of personal data to the UK for a four year period until June 27, 2025. Similarly, the UK has determined that it considers all of the EEA to be adequate for the purposes of data protection. This ensures that data flows between the UK and the EEA remain unaffected.</w:t>
      </w:r>
    </w:p>
    <w:p>
      <w:pPr>
        <w:spacing w:after="0" w:line="12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Despite Brexit, the GDPR and UK GDPR remain largely aligned. Currently, the most impactful point of divergence between the GDPR and the UK GDPR relates to these transfer mechanisms as explained above. There may be further divergence in the future, including with regard to administrative burdens. The UK has announced plans to reform the country’s data protection legal framework in its Data Reform Bill, which will introduce significant changes from the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1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exceptions or safe harbors, it is possible that some of our business activities could be subject to challenge under one or more of such laws. Such a challenge could have a material adverse effect on our business, financial condition and results of operations. These laws may impact, among other things, our proposed sales, marketing and education programs. In addition, we may be subject to patient privacy regulation by both the federal government and the states in which we conduct our business.</w:t>
      </w:r>
    </w:p>
    <w:p>
      <w:pPr>
        <w:spacing w:after="0" w:line="126"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If our promotional activities or other operations are found to be in violation of any of the laws described above or any other governmental regulations or guidance that apply to us through existing or new interpretations, we may be subject to prolonged litigation,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Also, if governmental parties or our competitors view our claims as misleading or false, we could also be subject to liability based on fair competition-based statutes, such as the Lanham Act. Any of such negative circumstances could adversely affect our ability to operate our business and our results of operations.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 we may utilize programs to assist them, including patient assistance programs, or PAPs and co-pay coupon programs for eligible patients. PAPs are regulated by and subject to guidance from HHS OIG. In addition, at least one insurer has directed its network pharmacies to no longer accept co-pay coupons for certain specialty drugs identified by the insurer. Our co-pay coupon programs could become the target of similar insurer actions. In addition, in November 2013, the CMS issued guidance to the issuers of qualified health plans sold through the ACA's, as defined herein,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w:t>
      </w:r>
    </w:p>
    <w:p>
      <w:pPr>
        <w:spacing w:after="0" w:line="14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December 2, 2020, the HHS published a regulation removing safe harbor protection for price reductions from pharmaceutical manufacturers to plan sponsors under Part D, either directly or through pharmacy benefit managers, or PBMs, unless the price reduction is required by law. The rule also creates a new safe harbor for price reductions reflected at the point-of-sale, as well as a safe harbor for certain fixed fee arrangements between PBMs and manufacturers. Pursuant to court order, the removal and addition of the aforementioned safe harbors were delayed and recent legislation imposed a moratorium on implementation of the rule until January 1, 2026. This deadline was delayed to January 1, 2027 by the Bipartisan Safer Communities Act. The Inflation Reduction Act of 2022 further delayed implementation of this rule to January 1, 2032.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On May 17, 2022, the U.S. District Court for the District of Columbia granted PhRMA’s motion for summary judgement invalidating the Medicaid Accumulator Rule. We cannot predict how the implementation of and any further changes to this rule will affect our business. We cannot predict how the implementation of and any further changes to this rule will affect our business.</w:t>
      </w:r>
    </w:p>
    <w:p>
      <w:pPr>
        <w:spacing w:after="0" w:line="2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Healthcare Reform and Legislation</w:t>
      </w:r>
    </w:p>
    <w:p>
      <w:pPr>
        <w:spacing w:after="0" w:line="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t>Medicare beneficiaries. Under Part D, Medicare beneficiaries may enroll in prescription drug plans offered by private entities which will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 In addition, there has been renewed interest in amending the Social Security Act to allow Medicare to negotiate prices for prescription drugs covered under Medicare Part B. If this were to be enacted by Congress and signed by the President, the prices we obtain for our products covered under Part B could be lower than the prices we might otherwise obtain, and it could exert a similar lowering pressure on payments from non-governmental payers.</w:t>
      </w:r>
    </w:p>
    <w:p>
      <w:pPr>
        <w:spacing w:after="0" w:line="14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The Agency for Healthcare Research and Quality, or AHRQ, established by the MMA and provided additional funding by the American Recovery and Reinvestment Act of 2009, conducts comparative effectiveness research on different treatments for the same illness. Although the results of the comparative effectiveness studies are not intended to mandate coverage policies for public or private payers, it is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33"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ACA, was enacted, which has substantially changed the way healthcare is financed by both governmental and private insurers and has significantly impacted the pharmaceutical industry. Among the provisions of the ACA of greatest importance to the pharmaceutical and biotechnology industry are the following:</w:t>
      </w:r>
    </w:p>
    <w:p>
      <w:pPr>
        <w:spacing w:after="0" w:line="72" w:lineRule="exact"/>
        <w:rPr>
          <w:sz w:val="20"/>
          <w:szCs w:val="20"/>
          <w:color w:val="auto"/>
        </w:rPr>
      </w:pPr>
    </w:p>
    <w:p>
      <w:pPr>
        <w:ind w:left="1280" w:right="600" w:hanging="388"/>
        <w:spacing w:after="0" w:line="312"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31" w:lineRule="exact"/>
        <w:rPr>
          <w:rFonts w:ascii="Times New Roman" w:cs="Times New Roman" w:eastAsia="Times New Roman" w:hAnsi="Times New Roman"/>
          <w:sz w:val="17"/>
          <w:szCs w:val="17"/>
          <w:color w:val="auto"/>
        </w:rPr>
      </w:pPr>
    </w:p>
    <w:p>
      <w:pPr>
        <w:ind w:left="1280" w:right="180" w:hanging="388"/>
        <w:spacing w:after="0" w:line="266"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67" w:lineRule="exact"/>
        <w:rPr>
          <w:rFonts w:ascii="Times New Roman" w:cs="Times New Roman" w:eastAsia="Times New Roman" w:hAnsi="Times New Roman"/>
          <w:sz w:val="18"/>
          <w:szCs w:val="18"/>
          <w:color w:val="auto"/>
        </w:rPr>
      </w:pPr>
    </w:p>
    <w:p>
      <w:pPr>
        <w:ind w:left="1280" w:right="200" w:hanging="388"/>
        <w:spacing w:after="0" w:line="266"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1280" w:right="400" w:hanging="388"/>
        <w:spacing w:after="0" w:line="28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280" w:right="20" w:hanging="388"/>
        <w:spacing w:after="0" w:line="26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50% point-of-sale-discount, which was increased to 70% by the Bipartisan Budget Act of 2018 (as of January 1, 2019), off the negotiated price of applicable brand drugs to eligible beneficiaries during their coverage gap period as a condition for the manufacturers’ outpatient drugs to be covered under Medicare Part D;</w:t>
      </w:r>
    </w:p>
    <w:p>
      <w:pPr>
        <w:spacing w:after="0" w:line="71" w:lineRule="exact"/>
        <w:rPr>
          <w:rFonts w:ascii="Times New Roman" w:cs="Times New Roman" w:eastAsia="Times New Roman" w:hAnsi="Times New Roman"/>
          <w:sz w:val="18"/>
          <w:szCs w:val="18"/>
          <w:color w:val="auto"/>
        </w:rPr>
      </w:pPr>
    </w:p>
    <w:p>
      <w:pPr>
        <w:ind w:left="1280" w:right="520" w:hanging="388"/>
        <w:spacing w:after="0" w:line="28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minimum Medicaid rebates owed by manufacturers under the Medicaid Drug Rebate Program and extends the rebate program to individuals enrolled in Medicaid managed care organization;</w:t>
      </w:r>
    </w:p>
    <w:p>
      <w:pPr>
        <w:spacing w:after="0" w:line="53"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annual fees and taxes on manufacturers of certain branded prescription drugs;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licensure framework for follow-on biologic products;</w:t>
      </w:r>
    </w:p>
    <w:p>
      <w:pPr>
        <w:spacing w:after="0" w:line="117" w:lineRule="exact"/>
        <w:rPr>
          <w:rFonts w:ascii="Times New Roman" w:cs="Times New Roman" w:eastAsia="Times New Roman" w:hAnsi="Times New Roman"/>
          <w:sz w:val="18"/>
          <w:szCs w:val="18"/>
          <w:color w:val="auto"/>
        </w:rPr>
      </w:pPr>
    </w:p>
    <w:p>
      <w:pPr>
        <w:ind w:left="1280" w:right="380" w:hanging="388"/>
        <w:spacing w:after="0" w:line="28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2" w:name="page23"/>
    <w:bookmarkEnd w:id="22"/>
    <w:p>
      <w:pPr>
        <w:ind w:left="1280" w:right="320" w:hanging="388"/>
        <w:spacing w:after="0" w:line="266"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2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Certain provisions of the ACA have yet to be implemented and others have been subject to judicial challenges, as well as efforts to repeal or replace them or to alter their interpretation or implementation. Prior to the Biden administration, on October 13, 2017, former President Trump signed an Executive Order terminating the cost-sharing subsidies that reimburse insurers under the ACA. The former Trump administration concluded that cost-sharing reduction, or CSR, payments to insurance companies required under the ACA have not received necessary appropriations from Congress and announced that it will discontinue these payments immediately until those appropriations are made. Several state Attorney Generals filed suit to stop the administration from terminating the subsidies, but their request for a restraining order was denied by a federal judge in California on October 25, 2017. On August 14, 2020, the U.S. Court of Appeals for the Federal Circuit ruled in two separate cases that the federal government is liable for the full amount of unpaid CSRs for the years preceding and including 2017. For CSR claims made by health insurance companies for the years 2018 and later, further litigation will be required to determine to amounts due, if any. Further, on June 14, 2018, the U.S. Court of Appeals for the Federal Circuit ruled that the federal government was not required to pay more than $12.0 billion in ACA risk corridor payments to third-party payors who argued the payments were owed to them. On April 27, 2020, the U.S. Supreme Court reversed the U.S. Court of Appeals for the Federal Circuit's decision and remanded the case to the U.S. Court of Federal Claims, concluding that the government has an obligation to pay these risk corridor payments under the relevant formula.</w:t>
      </w:r>
    </w:p>
    <w:p>
      <w:pPr>
        <w:spacing w:after="0" w:line="13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Concurrently, Congress has considered legislation that would repeal or repeal and replace all or part of the ACA. While Congress has not passed comprehensive repeal legislation, it has enacted laws that modify certain provisions of the ACA such as the Tax Cuts and Jobs Act enacted on December 22, 2017, or the Tax Act, which included a provision that decreased the tax-based shared responsibility payment for individuals who fail to maintain minimum essential coverage under section 5000A of the Internal Revenue Code of 1986,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Litigation and legislation over the ACA are likely to continue, with unpredictable and uncertain results. We continue to evaluate the effect that the ACA and its possible repeal and replacement could have on our business.</w:t>
      </w:r>
    </w:p>
    <w:p>
      <w:pPr>
        <w:spacing w:after="0" w:line="14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Further, other legislative changes have been proposed and adopted in the United States since the ACA was enacted. The Bipartisan Budget Act of 2018 among other things, amended the Medicare statute, effective January 1, 2019, to close the coverage gap in most Medicare drug plans, commonly referred to as the “donut hole.” On December 20, 2019, President Trump signed into law the Further Consolidated Appropriations Act (H.R. 1865), which repeals the “Cadillac” tax on certain high-cost employer-sponsored insurance plans, the health insurance provider tax based on market share, and the medical device excise tax on non-exempt medical devices. It is impossible to determine whether similar taxes could be instated in the future.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3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It is unclear how the ACA and its implementation, as well as efforts to repeal, replace, or invalidate, the ACA or its implementing regulations, or portions thereof, and other legislative changes adopted since, will affect our business. It is possible that the ACA will continue to exert pressure on pharmaceutical pricing, especially under the Medicare and Medicaid programs, and may also increase our regulatory burdens and operating costs. Additional legislative changes, regulatory changes, and judicial challenges related to the ACA remain possible. We will continue to evaluate the effect that the ACA as well as its possible repeal, replacement, or invalidation, in whole or in part, has on our business.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Pricing and Reimbursement</w:t>
      </w:r>
    </w:p>
    <w:p>
      <w:pPr>
        <w:spacing w:after="0" w:line="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Our ability to successfully commercialize our product therefore depends significantly on the availability of adequate financial coverage and reimbursement from third-party payors, including, in the United States, governmental payors such as Medicare and Medicaid, 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t>well as managed care organizations, private health insurers and other organizations. Third-party payors decide which drugs they will pay for and establish reimbursement and copayment levels. Third-party payors are increasingly challenging the prices charged for medicines and examining their cost effectiveness, in addition to their safety and efficacy. We may need to conduct expensive pharmacoeconomic studies in order to demonstrate the cost effectiveness of our products. Even with studies, our products may be considered less safe, less effective or less cost effective than other products, and third-party payors may not provide coverage and reimbursement for our product candidates, in whole or in part. Reimbursement of newly approved products and coverage may be more limited than the purposes for which the medicine is approved by the U.S. FDA or comparable foreign regulatory authorities. Product candidates may not be considered medically necessary or cost effective. In the United States, the principal decisions about reimbursement for new medicines are typically made by CMS, an agency within the HHS. CMS decides whether and to what extent a new medicine will be covered and reimbursed under Medicare and private payors tend to follow CMS to a substantial degree.</w:t>
      </w:r>
    </w:p>
    <w:p>
      <w:pPr>
        <w:spacing w:after="0" w:line="13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2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particularly when for the same product and the same indication as in the U.S., tend to be significantly lower.</w:t>
      </w:r>
    </w:p>
    <w:p>
      <w:pPr>
        <w:spacing w:after="0" w:line="13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Price negotiations are conducted in each EU (and UK) country for new medicines between the manufacturer and the national government pricing committee, or the parties. In many cases, there is no specific timeline for negotiation conclusion and the dynamics depends on the discussions between both parties. Analyzing a benchmark of innovative cardiovascular and metabolic products in recent years, the average time to price negotiation from marketing authorization ranged from 12 months in England to 52 months in countries like France. Recent macro-economic context has put additional pressure on EU authorities in their ability to allocate large budgets for innovative medicines. After this negotiation phase concludes between the parties, a confidential agreement is signed for usually 3 to 5 years with a specific public budget allocation and a price is published, or the list price. For retail products like VAZKEPA in the UK, Sweden or Finland there are no confidential deals with authorities impacting net prices.</w:t>
      </w:r>
    </w:p>
    <w:p>
      <w:pPr>
        <w:spacing w:after="0" w:line="13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decision by a third-party payor not to cover a product could reduce physician utilization once the product is approved and have a material adverse effect on sales, results of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In the United States, no uniform policy of coverage and reimbursement for drug products exists among third-party payors.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w:t>
      </w:r>
    </w:p>
    <w:p>
      <w:pPr>
        <w:spacing w:after="0" w:line="13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35"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August 2022, the Inflation Reduction Act of 2022, or IRA was signed into law. 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will not qualify for the orphan drug exemption.</w:t>
      </w:r>
    </w:p>
    <w:p>
      <w:pPr>
        <w:spacing w:after="0" w:line="138"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impact our ability to sell our products profitably. We anticipate that the United States Congress, state legislatures and the private sector will continue to consider and may adopt healthcare policies intended to curb rising healthcare costs. These cost containment measures include: controls on government funded reimbursement for drugs; new or increased requirements to pay prescription drug rebates to government healthcare programs; controls on healthcare providers; challenges to the pricing of drugs or limits or prohibitions on reimbursement for specific products through other means; requirements to try less expensive products or generics before a more expensive branded product; changes in drug importation laws; expansion of use of managed care systems in which healthcare providers contract to provide comprehensive healthcare for a fixed cost per person; and public funding for cost effectiveness research, which may be used by government and private third-party payors to make coverage and payment decisions. Further, federal budgetary concerns could result in the implementation of significant federal spending cuts, including cuts in Medicare and other health related spending in the near term. For example,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was effective beginning April 1, 2022 through June 30, 2022, and the 2% payment reduction resumed on July 1, 2022.</w:t>
      </w:r>
    </w:p>
    <w:p>
      <w:pPr>
        <w:spacing w:after="0" w:line="14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Payors also are increasingly considering new metrics as the basis for reimbursement rates, such as average sales price, average manufacturer price and actual acquisition cost. CMS surveys and publishes retail community pharmacy acquisition cost information in the form of National Average Drug Acquisition Cost files to provide state Medicaid agencies with a basis of comparison for their own reimbursement and pricing methodologies and rates. It is difficult to project the impact of these evolving reimbursement mechanics on the willingness of payors to cover our products. We participate in the Medicaid Drug Rebate program, the 340B drug pricing program, and the U.S. Department of Veterans Affairs, or VA, Federal Supply Schedule, or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Part B of the Medicare program.</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5" w:name="page26"/>
    <w:bookmarkEnd w:id="25"/>
    <w:p>
      <w:pPr>
        <w:ind w:firstLine="509"/>
        <w:spacing w:after="0" w:line="25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average manufacturer price and Medicaid rebate amount for the covered outpatient drug as calculated under the Medicaid Drug Rebate program.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Plaintiffs-appellees filed a petition for a writ of certiorari at the U.S. Supreme Court on February 10, 2021. On Friday July 2, 2021, the Supreme Court granted the petition. On June 15, 2022, the Supreme Court unanimously reversed the Court of Appeals’ decision, holding that HHS’s 2018 and 2019 reimbursement rates for 340B hospitals were contrary to the statute and unlawful. We continue to review developments impacting the 340B program. It is unclear how these developments could affect covered hospitals who might purchase our future products and affect the rates we may charge such facilities for our approved products in the future, if any.</w:t>
      </w:r>
    </w:p>
    <w:p>
      <w:pPr>
        <w:spacing w:after="0" w:line="13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VA/FSS pricing program. Under this program, we are obligated to make our products available for procurement on an FSS contract and charge a price to four federal agencies - the VA, U.S. Department of Defense, Public Health Service and U.S. Coast Guard - that is no higher than the statutory Federal Ceiling Price, or FCP. The FCP is based on the non-federal average manufacturer price, or Non-FAMP, which we calculate and report to the VA on a quarterly and annual basis. 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w:t>
      </w:r>
    </w:p>
    <w:p>
      <w:pPr>
        <w:spacing w:after="0" w:line="13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Medicaid Drug Rebate program, 340B program, and VA/FSS pricing program, and the risks relating to price reporting and other obligations under these programs, are further discussed under the heading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growth prospects</w:t>
      </w:r>
      <w:r>
        <w:rPr>
          <w:rFonts w:ascii="Times New Roman" w:cs="Times New Roman" w:eastAsia="Times New Roman" w:hAnsi="Times New Roman"/>
          <w:sz w:val="18"/>
          <w:szCs w:val="18"/>
          <w:color w:val="auto"/>
        </w:rPr>
        <w:t>” in Part I, Item 1A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w:t>
      </w:r>
    </w:p>
    <w:p>
      <w:pPr>
        <w:spacing w:after="0" w:line="1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Recently, there have been several U.S. Congressional inquiries and proposed and adopted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President Biden signed an Executive Order on July 9, 2021 affirming the administration's policy to (i) support legislative reforms that would lower the prices of prescription drug and biologics, including by allowing Medicare to negotiate drug prices, imposing inflation caps and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to enhance the domestic drug supply chain, to reduce the price that the Federal government pays for drugs, and to address price gouging in the industry; and directs the U.S. FDA to work with states and Indian Tribes that propose to develop section 804 Importation Programs in accordance with the Medicare Prescription Drug, Improvement, and Modernization Act of 2003, and the U.S. FDA's implementing regulations. The U.S. FDA released such implementing regulations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On December 29, 2021, CMS rescinded the Most Favored Nations rule. Further, authorities in Canada have passed rules designed to safeguard the Canadian drug supply from shortages. If implemented, importation of drugs from Canada may materially and adversely affect the price we receive for any of our products.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the court order, the removal and addition of the aforementioned safe harbors were delayed and recent legislation imposed a moratorium on implementation of the rule until January 1, 2026. This deadline was delayed to January 1, 2027 by the Bipartisan Safer Communities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26" w:name="page27"/>
    <w:bookmarkEnd w:id="26"/>
    <w:p>
      <w:pPr>
        <w:ind w:right="20"/>
        <w:spacing w:after="0" w:line="254" w:lineRule="auto"/>
        <w:rPr>
          <w:sz w:val="20"/>
          <w:szCs w:val="20"/>
          <w:color w:val="auto"/>
        </w:rPr>
      </w:pPr>
      <w:r>
        <w:rPr>
          <w:rFonts w:ascii="Times New Roman" w:cs="Times New Roman" w:eastAsia="Times New Roman" w:hAnsi="Times New Roman"/>
          <w:sz w:val="18"/>
          <w:szCs w:val="18"/>
          <w:color w:val="auto"/>
        </w:rPr>
        <w:t>Act. The Inflation Reduction Act of 2022 further delayed implementation of this rule to January 1, 2032. Further,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On May 17, 2022, the U.S. District Court for the District of Columbia granted PhRMA’s motion for summary judgement invalidating the Medicaid Accumulator Rule.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3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U.S. FDA approval. Under certain circumstances, eligible patients can seek treatment without enrolling in clinical trials and without obtaining U.S. FDA permission under the U.S. FDA expanded access program. There is no obligation for a pharmaceutical manufacturer to make its drug products available to eligible patients as a result of the Right to Try Act.</w:t>
      </w:r>
    </w:p>
    <w:p>
      <w:pPr>
        <w:spacing w:after="0" w:line="12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9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Manufacturing, sales, promotion, importation, and other activities related to approved products are also subject to regulation by numerous regulatory authorities, including, in the United States, the U.S. FDA, the Centers for Medicare &amp; Medicaid Services,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comply with the Food, Drug, and Cosmetic Act, the Anti-Kickback Statute, and the False Claims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Products must meet applicable child-resistant packaging requirements under the U.S. Poison Prevention Packaging Act. 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4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U.S. FDA and other requirements, new information regarding the safety or effectiveness of a product could lead the U.S. FDA to modify or withdraw a product approval. Prohibitions or restrictions on sales or withdrawal of future products marketed by us could materially affect our business in an adverse way.</w:t>
      </w:r>
    </w:p>
    <w:p>
      <w:pPr>
        <w:spacing w:after="0" w:line="133"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Proprietary Technology, Trade Secrets</w:t>
      </w:r>
    </w:p>
    <w:p>
      <w:pPr>
        <w:spacing w:after="0" w:line="9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it remains the case that our ability to successfully implement our business plan and to protect our products with our intellectual property will depend in large part on our ability to:</w:t>
      </w:r>
    </w:p>
    <w:p>
      <w:pPr>
        <w:spacing w:after="0" w:line="72" w:lineRule="exact"/>
        <w:rPr>
          <w:sz w:val="20"/>
          <w:szCs w:val="20"/>
          <w:color w:val="auto"/>
        </w:rPr>
      </w:pPr>
    </w:p>
    <w:p>
      <w:pPr>
        <w:ind w:left="1280" w:hanging="38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7" w:name="page28"/>
    <w:bookmarkEnd w:id="27"/>
    <w:p>
      <w:pPr>
        <w:ind w:left="1280" w:hanging="38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117" w:lineRule="exact"/>
        <w:rPr>
          <w:rFonts w:ascii="Times New Roman" w:cs="Times New Roman" w:eastAsia="Times New Roman" w:hAnsi="Times New Roman"/>
          <w:sz w:val="18"/>
          <w:szCs w:val="18"/>
          <w:color w:val="auto"/>
        </w:rPr>
      </w:pPr>
    </w:p>
    <w:p>
      <w:pPr>
        <w:ind w:left="1280" w:hanging="388"/>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7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Annual Report on Form 10-K, we had more than 100 patent applications in the United States that have been either issued or allowed, most of which are listed in the FDA publication entitled Approved Drug Products with Therapeutic Equivalence Evaluations also known as the FDA Orange Book. There are more than 30 additional patent applications pending in the United States.</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Currently-issued U.S. patents will expire between 2027 and 2033 and contain claims directed to the methods of using icosapent ethyl to treat hypertriglyceridemia, severe hypertriglyceridemia and cardiovascular risk reduction. Our VASCEPA patent portfolio also includes many granted patents in foreign jurisdictions including pending foreign and Patent Cooperation Treaty, or PCT patent applications. Currently-granted European patents directed to the same subject matter as above will expire between 2027 and 2033, and may be subject to a potential further extension of a patent right. Granted patents in other foreign jurisdictions will expire between 2030 and 2033 and may be subject to a potential further patent term extension, depending on the country. Pending applications covering VASCEPA/VAZKEPA may, if granted, provide exclusivity for the drug until 2039.</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Patents and applications described above are either owned by Amarin or exclusively licensed from others.</w:t>
      </w:r>
    </w:p>
    <w:p>
      <w:pPr>
        <w:spacing w:after="0" w:line="17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have pending patent applications worldwide related to potential new uses of icosapent ethyl or other derivatives of EPA and potential new formulations thereof. Patents maturing from such pending applications would expire between 2030 and 2043.</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 Notice of Allowance is issued after the U.S. Patent and Trademark Office, or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2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Geographies outside the United States in which VASCEPA is sold or under regulatory review are not subject to the U.S. patent litigation and judgment. No litigation involving potential generic versions of VASCEPA is pending outside the United States. Outside the United States, VASCEPA is currently available by prescription in certain European countries,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 one allowed patent related to the use of a pharmaceutical composition comprised of 4g of 96% EPA ethyl ester to treat the REDUCE-IT population expiring 2033. In addition, pending patent applications in Europe, if granted, may have the potential to extend exclusivity into 2039.</w:t>
      </w:r>
    </w:p>
    <w:p>
      <w:pPr>
        <w:spacing w:after="0" w:line="13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28" w:name="page29"/>
    <w:bookmarkEnd w:id="28"/>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94"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we had approximately 365 full-time employees located in fifteen countries. Attracting, developing and retaining key scientific, technical, research, marketing, sales and other personnel is critical to our ability to implement and execute our business plan and is key to the success of the business. Our ability to recruit and retain such talent depends on a number of factors, including compensation and benefits, talent development, career opportunities and work environment.</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believe that a diverse and inclusive workforce helps us better connect our work with the needs of our patients, physicians, partners and other stakeholders. In our hiring and recruiting of prospective candidates, we give priority to attitude, intelligence, competency for the position and assessment of what they can contribute to our company. We promote employees based on merit with emphasis on accomplishments over effort while supporting the benefits of diversity. In our hiring, promotion, compensation, retention and other employment practices, we regularly evaluate whether women and minority populations are being treated equally. We seek ways to continually improve in this area. While we acknowledge and support the benefits of diversity, individual hiring and promotion decisions are made irrespective of personal characteristics such as race, disability, gender, sexual orientation, religion, or age.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5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 Workforce Diversity Representation (U.S. Only)</w:t>
            </w:r>
          </w:p>
        </w:tc>
        <w:tc>
          <w:tcPr>
            <w:tcW w:w="1820" w:type="dxa"/>
            <w:vAlign w:val="bottom"/>
          </w:tcPr>
          <w:p>
            <w:pPr>
              <w:spacing w:after="0"/>
              <w:rPr>
                <w:sz w:val="20"/>
                <w:szCs w:val="20"/>
                <w:color w:val="auto"/>
              </w:rPr>
            </w:pPr>
          </w:p>
        </w:tc>
      </w:tr>
      <w:tr>
        <w:trPr>
          <w:trHeight w:val="277"/>
        </w:trPr>
        <w:tc>
          <w:tcPr>
            <w:tcW w:w="4180" w:type="dxa"/>
            <w:vAlign w:val="bottom"/>
          </w:tcPr>
          <w:p>
            <w:pPr>
              <w:spacing w:after="0"/>
              <w:rPr>
                <w:sz w:val="24"/>
                <w:szCs w:val="24"/>
                <w:color w:val="auto"/>
              </w:rPr>
            </w:pPr>
          </w:p>
        </w:tc>
        <w:tc>
          <w:tcPr>
            <w:tcW w:w="52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18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Race</w:t>
            </w:r>
          </w:p>
        </w:tc>
      </w:tr>
      <w:tr>
        <w:trPr>
          <w:trHeight w:val="250"/>
        </w:trPr>
        <w:tc>
          <w:tcPr>
            <w:tcW w:w="418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Executive Leadership</w:t>
            </w:r>
          </w:p>
        </w:tc>
        <w:tc>
          <w:tcPr>
            <w:tcW w:w="5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41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Management</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42%</w:t>
            </w:r>
          </w:p>
        </w:tc>
        <w:tc>
          <w:tcPr>
            <w:tcW w:w="1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36%</w:t>
            </w:r>
          </w:p>
        </w:tc>
      </w:tr>
      <w:tr>
        <w:trPr>
          <w:trHeight w:val="247"/>
        </w:trPr>
        <w:tc>
          <w:tcPr>
            <w:tcW w:w="418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Sales Professionals and Other Associates</w:t>
            </w:r>
          </w:p>
        </w:tc>
        <w:tc>
          <w:tcPr>
            <w:tcW w:w="5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58%</w:t>
            </w:r>
          </w:p>
        </w:tc>
        <w:tc>
          <w:tcPr>
            <w:tcW w:w="1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4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the above table, executive leadership is defined as positions of vice president and above. Management is defined as positions of director, manager or equivalent roles.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&amp; Engagement</w:t>
      </w:r>
    </w:p>
    <w:p>
      <w:pPr>
        <w:spacing w:after="0" w:line="9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believe in a direct management-employee engagement model by which managers and employees maintain a regular dialogue about working conditions, compensation, compliance, safety and advancement opportunities. We communicate frequently and transparently with our employees through a variety of communication methods, including written communications and quarterly town hall meetings. We believe these engagement efforts keep our employees informed about our strategy, purpose and priorities, which is consistent with our core values of integrity, operational excellence, collaboration and commitment to quality and we believe this engagement motivates our employees to do their best work. Our core values promote an empowering, supportive atmosphere where we work together to put patients first and improve patient care through our actions and products. We encourage employees to share ideas and learn from each other, while expecting high standards of quality and continuous improvement.</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94"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rewarding, supporting, and developing our employees who make it possible to deliver on our strategy. To that end, we offer a comprehensive rewards program aimed at the varying health and financial needs of our employees. Our program includes market-competitive salaries and wages, bonuses and broad-based stock grants, healthcare benefits, retirement plans with employer matching provisions, paid time off and family leave and a strong commitment to corporate wellness. In addition, we have implemented a hybrid workplace model for our offices throughout the world. We utilize independent consultants to help us ensure that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9" w:name="page30"/>
    <w:bookmarkEnd w:id="29"/>
    <w:p>
      <w:pPr>
        <w:ind w:right="460"/>
        <w:spacing w:after="0" w:line="282" w:lineRule="auto"/>
        <w:rPr>
          <w:sz w:val="20"/>
          <w:szCs w:val="20"/>
          <w:color w:val="auto"/>
        </w:rPr>
      </w:pPr>
      <w:r>
        <w:rPr>
          <w:rFonts w:ascii="Times New Roman" w:cs="Times New Roman" w:eastAsia="Times New Roman" w:hAnsi="Times New Roman"/>
          <w:sz w:val="18"/>
          <w:szCs w:val="18"/>
          <w:color w:val="auto"/>
        </w:rPr>
        <w:t>our compensation and benefits are competitive with market practices and compliant with laws and regulations in the various geographies in which we operate.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1, 2023, we had the following subsidiaries:</w:t>
      </w:r>
    </w:p>
    <w:p>
      <w:pPr>
        <w:spacing w:after="0" w:line="206"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8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Proportion of</w:t>
            </w:r>
          </w:p>
        </w:tc>
        <w:tc>
          <w:tcPr>
            <w:tcW w:w="0" w:type="dxa"/>
            <w:vAlign w:val="bottom"/>
          </w:tcPr>
          <w:p>
            <w:pPr>
              <w:spacing w:after="0"/>
              <w:rPr>
                <w:sz w:val="1"/>
                <w:szCs w:val="1"/>
                <w:color w:val="auto"/>
              </w:rPr>
            </w:pPr>
          </w:p>
        </w:tc>
      </w:tr>
      <w:tr>
        <w:trPr>
          <w:trHeight w:val="149"/>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2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8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and</w:t>
            </w:r>
          </w:p>
        </w:tc>
        <w:tc>
          <w:tcPr>
            <w:tcW w:w="0" w:type="dxa"/>
            <w:vAlign w:val="bottom"/>
          </w:tcPr>
          <w:p>
            <w:pPr>
              <w:spacing w:after="0"/>
              <w:rPr>
                <w:sz w:val="1"/>
                <w:szCs w:val="1"/>
                <w:color w:val="auto"/>
              </w:rPr>
            </w:pPr>
          </w:p>
        </w:tc>
      </w:tr>
      <w:tr>
        <w:trPr>
          <w:trHeight w:val="187"/>
        </w:trPr>
        <w:tc>
          <w:tcPr>
            <w:tcW w:w="59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28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Voting Power Held</w:t>
            </w:r>
          </w:p>
        </w:tc>
        <w:tc>
          <w:tcPr>
            <w:tcW w:w="0" w:type="dxa"/>
            <w:vAlign w:val="bottom"/>
          </w:tcPr>
          <w:p>
            <w:pPr>
              <w:spacing w:after="0"/>
              <w:rPr>
                <w:sz w:val="1"/>
                <w:szCs w:val="1"/>
                <w:color w:val="auto"/>
              </w:rPr>
            </w:pPr>
          </w:p>
        </w:tc>
      </w:tr>
      <w:tr>
        <w:trPr>
          <w:trHeight w:val="243"/>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Pharma, Inc.</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Germany GmbH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France SAS</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UK Limited</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Italy S.r.l.</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28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29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280" w:type="dxa"/>
            <w:vAlign w:val="bottom"/>
          </w:tcPr>
          <w:p>
            <w:pPr>
              <w:spacing w:after="0"/>
              <w:rPr>
                <w:sz w:val="21"/>
                <w:szCs w:val="21"/>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our principal operating activities were being conducted by Amarin Corporation plc, together with Amarin Pharmaceuticals Ireland Limited and Amarin Pharma, Inc. Operating activity being conducted by the European subsidiaries were in support of Amarin Pharmaceuticals Ireland Limited. Ester Neurosciences Limited had no operating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9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 on Form 10-K, Quarterly Reports on Form 10-Q, Current Reports on Form 8-K (including exhibits), and amendments to reports filed pursuant to Sections 13(a) and 15(d) of the Securities Exchange Act of 1934, as amended, or the Exchange Act, are made available free of charge on or through our website at </w:t>
      </w:r>
      <w:r>
        <w:rPr>
          <w:rFonts w:ascii="Times New Roman" w:cs="Times New Roman" w:eastAsia="Times New Roman" w:hAnsi="Times New Roman"/>
          <w:sz w:val="18"/>
          <w:szCs w:val="18"/>
          <w:i w:val="1"/>
          <w:iCs w:val="1"/>
          <w:u w:val="single" w:color="auto"/>
          <w:color w:val="auto"/>
        </w:rPr>
        <w:t>www.amarincorp.com</w:t>
      </w:r>
      <w:r>
        <w:rPr>
          <w:rFonts w:ascii="Times New Roman" w:cs="Times New Roman" w:eastAsia="Times New Roman" w:hAnsi="Times New Roman"/>
          <w:sz w:val="18"/>
          <w:szCs w:val="18"/>
          <w:color w:val="auto"/>
        </w:rPr>
        <w:t xml:space="preserve"> as soon as reasonably practicable after such reports are filed with, or furnished to, the Securities and Exchange Commission, or SEC. The SEC also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and other information regarding issuers that file electronically with the SEC. We are not, however, including the information contained on our website, or information that may be accessed through links on our website, as part of, or incorporating such information by reference into,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information required under this Item 1 is incorporated herein by reference to Item 8 of this Annual Report on 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79"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8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54" w:lineRule="exact"/>
        <w:rPr>
          <w:sz w:val="20"/>
          <w:szCs w:val="20"/>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 (icosapent ethyl), its commercialization in the United States and its development, launch and commercialization in Europe and other major markets.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face increasing competition from generic drug companies in the near term and our revenues and results of operations could continue to be materially and adversely affected.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cost reduction and organizational restructuring plans, and any similar efforts we may undertake in the future, may not be successful in mitigating risks and challenges associated with our Company's U.S. business and establishing a more significant international footprint.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supply and commercialization, including promotional activities, of VASCEPA is subject to regulatory scrutiny.</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including if we are unable to secure favorable product reimbursement levels, which can vary from country to country. If we are unable to realize product reimbursement rates at reasonable levels, or at all, patient access to VASCEPA may be limited.</w:t>
      </w:r>
    </w:p>
    <w:p>
      <w:pPr>
        <w:spacing w:after="0" w:line="6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ind w:left="1020" w:right="80"/>
        <w:spacing w:after="0" w:line="282" w:lineRule="auto"/>
        <w:rPr>
          <w:sz w:val="20"/>
          <w:szCs w:val="20"/>
          <w:color w:val="auto"/>
        </w:rPr>
      </w:pPr>
      <w:r>
        <w:rPr>
          <w:rFonts w:ascii="Times New Roman" w:cs="Times New Roman" w:eastAsia="Times New Roman" w:hAnsi="Times New Roman"/>
          <w:sz w:val="18"/>
          <w:szCs w:val="18"/>
          <w:color w:val="auto"/>
        </w:rPr>
        <w:t>efforts, and we may not be successful in negotiating or establishing relationships with business partners to support and maintain control over our international activities.</w:t>
      </w:r>
    </w:p>
    <w:p>
      <w:pPr>
        <w:spacing w:after="0" w:line="54" w:lineRule="exact"/>
        <w:rPr>
          <w:sz w:val="20"/>
          <w:szCs w:val="20"/>
          <w:color w:val="auto"/>
        </w:rPr>
      </w:pPr>
    </w:p>
    <w:p>
      <w:pPr>
        <w:ind w:left="1020" w:right="1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obligations of our employees, agents, business partners and third parties to protect the commercial value and potential of VASCEPA.</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patent rights is challenging and costly and, even if we are able to successfully enforce our patent rights, our issued patents may not prevent competitors from competing with VASCEPA.</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312"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7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2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For example,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4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Although we are exploring ways to broaden our development and commercial pipeline, such efforts are likely to be time consuming, costly and may utilize resources that could otherwise be focused on commercializing VASCEPA. For example, it took over a decade of preceding product development before we received marketing approval for VAZKEPA in March 2021 from the European Commission, or the EC.</w:t>
      </w:r>
    </w:p>
    <w:p>
      <w:pPr>
        <w:spacing w:after="0" w:line="12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24"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1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Following the patent litigation rulings against us,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 versions of VASCEPA could continue to have a material and adverse impact on our revenues and results of operations in the United States.</w:t>
      </w:r>
    </w:p>
    <w:p>
      <w:pPr>
        <w:spacing w:after="0" w:line="3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in many U.S. states to fill a prescription for any use of the drug, subject to state substitution laws. Although, we intend to vigorously defend our intellectual property rights related to VASCEPA, there can be no assurance that we will be successful in preventing use of generic versions of VASCEPA in indications for which they have not been approved by U.S. FDA, even if such use is determined to infringe certain of our patent claims.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2" w:name="page33"/>
    <w:bookmarkEnd w:id="32"/>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Given the changing dynamic in the U.S. market, we initiated cost and organizational restructuring plans which reduced our U.S. commercial team from approximately 300 sales representatives to approximately 75 sales representatives by the end of 2022. Although this streamlining has resulted in an improved expense structure, such efforts could impact employee morale and make hiring and retaining talented personnel more challenging, may not result in all of the cost-savings or other benefits we anticipate and are costly to implement.</w:t>
      </w:r>
    </w:p>
    <w:p>
      <w:pPr>
        <w:spacing w:after="0" w:line="216"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0"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particularly in light of the level of competition, including from generic products, in the United States. This process is conducted on a country-by-country basis and is time-consuming and complex, and, even though the EC approved the marketing authorization for VAZKEPA in March 2021, and we have received positive national pricing and reimbursement decisions in England and Wales, Sweden and Finland, there is no guarantee that we will be able to negotiate and obtain further reimbursement and pricing terms on favorable terms, or at all, in the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once we have a new dossier ready,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14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or that we will be able to rely upon these third parties; if commercialization plans for VASCEPA do not meet expectations in major markets such as the United States and Europe, our business and prospects could be materially and adversely affected.</w:t>
      </w:r>
    </w:p>
    <w:p>
      <w:pPr>
        <w:spacing w:after="0" w:line="212"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of VASCEPA outside the United States may be smaller than we anticipate, including if we are unable to secure favorable product reimbursement levels, which can vary from country to country. If we are unable to realize product reimbursement rates at reasonable levels, or at all, patient access to VASCEPA may be limited.</w:t>
      </w:r>
    </w:p>
    <w:p>
      <w:pPr>
        <w:spacing w:after="0" w:line="4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For example, despite having received EC approval to commercialize VAZKEPA in Europe and through our partner, Edding, marketing approval for VASCEPA in Hong Kong as well as we expect to obtain through Edding, marketing approval for VASCEPA in Mainland China, Macau and Taiwan, applicable regulatory agencies may impose restrictions on the product’s conditions for use, distribution or marketing and in some cases may impose ongoing requirements for post-market surveillance, post-approval studies or clinical trials.</w:t>
      </w:r>
    </w:p>
    <w:p>
      <w:pPr>
        <w:spacing w:after="0" w:line="1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is not always successful. For example, after the conclusion of negotiations with the National Association of Statutory Health Insurance Funds, a viable agreement on the reimbursement price of VAZKEPA in Germany could not be reached. As a result of the negotiation outcome, we discontinued our German operations as of September 1, 2022. In November 2022 the Arbitration Board process concluded without an agreement.</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24"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1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be unsuccessful in expanding our global footprint. For example, we are launching VAZKEPA on our own in the most commercially significant markets in Europe. The commercial launch of a new pharmaceutical product is a complex and resource heavy undertaking for a company to manage and be impacted by decisions by and interactions with local regulators, and we have no prior experience as a company operating a commercial-stage pharmaceutical business in Europe. For example, and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particularly in light of our recent reductions in force;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overestimated the addressable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sales personnel to obtain access to or persuade adequate numbers of physicians to prescribe or patients to use VASCEPA;</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and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or resumed impact from COVID-19 on healthcare providers, patients and personnel which may vary considerably from jurisdiction to jurisdiction, as well as on local restrictions and practices, including the complexities of having to understand and navigate multiple and evolving sets of protocols and the accessibility and rates of vaccinations in various geographies.</w:t>
      </w:r>
    </w:p>
    <w:p>
      <w:pPr>
        <w:spacing w:after="0" w:line="122" w:lineRule="exact"/>
        <w:rPr>
          <w:sz w:val="20"/>
          <w:szCs w:val="20"/>
          <w:color w:val="auto"/>
        </w:rPr>
      </w:pPr>
    </w:p>
    <w:p>
      <w:pPr>
        <w:ind w:right="320" w:firstLine="509"/>
        <w:spacing w:after="0" w:line="313"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72" w:lineRule="exact"/>
        <w:rPr>
          <w:sz w:val="20"/>
          <w:szCs w:val="20"/>
          <w:color w:val="auto"/>
        </w:rPr>
      </w:pPr>
    </w:p>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1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4" w:name="page35"/>
    <w:bookmarkEnd w:id="34"/>
    <w:p>
      <w:pPr>
        <w:ind w:right="240"/>
        <w:spacing w:after="0" w:line="258" w:lineRule="auto"/>
        <w:rPr>
          <w:sz w:val="20"/>
          <w:szCs w:val="20"/>
          <w:color w:val="auto"/>
        </w:rPr>
      </w:pPr>
      <w:r>
        <w:rPr>
          <w:rFonts w:ascii="Times New Roman" w:cs="Times New Roman" w:eastAsia="Times New Roman" w:hAnsi="Times New Roman"/>
          <w:sz w:val="18"/>
          <w:szCs w:val="18"/>
          <w:color w:val="auto"/>
        </w:rPr>
        <w:t>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1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134" w:lineRule="exact"/>
        <w:rPr>
          <w:sz w:val="20"/>
          <w:szCs w:val="20"/>
          <w:color w:val="auto"/>
        </w:rPr>
      </w:pPr>
    </w:p>
    <w:p>
      <w:pPr>
        <w:ind w:right="80" w:firstLine="509"/>
        <w:spacing w:after="0" w:line="277" w:lineRule="auto"/>
        <w:rPr>
          <w:sz w:val="20"/>
          <w:szCs w:val="20"/>
          <w:color w:val="auto"/>
        </w:rPr>
      </w:pPr>
      <w:r>
        <w:rPr>
          <w:rFonts w:ascii="Times New Roman" w:cs="Times New Roman" w:eastAsia="Times New Roman" w:hAnsi="Times New Roman"/>
          <w:sz w:val="17"/>
          <w:szCs w:val="17"/>
          <w:color w:val="auto"/>
        </w:rPr>
        <w:t>The dynamics and developments discussed above serve to create pressure on the pricing and potential usage of our products and the industry.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04"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of the United States have affected and will continue to affect access to and sales of our products</w:t>
      </w:r>
    </w:p>
    <w:p>
      <w:pPr>
        <w:spacing w:after="0" w:line="1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Outside of the United States, we expect countries will continue to take actions to reduce their drug expenditures. International reference pricing, or IRP, has been widely used by many countries outside of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which foreign regimes are varied and complex, which might hinder our effectiveness in establishing satisfactory pricing, coverage and reimbursement levels in a timely manner or at all.</w:t>
      </w:r>
    </w:p>
    <w:p>
      <w:pPr>
        <w:spacing w:after="0" w:line="234"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1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January 2013, we launched VASCEPA based on the U.S. FDA approval of our MARINE indication, for use as an adjunct to diet to reduce triglyceride levels in adult patients with severe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1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or our REDUCE-IT indication.</w:t>
      </w:r>
    </w:p>
    <w:p>
      <w:pPr>
        <w:spacing w:after="0" w:line="12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right="20"/>
        <w:spacing w:after="0" w:line="266" w:lineRule="auto"/>
        <w:rPr>
          <w:sz w:val="20"/>
          <w:szCs w:val="20"/>
          <w:color w:val="auto"/>
        </w:rPr>
      </w:pPr>
      <w:r>
        <w:rPr>
          <w:rFonts w:ascii="Times New Roman" w:cs="Times New Roman" w:eastAsia="Times New Roman" w:hAnsi="Times New Roman"/>
          <w:sz w:val="18"/>
          <w:szCs w:val="18"/>
          <w:color w:val="auto"/>
        </w:rPr>
        <w:t>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for its approved indications and uses or otherwise will depend on a number of factors, including:</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adjudicated, settled and pending patent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warnings in VASCEPA's approved labeling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data supporting our REDUCE-IT indication over time;</w:t>
      </w:r>
    </w:p>
    <w:p>
      <w:pPr>
        <w:spacing w:after="0" w:line="117" w:lineRule="exact"/>
        <w:rPr>
          <w:rFonts w:ascii="Times New Roman" w:cs="Times New Roman" w:eastAsia="Times New Roman" w:hAnsi="Times New Roman"/>
          <w:sz w:val="18"/>
          <w:szCs w:val="18"/>
          <w:color w:val="auto"/>
        </w:rPr>
      </w:pPr>
    </w:p>
    <w:p>
      <w:pPr>
        <w:ind w:left="1020" w:right="9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our clinical data supporting our REDUCE-IT indication by regulatory authorities internationally;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and outside of U.S. FDA-approved labeling and the related perception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the COVID-19 pandemic, international conflicts, and political unrest which could inhibit our ability to promote VASCEPA regionally and which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 labeling internationally.</w:t>
      </w:r>
    </w:p>
    <w:p>
      <w:pPr>
        <w:spacing w:after="0" w:line="10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Any one or more of the above factors could have a negative impact on our ability to successfully commercialize VASCEPA, which would in turn have a negative impact on our financial condition.</w:t>
      </w:r>
    </w:p>
    <w:p>
      <w:pPr>
        <w:spacing w:after="0" w:line="18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1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While the U.S. FDA approved the expanded label for VASCEPA for the REDUCE-IT indication in 2019, 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6" w:name="page37"/>
    <w:bookmarkEnd w:id="36"/>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54" w:lineRule="exact"/>
        <w:rPr>
          <w:sz w:val="20"/>
          <w:szCs w:val="20"/>
          <w:color w:val="auto"/>
        </w:rPr>
      </w:pPr>
    </w:p>
    <w:p>
      <w:pPr>
        <w:ind w:left="1020" w:right="30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03"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adversely impact public perception of VASCEPA’s clinical profile and the commercial and regulatory prospects of VASCEPA.</w:t>
      </w:r>
    </w:p>
    <w:p>
      <w:pPr>
        <w:spacing w:after="0" w:line="1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render new or adverse information on the effects of VASCEPA and its commercial and regulatory prospects.</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12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Even though such results from these trials were positive, additional clinical development efforts may be necessary in these markets to demonstrate the effectiveness of VASCEPA, which may be costly to pursue, or may not produce the desired or expected results.</w:t>
      </w:r>
    </w:p>
    <w:p>
      <w:pPr>
        <w:spacing w:after="0" w:line="12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the outcomes of any study involving VASCEPA and icosapent ethyl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0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cost reduction and organizational restructuring plans, and any similar efforts we may undertake in the future, may not be successful in mitigating risks and challenges associated with our Company's U.S. business and establishing a more significant international footprint.</w:t>
      </w:r>
    </w:p>
    <w:p>
      <w:pPr>
        <w:spacing w:after="0" w:line="2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in our efforts to continue to market and sell VASCEPA in the United States, including following the implementation of our cost reduction and organizational restructuring plan, our anticipated revenues or our expenses could be materially and negatively affected, and we may not maintain profitability in the United States or obtain profitability internationally,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37" w:name="page38"/>
    <w:bookmarkEnd w:id="3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promotional initiatives have had to adjust over the last several years, given the impact of COVID-19 and international instability, which efforts have been costly and require considerable resources. Shifts from traditional face-to-face interactions to mostly virtual outreach, specifically, access to healthcare professionals through digital or other channels, were not as productive as in-person interactions in promoting use of VASCEPA and we have been pursuing increased face-to-face interactions with targeted health care professionals as protocols have eased and travel has resumed to more stable levels. Such efforts are costly and there can be no assurance that they will result in an increase in VASCEPA prescriptions and sales in the near future, or at all.</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supply and commercialization, including promotional activities, of VASCEPA is subject to regulatory scrutiny.</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1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40"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12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3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Although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138"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38" w:name="page39"/>
    <w:bookmarkEnd w:id="38"/>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2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who have greater resources than us,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33"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8"/>
          <w:szCs w:val="18"/>
          <w:color w:val="auto"/>
        </w:rPr>
        <w:t>We also face considerable competition in the United States from branded products and generic versions of competing branded products and formulations, including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all of which have multiple generic competing versions. We compete with these drugs, in our U.S. FDA-approved indicated uses, even though such products do not have U.S. FDA approval to reduce CV risk on top of statin therapy.</w:t>
      </w:r>
    </w:p>
    <w:p>
      <w:pPr>
        <w:spacing w:after="0" w:line="14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 xml:space="preserve">For a more detailed discussion of our competitors, and potential competing drugs in development, in the United States and the rest of the world, see our discussion above in </w:t>
      </w:r>
      <w:r>
        <w:rPr>
          <w:rFonts w:ascii="Times New Roman" w:cs="Times New Roman" w:eastAsia="Times New Roman" w:hAnsi="Times New Roman"/>
          <w:sz w:val="18"/>
          <w:szCs w:val="18"/>
          <w:i w:val="1"/>
          <w:iCs w:val="1"/>
          <w:color w:val="auto"/>
        </w:rPr>
        <w:t>Item 1. Business - Competition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86"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13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also faces competition from dietary supplement manufacturers marketing omega-3 products as nutritional supplements. Such products are classified as food, not as prescription drugs or over-the-counter drugs, by the U.S. FDA in the United States with similar regulatory regimes in Europe and elsewhere.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13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12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39" w:name="page40"/>
    <w:bookmarkEnd w:id="39"/>
    <w:p>
      <w:pPr>
        <w:ind w:right="7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10" w:lineRule="exact"/>
        <w:rPr>
          <w:sz w:val="20"/>
          <w:szCs w:val="20"/>
          <w:color w:val="auto"/>
        </w:rPr>
      </w:pPr>
    </w:p>
    <w:p>
      <w:pPr>
        <w:jc w:val="both"/>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3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13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72"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is invalid, unenforceable, or will not be infringed by the manufacture, use or sale of the product for which the ANDA or 505(b)(2) NDA is submitted.</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1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14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40" w:name="page41"/>
    <w:bookmarkEnd w:id="40"/>
    <w:p>
      <w:pPr>
        <w:ind w:right="40"/>
        <w:spacing w:after="0" w:line="253" w:lineRule="auto"/>
        <w:rPr>
          <w:sz w:val="20"/>
          <w:szCs w:val="20"/>
          <w:color w:val="auto"/>
        </w:rPr>
      </w:pPr>
      <w:r>
        <w:rPr>
          <w:rFonts w:ascii="Times New Roman" w:cs="Times New Roman" w:eastAsia="Times New Roman" w:hAnsi="Times New Roman"/>
          <w:sz w:val="18"/>
          <w:szCs w:val="18"/>
          <w:color w:val="auto"/>
        </w:rPr>
        <w:t>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13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cannot predict the outcome of the pending lawsuits, any appeals, or any subsequently filed lawsuits or inter partes review.</w:t>
      </w:r>
    </w:p>
    <w:p>
      <w:pPr>
        <w:spacing w:after="0" w:line="17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2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10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or news related to litigation outcomes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20"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One of our generic competitors has filed a lawsuit against us claiming we have engaged in anticompetitive practices related to our building of adequate supply for our needs, and government agencies are investigating our business as it relates to the supply of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1" w:name="page42"/>
    <w:bookmarkEnd w:id="41"/>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1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necessitates long-term financial commitments to ensure sufficient capacity is available when needed. We have invested over a decade of resources and expenses to develop with our third-party, active pharmaceutical ingredient, or API, supply chain the technical knowhow, manufacturing processes and obtained related regulatory approvals that have helped enable our suppliers to supply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13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In addition, in February 2023, Hikma filed a complaint against us in the United States District Court District of New Jersey (case no. 3:23-cv-01016) with consistent allegations as the Dr. Reddy's complaint. Such litigation can be lengthy, costly and could materially affect and disrupt our business.</w:t>
      </w:r>
    </w:p>
    <w:p>
      <w:pPr>
        <w:spacing w:after="0" w:line="135"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In addition, as noted above, we have also received a CID from the U.S. FTC and a subpoena from the New York Attorney General with respect to practices relating to our supply of the active pharmaceutical ingredient in VASCEPA.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191"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2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3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Also, for over a decade, subject to certain limitations, the U.S.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U.S. FDA enforcement activity, to make claims that suggest or imply treatment of cardiovascular disease.</w:t>
      </w:r>
    </w:p>
    <w:p>
      <w:pPr>
        <w:spacing w:after="0" w:line="12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We may not be successful in such efforts, or such efforts may prove too costly to be effective.</w:t>
      </w:r>
    </w:p>
    <w:p>
      <w:pPr>
        <w:spacing w:after="0" w:line="108"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2" w:name="page43"/>
    <w:bookmarkEnd w:id="4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2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In addition, drug manufacturers and other entities involved in the manufacture and distribution of approved drugs are subject to periodic unannounced inspections by the U.S. FDA and state agencies for compliance with cGMP requirements.</w:t>
      </w:r>
    </w:p>
    <w:p>
      <w:pPr>
        <w:spacing w:after="0" w:line="13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2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cannot predict when these investigations will be resolved, the outcome of the investigations or their potential impact on our business. If the government determines that we have violated the U.S. Anti-Kickback Statute, the FCA or antitrust regulations, we could be subject to significant civil and criminal fines and penalties, and our reputation may be harmed.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4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06"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24"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3" w:name="page44"/>
    <w:bookmarkEnd w:id="43"/>
    <w:p>
      <w:pPr>
        <w:ind w:right="1040"/>
        <w:spacing w:after="0" w:line="284" w:lineRule="auto"/>
        <w:rPr>
          <w:sz w:val="20"/>
          <w:szCs w:val="20"/>
          <w:color w:val="auto"/>
        </w:rPr>
      </w:pPr>
      <w:r>
        <w:rPr>
          <w:rFonts w:ascii="Times New Roman" w:cs="Times New Roman" w:eastAsia="Times New Roman" w:hAnsi="Times New Roman"/>
          <w:sz w:val="18"/>
          <w:szCs w:val="18"/>
          <w:color w:val="auto"/>
        </w:rPr>
        <w:t xml:space="preserve">profitability. Refer to </w:t>
      </w:r>
      <w:r>
        <w:rPr>
          <w:rFonts w:ascii="Times New Roman" w:cs="Times New Roman" w:eastAsia="Times New Roman" w:hAnsi="Times New Roman"/>
          <w:sz w:val="18"/>
          <w:szCs w:val="18"/>
          <w:i w:val="1"/>
          <w:iCs w:val="1"/>
          <w:color w:val="auto"/>
        </w:rPr>
        <w:t>Item 1. Business - United States Healthcare Reform and Legislation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Item 1. Business - Pharmaceutical Pricing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Reimbursement </w:t>
      </w:r>
      <w:r>
        <w:rPr>
          <w:rFonts w:ascii="Times New Roman" w:cs="Times New Roman" w:eastAsia="Times New Roman" w:hAnsi="Times New Roman"/>
          <w:sz w:val="18"/>
          <w:szCs w:val="18"/>
          <w:color w:val="auto"/>
        </w:rPr>
        <w:t>for further details.</w:t>
      </w:r>
    </w:p>
    <w:p>
      <w:pPr>
        <w:spacing w:after="0" w:line="10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3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 VASCEPA.</w:t>
      </w:r>
    </w:p>
    <w:p>
      <w:pPr>
        <w:spacing w:after="0" w:line="199"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2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3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2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3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3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44" w:name="page45"/>
    <w:bookmarkEnd w:id="44"/>
    <w:p>
      <w:pPr>
        <w:spacing w:after="0" w:line="266" w:lineRule="auto"/>
        <w:rPr>
          <w:sz w:val="20"/>
          <w:szCs w:val="20"/>
          <w:color w:val="auto"/>
        </w:rPr>
      </w:pPr>
      <w:r>
        <w:rPr>
          <w:rFonts w:ascii="Times New Roman" w:cs="Times New Roman" w:eastAsia="Times New Roman" w:hAnsi="Times New Roman"/>
          <w:sz w:val="18"/>
          <w:szCs w:val="18"/>
          <w:color w:val="auto"/>
        </w:rPr>
        <w:t>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2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1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 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1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may not be favorable to us.</w:t>
      </w:r>
    </w:p>
    <w:p>
      <w:pPr>
        <w:spacing w:after="0" w:line="12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75"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5" w:name="page46"/>
    <w:bookmarkEnd w:id="45"/>
    <w:p>
      <w:pPr>
        <w:spacing w:after="0" w:line="254" w:lineRule="auto"/>
        <w:rPr>
          <w:sz w:val="20"/>
          <w:szCs w:val="20"/>
          <w:color w:val="auto"/>
        </w:rPr>
      </w:pPr>
      <w:r>
        <w:rPr>
          <w:rFonts w:ascii="Times New Roman" w:cs="Times New Roman" w:eastAsia="Times New Roman" w:hAnsi="Times New Roman"/>
          <w:sz w:val="18"/>
          <w:szCs w:val="18"/>
          <w:color w:val="auto"/>
        </w:rPr>
        <w:t xml:space="preserve">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Refer to </w:t>
      </w:r>
      <w:r>
        <w:rPr>
          <w:rFonts w:ascii="Times New Roman" w:cs="Times New Roman" w:eastAsia="Times New Roman" w:hAnsi="Times New Roman"/>
          <w:sz w:val="18"/>
          <w:szCs w:val="18"/>
          <w:i w:val="1"/>
          <w:iCs w:val="1"/>
          <w:color w:val="auto"/>
        </w:rPr>
        <w:t>Item 1. Business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and Future Legislation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Item 1. Business - United States Healthcare Reform and Legislation. </w:t>
      </w:r>
      <w:r>
        <w:rPr>
          <w:rFonts w:ascii="Times New Roman" w:cs="Times New Roman" w:eastAsia="Times New Roman" w:hAnsi="Times New Roman"/>
          <w:sz w:val="18"/>
          <w:szCs w:val="18"/>
          <w:color w:val="auto"/>
        </w:rPr>
        <w:t>There have been, and likely will continue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3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9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third countries, including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They require a case-by-case assessment of the law in the recipient country to ensure it provides “essentially equivalent” protections to safeguard the transferred personal data as the EEA, and require businesses to adopt supplementary measures if such standard is not met The new SCCs do not apply to the UK, but the UK Information Commissioner’s Office has published its own transfer mechanism, the International Data Transfer Agreement, or UK IDTA, which entered into force on March 21, 2022, and enables data transfers originating from the UK. It requires a similar assessment of the data protection provided in the importer’s country. We will be required to transition to the new forms of transfer mechanisms and doing so will require significant effort and cost. The new transfer</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46" w:name="page47"/>
    <w:bookmarkEnd w:id="46"/>
    <w:p>
      <w:pPr>
        <w:ind w:right="20"/>
        <w:spacing w:after="0" w:line="256" w:lineRule="auto"/>
        <w:rPr>
          <w:sz w:val="20"/>
          <w:szCs w:val="20"/>
          <w:color w:val="auto"/>
        </w:rPr>
      </w:pPr>
      <w:r>
        <w:rPr>
          <w:rFonts w:ascii="Times New Roman" w:cs="Times New Roman" w:eastAsia="Times New Roman" w:hAnsi="Times New Roman"/>
          <w:sz w:val="18"/>
          <w:szCs w:val="18"/>
          <w:color w:val="auto"/>
        </w:rPr>
        <w:t>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or the UK GDPR, and the related national data protection laws of the EEA Member States or the UK may result in substantial fines. The GDPR may impose additional responsibility and liability in relation to personal data that we process and we may be required to put in place additional mechanisms ensuring compliance with these and/or new data protection rules. This may be costly, onerous and adversely affect our business, financial condition, prospects and results of operations.</w:t>
      </w:r>
    </w:p>
    <w:p>
      <w:pPr>
        <w:spacing w:after="0" w:line="21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13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3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As does the subpoena from the New York State attorney general regarding the same subject matter on which the FTC CID is focused.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15"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2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60"/>
        <w:spacing w:after="0" w:line="282" w:lineRule="auto"/>
        <w:rPr>
          <w:sz w:val="20"/>
          <w:szCs w:val="20"/>
          <w:color w:val="auto"/>
        </w:rPr>
      </w:pPr>
      <w:r>
        <w:rPr>
          <w:rFonts w:ascii="Times New Roman" w:cs="Times New Roman" w:eastAsia="Times New Roman" w:hAnsi="Times New Roman"/>
          <w:sz w:val="18"/>
          <w:szCs w:val="18"/>
          <w:color w:val="auto"/>
        </w:rPr>
        <w:t>The commencement and rate of completion of clinical trials and the timing of obtaining marketing approval from regulatory authorities may be delayed by many factors, including, among others:</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7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126"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For example,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5"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4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time-consuming, particularly when such efforts need to adapt to changing market and business dynamics. We implemented cost and organizational restructuring plans, which included a reduction to our U.S. commercial team to approximately 75 sales representatives by the end of 2022. Our sales team promotes VASCEPA to a targeted group of physicians and other healthcare professionals in select geographies in the United States who recognize the potential benefit to patients, and this team is not large enough to call upon a sufficient number of physicians.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8" w:name="page49"/>
    <w:bookmarkEnd w:id="48"/>
    <w:p>
      <w:pPr>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sales force reductions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Although we are preparing for growth in Europe and elsewhere by expanding our infrastructure, we are operating with streamlined teams and will need to expand internally and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have built out our team subsequent to EC approval of the marketing authorization acceptance in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18"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2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life-cycle management is substantially dependent on our ability to develop, obtain regulatory approval and commercialize a fixed-dose combination of VASCEPA and yet to be disclosed statins.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79" w:lineRule="exact"/>
        <w:rPr>
          <w:sz w:val="20"/>
          <w:szCs w:val="20"/>
          <w:color w:val="auto"/>
        </w:rPr>
      </w:pPr>
    </w:p>
    <w:p>
      <w:pPr>
        <w:ind w:left="1080" w:hanging="563"/>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a combination of VASCEPA and a statin;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supply of necessary statin for use in the fixed-dose combination;</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any and all markets in which we intend to commercialize a fixed-dose combination of VASCEPA and a statin;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payor acceptance and market access for a fixed-dose combination product of VASCEPA and a statin;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of a fixed-dose combination of VASCEPA and a statin.</w:t>
      </w:r>
    </w:p>
    <w:p>
      <w:pPr>
        <w:spacing w:after="0" w:line="248"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continued scale, scope and duration of business interruptions caused by the COVID-19 pandemic and related recovery efforts remain uncertain.</w:t>
      </w:r>
    </w:p>
    <w:p>
      <w:pPr>
        <w:spacing w:after="0" w:line="1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Despite recent improvements, the ongoing presence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6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 including resurgences, and the efficacy of recovery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if travel restrictions, social distancing and other containment measures are resumed or intensified;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or monitoring of patients in clinical trials, particularly at clinical trial sites located in highly impacted jurisdictions and jurisdictions where vaccination rates are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9" w:name="page50"/>
    <w:bookmarkEnd w:id="49"/>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continue to expend significant and unexpected resources addressing COVID-19;</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continues to be overly strained;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regulators to complete inspections and reviews of operations and applications, respectively, in a timely manner;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10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Even as the impacts of the pandemic appear to subside, additional variants may emerge and as vaccine usage and protocols evolve, face-to-face interactions may continue to be challenging for us to predict. The circumstances surrounding COVID-19 vary geographically and vary over time, with continued risk of potential resurgences in COVID-19 cases, and the possibility of reinstitution of protocols, in various geographies as the efficacy of the vaccine on various strains remains uncertain. While we have supplemented our face-to-face interactions with virtual outreach, these efforts may not be as impactful as traditional, in-person interactions. Specifically, access to healthcare professionals through the internet or other channels, may not be as productive as in-person interactions.</w:t>
      </w:r>
    </w:p>
    <w:p>
      <w:pPr>
        <w:spacing w:after="0" w:line="133" w:lineRule="exact"/>
        <w:rPr>
          <w:sz w:val="20"/>
          <w:szCs w:val="20"/>
          <w:color w:val="auto"/>
        </w:rPr>
      </w:pPr>
    </w:p>
    <w:p>
      <w:pPr>
        <w:jc w:val="both"/>
        <w:ind w:right="120" w:firstLine="509"/>
        <w:spacing w:after="0" w:line="281" w:lineRule="auto"/>
        <w:rPr>
          <w:sz w:val="20"/>
          <w:szCs w:val="20"/>
          <w:color w:val="auto"/>
        </w:rPr>
      </w:pPr>
      <w:r>
        <w:rPr>
          <w:rFonts w:ascii="Times New Roman" w:cs="Times New Roman" w:eastAsia="Times New Roman" w:hAnsi="Times New Roman"/>
          <w:sz w:val="17"/>
          <w:szCs w:val="17"/>
          <w:color w:val="auto"/>
        </w:rPr>
        <w:t>The disruptions associated with the coronavirus pandemic could delay the potential timing of subsequent steps for the launch of commercialization of VAZKEPA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related preventative measures may reduce the frequency at which at-risk patients seek non-urgent preventative medical care.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90"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2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or API, (drug substance) or encapsulated bulk product (drug product), it would have a material adverse effect on our ability to continue to commercialize VASCEPA.</w:t>
      </w:r>
    </w:p>
    <w:p>
      <w:pPr>
        <w:spacing w:after="0" w:line="13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12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50" w:name="page51"/>
    <w:bookmarkEnd w:id="50"/>
    <w:p>
      <w:pPr>
        <w:ind w:right="40"/>
        <w:spacing w:after="0" w:line="258" w:lineRule="auto"/>
        <w:rPr>
          <w:sz w:val="20"/>
          <w:szCs w:val="20"/>
          <w:color w:val="auto"/>
        </w:rPr>
      </w:pPr>
      <w:r>
        <w:rPr>
          <w:rFonts w:ascii="Times New Roman" w:cs="Times New Roman" w:eastAsia="Times New Roman" w:hAnsi="Times New Roman"/>
          <w:sz w:val="18"/>
          <w:szCs w:val="18"/>
          <w:color w:val="auto"/>
        </w:rPr>
        <w:t>commercial launch, including in China and various European countries. Our aggregate capacity to produce API is dependent upon the continued qualification of our API suppliers and, depending on the ability of existing suppliers to meet our supply demands, and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12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2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10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 example, 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4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199"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on us from these market dynamics.</w:t>
      </w:r>
    </w:p>
    <w:p>
      <w:pPr>
        <w:spacing w:after="0" w:line="21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2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1" w:name="page52"/>
    <w:bookmarkEnd w:id="51"/>
    <w:p>
      <w:pPr>
        <w:ind w:firstLine="509"/>
        <w:spacing w:after="0" w:line="252"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any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3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certain past COVID-19 restrictions have affected Regulatory Agencies' ability to conduct facility inspections and may affect the timing of further approvals. This review may be costly and time consuming and could delay or prevent the launch of a product.</w:t>
      </w:r>
    </w:p>
    <w:p>
      <w:pPr>
        <w:spacing w:after="0" w:line="122"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 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13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For example, since March 2020 when foreign and domestic inspections of facilities were largely placed on hold, the U.S. FDA has been working to resume pre-pandemic levels of inspection activities, including routine surveillance, bioresearch monitoring and pre-approval inspections.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13"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in negotiating or establishing relationships with business partners to support and maintain control over our international activities.</w:t>
      </w:r>
    </w:p>
    <w:p>
      <w:pPr>
        <w:spacing w:after="0" w:line="8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2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For example, 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Although Edding has successfully undertaken clinical trials and approval initiatives under our arrangement with them, including the announcement of statistically significant positive topline results from Edding’s Phase 3 clinical trial of VASCEPA and has obtained approval for VASCEPA under the REDUCE-IT indication in Hong Kong, with anticipated approval in Mainland China expected by mid-year of 2023, Edding may be required to undertake clinical development efforts in these markets, or Edding may face challenges or be unsuccessful in pursuing commercial launch. Further, any development and regulatory efforts in the China Territory may be negatively impacted if the coronavirus pandemic worsens, continues or spreads, and if resources by regulators and industry professionals continue to be diverted to address the prolonged coronavirus pandemic.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13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are party to arrangements with Biologix FZCo, or Biologix, to register and commercialize VASCEPA in several Middle Eastern and North African countries and with HLS Therapeutics Inc., or HLS, to register, commercialize and distribute VASCEPA in Canada. Although Biologix is currently actively commercializing VASCEPA in the United Arab Emirates and Lebanon, and HLS is currently commercializing VASCEPA in Canada, we are completely reliant on these third parties to secure approval and successfully commercialize the product in those markets, which markets can be complex and challenging. Further, development and commercialization across the Middle East and North Africa is subject to similar risks as in the China Territory, and has been negatively impacted by COVID-19 and the destabilized local economies in the region.</w:t>
      </w:r>
    </w:p>
    <w:p>
      <w:pPr>
        <w:spacing w:after="0" w:line="13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Edding, Biologix or HLS, or other third parties who we rely on for development and commercialization of VASCEPA, do not successfully carry out their contractual obligations or meet expected deadlines, our recourse and remedies against these parties is limited</w:t>
      </w:r>
    </w:p>
    <w:p>
      <w:pPr>
        <w:spacing w:after="0" w:line="10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our launch of VAZKEPA in Germany in September 2021 (where operations were subsequently discontinued) and the launch of VAZKEPA in certain countries in the fourth quarter of 2022, including the UK in October 2022, has not launched or otherwise commercialized a product in Europe and could be subject to significant risks of execution to our successful development and revenue generation of VAZKEPA in Europe.</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0"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4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3" w:name="page54"/>
    <w:bookmarkEnd w:id="53"/>
    <w:p>
      <w:pPr>
        <w:ind w:right="280"/>
        <w:spacing w:after="0" w:line="284" w:lineRule="auto"/>
        <w:rPr>
          <w:sz w:val="20"/>
          <w:szCs w:val="20"/>
          <w:color w:val="auto"/>
        </w:rPr>
      </w:pPr>
      <w:r>
        <w:rPr>
          <w:rFonts w:ascii="Times New Roman" w:cs="Times New Roman" w:eastAsia="Times New Roman" w:hAnsi="Times New Roman"/>
          <w:sz w:val="18"/>
          <w:szCs w:val="18"/>
          <w:color w:val="auto"/>
        </w:rPr>
        <w:t>improper use of information obtained in the course of patient recruitment for clinical trials. Refer to “</w:t>
      </w:r>
      <w:r>
        <w:rPr>
          <w:rFonts w:ascii="Times New Roman" w:cs="Times New Roman" w:eastAsia="Times New Roman" w:hAnsi="Times New Roman"/>
          <w:sz w:val="18"/>
          <w:szCs w:val="18"/>
          <w:i w:val="1"/>
          <w:iCs w:val="1"/>
          <w:color w:val="auto"/>
        </w:rPr>
        <w:t>Item 1. Business - Government Regulation - Fraud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Abuse Laws and Data Regulation</w:t>
      </w:r>
      <w:r>
        <w:rPr>
          <w:rFonts w:ascii="Times New Roman" w:cs="Times New Roman" w:eastAsia="Times New Roman" w:hAnsi="Times New Roman"/>
          <w:sz w:val="18"/>
          <w:szCs w:val="18"/>
          <w:color w:val="auto"/>
        </w:rPr>
        <w:t>" for further details.</w:t>
      </w:r>
    </w:p>
    <w:p>
      <w:pPr>
        <w:spacing w:after="0" w:line="10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126"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As does the subpoena from the New York State attorney general regarding the same subject matter on which the FTC CID is focused. As noted, we are cooperating with the government, but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2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54" w:name="page55"/>
    <w:bookmarkEnd w:id="54"/>
    <w:p>
      <w:pPr>
        <w:ind w:right="20"/>
        <w:spacing w:after="0" w:line="254" w:lineRule="auto"/>
        <w:rPr>
          <w:sz w:val="20"/>
          <w:szCs w:val="20"/>
          <w:color w:val="auto"/>
        </w:rPr>
      </w:pPr>
      <w:r>
        <w:rPr>
          <w:rFonts w:ascii="Times New Roman" w:cs="Times New Roman" w:eastAsia="Times New Roman" w:hAnsi="Times New Roman"/>
          <w:sz w:val="18"/>
          <w:szCs w:val="18"/>
          <w:color w:val="auto"/>
        </w:rPr>
        <w:t>insurer policies regarding co-pay coupons and/or the introduction and enactment of new legislation or regulatory measures impacting patients using affected products could have a material adverse effect on our sales, business and financial condition. For example,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17, 2022, the U.S. District Court for the District of Columbia granted the Pharmaceutical Research and Manufacturers of America's, or PhRMA, motion for summary judgment invalidating the accumulator adjustment rule. Although a number of these and other proposed measures may require authorization through additional legislation to become effective, and the current U.S. presidential administration may reverse or otherwise change these measures, both the current U.S. presidential administration and Congress have indicated that they will continue to seek new legislative measures to control drug costs. We cannot predict how the implementation of and any further changes to this rule will affect our business.</w:t>
      </w:r>
    </w:p>
    <w:p>
      <w:pPr>
        <w:spacing w:after="0" w:line="13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90"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obligations of our employees, agents, business partners and third parties to protect the commercial value and potential of VASCEPA.</w:t>
      </w:r>
    </w:p>
    <w:p>
      <w:pPr>
        <w:spacing w:after="0" w:line="2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protection for our drug candidates, technology and know-how, and to operate without infringing the proprietary rights of others. Refer to “</w:t>
      </w:r>
      <w:r>
        <w:rPr>
          <w:rFonts w:ascii="Times New Roman" w:cs="Times New Roman" w:eastAsia="Times New Roman" w:hAnsi="Times New Roman"/>
          <w:sz w:val="18"/>
          <w:szCs w:val="18"/>
          <w:i w:val="1"/>
          <w:iCs w:val="1"/>
          <w:color w:val="auto"/>
        </w:rPr>
        <w:t>Item 1.Business - Patents, Proprietary Technology, Trade Secrets</w:t>
      </w:r>
      <w:r>
        <w:rPr>
          <w:rFonts w:ascii="Times New Roman" w:cs="Times New Roman" w:eastAsia="Times New Roman" w:hAnsi="Times New Roman"/>
          <w:sz w:val="18"/>
          <w:szCs w:val="18"/>
          <w:color w:val="auto"/>
        </w:rPr>
        <w:t xml:space="preserve"> for further details.</w:t>
      </w:r>
    </w:p>
    <w:p>
      <w:pPr>
        <w:spacing w:after="0" w:line="199"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Enforcing our patent rights is challenging and costly and, even if we are able to successfully enforce our patent rights, our issued patents may not prevent competitors from competing with VASCEPA.</w:t>
      </w:r>
    </w:p>
    <w:p>
      <w:pPr>
        <w:spacing w:after="0" w:line="1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however such defense activities can be costly to pursue and may not have the desired results.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On October 13, 2022, the district court granted final judgement and we have appealed this decision but cannot predict the outcome or the impact on our business. We entered into a settlement agreement with Health Net, LLC on December 26, 2022. We likewise plan to engage in similar patent litigation should other competitors arise with products that infringe our intellectual property rights.</w:t>
      </w:r>
    </w:p>
    <w:p>
      <w:pPr>
        <w:spacing w:after="0" w:line="13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3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5" w:name="page56"/>
    <w:bookmarkEnd w:id="55"/>
    <w:p>
      <w:pPr>
        <w:ind w:right="5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grant, that they will prevent competitors from competing with VASCEPA.</w:t>
      </w:r>
    </w:p>
    <w:p>
      <w:pPr>
        <w:spacing w:after="0" w:line="1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11"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2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0" w:lineRule="exact"/>
        <w:rPr>
          <w:sz w:val="20"/>
          <w:szCs w:val="20"/>
          <w:color w:val="auto"/>
        </w:rPr>
      </w:pPr>
    </w:p>
    <w:p>
      <w:pPr>
        <w:ind w:right="3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January 2023, we disclosed our 2023 financial outlook. Such outlook and estimates are based on estimates, assumptions and the judgment of management.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our announcement of management succession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w:t>
      </w:r>
    </w:p>
    <w:p>
      <w:pPr>
        <w:spacing w:after="0" w:line="5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continued or increased turnover among members of our senior management team. We may have difficulty identifying, attracting and integrating new executives to replace any such losses. As we expand commercialization efforts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remains focused on continued promotion of VASCEPA in the United States, and expansion in Europe, the current and potential threat of generic competition and our recent reductions in force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6" w:name="page57"/>
    <w:bookmarkEnd w:id="56"/>
    <w:p>
      <w:pPr>
        <w:ind w:right="40" w:firstLine="509"/>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-223520</wp:posOffset>
            </wp:positionV>
            <wp:extent cx="64135"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 w:lineRule="exact"/>
        <w:rPr>
          <w:sz w:val="20"/>
          <w:szCs w:val="20"/>
          <w:color w:val="auto"/>
        </w:rPr>
      </w:pPr>
    </w:p>
    <w:p>
      <w:pPr>
        <w:ind w:firstLine="509"/>
        <w:spacing w:after="0" w:line="224"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42"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9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0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9" w:right="359" w:bottom="1440" w:gutter="0" w:footer="0" w:header="0"/>
        </w:sectPr>
      </w:pPr>
    </w:p>
    <w:bookmarkStart w:id="57" w:name="page58"/>
    <w:bookmarkEnd w:id="5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3"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8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35%, 31%, and 27%, respectively, of gross product sales for the year ended December 31, 2022 and represented 35%, 21%, and 39%, respectively, of the gross accounts receivable balance as of December 31, 2022. Customers A, B, and C accounted for 37%, 28%, and 27%, respectively, of gross product sales for the year ended December 31, 2021 and represented 39%, 22%, and 35%, respectively, of the gross accounts receivable balance as of December 31, 2021.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 ended December 31, 2022 and 2020, we reported net losses of approximately $105.8 million and $18.0 million, respectively. For the fiscal year ended December 31, 2021, we reported net income of approximately $7.7 million. We had an accumulated deficit as of December 31, 2022 of $1.5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never generate sufficient revenue to achieve a steady state of profitability.</w:t>
      </w:r>
    </w:p>
    <w:p>
      <w:pPr>
        <w:spacing w:after="0" w:line="8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8" w:name="page59"/>
    <w:bookmarkEnd w:id="58"/>
    <w:p>
      <w:pPr>
        <w:ind w:right="200"/>
        <w:spacing w:after="0" w:line="282" w:lineRule="auto"/>
        <w:rPr>
          <w:sz w:val="20"/>
          <w:szCs w:val="20"/>
          <w:color w:val="auto"/>
        </w:rPr>
      </w:pPr>
      <w:r>
        <w:rPr>
          <w:rFonts w:ascii="Times New Roman" w:cs="Times New Roman" w:eastAsia="Times New Roman" w:hAnsi="Times New Roman"/>
          <w:sz w:val="18"/>
          <w:szCs w:val="18"/>
          <w:color w:val="auto"/>
        </w:rPr>
        <w:t>consistently generate robust product revenues, we will not become profitable on a sustained basis in the near term, if ever, and may be unable to continue operations without continued funding.</w:t>
      </w:r>
    </w:p>
    <w:p>
      <w:pPr>
        <w:spacing w:after="0" w:line="185"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2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75"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future potential launches of additional generic versions of VASCEPA;</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or delays in resuming normal business activities, or reinstating restrictions after protocols have been lifted, from the COVID-19 pandemic;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and our cost and reorganization efforts, including our recent cost reduction plan, and the resulting effectiveness of those efforts;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for example, including obtaining necessary regulatory approvals, favorable pricing and establishing marketing channels;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right="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$217.7 million and short-term investment balance of $91.7 million as of December 31, 2022, will be sufficient to fund our projected operations for at least 12 months from the issuance date of consolidated financial statements included elsewhere in this Annual Report on Form 10-K.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5540" w:right="3160" w:hanging="5023"/>
        <w:spacing w:after="0" w:line="532"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9" w:name="page60"/>
    <w:bookmarkEnd w:id="59"/>
    <w:p>
      <w:pPr>
        <w:ind w:left="1020" w:right="40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and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94"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7"/>
          <w:szCs w:val="17"/>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13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IRA was enacted into law on August 16, 2022. Included in the IRA was a provision to implement a 15% corporate alternative minimum tax on corporations whose average annual adjusted financial statement income during the most recently completed three-year period exceeds $1.0 billion. This provision is effective for tax years beginning after December 31, 2022. We are in the process of evaluating the provisions of the IRA.</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2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February 24, 2023, we had 406,115,721 common shares outstanding including 385,785,809 shares held as ADSs and 20,329,912 held as ordinary shares (which are not held in the form of ADSs). There is a risk that there may not be sufficient liquidity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17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12" w:lineRule="exact"/>
        <w:rPr>
          <w:sz w:val="20"/>
          <w:szCs w:val="20"/>
          <w:color w:val="auto"/>
        </w:rPr>
      </w:pPr>
    </w:p>
    <w:p>
      <w:pPr>
        <w:ind w:right="3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2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that they beneficially own.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33"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Based on certain estimates of our gross income and gross assets, the latter determined by reference to the expected value of our ADSs and shares, we believe that we will not be classified as a PFIC for the taxable year ended December 31, 2022,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9"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9" w:lineRule="exact"/>
        <w:rPr>
          <w:rFonts w:ascii="Times New Roman" w:cs="Times New Roman" w:eastAsia="Times New Roman" w:hAnsi="Times New Roman"/>
          <w:sz w:val="17"/>
          <w:szCs w:val="17"/>
          <w:color w:val="auto"/>
        </w:rPr>
      </w:pPr>
    </w:p>
    <w:p>
      <w:pPr>
        <w:ind w:left="1020" w:right="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5"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80"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9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62" w:name="page63"/>
    <w:bookmarkEnd w:id="62"/>
    <w:p>
      <w:pPr>
        <w:ind w:right="440"/>
        <w:spacing w:after="0" w:line="282" w:lineRule="auto"/>
        <w:rPr>
          <w:sz w:val="20"/>
          <w:szCs w:val="20"/>
          <w:color w:val="auto"/>
        </w:rPr>
      </w:pPr>
      <w:r>
        <w:rPr>
          <w:rFonts w:ascii="Times New Roman" w:cs="Times New Roman" w:eastAsia="Times New Roman" w:hAnsi="Times New Roman"/>
          <w:sz w:val="18"/>
          <w:szCs w:val="18"/>
          <w:color w:val="auto"/>
        </w:rPr>
        <w:t>protections provided under the Takeover Code. The following is a brief summary of some of the most important rules of the Takeover Code which, as noted, does not apply to us:</w:t>
      </w:r>
    </w:p>
    <w:p>
      <w:pPr>
        <w:spacing w:after="0" w:line="54" w:lineRule="exact"/>
        <w:rPr>
          <w:sz w:val="20"/>
          <w:szCs w:val="20"/>
          <w:color w:val="auto"/>
        </w:rPr>
      </w:pPr>
    </w:p>
    <w:p>
      <w:pPr>
        <w:ind w:left="1020" w:right="200" w:hanging="503"/>
        <w:spacing w:after="0" w:line="289"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9" w:lineRule="exact"/>
        <w:rPr>
          <w:rFonts w:ascii="Times New Roman" w:cs="Times New Roman" w:eastAsia="Times New Roman" w:hAnsi="Times New Roman"/>
          <w:sz w:val="17"/>
          <w:szCs w:val="17"/>
          <w:color w:val="auto"/>
        </w:rPr>
      </w:pPr>
    </w:p>
    <w:p>
      <w:pPr>
        <w:ind w:left="1020" w:right="60" w:hanging="503"/>
        <w:spacing w:after="0" w:line="281"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56" w:lineRule="exact"/>
        <w:rPr>
          <w:rFonts w:ascii="Times New Roman" w:cs="Times New Roman" w:eastAsia="Times New Roman" w:hAnsi="Times New Roman"/>
          <w:sz w:val="17"/>
          <w:szCs w:val="17"/>
          <w:color w:val="auto"/>
        </w:rPr>
      </w:pPr>
    </w:p>
    <w:p>
      <w:pPr>
        <w:ind w:left="1020" w:right="40" w:hanging="503"/>
        <w:spacing w:after="0" w:line="25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79"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7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9" w:lineRule="auto"/>
        <w:tabs>
          <w:tab w:leader="none" w:pos="10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9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enforcement of judgments of U.S. courts, of civil liabilities to the extent predicated upon the federal securities laws of the United States.</w:t>
      </w:r>
    </w:p>
    <w:p>
      <w:pPr>
        <w:spacing w:after="0" w:line="248"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24"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06" w:lineRule="exact"/>
        <w:rPr>
          <w:sz w:val="20"/>
          <w:szCs w:val="20"/>
          <w:color w:val="auto"/>
        </w:rPr>
      </w:pPr>
    </w:p>
    <w:p>
      <w:pPr>
        <w:ind w:right="2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4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2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2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12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12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4" w:name="page65"/>
    <w:bookmarkEnd w:id="64"/>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and other global instability. We may also have to scale back or further restructure our operations. If we are unable to obtain additional funding when needed, we may be required to curtail or terminate some or all of our research or development programs or our commercialization strategies.</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9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2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9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7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99"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4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Economic uncertainty in various global markets, including the U.S. and Europe, caused by political instability and conflict, such as Russia's invasion of Ukraine,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12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geopolitical tensions, record inflation or otherwise, are impossible to predict, but could be substantial. Any such disruptions may also magnify the impact of other risks described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lists the location, use and ownership interest of our principal properties as of March 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920" w:type="dxa"/>
            <w:vAlign w:val="bottom"/>
            <w:tcBorders>
              <w:bottom w:val="single" w:sz="8" w:color="auto"/>
            </w:tcBorders>
          </w:tcPr>
          <w:p>
            <w:pPr>
              <w:jc w:val="center"/>
              <w:ind w:left="795"/>
              <w:spacing w:after="0"/>
              <w:rPr>
                <w:sz w:val="20"/>
                <w:szCs w:val="20"/>
                <w:color w:val="auto"/>
              </w:rPr>
            </w:pPr>
            <w:r>
              <w:rPr>
                <w:rFonts w:ascii="Times New Roman" w:cs="Times New Roman" w:eastAsia="Times New Roman" w:hAnsi="Times New Roman"/>
                <w:sz w:val="14"/>
                <w:szCs w:val="14"/>
                <w:b w:val="1"/>
                <w:bCs w:val="1"/>
                <w:color w:val="auto"/>
              </w:rPr>
              <w:t>Use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60" w:type="dxa"/>
            <w:vAlign w:val="bottom"/>
          </w:tcPr>
          <w:p>
            <w:pPr>
              <w:spacing w:after="0"/>
              <w:rPr>
                <w:sz w:val="16"/>
                <w:szCs w:val="16"/>
                <w:color w:val="auto"/>
              </w:rPr>
            </w:pPr>
          </w:p>
        </w:tc>
        <w:tc>
          <w:tcPr>
            <w:tcW w:w="19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Size (sq. ft.)</w:t>
            </w:r>
          </w:p>
        </w:tc>
        <w:tc>
          <w:tcPr>
            <w:tcW w:w="100" w:type="dxa"/>
            <w:vAlign w:val="bottom"/>
          </w:tcPr>
          <w:p>
            <w:pPr>
              <w:spacing w:after="0"/>
              <w:rPr>
                <w:sz w:val="16"/>
                <w:szCs w:val="16"/>
                <w:color w:val="auto"/>
              </w:rPr>
            </w:pPr>
          </w:p>
        </w:tc>
      </w:tr>
      <w:tr>
        <w:trPr>
          <w:trHeight w:val="263"/>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Dublin, Ireland</w:t>
            </w:r>
          </w:p>
        </w:tc>
        <w:tc>
          <w:tcPr>
            <w:tcW w:w="292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shd w:val="clear" w:color="auto" w:fill="CFF0FC"/>
          </w:tcPr>
          <w:p>
            <w:pPr>
              <w:spacing w:after="0"/>
              <w:rPr>
                <w:sz w:val="22"/>
                <w:szCs w:val="22"/>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FF0FC"/>
          </w:tcPr>
          <w:p>
            <w:pPr>
              <w:spacing w:after="0"/>
              <w:rPr>
                <w:sz w:val="22"/>
                <w:szCs w:val="22"/>
                <w:color w:val="auto"/>
              </w:rPr>
            </w:pPr>
          </w:p>
        </w:tc>
      </w:tr>
      <w:tr>
        <w:trPr>
          <w:trHeight w:val="26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Bridgewater, New Jersey, USA</w:t>
            </w:r>
          </w:p>
        </w:tc>
        <w:tc>
          <w:tcPr>
            <w:tcW w:w="2920" w:type="dxa"/>
            <w:vAlign w:val="bottom"/>
          </w:tcPr>
          <w:p>
            <w:pPr>
              <w:jc w:val="center"/>
              <w:ind w:left="79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00" w:type="dxa"/>
            <w:vAlign w:val="bottom"/>
          </w:tcPr>
          <w:p>
            <w:pPr>
              <w:spacing w:after="0"/>
              <w:rPr>
                <w:sz w:val="22"/>
                <w:szCs w:val="22"/>
                <w:color w:val="auto"/>
              </w:rPr>
            </w:pPr>
          </w:p>
        </w:tc>
      </w:tr>
      <w:tr>
        <w:trPr>
          <w:trHeight w:val="277"/>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Zug, Switzerland</w:t>
            </w:r>
          </w:p>
        </w:tc>
        <w:tc>
          <w:tcPr>
            <w:tcW w:w="2920" w:type="dxa"/>
            <w:vAlign w:val="bottom"/>
            <w:shd w:val="clear" w:color="auto" w:fill="CFF0FC"/>
          </w:tcPr>
          <w:p>
            <w:pPr>
              <w:jc w:val="center"/>
              <w:ind w:left="795"/>
              <w:spacing w:after="0"/>
              <w:rPr>
                <w:sz w:val="20"/>
                <w:szCs w:val="20"/>
                <w:color w:val="auto"/>
              </w:rPr>
            </w:pPr>
            <w:r>
              <w:rPr>
                <w:rFonts w:ascii="Times New Roman" w:cs="Times New Roman" w:eastAsia="Times New Roman" w:hAnsi="Times New Roman"/>
                <w:sz w:val="18"/>
                <w:szCs w:val="18"/>
                <w:color w:val="auto"/>
                <w:w w:val="98"/>
              </w:rPr>
              <w:t>Offices</w:t>
            </w:r>
          </w:p>
        </w:tc>
        <w:tc>
          <w:tcPr>
            <w:tcW w:w="220" w:type="dxa"/>
            <w:vAlign w:val="bottom"/>
            <w:shd w:val="clear" w:color="auto" w:fill="CFF0FC"/>
          </w:tcPr>
          <w:p>
            <w:pPr>
              <w:spacing w:after="0"/>
              <w:rPr>
                <w:sz w:val="24"/>
                <w:szCs w:val="24"/>
                <w:color w:val="auto"/>
              </w:rPr>
            </w:pPr>
          </w:p>
        </w:tc>
        <w:tc>
          <w:tcPr>
            <w:tcW w:w="2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2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FF0FC"/>
          </w:tcPr>
          <w:p>
            <w:pPr>
              <w:spacing w:after="0"/>
              <w:rPr>
                <w:sz w:val="24"/>
                <w:szCs w:val="24"/>
                <w:color w:val="auto"/>
              </w:rPr>
            </w:pPr>
          </w:p>
        </w:tc>
      </w:tr>
    </w:tbl>
    <w:p>
      <w:pPr>
        <w:spacing w:after="0" w:line="18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September 13, 2022, we entered into a License Agreement for office space in Dublin, Ireland effective October 1, 2022 which terminates on September 30, 2024 and can be extended automatically for successive two year periods.</w:t>
      </w:r>
    </w:p>
    <w:p>
      <w:pPr>
        <w:spacing w:after="0" w:line="10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Effective February 5, 2019, we entered into a lease agreement for approximately 67,747 square feet of office space in Bridgewater, New Jersey. The lease commenced on August 15, 2019, for an 11-year period, with two five-year renewal options. On January 20, 2023, we entered into a sublease agreement to sublease 50,000 square feet of the leased 67,747 square feet of office space in Bridgewater, New Jersey. The sublease commences on February 1, 2023 and terminates as of the date of the head lease.</w:t>
      </w:r>
    </w:p>
    <w:p>
      <w:pPr>
        <w:spacing w:after="0" w:line="126"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On October 10, 2021, we entered into a lease agreement for approximately 4,511 square feet of office space in Zug, Switzerland. The lease commenced on February 1, 2022 for a 5-year period, with one five-year renewal option.</w:t>
      </w:r>
    </w:p>
    <w:p>
      <w:pPr>
        <w:spacing w:after="0" w:line="10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adequate for our current and anticipated near-term needs and that suitable additional or substitute space would be available if needed.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94"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Refer to Note—7 Commitments and Contingencies to our consolidated financial statements included elsewhere in this Annual Report on Form 10-K for further details on our legal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6" w:name="page67"/>
    <w:bookmarkEnd w:id="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2300"/>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ADSs are listed on The NASDAQ Global Market under the symbol “AMRN”. Each ADS represents one ordinary share.</w:t>
      </w:r>
    </w:p>
    <w:p>
      <w:pPr>
        <w:spacing w:after="0" w:line="17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prices for our ADSs in each of the quarters over the past two fiscal years, as quoted on The NASDAQ Global Market under the symbol “AMRN.”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Low</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4"/>
                <w:szCs w:val="14"/>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0"/>
                <w:szCs w:val="20"/>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6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21"/>
                <w:szCs w:val="21"/>
                <w:color w:val="auto"/>
              </w:rPr>
            </w:pP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2023, there were approximately 375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4"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never paid dividends on our ordinary shares and do not anticipate paying any cash dividends on our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Graph—5 Year</w:t>
      </w:r>
    </w:p>
    <w:p>
      <w:pPr>
        <w:spacing w:after="0" w:line="7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following graph compares the cumulative 5-year return provided to shareholders of our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indices on December 31, 2017, and its relative performance is tracked through December 31, 2022.</w:t>
      </w:r>
    </w:p>
    <w:p>
      <w:pPr>
        <w:spacing w:after="0" w:line="1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Included in this 5-year time period is the substantial positive impact on the price of Amarin’s ADSs in 2018 following presentation and publication of positive REDUCE-IT results and, in late 2019, following approval by the FDA of a new indication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ind w:right="460"/>
        <w:spacing w:after="0" w:line="282" w:lineRule="auto"/>
        <w:rPr>
          <w:sz w:val="20"/>
          <w:szCs w:val="20"/>
          <w:color w:val="auto"/>
        </w:rPr>
      </w:pPr>
      <w:r>
        <w:rPr>
          <w:rFonts w:ascii="Times New Roman" w:cs="Times New Roman" w:eastAsia="Times New Roman" w:hAnsi="Times New Roman"/>
          <w:sz w:val="18"/>
          <w:szCs w:val="18"/>
          <w:color w:val="auto"/>
        </w:rPr>
        <w:t>label expansion for VASCEPA to reduce cardiovascular risk. Also included during this 5-year period is the substantial negative impact on the price of Amarin’s ADSs in 2020 following the loss of the Company’s patent litigation and subsequent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80010</wp:posOffset>
            </wp:positionV>
            <wp:extent cx="4723130" cy="2194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2313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Company/Market/Peer Company</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12/31/2018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12/31/2019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12/31/2021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Amarin Corporation PLC</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330.17</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537.41</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Composite Index</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185.48</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shd w:val="clear" w:color="auto" w:fill="CFF0FC"/>
          </w:tcPr>
          <w:p>
            <w:pPr>
              <w:spacing w:after="0"/>
              <w:rPr>
                <w:sz w:val="21"/>
                <w:szCs w:val="21"/>
                <w:color w:val="auto"/>
              </w:rPr>
            </w:pPr>
          </w:p>
        </w:tc>
      </w:tr>
      <w:tr>
        <w:trPr>
          <w:trHeight w:val="234"/>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-465455</wp:posOffset>
            </wp:positionV>
            <wp:extent cx="10287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-465455</wp:posOffset>
            </wp:positionV>
            <wp:extent cx="7683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-465455</wp:posOffset>
            </wp:positionV>
            <wp:extent cx="768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-465455</wp:posOffset>
            </wp:positionV>
            <wp:extent cx="6858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-465455</wp:posOffset>
            </wp:positionV>
            <wp:extent cx="6858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Equity Compensation Plans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our equity compensation plans is incorporated by reference in Item 12 of Part III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fourth quarter of 2022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3"/>
                <w:szCs w:val="13"/>
                <w:color w:val="auto"/>
              </w:rPr>
            </w:pPr>
          </w:p>
        </w:tc>
        <w:tc>
          <w:tcPr>
            <w:tcW w:w="15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Borders>
              <w:bottom w:val="single" w:sz="8" w:color="auto"/>
            </w:tcBorders>
          </w:tcPr>
          <w:p>
            <w:pPr>
              <w:jc w:val="right"/>
              <w:ind w:right="7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 31, 2022</w:t>
            </w: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 30, 2022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 31, 2022</w:t>
            </w:r>
          </w:p>
        </w:tc>
        <w:tc>
          <w:tcPr>
            <w:tcW w:w="2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131,885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155,746</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80"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withheld to satisfy tax withholding amounts due from employees related to the exercise or vesting of equity awards.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92"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UK and Irish federal income tax consequences of the ownership and disposition of our ordinary shares or ADSs. This summary should not be considered a comprehensive description of all the tax considerations that may be relevant to beneficial owners of ordinary shares or ADSs.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U.S. Tax Considerations</w:t>
      </w:r>
    </w:p>
    <w:p>
      <w:pPr>
        <w:spacing w:after="0" w:line="8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U.S. federal income tax considerations with respect to the ownership and disposition of ordinary shares or ADSs by a U.S. Holder (as defined below). This summary applies to you only if you hold ordinary shares or ADSs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68" w:name="page69"/>
    <w:bookmarkEnd w:id="68"/>
    <w:p>
      <w:pPr>
        <w:ind w:right="60"/>
        <w:spacing w:after="0" w:line="261" w:lineRule="auto"/>
        <w:rPr>
          <w:sz w:val="20"/>
          <w:szCs w:val="20"/>
          <w:color w:val="auto"/>
        </w:rPr>
      </w:pPr>
      <w:r>
        <w:rPr>
          <w:rFonts w:ascii="Times New Roman" w:cs="Times New Roman" w:eastAsia="Times New Roman" w:hAnsi="Times New Roman"/>
          <w:sz w:val="18"/>
          <w:szCs w:val="18"/>
          <w:color w:val="auto"/>
        </w:rPr>
        <w:t>as a capital asset. This summary is based upon the U.S. Internal Revenue Code of 1986, as amended, which is referred to herein as the Code, regulations promulgated under the Code and administrative rulings and judicial decisions as in effect on the date of this Annual Report on Form 10-K, all of which are subject to change and to differing interpretations, possibly with retroactive effect, which could result in U.S. federal income tax considerations different from those summarized below.</w:t>
      </w:r>
    </w:p>
    <w:p>
      <w:pPr>
        <w:spacing w:after="0" w:line="126"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This summary is general in nature and does not address the effects of any state or local taxes, the tax consequences in jurisdictions other than the United States or any U.S. federal taxes other than income tax (such as estate or gift tax). In addition, it does not address U.S. federal income tax consequences that may be relevant to you in your particular circumstances, including alternative minimum tax consequences, nor does it apply to you if you are a holder with a special status, such as:</w:t>
      </w:r>
    </w:p>
    <w:p>
      <w:pPr>
        <w:spacing w:after="0" w:line="72" w:lineRule="exact"/>
        <w:rPr>
          <w:sz w:val="20"/>
          <w:szCs w:val="20"/>
          <w:color w:val="auto"/>
        </w:rPr>
      </w:pPr>
    </w:p>
    <w:p>
      <w:pPr>
        <w:ind w:left="380" w:right="60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or is treated as owning under certain ownership attribution rules, 10% or more of the voting power or value of the stock of Amarin;</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or trader in securities or currencies;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mutual fund, life insurance company or other financial institution;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retirement plan or individual retirement account;</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holds ordinary shares or ADSs as part of a straddle, hedge, constructive sale or other integrated transaction for tax purposes;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in a partnership, S corporation or other pass-through entity;</w:t>
      </w:r>
    </w:p>
    <w:p>
      <w:pPr>
        <w:spacing w:after="0" w:line="117"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required to report income with respect to ordinary shares or ADSs no later than such income is reported on an “applicable financial statement;”</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received ordinary shares or ADSs in connection with the performance of services;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for U.S. federal income tax purposes is not the U.S. dollar.</w:t>
      </w:r>
    </w:p>
    <w:p>
      <w:pPr>
        <w:spacing w:after="0" w:line="21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ordinary shares or ADSs, the tax treatment of a partner will generally depend upon the status of the partner and upon the activities of the partnership. A partner of a partnership that owns or disposes of ADSs should consult the partner’s tax advisor regarding the specific tax consequences of the ownership and disposition of ordinary shares or ADSs.</w:t>
      </w:r>
    </w:p>
    <w:p>
      <w:pPr>
        <w:spacing w:after="0" w:line="12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YOU SHOULD CONSULT YOUR OWN ADVISOR REGARDING THE TAX CONSEQUENCES OF THE OWNERSHIP AND DISPOSITION OF ORDINARY SHARES AND ADSS IN LIGHT OF YOUR PARTICULAR CIRCUMSTANCES.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purposes of this discussion, a U.S. Holder is any beneficial owner of an ordinary share or ADS that is, for U.S. federal income tax purposes:</w:t>
      </w:r>
    </w:p>
    <w:p>
      <w:pPr>
        <w:spacing w:after="0" w:line="117"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380" w:right="14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validly elects to be treated as a U.S. person for U.S. federal income tax purposes, or (ii) the administration over which a U.S. court can exercise primary supervision and all of the substantial decisions of which one or more U.S. persons have the authority to control.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the gross amount of distributions, if any, payable on ordinary shares and ADSs generally would be treated as dividend income to the extent paid out of current or accumulated earnings and profits (as determined for U.S. federal income tax purposes). A U.S. Holder would be required to include the amount of such distribution in gross income as a dividend (without reduction for any income tax withheld from such distribution). Because we do not maintain calculations of our earnings and profits in accordance with U.S. federal income tax principles, U.S. Holders should assume that any distribution by us with respect to the ordinary shares and ADSs will constitute ordinary dividend income.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9" w:name="page70"/>
    <w:bookmarkEnd w:id="69"/>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as long as our ordinary shares or ADSs (as applicable) are treated as publicly traded on an established securities market, or we are eligible for the benefits of the U.S.-Irish Tax Treaty, any distributions treated as dividends will generally be qualified dividend income in the hands of non-corporate U.S. Holders, provided that certain significant holding period and other requirements are met. Any dividends that are qualified dividend income will generally be taxed at preferential rates to a non-corporate U.S. Holder. Any dividends paid to a corporate holder will not be eligible for the dividends received deduction.</w:t>
      </w:r>
    </w:p>
    <w:p>
      <w:pPr>
        <w:spacing w:after="0" w:line="1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Holders generally may claim the amount of Irish withholding tax withheld either as a deduction from gross income or as a credit against U.S. federal income tax liability. However, the foreign tax credit is subject to numerous complex limitations that must be determined and applied on an individual basis. Generally, the credit cannot exceed the proportionate share of a U.S. Holder’s U.S. federal income tax liability that such U.S. Holder’s foreign source taxable income bears to such U.S. Holder’s worldwide taxable income. In applying this limitation, a U.S. Holder’s various items of income and deduction must be classified, under complex rules, as either foreign source or U.S. source. In addition, this limitation is calculated separately with respect to specific categories of income. The amount of a distribution with respect to the ordinary shares or ADSs that is treated as a dividend may be lower for U.S. federal income tax purposes than it is for Irish income tax purposes, potentially resulting in a reduced foreign tax credit for the U.S. Holder. Each U.S. Holder should consult its own tax advisors regarding the foreign tax credit rules.</w:t>
      </w:r>
    </w:p>
    <w:p>
      <w:pPr>
        <w:spacing w:after="0" w:line="13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amount of a distribution paid to a U.S. Holder of ordinary shares or ADSs in foreign currency generally will be equal to the U.S. dollar value of such distribution based on the exchange rate applicable on the date of receipt. A U.S. Holder that does not convert foreign currency received as a distribution into U.S. dollars on the date of receipt generally will have a tax basis in such foreign currency equal to the U.S. dollar value of such foreign currency on the date of receipt. Such a U.S. Holder generally will recognize ordinary income or loss on the subsequent sale or other taxable disposition of such foreign currency (including an exchange for U.S. dollars).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 or ADSs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the discussion under “—Passive Foreign Investment Company,” below, in general, if you sell or otherwise dispose of ordinary shares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 in a taxable disposition:</w:t>
      </w:r>
    </w:p>
    <w:p>
      <w:pPr>
        <w:spacing w:after="0" w:line="99" w:lineRule="exact"/>
        <w:rPr>
          <w:sz w:val="20"/>
          <w:szCs w:val="20"/>
          <w:color w:val="auto"/>
        </w:rPr>
      </w:pPr>
    </w:p>
    <w:p>
      <w:pPr>
        <w:ind w:left="380" w:right="4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recognize gain or loss equal to the difference (if any) between the U.S. dollar value of the amount realized on such sale or other taxable disposition and your adjusted tax basis in such ordinary shares or ADSs;</w:t>
      </w:r>
    </w:p>
    <w:p>
      <w:pPr>
        <w:spacing w:after="0" w:line="53" w:lineRule="exact"/>
        <w:rPr>
          <w:rFonts w:ascii="Times New Roman" w:cs="Times New Roman" w:eastAsia="Times New Roman" w:hAnsi="Times New Roman"/>
          <w:sz w:val="18"/>
          <w:szCs w:val="18"/>
          <w:color w:val="auto"/>
        </w:rPr>
      </w:pPr>
    </w:p>
    <w:p>
      <w:pPr>
        <w:ind w:left="380" w:right="26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be capital gain or loss and will be long-term capital gain or loss if your holding period for the ordinary shares or ADSs sold or otherwise disposed of is more than one year at the time of such sale or other taxable disposition; and,</w:t>
      </w:r>
    </w:p>
    <w:p>
      <w:pPr>
        <w:spacing w:after="0" w:line="53" w:lineRule="exact"/>
        <w:rPr>
          <w:rFonts w:ascii="Times New Roman" w:cs="Times New Roman" w:eastAsia="Times New Roman" w:hAnsi="Times New Roman"/>
          <w:sz w:val="18"/>
          <w:szCs w:val="18"/>
          <w:color w:val="auto"/>
        </w:rPr>
      </w:pPr>
    </w:p>
    <w:p>
      <w:pPr>
        <w:ind w:left="380" w:right="4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will generally be treated as U.S.-source income for U.S. foreign tax credit purposes, although special rules apply to U.S. Holders who have a fixed place of business outside the United States to which this gain is attributable.</w:t>
      </w:r>
    </w:p>
    <w:p>
      <w:pPr>
        <w:spacing w:after="0" w:line="14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Under current law, long-term capital gains of non-corporate U.S. Holders are taxed at reduced rates. The deductibility of capital losses is subject to limitations.</w:t>
      </w:r>
    </w:p>
    <w:p>
      <w:pPr>
        <w:spacing w:after="0" w:line="10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certain circumstances, amounts received by a U.S. Holder upon the redemption of ordinary shares or ADSs may be treated as a dividend with respect to such ordinary shares or ADSs, rather than as a payment in exchange for such ordinary shares or ADSs that results in the recognition of capital gain or loss. In these circumstances, the redemption payment would be included in a U.S. Holder’s gross income as a dividend to the extent such payment is made out of our earnings and profits (as described above). The determination of whether redemption of ordinary shares or ADSs will be treated as a dividend, rather than as a payment in exchange for such ordinary shares or ADSs, will depend, in part, on whether and to what extent the redemption reduces the U.S. Holder’s ownership in us (including as a result of certain constructive ownership attribution rules). The rules applicable to redemptions are complex, and each U.S. Holder should consult its own tax adviser to determine the consequences of any 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79"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PFIC Rules Generally</w:t>
      </w:r>
      <w:r>
        <w:rPr>
          <w:rFonts w:ascii="Times New Roman" w:cs="Times New Roman" w:eastAsia="Times New Roman" w:hAnsi="Times New Roman"/>
          <w:sz w:val="18"/>
          <w:szCs w:val="18"/>
          <w:color w:val="auto"/>
        </w:rPr>
        <w:t>. U.S. Holders of ordinary shares and ADSs should be aware that each of Amarin and certain of its subsidiaries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PFIC for U.S. federal income tax purposes. The tests for determining PFIC status for a taxable year depend upon the relative values of certain categories of assets and the relative amounts of certain kinds of income. The application of these factors depends upon our financial results for the year, which are beyond our ability to predict or control, and the application of the relevant rules is subject to legal and factual uncertainties. Based on certain estimates of our gross income and gross assets, the latter determined by reference to the expected value of our ADSs and ordinary shares, we believe that we will not be classified as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PFIC for the taxable year ended December 31, 2022, and we do not expect to be treated as a PFIC in any future taxable year for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there can be no assurance that we will not be classified as a PFIC for any taxable year.</w:t>
      </w:r>
    </w:p>
    <w:p>
      <w:pPr>
        <w:spacing w:after="0" w:line="15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general terms, we will be a PFIC for any taxable year in which either (i) 75% or more of its our gross income is passive income, or the income test, or (ii) the average percentage, by fair market value, of our assets that produce or are held for the production of passive income is 50% or more, or the asset test. “Passive income” includes, for example, dividends, interest, certain rents and royalties, certain gains from the sale of stock and securities, and certain gains from commodities transactions.</w:t>
      </w:r>
    </w:p>
    <w:p>
      <w:pPr>
        <w:spacing w:after="0" w:line="126" w:lineRule="exact"/>
        <w:rPr>
          <w:sz w:val="20"/>
          <w:szCs w:val="20"/>
          <w:color w:val="auto"/>
        </w:rPr>
      </w:pPr>
    </w:p>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If we are a PFIC for any year, subject to the discussion of QEF (as defined herein) and mark-to-market elections below, a U.S. taxpayer who disposes or is deemed to dispose of an ordinary share or ADS at a gain or who receives a distribution treated as an “excess distribution” on an ordinary share or ADS generally would be required to allocate such gain and distribution ratably to each day in the U.S. taxpayer’s holding period for the ordinary share or ADS in question.</w:t>
      </w:r>
    </w:p>
    <w:p>
      <w:pPr>
        <w:spacing w:after="0" w:line="12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portion of any excess distributions including gains, which are treated for all purposes as excess distributions, allocated to the current taxable year or to a year prior to the first year in which we were a PFIC would be includible as ordinary income in the current taxable year. In contrast, the portion of any excess distributions allocated to the first year in the U.S. Holder’s holding period in which we were a PFIC and any subsequent year or years (excluding the current year) would be taxed at the highest marginal rate applicable to ordinary income for each year (regardless of the U.S. Holder’s actual marginal rate for that year and without reduction by any losses or loss carryforwards) and would be subject to interest charges to reflect the value of the U.S. federal income tax deferral.</w:t>
      </w:r>
    </w:p>
    <w:p>
      <w:pPr>
        <w:spacing w:after="0" w:line="1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rules above, if we are or were a PFIC at any time during the U.S. Holder’s holding period, none of the gain recognized on the sale or other disposition of an ordinary share or ADS would be eligible for the preferential long-term capital gains rate. In addition, dividends generally will not be qualified dividend income if in the year of payment or the preceding year we are a PFIC.</w:t>
      </w:r>
    </w:p>
    <w:p>
      <w:pPr>
        <w:spacing w:after="0" w:line="122" w:lineRule="exact"/>
        <w:rPr>
          <w:sz w:val="20"/>
          <w:szCs w:val="20"/>
          <w:color w:val="auto"/>
        </w:rPr>
      </w:pPr>
    </w:p>
    <w:p>
      <w:pPr>
        <w:ind w:right="420" w:firstLine="509"/>
        <w:spacing w:after="0" w:line="312" w:lineRule="auto"/>
        <w:rPr>
          <w:sz w:val="20"/>
          <w:szCs w:val="20"/>
          <w:color w:val="auto"/>
        </w:rPr>
      </w:pPr>
      <w:r>
        <w:rPr>
          <w:rFonts w:ascii="Times New Roman" w:cs="Times New Roman" w:eastAsia="Times New Roman" w:hAnsi="Times New Roman"/>
          <w:sz w:val="17"/>
          <w:szCs w:val="17"/>
          <w:color w:val="auto"/>
        </w:rPr>
        <w:t>Certain elections may sometimes be used to reduce the adverse impact of the PFIC rules on U.S. Holders qualifying electing fund, or QEF, and mark-to-market elections, but these elections may accelerate the recognition of taxable income and may result in the recognition of ordinary income.</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QEF Election. </w:t>
      </w:r>
      <w:r>
        <w:rPr>
          <w:rFonts w:ascii="Times New Roman" w:cs="Times New Roman" w:eastAsia="Times New Roman" w:hAnsi="Times New Roman"/>
          <w:sz w:val="18"/>
          <w:szCs w:val="18"/>
          <w:color w:val="auto"/>
        </w:rPr>
        <w:t>The rules described above for excess distributions would not apply to a U.S. Holder if the U.S. Holder makes a timely QEF 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taxable year of the U.S. Holder’s holding period for ordinary shares or ADSs during which we are a PFIC and we comply with specified reporting requirements. A timely QEF election for a taxable year generally must be made on or before the due date (as may be extended) for filing the taxpayer’s U.S. federal income tax return for the year. A U.S. Holder who makes a QEF election generally must report and include in income on a current basis a pro rata share of our ordinary earnings and net capital gain for any taxable year in which we are a PFIC, whether or not those earnings or gains are distributed. A U.S. Holder who makes a QEF election must file a Form 8621 with its annual income tax return. For U.S. Holders who seek to make a QEF election, with respect to our ordinary shares or ADSs, we will make available an information statement that will contain the necessary information required for making a QEF election and permit such U.S. Holders access to certain information in the event of an audit by the U.S. tax authorities.</w:t>
      </w:r>
    </w:p>
    <w:p>
      <w:pPr>
        <w:spacing w:after="0" w:line="13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a U.S. Holder does not make a QEF election for the first taxable year of the U.S. Holder’s holding period for ordinary shares or ADSs during which we are a PFIC, the QEF election will not be treated as timely and the adverse tax regime described above would apply to dispositions of or excess distributions on the ordinary shares or ADSs. In such case, a U.S. Holder may make a deemed sale election whereby the U.S. Holder would be treated as if the U.S. Holder had sold the ordinary shares or ADSs in a fully taxable sale at fair market value on the first day of such taxable year in which the QEF election takes effect. Such U.S. Holder would be required to recognize any gain on the deemed sale as an excess distribution and pay any tax and interest due on the excess distribution when making the deemed sale election. The effect of such further election would be to restart the U.S. Holder’s holding period in the ordinary shares or ADSs, subject to the QEF regime, and to purge the PFIC status of such ordinary shares or ADSs going forward.</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Mark-to-Market Election. </w:t>
      </w:r>
      <w:r>
        <w:rPr>
          <w:rFonts w:ascii="Times New Roman" w:cs="Times New Roman" w:eastAsia="Times New Roman" w:hAnsi="Times New Roman"/>
          <w:sz w:val="18"/>
          <w:szCs w:val="18"/>
          <w:color w:val="auto"/>
        </w:rPr>
        <w:t>If we are or become a PFIC, a U.S. Holder of ordinary shares or ADSs may elect to recognize any gain or loss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ADSs on a mark-to-market basis at the end of each taxable year, so long as the ordinary shares and ADSs, respectively, are regularly traded on a qualifying exchange. The mark-to-market election under the PFIC rules is an alternative to the QEF election. A U.S. Holder who makes a mark-to-market election generally must recognize as ordinary income all appreciation inherent in the U.S. Holder’s investment in ordinary shares or ADSs on a mark-to-market basis and may recognize losses inherent in such ordinary shares or ADSs only to the extent of prior mark-to-market gain recognition. The income and deductions entailed by the mark-to-market regime will increase and decrease the U.S. Holder’s adjusted basis in its ordinary shares or ADSs. Upon a sale or other disposition of ordinary shares or ADSs that have been marked-to-market, any gain recognized will be treated as ordinary income. The mark-to-market election must be made by the due date (as may be extended) for filing the U.S. Holder’s federal income tax return for the first year in which the election is to take effect. If a mark-to-market election is made after the first taxable year of a U.S. Holder’s holding period, any gain recognized in the year of the election will be treated like an excess distribution (as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ind w:right="180"/>
        <w:spacing w:after="0" w:line="266" w:lineRule="auto"/>
        <w:rPr>
          <w:sz w:val="20"/>
          <w:szCs w:val="20"/>
          <w:color w:val="auto"/>
        </w:rPr>
      </w:pPr>
      <w:r>
        <w:rPr>
          <w:rFonts w:ascii="Times New Roman" w:cs="Times New Roman" w:eastAsia="Times New Roman" w:hAnsi="Times New Roman"/>
          <w:sz w:val="18"/>
          <w:szCs w:val="18"/>
          <w:color w:val="auto"/>
        </w:rPr>
        <w:t>described above). Whether or not the mark-to-market election is available will depend on whether the ordinary shares or ADSs are regularly traded on a qualifying exchange and we cannot provide assurance that the ordinary shares or ADSs will be considered regularly traded (which determination is based on the volume of trading of the ordinary shares or ADSs) for all years in which we may be a PFIC.</w:t>
      </w:r>
    </w:p>
    <w:p>
      <w:pPr>
        <w:spacing w:after="0" w:line="12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Rules for Lower-Tier PFIC Subsidiaries. </w:t>
      </w:r>
      <w:r>
        <w:rPr>
          <w:rFonts w:ascii="Times New Roman" w:cs="Times New Roman" w:eastAsia="Times New Roman" w:hAnsi="Times New Roman"/>
          <w:sz w:val="18"/>
          <w:szCs w:val="18"/>
          <w:color w:val="auto"/>
        </w:rPr>
        <w:t>Special adverse rules apply to U.S. Holders of ordinary shares or ADSs for any year in which we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and have a non-U.S. subsidiary that is also a PFIC, or a lower-tier PFIC. If we are or become a PFIC and a U.S. Holder does not make a QEF election (as described above) in respect of any lower-tier PFIC, the U.S. Holder could incur liability for the deferred tax and interest charge described above if (i) we receive a distribution from, or disposes of all or part of our interest in, the lower-tier PFIC or (ii) the U.S. Holder disposes of all or part of its ordinary shares or ADSs. A QEF election that is made for ordinary shares or ADSs will not apply to a lower tier PFIC, although a separate QEF election may be made with respect to a lower-tier PFIC. For U.S. Holders who seek to make a QEF election, with respect to our ordinary shares or ADSs, we will make available an information statement that will contain the necessary information required for making a QEF election with respect to any lower-tier PFIC and permit such U.S. Holders access to certain information in the event of an audit by the U.S. tax authorities. For U.S. Holders that make a mark-to-market election for Amarin, if available, no such election may be made with respect to the stock of a lower-tier PFIC that a U.S. Holder is treated as owning if such stock is not marketable. Hence, the mark-to-market election will not be effective to eliminate a U.S. Holder’s liability for the deferred tax and interest charge described above with respect to deemed dispositions of lower-tier PFIC stock or distributions from a lower-tier PFIC.</w:t>
      </w:r>
    </w:p>
    <w:p>
      <w:pPr>
        <w:spacing w:after="0" w:line="138"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Taxpayer Reporting Obligations</w:t>
      </w:r>
      <w:r>
        <w:rPr>
          <w:rFonts w:ascii="Times New Roman" w:cs="Times New Roman" w:eastAsia="Times New Roman" w:hAnsi="Times New Roman"/>
          <w:sz w:val="18"/>
          <w:szCs w:val="18"/>
          <w:color w:val="auto"/>
        </w:rPr>
        <w:t>. A U.S. Holder’s ownership of ordinary shares or ADSs in a PFIC generally must be reported by filing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8621 with the U.S. Holder’s annual U.S. federal income tax return. Every U.S. Holder who is a shareholder in a PFIC must file an annual report containing the information required by the IRS.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PFIC rules are extremely complex, and U.S. Holders are urged to consult their own tax advisers regarding the potential tax consequences of Amarin being classified as a PFIC.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required to pay up to an additional 3.8% tax on the lesser of (i) the U.S. person’s net investment income (or undistributed net investment income in the case of an estate or trust) for the relevant taxable year and (ii) the excess of the U.S. person’s modified adjusted gross income (or adjusted gross income, in the case of an estate or trust) for the taxable year over a certain threshold (which in the case of individuals will be between $125,000 and $250,000, depending on the individual’s circumstances). A U.S. Holder’s net investment income will include dividends and capital gains on the U.S. Holder’s ordinary shares and ADSs. U.S. Holders should consult their own tax advisors regarding the effect, if any, of the Medicare tax on the ownership and disposition of ordinary shares or ADSs.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Taxpayer reporting obligations</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Certain U.S. Holders that hold certain foreign financial assets are required to report information relating to such assets to the IRS, subject to certain exceptions. U.S. Holders may also be required to make other tax filings with respect to their investments in our ordinary shares and ADSs, including IRS Form 926 (Return by a U.S. Transferor of Property to a Foreign Corporation). Failure to provide such information could result in significant additional taxes and penalties. U.S. Holders should consult their own tax advisors regarding potential reporting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Information reporting and backup withholding</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U.S. Holders of ordinary shares and ADSs may be subject to information reporting and may be subject to backup withholding on distributions on ordinary shares and ADSs or on the proceeds from a sale or other disposition of ordinary shares and ADSs paid within the United States. Payments of distributions on, or the proceeds from the sale or other disposition of ordinary shares and ADSs to or through a foreign office of a broker generally will not be subject to backup withholding, although information reporting may apply to those payments in certain circumstances. Backup withholding will generally not apply, however, to a U.S. Holder who:</w:t>
      </w:r>
    </w:p>
    <w:p>
      <w:pPr>
        <w:spacing w:after="0" w:line="75" w:lineRule="exact"/>
        <w:rPr>
          <w:sz w:val="20"/>
          <w:szCs w:val="20"/>
          <w:color w:val="auto"/>
        </w:rPr>
      </w:pPr>
    </w:p>
    <w:p>
      <w:pPr>
        <w:ind w:left="380" w:right="1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furnishes a correct taxpayer identification number and certifies that the U.S. Holder is not subject to backup withholding on IRS Form W-9, Request for Taxpayer Identification Number and Certification (or substitute form); or</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exempt from backup withholding.</w:t>
      </w:r>
    </w:p>
    <w:p>
      <w:pPr>
        <w:spacing w:after="0" w:line="1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from a payment to a holder under the backup withholding rules may be credited against the holder’s U.S. federal income tax liability, and a holder may obtain a refund of any excess amounts withheld by filing the appropriate claim for refund with the IRS in a timely manner. U.S. Holders should consult their own tax advisors regarding information reporting and potential back up withholdings.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Certain Material UK Tax Considerations</w:t>
      </w:r>
    </w:p>
    <w:p>
      <w:pPr>
        <w:spacing w:after="0" w:line="8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is limited to an overview of the tax consequences of ownership and disposition of ordinary shares, or such shares represented by ADSs (those ordinary shares or ADSs deriving over 75% of their value otherwise than from United Kingdom land). Each shareholder should however seek individual tax advice as specific rules may apply in certain circumstances.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you are not resident in the United Kingdom, or UK, for UK tax purposes, you will not be liable for UK tax on capital gains realized or accrued on the sale or other disposition of ordinary shares or ADSs unless the ordinary shares or ADSs are held in connection with your trade carried on in the UK through a branch or agency and the ordinary shares or ADSs are or have been used, held or acquired for the purposes of such trade or such branch or agency.</w:t>
      </w:r>
    </w:p>
    <w:p>
      <w:pPr>
        <w:spacing w:after="0" w:line="12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of ordinary shares or ADSs who ceases to be resident in the UK for UK tax purposes for a period of less than five years and who disposes of ordinary shares or ADSs during that period may also be liable on returning to the UK for UK capital gains tax despite the fact that the individual may not be resident in the UK at the time of the disposal.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Inheritance tax</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you are an individual domiciled in the United States and are not a national of the UK for the purposes of the Inheritance and Gift Tax Treaty 1978 between the United States and the UK, any ordinary shares or ADS beneficially owned by you will not generally be subject to UK inheritance tax on your death or on a gift made by you during your lifetime, provided that any applicable United States federal gift or estate tax liability is paid, except where the ordinary share or ADS is part of the business property of your UK permanent establishment. Where the ordinary shares or ADSs have been placed in trust by a settlor who, at the time of the settlement, was domiciled in the United States and not a national of the UK, the ordinary shares or ADSs will not generally be subject to UK inheritance tax.</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ADSs and ADRs representing ADSs</w:t>
      </w:r>
    </w:p>
    <w:p>
      <w:pPr>
        <w:spacing w:after="0" w:line="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No UK stamp duty or stamp duty reserve tax will be payable on an instrument transferring an ADS or an American Depositary Receipt, or ADR, representing an ADS or on a written agreement to transfer an ADS or an ADR representing an ADS whether made in or outside the UK.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 and transfer of ordinary shares</w:t>
      </w:r>
    </w:p>
    <w:p>
      <w:pPr>
        <w:spacing w:after="0" w:line="9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issue of ordinary shares by Amarin will not give rise to a charge to UK stamp duty or stamp duty reserve tax. Transfers of ordinary shares, as opposed to ADSs or ADRs representing ADSs, will generally attract ad valorem stamp duty at the rate of 0.5% of the amount or value of the consideration (or in some circumstances, the open market value of those ordinary shares, if higher). A charge to stamp duty reserve tax, at the rate of 0.5% of the amount or value of the consideration (or in some circumstances, the open market value of the ordinary shares, if higher), will generally arise on an agreement to transfer ordinary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UK law, there is no withholding tax on dividends paid on the ordinary shares or ADSs.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Material Irish Tax Considerations</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summary only applies to U.S. Holders that legally and beneficially hold their ordinary shares, or such shares represented by ADSs evidenced by ADRs as capital assets (i.e. investments) and does not address special classes of holders including, but not limited to, dealers in securities, insurance companies, pension schemes, employee share ownership trusts, collective investment undertakings, charities, tax-exempt organizations, financial institutions and close companies, each of which may be subject to special rules not discussed below.</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Solely for the purposes of this summary of Irish Tax Considerations, a U.S. Holder means a holder of shares or ADSs evidenced by ADRs that (i) beneficially owns the shares or ADSs registered in their name; (ii) is resident in the United States for the purposes of the Ireland-United States Double Taxation Convention, or the Treaty; (iii) in the case of an individual holder, is not also resident or ordinarily resident in Ireland for Irish tax purposes; (iv) in the case of a corporate holder, is not a resident in Ireland for Irish tax purposes and is not ultimately controlled by persons resident in Ireland; and (v) is not engaged in any trade or business and does not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3" w:name="page74"/>
    <w:bookmarkEnd w:id="73"/>
    <w:p>
      <w:pPr>
        <w:ind w:right="80"/>
        <w:spacing w:after="0" w:line="282" w:lineRule="auto"/>
        <w:rPr>
          <w:sz w:val="20"/>
          <w:szCs w:val="20"/>
          <w:color w:val="auto"/>
        </w:rPr>
      </w:pPr>
      <w:r>
        <w:rPr>
          <w:rFonts w:ascii="Times New Roman" w:cs="Times New Roman" w:eastAsia="Times New Roman" w:hAnsi="Times New Roman"/>
          <w:sz w:val="18"/>
          <w:szCs w:val="18"/>
          <w:color w:val="auto"/>
        </w:rPr>
        <w:t>perform independent personal services through a permanent establishment or fixed base in Ireland; and (vi) is a qualified person as defined in Article 23 of the Treaty.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Irish taxation purposes, and for the purposes of the Treaty, U.S. Holders of ADSs will be treated as the owners of the shares represented by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9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is limited to the tax consequences of ownership and disposition of shares or ADSs. Tax considerations applicable to other types of securities will be described in the related prospectus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do not expect to pay dividends in the foreseeable future. Should we begin paying dividends, such dividends will generally be subject to dividend withholding tax, or DWT, in Ireland at a rate of 25%. Where DWT applies, we will be responsible for withholding such tax at source.</w:t>
      </w:r>
    </w:p>
    <w:p>
      <w:pPr>
        <w:spacing w:after="0" w:line="10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Dividends paid by us to U.S. Holders of shares or ADSs evidenced by ADRs will be exempt from DWT if, prior to the payment of such dividends, the recipient U.S. Holder delivers to us a declaration in the form prescribed by the Irish Revenue Commissioners. In addition, a certificate of residency in the form prescribed by the Irish Revenue Commissioners, will also be required if the U.S. holder is an individual.</w:t>
      </w:r>
    </w:p>
    <w:p>
      <w:pPr>
        <w:spacing w:after="0" w:line="12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Where DWT is withheld from dividend payments to U.S. Holders of shares or ADSs evidenced by ADRs, such U.S. Holders can apply to the Irish Revenue Commissioners claiming a full refund of DWT paid by filing a declaration in the form prescribed by the Irish Revenue Commissioners. As above, a certificate of residency in the form prescribed by the Irish Revenue Commissioners, will also be required if the U.S. holder is an individual.</w:t>
      </w:r>
    </w:p>
    <w:p>
      <w:pPr>
        <w:spacing w:after="0" w:line="12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DWT rate applicable to U.S. Holders may be reduced under the terms of the Treaty, however, in the first instance, an exemption should be in place under Irish domestic legislation.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source income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U.S. Holders will not be liable to Irish income tax on dividends paid by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gains on disposals of shares or ADSs</w:t>
      </w:r>
    </w:p>
    <w:p>
      <w:pPr>
        <w:spacing w:after="0" w:line="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U.S. Holders will not be subject to Irish capital gains tax, or CGT, on the disposal of shares or ADSs provided that such shares or ADSs are quoted on a stock exchange at the time of disposition such as Nasdaq. While it is our intention to continue the listing of ADSs on Nasdaq, no assurances can be given in this regard.</w:t>
      </w:r>
    </w:p>
    <w:p>
      <w:pPr>
        <w:spacing w:after="0" w:line="12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for any reason, our ADSs cease to be listed on Nasdaq, U.S. Holders will not be subject to CGT on the disposal of their shares or ADSs provided that the shares or ADSs do not, at the time of the disposal, derive the greater part of their value from land, buildings, minerals, or mineral rights or exploration rights in Ireland.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Capital Acquisitions Tax (CAT)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CAT comprises principally gift and inheritance tax. A gift or inheritance of shares or ADSs will come within the charge to CAT if either:</w:t>
      </w:r>
    </w:p>
    <w:p>
      <w:pPr>
        <w:spacing w:after="0" w:line="171" w:lineRule="exact"/>
        <w:rPr>
          <w:sz w:val="20"/>
          <w:szCs w:val="20"/>
          <w:color w:val="auto"/>
        </w:rPr>
      </w:pPr>
    </w:p>
    <w:p>
      <w:pPr>
        <w:ind w:right="140" w:firstLine="517"/>
        <w:spacing w:after="0" w:line="282" w:lineRule="auto"/>
        <w:tabs>
          <w:tab w:leader="none" w:pos="7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disponer or the donee/successor in relation to the gift or inheritance is resident or ordinarily resident in Ireland (please note that special rules with regard to residence apply where an individual is not domiciled in Ireland); or</w:t>
      </w:r>
    </w:p>
    <w:p>
      <w:pPr>
        <w:spacing w:after="0" w:line="107" w:lineRule="exact"/>
        <w:rPr>
          <w:rFonts w:ascii="Times New Roman" w:cs="Times New Roman" w:eastAsia="Times New Roman" w:hAnsi="Times New Roman"/>
          <w:sz w:val="18"/>
          <w:szCs w:val="18"/>
          <w:color w:val="auto"/>
        </w:rPr>
      </w:pPr>
    </w:p>
    <w:p>
      <w:pPr>
        <w:ind w:firstLine="517"/>
        <w:spacing w:after="0" w:line="266" w:lineRule="auto"/>
        <w:tabs>
          <w:tab w:leader="none" w:pos="7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regarded as property situated in Ireland (e.g. shares would be regarded as Irish property if the share register is maintained in Ireland. ADSs, if registered, will be regarded as Irish property if the register is maintained in Ireland, or, if in bearer form, if the instrument of ownership is located in Ireland).</w:t>
      </w:r>
    </w:p>
    <w:p>
      <w:pPr>
        <w:spacing w:after="0" w:line="12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the basis that the shares or ADSs (assuming they are registered) should not be regarded as property situated in Ireland (given that the registers are not maintained in Ireland), a gift or inheritance of the shares or ADSs should only come within the charge to Irish CAT if either the disponer or donee/successor is resident or ordinarily resident in Ireland at the date of the gift or inheritance.</w:t>
      </w:r>
    </w:p>
    <w:p>
      <w:pPr>
        <w:spacing w:after="0" w:line="12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rate of CAT is currently 33% and is payable if the taxable value of the gift or inheritance exceeds certain tax-free thresholds. The appropriate tax-free threshold depends on the relationship between the disponer and the donee/successor. A gift or inheritance received from a spouse is exempt from CAT.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person who receives the gift or inheritance is generally accountable for any CAT due.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auto"/>
        </w:rPr>
        <w:t>Irish stamp duty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 Irish stamp duty should arise on the issue or transfer for cash of shares or ADSs on the basis that such a transfer does not relate to stocks or marketable securities of an Irish registered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617" w:right="7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concerning future events and our performance. When used in this Annual Report on Form 10-K,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plans with respect to litigation; expectation on determinations and policy positions of the United States Food and Drug Administration, or U.S. FDA;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Annual Report on Form 10-K in Item 1A, “Risk Factors”. We disclaim any intent to update or announce revisions to any forward-looking statements to reflect actual events or developments, except as required by law. Except as otherwise indicated herein, all dates referred to in this Annual Report on Form 10-K represent periods or dates fixed with reference to our fiscal year ended December 31,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120" w:firstLine="509"/>
        <w:spacing w:after="0" w:line="235"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commercially launched in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European Union, or EU, for VAZKEPA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w:t>
      </w:r>
    </w:p>
    <w:p>
      <w:pPr>
        <w:spacing w:after="0" w:line="14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Since VASCEPA was made commercially available in 2013, more than twenty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as invalid. As a result, the following generic versions of VASCEPA have obtained U.S. FDA approval with labeling consistent with the MARINE indication and have entered the U.S. market with a 1-gram capsule: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6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80" w:type="dxa"/>
            <w:vAlign w:val="bottom"/>
            <w:shd w:val="clear" w:color="auto" w:fill="CFF0FC"/>
          </w:tcPr>
          <w:p>
            <w:pPr>
              <w:spacing w:after="0"/>
              <w:rPr>
                <w:sz w:val="20"/>
                <w:szCs w:val="20"/>
                <w:color w:val="auto"/>
              </w:rPr>
            </w:pP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May 2020</w:t>
            </w:r>
          </w:p>
        </w:tc>
        <w:tc>
          <w:tcPr>
            <w:tcW w:w="360" w:type="dxa"/>
            <w:vAlign w:val="bottom"/>
            <w:shd w:val="clear" w:color="auto" w:fill="CFF0FC"/>
          </w:tcPr>
          <w:p>
            <w:pPr>
              <w:spacing w:after="0"/>
              <w:rPr>
                <w:sz w:val="20"/>
                <w:szCs w:val="20"/>
                <w:color w:val="auto"/>
              </w:rPr>
            </w:pP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6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r>
        <w:trPr>
          <w:trHeight w:val="24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80" w:type="dxa"/>
            <w:vAlign w:val="bottom"/>
            <w:shd w:val="clear" w:color="auto" w:fill="CFF0FC"/>
          </w:tcPr>
          <w:p>
            <w:pPr>
              <w:spacing w:after="0"/>
              <w:rPr>
                <w:sz w:val="21"/>
                <w:szCs w:val="21"/>
                <w:color w:val="auto"/>
              </w:rPr>
            </w:pPr>
          </w:p>
        </w:tc>
        <w:tc>
          <w:tcPr>
            <w:tcW w:w="2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September 2020</w:t>
            </w:r>
          </w:p>
        </w:tc>
        <w:tc>
          <w:tcPr>
            <w:tcW w:w="360" w:type="dxa"/>
            <w:vAlign w:val="bottom"/>
            <w:shd w:val="clear" w:color="auto" w:fill="CFF0FC"/>
          </w:tcPr>
          <w:p>
            <w:pPr>
              <w:spacing w:after="0"/>
              <w:rPr>
                <w:sz w:val="21"/>
                <w:szCs w:val="21"/>
                <w:color w:val="auto"/>
              </w:rPr>
            </w:pPr>
          </w:p>
        </w:tc>
        <w:tc>
          <w:tcPr>
            <w:tcW w:w="258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(1)</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Apotex, Inc.</w:t>
            </w:r>
          </w:p>
        </w:tc>
        <w:tc>
          <w:tcPr>
            <w:tcW w:w="38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2021</w:t>
            </w:r>
          </w:p>
        </w:tc>
        <w:tc>
          <w:tcPr>
            <w:tcW w:w="36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bl>
    <w:p>
      <w:pPr>
        <w:spacing w:after="0" w:line="152" w:lineRule="exact"/>
        <w:rPr>
          <w:sz w:val="20"/>
          <w:szCs w:val="20"/>
          <w:color w:val="auto"/>
        </w:rPr>
      </w:pPr>
    </w:p>
    <w:p>
      <w:pPr>
        <w:ind w:left="5540" w:right="3700" w:hanging="5023"/>
        <w:spacing w:after="0" w:line="532" w:lineRule="auto"/>
        <w:tabs>
          <w:tab w:leader="none" w:pos="7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Teva launched a 0.5-gram capsule in September 2022 and a 1-gram capsule in January 2023.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jc w:val="both"/>
        <w:ind w:right="180" w:firstLine="509"/>
        <w:spacing w:after="0" w:line="281" w:lineRule="auto"/>
        <w:rPr>
          <w:sz w:val="20"/>
          <w:szCs w:val="20"/>
          <w:color w:val="auto"/>
        </w:rPr>
      </w:pPr>
      <w:r>
        <w:rPr>
          <w:rFonts w:ascii="Times New Roman" w:cs="Times New Roman" w:eastAsia="Times New Roman" w:hAnsi="Times New Roman"/>
          <w:sz w:val="18"/>
          <w:szCs w:val="18"/>
          <w:color w:val="auto"/>
        </w:rPr>
        <w:t>In June 2022, to address shifts within our U.S. business due to these generic competitors, we announced a comprehensive cost and organizational restructuring plan which is expected to result in savings of $100.0 million over the subsequent twelve months compared to 2021 operating expenses. Our U.S. cost reduction plan included:</w:t>
      </w:r>
    </w:p>
    <w:p>
      <w:pPr>
        <w:spacing w:after="0" w:line="54" w:lineRule="exact"/>
        <w:rPr>
          <w:sz w:val="20"/>
          <w:szCs w:val="20"/>
          <w:color w:val="auto"/>
        </w:rPr>
      </w:pPr>
    </w:p>
    <w:p>
      <w:pPr>
        <w:ind w:left="1020" w:right="1040" w:hanging="503"/>
        <w:spacing w:after="0" w:line="284"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workforce reduction: </w:t>
      </w:r>
      <w:r>
        <w:rPr>
          <w:rFonts w:ascii="Times New Roman" w:cs="Times New Roman" w:eastAsia="Times New Roman" w:hAnsi="Times New Roman"/>
          <w:sz w:val="18"/>
          <w:szCs w:val="18"/>
          <w:color w:val="auto"/>
        </w:rPr>
        <w:t>The reduction of our U.S. field force and corporate positions. Our U.S. field force was reduced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300 sales representatives to approximately 75 sales representatives.</w:t>
      </w:r>
    </w:p>
    <w:p>
      <w:pPr>
        <w:spacing w:after="0" w:line="50"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Streamlined operational expenditures: </w:t>
      </w:r>
      <w:r>
        <w:rPr>
          <w:rFonts w:ascii="Times New Roman" w:cs="Times New Roman" w:eastAsia="Times New Roman" w:hAnsi="Times New Roman"/>
          <w:sz w:val="18"/>
          <w:szCs w:val="18"/>
          <w:color w:val="auto"/>
        </w:rPr>
        <w:t>Includes reductions and reallocations in overall selling, general and administrative expenses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related to refining our research and development strategy to a more focused, stepwise approach for our fixed-dose combination, or FDC, program.</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In alignment with our U.S. cost reduction plan, our focus is primarily on engaging with our top VASCEPA brand prescribers, maintaining our exclusive formulary coverage with specific payers, and implementing targeted promotional initiatives amid the continued pressure from generic competitors.</w:t>
      </w:r>
    </w:p>
    <w:p>
      <w:pPr>
        <w:spacing w:after="0" w:line="12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We obtain data from a third party, Symphony Health, who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are based on a combination of data received from pharmacies and other distributors, as well as historical data when actual data is unavailable. Based on data from Symphony Health, the below chart represents the estimated number of normalized total VASCEPA prescriptions over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93980</wp:posOffset>
            </wp:positionV>
            <wp:extent cx="5443220" cy="25971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432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2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2021, we received marketing authorization and regulatory approval in the EU, England, Wales and Scotland.</w:t>
      </w:r>
    </w:p>
    <w:p>
      <w:pPr>
        <w:spacing w:after="0" w:line="17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Launch of VAZKEPA in individual countries depends on the timing of achieving product reimbursement on a country-by-country basis. To date we have filed thirteen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general organization reimbursement. In countries where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77" w:name="page78"/>
    <w:bookmarkEnd w:id="77"/>
    <w:p>
      <w:pPr>
        <w:ind w:right="60"/>
        <w:spacing w:after="0" w:line="274" w:lineRule="auto"/>
        <w:rPr>
          <w:sz w:val="20"/>
          <w:szCs w:val="20"/>
          <w:color w:val="auto"/>
        </w:rPr>
      </w:pPr>
      <w:r>
        <w:rPr>
          <w:rFonts w:ascii="Times New Roman" w:cs="Times New Roman" w:eastAsia="Times New Roman" w:hAnsi="Times New Roman"/>
          <w:sz w:val="17"/>
          <w:szCs w:val="17"/>
          <w:color w:val="auto"/>
        </w:rPr>
        <w:t>individual price reimbursement is allowed prior to national reimbursement, product can be made available on a patient by 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Annual Report on Form 10-K, we have received and made VAZKEPA available under individual reimbursement or received national reimbursement and launched commercial operations in the following countries, respectively.</w:t>
      </w:r>
    </w:p>
    <w:p>
      <w:pPr>
        <w:spacing w:after="0" w:line="1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26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National</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Availability</w:t>
            </w:r>
          </w:p>
        </w:tc>
        <w:tc>
          <w:tcPr>
            <w:tcW w:w="24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Reimbursement</w:t>
            </w: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Sweden</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2022</w:t>
            </w: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2022</w:t>
            </w:r>
          </w:p>
        </w:tc>
        <w:tc>
          <w:tcPr>
            <w:tcW w:w="2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47"/>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Denmark</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2022</w:t>
            </w:r>
          </w:p>
        </w:tc>
        <w:tc>
          <w:tcPr>
            <w:tcW w:w="24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order to launch impactfully in targeted major markets in Europe we are building a core team of experienced professionals and highly capable local commercial teams involved with pre-launch planning and commercial launch activities and we are leveraging third-party relationships for various support activities. We are implementing an impactful and cost-effective hybrid commercial model balancing optimally digital and face-to-face approach for more impact and cost efficiency, which is or will be utilized throughout Europe as launches are rolled out.</w:t>
      </w:r>
    </w:p>
    <w:p>
      <w:pPr>
        <w:spacing w:after="0" w:line="12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ten years of market protection, and we have been issued a patent that expires in 2033 with additional pending applications that could extend exclusivity into 2039.</w:t>
      </w:r>
    </w:p>
    <w:p>
      <w:pPr>
        <w:spacing w:after="0" w:line="12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September 2021, as part of the German reimbursement process, VAZKEPA was made available in Germany with temporary reimbursement while negotiations for final reimbursement were ongoing and VAZKEPA was included in the country's electronic prescribing system as of October 1, 2021. On August 19, 2022, reimbursement negotiations were concluded without agreement. As a result, we discontinued our German business operations as of September 1, 2022. Following the local reimbursement process and initiated by G-KV, we moved to the Arbitration Board. In November 2022, the Arbitration Board process was concluded without reaching a deal. German legislation allows re-submission of a pricing and reimbursement dossier with new data and we plan to resubmit once we have a new dossier ready.</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7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have commenced. The National Medical Products Administration, or NMPA, accepted for review the new drug application for VASCEPA, submitted by Edding, based on the results from the Phase 3 clinical trial and the results from our prior studies of VASCEPA. On February 23, 2022 the Hong Kong Department of Health completed their evaluation of the clinical trial conducted in China and approved the use of VASCEPA under the REDUCE-IT indication. In China, on October 10, 2022, following the completion of product testing by the China National Institutes for Food and Drug Control, or NIFDC, the final NMPA review of the VASCEPA NDA was initiated with Edding expecting approval by the end of 2022. Due to delays at CDE as a result of the resurgence of COVID-19 in the Beijing area at the end of 2022, Edding has communicated that an approval in Mainland China could be achieved by mid-year of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3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2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jc w:val="center"/>
              <w:ind w:left="234"/>
              <w:spacing w:after="0"/>
              <w:rPr>
                <w:sz w:val="20"/>
                <w:szCs w:val="20"/>
                <w:color w:val="auto"/>
              </w:rPr>
            </w:pPr>
            <w:r>
              <w:rPr>
                <w:rFonts w:ascii="Times New Roman" w:cs="Times New Roman" w:eastAsia="Times New Roman" w:hAnsi="Times New Roman"/>
                <w:sz w:val="18"/>
                <w:szCs w:val="18"/>
                <w:color w:val="auto"/>
                <w:w w:val="99"/>
              </w:rPr>
              <w:t>August 2021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100" w:type="dxa"/>
            <w:vAlign w:val="bottom"/>
            <w:shd w:val="clear" w:color="auto" w:fill="CFF0FC"/>
          </w:tcPr>
          <w:p>
            <w:pPr>
              <w:spacing w:after="0"/>
              <w:rPr>
                <w:sz w:val="20"/>
                <w:szCs w:val="20"/>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220" w:type="dxa"/>
            <w:vAlign w:val="bottom"/>
          </w:tcPr>
          <w:p>
            <w:pPr>
              <w:spacing w:after="0"/>
              <w:rPr>
                <w:sz w:val="20"/>
                <w:szCs w:val="20"/>
                <w:color w:val="auto"/>
              </w:rPr>
            </w:pPr>
          </w:p>
        </w:tc>
        <w:tc>
          <w:tcPr>
            <w:tcW w:w="15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9"/>
              </w:rPr>
              <w:t>October 2021</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2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April 2021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220" w:type="dxa"/>
            <w:vAlign w:val="bottom"/>
          </w:tcPr>
          <w:p>
            <w:pPr>
              <w:spacing w:after="0"/>
              <w:rPr>
                <w:sz w:val="20"/>
                <w:szCs w:val="20"/>
                <w:color w:val="auto"/>
              </w:rPr>
            </w:pPr>
          </w:p>
        </w:tc>
        <w:tc>
          <w:tcPr>
            <w:tcW w:w="15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9"/>
              </w:rPr>
              <w:t>April 2022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2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21"/>
                <w:szCs w:val="21"/>
                <w:color w:val="auto"/>
              </w:rPr>
            </w:pPr>
          </w:p>
        </w:tc>
        <w:tc>
          <w:tcPr>
            <w:tcW w:w="182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20"/>
                <w:szCs w:val="20"/>
                <w:color w:val="auto"/>
              </w:rPr>
            </w:pPr>
          </w:p>
        </w:tc>
        <w:tc>
          <w:tcPr>
            <w:tcW w:w="182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VASCEPA is under registration in additional countries in the MENA region.</w:t>
      </w: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9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Canadian regulatory authority has granted priority review status for the upcoming New Drug Submission, which was filed in April 2019.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As of December 31, 2022, reimbursement coverage is approximately 70% of publicly covered lives and 95% for private coverage. Public reimbursement is now available in Ontario, Quebec, Saskatchewan, New Brunswick Northwest Territories and for the Non-Insured Health Benefits program for the First Nations and Inuit people.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9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continue to assess other potential partnership opportunities for VASCEPA with companies outside of the United States and Europe with the intention of partnering in all other international markets where VASCEPA receives local regulatory approval. We have completed the first year of a three year plan to submit and obtain regulatory approval in 20 additional countries in order to ensure that patients in the top 50 cardiometabolic markets worldwide can benefit from VASCEPA. Through the date of this Annual Report on Form 10-K, we have filed for regulatory review in 10 countries and have received approval in seven countries outside of the United States and European Medicines Agency, or EMA, regulatory approval authority, including in Switzerland, Australia and New Zealand, under the REDUCE-IT indication. In February 2023, we entered into an agreement with CSL Seqirus to secure pricing and reimbursement, commercialize and distribute VAZKEPA in Australia and New Zealand.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9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Based on the final positive results of REDUCE-IT, we sought additional indicated uses for VASCEPA in the United States and continue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w:t>
      </w:r>
    </w:p>
    <w:p>
      <w:pPr>
        <w:spacing w:after="0" w:line="133"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Annual Report on Form 10-K, 30 clinical treatment guidelines, consensus statements or scientific statements from medical societies or journals have been updated recommending the use of icosapent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79" w:name="page80"/>
    <w:bookmarkEnd w:id="79"/>
    <w:p>
      <w:pPr>
        <w:ind w:right="80"/>
        <w:spacing w:after="0" w:line="282" w:lineRule="auto"/>
        <w:rPr>
          <w:sz w:val="20"/>
          <w:szCs w:val="20"/>
          <w:color w:val="auto"/>
        </w:rPr>
      </w:pPr>
      <w:r>
        <w:rPr>
          <w:rFonts w:ascii="Times New Roman" w:cs="Times New Roman" w:eastAsia="Times New Roman" w:hAnsi="Times New Roman"/>
          <w:sz w:val="18"/>
          <w:szCs w:val="18"/>
          <w:color w:val="auto"/>
        </w:rPr>
        <w:t>ethyl in appropriate at-risk patients, including those statements which we were informed of by our global partners in Canada, China and the Middle East as well as guidelines which were newly received during the fourth quarter of 2022 as listed below:</w:t>
      </w:r>
    </w:p>
    <w:p>
      <w:pPr>
        <w:spacing w:after="0" w:line="54" w:lineRule="exact"/>
        <w:rPr>
          <w:sz w:val="20"/>
          <w:szCs w:val="20"/>
          <w:color w:val="auto"/>
        </w:rPr>
      </w:pPr>
    </w:p>
    <w:p>
      <w:pPr>
        <w:ind w:left="1260" w:right="140" w:hanging="368"/>
        <w:spacing w:after="0" w:line="261"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the American Society of Preventive Cardiology published a clinical practice statement delineating key attributes that define the field of preventive cardiology, including that REDUCE-IT established that IPE reduced CV events among patients fasting TG 135 to 499 mg/dL and that results from REDUCE-IT have not been replicated in trials using mixed omega-3 fatty acids suggesting that the CV benefit is attributed to EPA.</w:t>
      </w:r>
    </w:p>
    <w:p>
      <w:pPr>
        <w:spacing w:after="0" w:line="71" w:lineRule="exact"/>
        <w:rPr>
          <w:rFonts w:ascii="Times New Roman" w:cs="Times New Roman" w:eastAsia="Times New Roman" w:hAnsi="Times New Roman"/>
          <w:sz w:val="18"/>
          <w:szCs w:val="18"/>
          <w:color w:val="auto"/>
        </w:rPr>
      </w:pPr>
    </w:p>
    <w:p>
      <w:pPr>
        <w:jc w:val="both"/>
        <w:ind w:left="1260" w:right="580" w:hanging="368"/>
        <w:spacing w:after="0" w:line="266"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2022, NICE released its guidelines on lipid management, which included that IPE is recommended for patients with established CVD and elevated fasting TG and who are taking statins with LDL-C levels between 1.04 and 2.60 mmol/L, as per the REDUCE-IT results.</w:t>
      </w:r>
    </w:p>
    <w:p>
      <w:pPr>
        <w:spacing w:after="0" w:line="67" w:lineRule="exact"/>
        <w:rPr>
          <w:rFonts w:ascii="Times New Roman" w:cs="Times New Roman" w:eastAsia="Times New Roman" w:hAnsi="Times New Roman"/>
          <w:sz w:val="18"/>
          <w:szCs w:val="18"/>
          <w:color w:val="auto"/>
        </w:rPr>
      </w:pPr>
    </w:p>
    <w:p>
      <w:pPr>
        <w:ind w:left="1260" w:right="200" w:hanging="368"/>
        <w:spacing w:after="0" w:line="266"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Finnish Medical Association and the Finnish Association of Internists published updated guidelines on dyslipidemia treatment, including that IPE is indicated for patients on statin therapy who have elevated TG levels and are at particularly high risk for arterial disease.</w:t>
      </w:r>
    </w:p>
    <w:p>
      <w:pPr>
        <w:spacing w:after="0" w:line="67" w:lineRule="exact"/>
        <w:rPr>
          <w:rFonts w:ascii="Times New Roman" w:cs="Times New Roman" w:eastAsia="Times New Roman" w:hAnsi="Times New Roman"/>
          <w:sz w:val="18"/>
          <w:szCs w:val="18"/>
          <w:color w:val="auto"/>
        </w:rPr>
      </w:pPr>
    </w:p>
    <w:p>
      <w:pPr>
        <w:ind w:left="1260" w:right="20" w:hanging="368"/>
        <w:spacing w:after="0" w:line="261"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National Society of Cardiometabolic Medicine in China released its consensus statement on the role of omega-3 fatty acids in the prevention and treatment of CVD in Chinese patients. The consensus statement reviewed current knowledge about omega-3 fatty acids and their use in managing CVD in the Chinese population. The following key recommendations were included on use of IPE:</w:t>
      </w:r>
    </w:p>
    <w:p>
      <w:pPr>
        <w:spacing w:after="0" w:line="72" w:lineRule="exact"/>
        <w:rPr>
          <w:sz w:val="20"/>
          <w:szCs w:val="20"/>
          <w:color w:val="auto"/>
        </w:rPr>
      </w:pPr>
    </w:p>
    <w:p>
      <w:pPr>
        <w:ind w:left="2020" w:hanging="379"/>
        <w:spacing w:after="0" w:line="282" w:lineRule="auto"/>
        <w:tabs>
          <w:tab w:leader="none" w:pos="2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High-dose IPE can confer CV benefits in patients with high TG levels at high risk for ASCVD and who have additional CV risk factors.</w:t>
      </w:r>
    </w:p>
    <w:p>
      <w:pPr>
        <w:spacing w:after="0" w:line="53" w:lineRule="exact"/>
        <w:rPr>
          <w:rFonts w:ascii="Times New Roman" w:cs="Times New Roman" w:eastAsia="Times New Roman" w:hAnsi="Times New Roman"/>
          <w:sz w:val="18"/>
          <w:szCs w:val="18"/>
          <w:color w:val="auto"/>
        </w:rPr>
      </w:pPr>
    </w:p>
    <w:p>
      <w:pPr>
        <w:ind w:left="2020" w:right="80" w:hanging="379"/>
        <w:spacing w:after="0" w:line="261" w:lineRule="auto"/>
        <w:tabs>
          <w:tab w:leader="none" w:pos="2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 levels may be the driving force behind CV benefit reported with IPE, a concept supported by JELIS and REDUCE-IT trials in which serum EPA levels were inversely associated with CV risk in a dose-response relationship as well as in a sub-analysis of REDUCE-IT, which showed that the CV reduction reported with IPE was attributed to changes in EPA levels rather than lipid biomarkers.</w:t>
      </w:r>
    </w:p>
    <w:p>
      <w:pPr>
        <w:spacing w:after="0" w:line="71" w:lineRule="exact"/>
        <w:rPr>
          <w:rFonts w:ascii="Times New Roman" w:cs="Times New Roman" w:eastAsia="Times New Roman" w:hAnsi="Times New Roman"/>
          <w:sz w:val="18"/>
          <w:szCs w:val="18"/>
          <w:color w:val="auto"/>
        </w:rPr>
      </w:pPr>
    </w:p>
    <w:p>
      <w:pPr>
        <w:ind w:left="2020" w:right="240" w:hanging="379"/>
        <w:spacing w:after="0" w:line="282" w:lineRule="auto"/>
        <w:tabs>
          <w:tab w:leader="none" w:pos="2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IPE is the only omega-3 fatty acid approved by the FDA, Health Canada and the EMA for CV risk reduction in patients with CVD or diabetes with other ASCVD risk factors.</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During 2022, we announced the following data which added to our growing body of knowledge on VASCEPA as a result of our continued analysis of the REDUCE-IT trial results:</w:t>
      </w:r>
    </w:p>
    <w:p>
      <w:pPr>
        <w:spacing w:after="0" w:line="54" w:lineRule="exact"/>
        <w:rPr>
          <w:sz w:val="20"/>
          <w:szCs w:val="20"/>
          <w:color w:val="auto"/>
        </w:rPr>
      </w:pPr>
    </w:p>
    <w:p>
      <w:pPr>
        <w:ind w:left="1020" w:right="6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 post hoc sub-analysis of REDUCE-IT, published in the Journal of the American Heart Association, or JAHA, found VASCEPA reduced the risk of cardiovascular death, strokes, heart attacks, coronary revascularization and unstable angina by 34% in patients with a history of percutaneous coronary intervention, or PCI, noting 8.5% and 5.4% absolute risk reductions, respectively, for the primary and secondary composite endpoints.</w:t>
      </w:r>
    </w:p>
    <w:p>
      <w:pPr>
        <w:spacing w:after="0" w:line="71" w:lineRule="exact"/>
        <w:rPr>
          <w:rFonts w:ascii="Times New Roman" w:cs="Times New Roman" w:eastAsia="Times New Roman" w:hAnsi="Times New Roman"/>
          <w:sz w:val="18"/>
          <w:szCs w:val="18"/>
          <w:color w:val="auto"/>
        </w:rPr>
      </w:pPr>
    </w:p>
    <w:p>
      <w:pPr>
        <w:ind w:left="1020" w:right="38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a post hoc sub-analysis of REDUCE-IT, published in the Journal of the American College of Cardiology found VASCEPA significantly reduced the total ischemic event risk of cardiovascular death, stroke, myocardial infarction, coronary revascularization, or hospitalization for unstable angina by 35% in patients who had a prior heart attack.</w:t>
      </w:r>
    </w:p>
    <w:p>
      <w:pPr>
        <w:spacing w:after="0" w:line="6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presented data at the 2022 European Society of Cardiology Congress that VASCEPA significantly reduced ST-segment elevation myocardial infarction by 40% and non-ST segment elevated myocardial by 27%.</w:t>
      </w:r>
    </w:p>
    <w:p>
      <w:pPr>
        <w:spacing w:after="0" w:line="53" w:lineRule="exact"/>
        <w:rPr>
          <w:rFonts w:ascii="Times New Roman" w:cs="Times New Roman" w:eastAsia="Times New Roman" w:hAnsi="Times New Roman"/>
          <w:sz w:val="18"/>
          <w:szCs w:val="18"/>
          <w:color w:val="auto"/>
        </w:rPr>
      </w:pPr>
    </w:p>
    <w:p>
      <w:pPr>
        <w:ind w:left="1020" w:right="380" w:hanging="503"/>
        <w:spacing w:after="0" w:line="312"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2022, a post hoc exploratory analysis of REDUCE-IT found VASCEPA significantly reduced the risk of cardiovascular death, strokes, heart attacks, coronary revascularization and unstable angina in current/former smokers by 23% and former smokers by 29%.</w:t>
      </w:r>
    </w:p>
    <w:p>
      <w:pPr>
        <w:spacing w:after="0" w:line="8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addition, in November 2022, we presented at the American Heart Association, or AHA, 2022 Scientific Sessions data related to RESPECT-EPA, A Randomized Trial for Evaluation in Secondary Prevention Efficacy of Combination Therapy - Statin and Eicosapentaenoic Acid and PROMINENT, Pemafibrate to Reduce Cardiovascular Outcomes by Reducing Triglycerides in Patients with Diabetes Study. The RESPECT-EPA clinical trial is an independent study funded by the Japanese Heart Foundation and is the third study to show CV benefit consistent with REDUCE-IT and JELIS. The study achieved a borderline statistical significance with a 21.5% reduction in the primary composite endpoint measuring cardiovascular risk and achieved a statistically significant 26.6% reduction in the secondary composite endpoint.</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10, 2022, we announced that we have initiated development of a fixed-dose combination product that has both icosapent ethyl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Commercial and Clinical Supply</w:t>
      </w:r>
    </w:p>
    <w:p>
      <w:pPr>
        <w:spacing w:after="0" w:line="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In 2022, we reviewed our contractual supplier purchase obligations and have taken steps to amend supplier agreements to align supply arrangements with current and future market demand, while we decrease our current inventory levels primarily related to North America approved inventory. As of December 31, 2022, we had inventory $392.4 million, of which 90% is inventory approved for use in North America. We continue to negotiate with our contract suppliers to align our supply arrangements with current and future global market demand.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years ended December 31, 2022 and 2021, our Product revenue, net included adjustment for co-pay mitigation rebates provided by us to commercially insured patients in the United States. Such support is intended to offset a portion of the out-of-pocket expense that patients are required to pay for VASCEPA based upon the benefit design of their prescription drug coverage. Our cost for these co-payment support payments in both years ended December 31, 2022 and 2021 was up to $150 per 30-day prescription filled and up to $450 per 90-day prescription filled.</w:t>
      </w:r>
    </w:p>
    <w:p>
      <w:pPr>
        <w:spacing w:after="0" w:line="1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136" w:lineRule="exact"/>
        <w:rPr>
          <w:sz w:val="20"/>
          <w:szCs w:val="20"/>
          <w:color w:val="auto"/>
        </w:rPr>
      </w:pPr>
    </w:p>
    <w:p>
      <w:pPr>
        <w:jc w:val="both"/>
        <w:ind w:right="5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year ended December 31, 2022, we incurred costs of $18.1 million in Cost of goods sold - restructuring inventory related to steps taken to amend supplier agreements to align supply arrangements with current and future market demand.</w:t>
      </w:r>
    </w:p>
    <w:p>
      <w:pPr>
        <w:spacing w:after="0" w:line="125"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1" w:name="page82"/>
    <w:bookmarkEnd w:id="81"/>
    <w:p>
      <w:pPr>
        <w:ind w:right="580"/>
        <w:spacing w:after="0" w:line="282" w:lineRule="auto"/>
        <w:rPr>
          <w:sz w:val="20"/>
          <w:szCs w:val="20"/>
          <w:color w:val="auto"/>
        </w:rPr>
      </w:pPr>
      <w:r>
        <w:rPr>
          <w:rFonts w:ascii="Times New Roman" w:cs="Times New Roman" w:eastAsia="Times New Roman" w:hAnsi="Times New Roman"/>
          <w:sz w:val="18"/>
          <w:szCs w:val="18"/>
          <w:color w:val="auto"/>
        </w:rPr>
        <w:t>finance and information technology functions. Other costs primarily include facility costs and professional fees for accounting, consulting and legal services.</w:t>
      </w:r>
    </w:p>
    <w:p>
      <w:pPr>
        <w:spacing w:after="0" w:line="10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56" w:lineRule="exact"/>
        <w:rPr>
          <w:sz w:val="20"/>
          <w:szCs w:val="20"/>
          <w:color w:val="auto"/>
        </w:rPr>
      </w:pPr>
    </w:p>
    <w:p>
      <w:pPr>
        <w:jc w:val="both"/>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expense. </w:t>
      </w:r>
      <w:r>
        <w:rPr>
          <w:rFonts w:ascii="Times New Roman" w:cs="Times New Roman" w:eastAsia="Times New Roman" w:hAnsi="Times New Roman"/>
          <w:sz w:val="18"/>
          <w:szCs w:val="18"/>
          <w:color w:val="auto"/>
        </w:rPr>
        <w:t>Restructuring expense consists of restructuring costs incurred under our June 2022 cost reduction plan, the discontinuation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German operations and our September 2021 Go-to-Market strategy implementation, which consists of severance pay, incentive compensation, insurance benefits, stock-based compensation expense and other contract related costs.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and other (expense) income, net. </w:t>
      </w:r>
      <w:r>
        <w:rPr>
          <w:rFonts w:ascii="Times New Roman" w:cs="Times New Roman" w:eastAsia="Times New Roman" w:hAnsi="Times New Roman"/>
          <w:sz w:val="18"/>
          <w:szCs w:val="18"/>
          <w:color w:val="auto"/>
        </w:rPr>
        <w:t>Interest expense primarily consists of interest incurred under our December 2012 royalty-bearing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financing arrangement, which was calculated based on an estimated repayment schedule and was paid in full in 2020. Interest income consists of interest earned on our cash and cash equivalents, as well as our short term and long-term investments. Other (expense) income, net, consists primarily of foreign exchange losses and gains.</w:t>
      </w:r>
    </w:p>
    <w:p>
      <w:pPr>
        <w:spacing w:after="0" w:line="12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year-ended December 31, 2022 and 2021, are not more likely than not to be realized. On March 27, 2020, the CARES Act was enacted in the United States. Among other provisions, the CARES Act allows businesses to carry back net operating losses arising in years 2018 to 2020 to the five prior tax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consolidated financial statements and notes, which have been prepared in accordance with accounting principles generally accepted in the United States, or GAAP. The preparation of these financial statements requires us to make estimates and judgments that affect the reported amounts of assets, liabilities, revenue and expenses. On an ongoing basis, estimates are assessed and adjusted based on historical experience and current market-specific indicators, environment and assumptions. Actual results may differ from these estimates under different assumptions or conditions. A summary of our critical accounting policies, significant judgments and estimates is presented in Note 2—Significant Accounting Policies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3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—In accordance with GAAP, under Accounting Standards Codification, or ASC, Topic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 which we adopted on a modified retrospective basis effective January 1, 2018, revenue is recognized when product has been delivered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wholesaler, in an amount that reflects the consideration which we expect to receive in exchange for those goods or services. To determine revenue recognition for arrangements that we determine are within the scope of Topic 606, we perform the following five steps: (i) identify the contract(s) with a Distributor; (ii) identify the performance obligations in the contract; (iii) determine the transaction price; (iv) allocate the transaction price to the performance obligations in the contract; and (v) recognize revenue when (or as) we satisfy a performance obligation. We apply the five-step model to contracts only when it is probable that we will collect the consideration we are entitled to in exchange for the goods or services we transfer to the Distributor. At contract inception, once the contract is determined to be within the scope of Topic 606, we assess the goods or services promised within each contract,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 We recognized Total revenue, net of $369.2 million and $583.2 million during the years ended December 31, 2022 and 2021, respectively, of which $366.5 million and $580.3 million, respectively, was based on VASCEPA sales. For a complete discussion of our accounting for net product revenue, licensing and royalty revenues, which make up Total revenue, net, see Note 2—Significant Accounting Policies.</w:t>
      </w:r>
    </w:p>
    <w:p>
      <w:pPr>
        <w:spacing w:after="0" w:line="13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written contracts with our distributors, and transfer of control typically occurs upon delivery of our product to the Distributor. We evaluate the creditworthiness of each of our distributors to determine whether revenues can be recognized upon delivery, subject to satisfaction of the other requirements, or whether recognition is required to be delayed until receipt of payment. We calculate gross product revenues based on the wholesale acquisition cost charged to our distributors for VASCEPA. We estimate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2" w:name="page83"/>
    <w:bookmarkEnd w:id="82"/>
    <w:p>
      <w:pPr>
        <w:ind w:right="100"/>
        <w:spacing w:after="0" w:line="255" w:lineRule="auto"/>
        <w:rPr>
          <w:sz w:val="20"/>
          <w:szCs w:val="20"/>
          <w:color w:val="auto"/>
        </w:rPr>
      </w:pPr>
      <w:r>
        <w:rPr>
          <w:rFonts w:ascii="Times New Roman" w:cs="Times New Roman" w:eastAsia="Times New Roman" w:hAnsi="Times New Roman"/>
          <w:sz w:val="18"/>
          <w:szCs w:val="18"/>
          <w:color w:val="auto"/>
        </w:rPr>
        <w:t>our Product revenue, net by deducting from our gross product revenues (a) trade allowances, such as invoice discounts for prompt payment and distributor fees, (b) estimated government and private payor rebates, chargebacks and healthcare discounts, such as Medicaid reimbursements, (c) expected product returns and (d) estimated costs of incentives offered to certain indirect customers, including patients. The gross to net deductions are estimated based on available actual prescription data, historical industry trends, and levels of inventory in the distribution channel. We rely on resale data provided by our distributors as well as prescription data provided by Symphony Health and IQVIA in estimating the level of inventory held in the distribution channel. A hypothetical 5% change in estimated aggregate bottles of channel inventory would result in a change of less than 1% in net product revenues reported during each of the three and twelve months ended December 31, 2022 and 2021.</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evaluating licensing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In determining performance obligations, we evaluate whether the license is distinct from the other performance obligations with the collaborative partner based on the consideration of the relevant facts and circumstances for each arrangement. Factors considered include the stage of development of the license delivered, research and development capabilities of the partner and the ability of partners to develop and commercialize VASCEPA independent of us.</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the license to our intellectual property is determined to be distinct from the other performance obligations identified in the arrangement, we recognize revenues from non-refundable, up-front fees allocated to the license when the license is transferred to the Distributor and the Distributor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133"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regulatory and commercial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control of the licensee, such as regulatory approvals, are not considered probable of being achieved until those approvals are received. We evaluate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regulatory and commercial milestones and any related constraint, and if necessary, adjust its estimate of the overall transaction price. Any such adjustments are recorded on a cumulative catch-up basis, which would affect licensing revenues and earnings in the period of adjustment.</w:t>
      </w:r>
    </w:p>
    <w:p>
      <w:pPr>
        <w:spacing w:after="0" w:line="14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receive payments from our customers based on billing schedules established in each contract. Up-front payments and fees are recorded as deferred revenue upon receipt or when due and may require deferral of revenue recognition to a future period until we perform our obligations under these arrangements. Amounts are recorded as accounts receivable when our right to consideration is unconditional. We do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27" w:lineRule="exact"/>
        <w:rPr>
          <w:sz w:val="20"/>
          <w:szCs w:val="20"/>
          <w:color w:val="auto"/>
        </w:rPr>
      </w:pPr>
    </w:p>
    <w:p>
      <w:pPr>
        <w:jc w:val="both"/>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2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When making our assessment about the realization of our deferred tax assets as of December 31, 2022, we considered all available evidence, placing particular weight on evidence that could be objectively verified. The evidence considered included the (i) historical taxable profitability of our U.S. operations, (ii) historical pre-tax book loss position, (iii) sources of future taxable income, giving weight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3" w:name="page84"/>
    <w:bookmarkEnd w:id="83"/>
    <w:p>
      <w:pPr>
        <w:ind w:right="20"/>
        <w:spacing w:after="0" w:line="254" w:lineRule="auto"/>
        <w:rPr>
          <w:sz w:val="20"/>
          <w:szCs w:val="20"/>
          <w:color w:val="auto"/>
        </w:rPr>
      </w:pPr>
      <w:r>
        <w:rPr>
          <w:rFonts w:ascii="Times New Roman" w:cs="Times New Roman" w:eastAsia="Times New Roman" w:hAnsi="Times New Roman"/>
          <w:sz w:val="18"/>
          <w:szCs w:val="18"/>
          <w:color w:val="auto"/>
        </w:rPr>
        <w:t>sources according to the extent to which they can be objectively verified, (iv) the provisions of the Tax Cuts and Jobs Act enacted in 2017 and their impact on our future taxable income, and (v) the risks to our business related to the commercialization and development of VASCEPA. Based on our assessment, we concluded that all of our net deferred tax assets are not more likely than not to be realizable as of both December 31, 2022 and 2021. Changes in historical earnings performance, future earnings projections, and changes in tax laws and tax rates, among other factors, may cause us to adjust our valuation allowance on deferred tax assets in the future, which would impact our income tax expense in the period in which we determine that these factors have changed. We intend to maintain the valuation allowance until sufficient positive evidence exists to conclude that it is more likely than not that our deferred tax benefits will be realized. We will continue to monitor the need for valuation allowances in each jurisdiction and may adjust our positions in the future.</w:t>
      </w:r>
    </w:p>
    <w:p>
      <w:pPr>
        <w:spacing w:after="0" w:line="13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in the accompanying Notes to Consolidated Financial Statements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firstLine="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discussion that follows includes a comparison of our results of operations and liquidity and capital resources for fiscal years 2022 and 2021. For a comparison of our results of operations and financial condition for fiscal years 2021 and 2020, see “Item 7—Management’s Discussion and Analysis of Financial Condition and Results of Operations” of our 2021 </w:t>
      </w:r>
      <w:hyperlink r:id="rId109">
        <w:r>
          <w:rPr>
            <w:rFonts w:ascii="Times New Roman" w:cs="Times New Roman" w:eastAsia="Times New Roman" w:hAnsi="Times New Roman"/>
            <w:sz w:val="18"/>
            <w:szCs w:val="18"/>
            <w:u w:val="single" w:color="auto"/>
            <w:color w:val="0000FF"/>
          </w:rPr>
          <w:t>Annual Report on Form 10-K, filed with the SEC on March 1, 2022</w:t>
        </w:r>
      </w:hyperlink>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2768600</wp:posOffset>
            </wp:positionH>
            <wp:positionV relativeFrom="paragraph">
              <wp:posOffset>-38735</wp:posOffset>
            </wp:positionV>
            <wp:extent cx="31032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December 31, 2022 and December 31, 2021</w:t>
      </w:r>
    </w:p>
    <w:p>
      <w:pPr>
        <w:spacing w:after="0" w:line="7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$369.2 million and $583.2 million during the years ended December 31,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$214.0 million, or 37%. Total revenue, net consists primarily of revenue from the sale of VASCEPA in the United States. In addition to the United States, we also sell VASCEPA by prescription in certain countries in Europe and is available by prescription in Canada, Lebanon and the United Arab Emirates through collaborations with third-party companies. As further discussed below, this decrease consists of a $218.0 million decrease in U.S. product revenue, $0.2 million decrease in licensing and royalty revenue, offset by an increase of $4.3 million in net product revenue from sales of VASCEPA outside of the United States.</w:t>
      </w:r>
    </w:p>
    <w:p>
      <w:pPr>
        <w:spacing w:after="0" w:line="128"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$366.5 million and $580.3 million during the years ended December 31,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$213.8 million, or 37%.</w:t>
      </w:r>
    </w:p>
    <w:p>
      <w:pPr>
        <w:spacing w:after="0" w:line="10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This decrease was driven primarily by a 38% decrease in VASCEPA sales to our customers in the United States. This decrease was driven by a decline in volume and net selling price as a result of the impact from generic competition in the market. During the year ended December 31, 2022 there were three generics in the market for the majority of the year, with a fourth generic entering in the fourth quarter for the 0.5-gram capsule. During the majority of the year ended December 31, 2021 there was only one generic in the market, with the second generic entering the market in the third quarter of 2021.</w:t>
      </w:r>
    </w:p>
    <w:p>
      <w:pPr>
        <w:spacing w:after="0" w:line="1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overall icosapent ethyl market in the United States, based on prescription levels reported by Symphony Health, increased for the year ended December 31, 2022 by 7% as compared to the year ended December 31, 2021. Our share of the icosapent ethyl market has decreased to approximately 60% in the year ended December 31, 2022 compared to approximately 85% in the year ended December 31, 2021. Additionally, based on prescription levels reported by Symphony Health, VASCEPA branded prescriptions decreased by 19% in the year ended December 31, 2022 as compared to the year ended December 31, 2021.</w:t>
      </w:r>
    </w:p>
    <w:p>
      <w:pPr>
        <w:spacing w:after="0" w:line="1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government health care spending pressure, the resurgence of COVID-19 earlier this year, political unrest in eastern Europe and the Company's decision to cease commercial operations in Germany resulting in product revenue, net of $2.6 million and $0.7 million as of December 31, 2022 and 2021, respectively. The initial launch of VAZKEPA in Europe occurred at the end of the third quarter of 2021.</w:t>
      </w:r>
    </w:p>
    <w:p>
      <w:pPr>
        <w:spacing w:after="0" w:line="12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recorded $4.1 million of product revenue, net, to our collaboration partners compared to $1.7 million during the year ended December 31, 2021.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84" w:name="page85"/>
    <w:bookmarkEnd w:id="84"/>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Despite the generic competition in the U.S., we remain confident that the global patient need for VASCEPA is high. During 2022 and through the date of this Annual Report on Form 10-K, we launched commercial operations in five countries throughout Europe, while also receiving regulatory approval in seven countries outside of EMA regulatory approval authority. In 2023, we will continue to focus on obtaining pricing reimbursement and launching commercial operations in all remaining European markets as well as progressing international regulatory filings and supporting approval processes in up to nine countries.</w:t>
      </w:r>
    </w:p>
    <w:p>
      <w:pPr>
        <w:spacing w:after="0" w:line="127"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Licensing and royalty revenue. </w:t>
      </w:r>
      <w:r>
        <w:rPr>
          <w:rFonts w:ascii="Times New Roman" w:cs="Times New Roman" w:eastAsia="Times New Roman" w:hAnsi="Times New Roman"/>
          <w:sz w:val="18"/>
          <w:szCs w:val="18"/>
          <w:color w:val="auto"/>
        </w:rPr>
        <w:t>Licensing and royalty revenue during the years ended December 31, 2022 and 2021 was $2.7 million and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0.2 million, or 6%. Licensing and royalty revenue relates to the recognition of amounts received in connection with the following VASCEPA licensing agreements:</w:t>
      </w:r>
    </w:p>
    <w:p>
      <w:pPr>
        <w:spacing w:after="0" w:line="67" w:lineRule="exact"/>
        <w:rPr>
          <w:sz w:val="20"/>
          <w:szCs w:val="20"/>
          <w:color w:val="auto"/>
        </w:rPr>
      </w:pPr>
    </w:p>
    <w:p>
      <w:pPr>
        <w:ind w:left="1280" w:hanging="388"/>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17" w:lineRule="exact"/>
        <w:rPr>
          <w:rFonts w:ascii="Times New Roman" w:cs="Times New Roman" w:eastAsia="Times New Roman" w:hAnsi="Times New Roman"/>
          <w:sz w:val="18"/>
          <w:szCs w:val="18"/>
          <w:color w:val="auto"/>
        </w:rPr>
      </w:pPr>
    </w:p>
    <w:p>
      <w:pPr>
        <w:ind w:left="1280" w:hanging="388"/>
        <w:spacing w:after="0" w:line="261" w:lineRule="auto"/>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12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2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0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years ended December 31, 2022 and 2021 was $126.7 million and $121.3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$5.4 million, or 4%. Cost of goods sold includes the cost of API for VASCEPA as well as the associated costs for encapsulation, packaging, shipment, supply management, insurance and quality assurance, which revenue was recognized during the period. The cost of the API included in cost of goods sold reflects the average cost of API included in inventory. This average cost reflects the actual purchase price of VASCEPA API. During 2022, as part of our cost reduction plan, we have taken steps to amend supplier agreements to align supply arrangements with current and future demand resulting in a $18.1 million charge, which was recorded as Cost of goods sold - restructuring inventory. In addition, during 2022, we recorded an approximately $9.6 million inventory write-off due to unsellable inventory unrelated to product dating.</w:t>
      </w:r>
    </w:p>
    <w:p>
      <w:pPr>
        <w:spacing w:after="0" w:line="13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years ended December 31,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2023 to be similar to or modestly lower than 2022. The average cost may be variable from period to period depending upon the timing and quantity of API purchased from each supplier.</w:t>
      </w:r>
    </w:p>
    <w:p>
      <w:pPr>
        <w:spacing w:after="0" w:line="13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gross margin on product sales for the years ended December 31, 2022 and 2021 was 65% and 79%, respectively. Excluding the restructuring inventory and inventory write-off, gross margin was 73% for the year ended December 31, 2022. The remaining decrease in gross margin is primarily as a result of a decrease in net selling price.</w:t>
      </w:r>
    </w:p>
    <w:p>
      <w:pPr>
        <w:spacing w:after="0" w:line="120"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for the years ended December 31, 2022 and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$304.4 million and $408.3 million, respectively, a decrease of $103.9 million, or 25%. Selling, general and administrative expenses for the years ended December 31, 2022 and 2021 are summarized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86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860" w:type="dxa"/>
            <w:vAlign w:val="bottom"/>
          </w:tcPr>
          <w:p>
            <w:pPr>
              <w:spacing w:after="0"/>
              <w:rPr>
                <w:sz w:val="20"/>
                <w:szCs w:val="20"/>
                <w:color w:val="auto"/>
              </w:rPr>
            </w:pPr>
          </w:p>
        </w:tc>
        <w:tc>
          <w:tcPr>
            <w:tcW w:w="6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 (1)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185,614</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266,474</w:t>
            </w:r>
          </w:p>
        </w:tc>
        <w:tc>
          <w:tcPr>
            <w:tcW w:w="100" w:type="dxa"/>
            <w:vAlign w:val="bottom"/>
            <w:shd w:val="clear" w:color="auto" w:fill="CFF0FC"/>
          </w:tcPr>
          <w:p>
            <w:pPr>
              <w:spacing w:after="0"/>
              <w:rPr>
                <w:sz w:val="20"/>
                <w:szCs w:val="20"/>
                <w:color w:val="auto"/>
              </w:rPr>
            </w:pPr>
          </w:p>
        </w:tc>
      </w:tr>
      <w:tr>
        <w:trPr>
          <w:trHeight w:val="239"/>
        </w:trPr>
        <w:tc>
          <w:tcPr>
            <w:tcW w:w="86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109,555</w:t>
            </w:r>
          </w:p>
        </w:tc>
        <w:tc>
          <w:tcPr>
            <w:tcW w:w="100" w:type="dxa"/>
            <w:vAlign w:val="bottom"/>
          </w:tcPr>
          <w:p>
            <w:pPr>
              <w:spacing w:after="0"/>
              <w:rPr>
                <w:sz w:val="20"/>
                <w:szCs w:val="20"/>
                <w:color w:val="auto"/>
              </w:rPr>
            </w:pPr>
          </w:p>
        </w:tc>
      </w:tr>
      <w:tr>
        <w:trPr>
          <w:trHeight w:val="243"/>
        </w:trPr>
        <w:tc>
          <w:tcPr>
            <w:tcW w:w="860" w:type="dxa"/>
            <w:vAlign w:val="bottom"/>
          </w:tcPr>
          <w:p>
            <w:pPr>
              <w:spacing w:after="0"/>
              <w:rPr>
                <w:sz w:val="21"/>
                <w:szCs w:val="21"/>
                <w:color w:val="auto"/>
              </w:rPr>
            </w:pPr>
          </w:p>
        </w:tc>
        <w:tc>
          <w:tcPr>
            <w:tcW w:w="65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(3)</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22,340</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60" w:type="dxa"/>
            <w:vAlign w:val="bottom"/>
          </w:tcPr>
          <w:p>
            <w:pPr>
              <w:spacing w:after="0"/>
              <w:rPr>
                <w:sz w:val="20"/>
                <w:szCs w:val="20"/>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304,416</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408,334</w:t>
            </w:r>
          </w:p>
        </w:tc>
        <w:tc>
          <w:tcPr>
            <w:tcW w:w="100" w:type="dxa"/>
            <w:vAlign w:val="bottom"/>
          </w:tcPr>
          <w:p>
            <w:pPr>
              <w:spacing w:after="0"/>
              <w:rPr>
                <w:sz w:val="20"/>
                <w:szCs w:val="20"/>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8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-281940</wp:posOffset>
            </wp:positionV>
            <wp:extent cx="5969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-281940</wp:posOffset>
            </wp:positionV>
            <wp:extent cx="6032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6" w:lineRule="exact"/>
        <w:rPr>
          <w:sz w:val="20"/>
          <w:szCs w:val="20"/>
          <w:color w:val="auto"/>
        </w:rPr>
      </w:pPr>
    </w:p>
    <w:p>
      <w:pPr>
        <w:jc w:val="both"/>
        <w:ind w:left="520" w:right="8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years ended December 31, 2022 and 2021 was $185.6 million and $266.5 million, respectively, a decrease of $80.9 million, or 30%. This decrease is primarily related to the reduction in our U.S. sales force from approximately 600 sales representatives at the beginning of 2021 to 300 sales representatives in September 2021, with a further reduction 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85" w:name="page86"/>
    <w:bookmarkEnd w:id="85"/>
    <w:p>
      <w:pPr>
        <w:ind w:left="520" w:right="280"/>
        <w:spacing w:after="0" w:line="282" w:lineRule="auto"/>
        <w:rPr>
          <w:sz w:val="20"/>
          <w:szCs w:val="20"/>
          <w:color w:val="auto"/>
        </w:rPr>
      </w:pPr>
      <w:r>
        <w:rPr>
          <w:rFonts w:ascii="Times New Roman" w:cs="Times New Roman" w:eastAsia="Times New Roman" w:hAnsi="Times New Roman"/>
          <w:sz w:val="18"/>
          <w:szCs w:val="18"/>
          <w:color w:val="auto"/>
        </w:rPr>
        <w:t>force to 75 sales representatives in June 2022. In addition, there has been a related decrease in promotional initiatives in the United States during 2022.</w:t>
      </w:r>
    </w:p>
    <w:p>
      <w:pPr>
        <w:spacing w:after="0" w:line="40" w:lineRule="exact"/>
        <w:rPr>
          <w:sz w:val="20"/>
          <w:szCs w:val="20"/>
          <w:color w:val="auto"/>
        </w:rPr>
      </w:pPr>
    </w:p>
    <w:p>
      <w:pPr>
        <w:ind w:left="520" w:right="20" w:hanging="512"/>
        <w:spacing w:after="0" w:line="258"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years ended December 31, 2022 and 2021 was $96.5 million and $109.6 million, respectively, a decrease of $13.1 million, or 12%. This decrease is primarily due to a decrease in employee related costs as a result of the reduction in force from the September 2021 and the June 2022 restructuring activities. The decrease was further impacted by a decrease in branded pharma fees as a result of lower sales due to additional generic entrants in the market as well as higher legal fees related to the patent infringement litigation during the year ended December 31, 2021.</w:t>
      </w:r>
    </w:p>
    <w:p>
      <w:pPr>
        <w:spacing w:after="0" w:line="48" w:lineRule="exact"/>
        <w:rPr>
          <w:rFonts w:ascii="Times New Roman" w:cs="Times New Roman" w:eastAsia="Times New Roman" w:hAnsi="Times New Roman"/>
          <w:sz w:val="18"/>
          <w:szCs w:val="18"/>
          <w:color w:val="auto"/>
        </w:rPr>
      </w:pPr>
    </w:p>
    <w:p>
      <w:pPr>
        <w:jc w:val="both"/>
        <w:ind w:left="520" w:right="20" w:hanging="512"/>
        <w:spacing w:after="0" w:line="258"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years ended December 31, 2022 and 2021 was $22.3 million and $32.3 million, respectively, a decrease of $10.0 million, or 31%. Non-cash stock-based compensation expense represents the estimated costs associated with equity awards issued to internal personnel supporting our selling, general and administrative functions. The decrease is primarily due to the decrease in U.S. field force as well as the reversal of expense associated with certain performance-based awards as it was no longer deemed probable that the performance criteria for vesting would be achieved within the required timeframe.</w:t>
      </w:r>
    </w:p>
    <w:p>
      <w:pPr>
        <w:spacing w:after="0" w:line="1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navigating the dynamic U.S. environment. As a result, we will continue to evaluate all of our spending commitments and priorities as well as adjust our level of education and promotional activities based on various factors, including the impact of U.S. generic competition as well as timing of pricing reimbursements throughout Europe.</w:t>
      </w:r>
    </w:p>
    <w:p>
      <w:pPr>
        <w:spacing w:after="0" w:line="164" w:lineRule="exact"/>
        <w:rPr>
          <w:sz w:val="20"/>
          <w:szCs w:val="20"/>
          <w:color w:val="auto"/>
        </w:rPr>
      </w:pPr>
    </w:p>
    <w:p>
      <w:pPr>
        <w:jc w:val="both"/>
        <w:ind w:right="1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 for the years ended December 31, 2022 and 2021 was $30.4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$29.3 million, respectively, an increase of $1.1 million, or 4%. Research and development expenses for the years ended December 31, 2022 and 2021 are summarized in the table below:</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2"/>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REDUCE-IT study (1)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Fixed-dose combination (2)</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Regulatory filing fees and expenses (3)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staffing, overhead and other (4)</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stock-based compensation expense (5)</w:t>
            </w: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29,307</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-505460</wp:posOffset>
            </wp:positionV>
            <wp:extent cx="59690" cy="163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-505460</wp:posOffset>
            </wp:positionV>
            <wp:extent cx="6032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5969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-187960</wp:posOffset>
            </wp:positionV>
            <wp:extent cx="603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64" w:lineRule="exact"/>
        <w:rPr>
          <w:sz w:val="20"/>
          <w:szCs w:val="20"/>
          <w:color w:val="auto"/>
        </w:rPr>
      </w:pPr>
    </w:p>
    <w:p>
      <w:pPr>
        <w:ind w:left="520" w:right="26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expenses for the REDUCE-IT study is primarily driven by the decrease in the number of analyses performed beyond the original REDUCE-IT cardiovascular outcomes trial.</w:t>
      </w:r>
    </w:p>
    <w:p>
      <w:pPr>
        <w:spacing w:after="0" w:line="40"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Fixed-dose combination expenses relate to the cost associated with the development of the fixed-dose combination of VASCEPA and a statin, which began in 2022.</w:t>
      </w:r>
    </w:p>
    <w:p>
      <w:pPr>
        <w:spacing w:after="0" w:line="40" w:lineRule="exact"/>
        <w:rPr>
          <w:rFonts w:ascii="Times New Roman" w:cs="Times New Roman" w:eastAsia="Times New Roman" w:hAnsi="Times New Roman"/>
          <w:sz w:val="18"/>
          <w:szCs w:val="18"/>
          <w:color w:val="auto"/>
        </w:rPr>
      </w:pPr>
    </w:p>
    <w:p>
      <w:pPr>
        <w:ind w:left="520" w:right="240" w:hanging="512"/>
        <w:spacing w:after="0" w:line="261"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years ended December 31,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44" w:lineRule="exact"/>
        <w:rPr>
          <w:rFonts w:ascii="Times New Roman" w:cs="Times New Roman" w:eastAsia="Times New Roman" w:hAnsi="Times New Roman"/>
          <w:sz w:val="18"/>
          <w:szCs w:val="18"/>
          <w:color w:val="auto"/>
        </w:rPr>
      </w:pPr>
    </w:p>
    <w:p>
      <w:pPr>
        <w:ind w:left="520" w:hanging="512"/>
        <w:spacing w:after="0" w:line="258"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as well as further regulatory expansion in other countries throughout 2022. Also included are costs related to qualifying suppliers and costs associated with various other investigations, including other costs in collaboration with Mochida and pilot studies regarding VASCEPA.</w:t>
      </w:r>
    </w:p>
    <w:p>
      <w:pPr>
        <w:spacing w:after="0" w:line="61" w:lineRule="exact"/>
        <w:rPr>
          <w:rFonts w:ascii="Times New Roman" w:cs="Times New Roman" w:eastAsia="Times New Roman" w:hAnsi="Times New Roman"/>
          <w:sz w:val="18"/>
          <w:szCs w:val="18"/>
          <w:color w:val="auto"/>
        </w:rPr>
      </w:pPr>
    </w:p>
    <w:p>
      <w:pPr>
        <w:ind w:left="520" w:right="54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14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106"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Restructuring expense</w:t>
      </w:r>
      <w:r>
        <w:rPr>
          <w:rFonts w:ascii="Times New Roman" w:cs="Times New Roman" w:eastAsia="Times New Roman" w:hAnsi="Times New Roman"/>
          <w:sz w:val="18"/>
          <w:szCs w:val="18"/>
          <w:color w:val="auto"/>
        </w:rPr>
        <w:t>. Restructuring expense for the years ended December 31, 2022 and 2021 was $13.5 million and $13.7,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$0.2 million or 1%. The charge in the current year is due to the implementation of the Comprehensive Cost Reduction Plan announced on June 6, 2022 as well as the discontinuation of the German operations announced on August 19, 2022.</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6" w:name="page87"/>
    <w:bookmarkEnd w:id="86"/>
    <w:p>
      <w:pPr>
        <w:spacing w:after="0" w:line="261" w:lineRule="auto"/>
        <w:rPr>
          <w:sz w:val="20"/>
          <w:szCs w:val="20"/>
          <w:color w:val="auto"/>
        </w:rPr>
      </w:pPr>
      <w:r>
        <w:rPr>
          <w:rFonts w:ascii="Times New Roman" w:cs="Times New Roman" w:eastAsia="Times New Roman" w:hAnsi="Times New Roman"/>
          <w:sz w:val="18"/>
          <w:szCs w:val="18"/>
          <w:color w:val="auto"/>
        </w:rPr>
        <w:t>These two plans were related to the reduction of our U.S. field force from approximately 300 sales representatives to approximately 75 sales representatives and the closure of our German operations due to a viable agreement on the reimbursement price of VAZKEPA in Germany not being reached, respectively. The prior year charge was the result of a September 2021 restructuring that reduced the U.S. sales force from approximately 600 sales representatives to approximately 300 sales representatives at that time. Refer to Note 2 Significant Accounting Policies for additional information.</w:t>
      </w:r>
    </w:p>
    <w:p>
      <w:pPr>
        <w:spacing w:after="0" w:line="124"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net. </w:t>
      </w:r>
      <w:r>
        <w:rPr>
          <w:rFonts w:ascii="Times New Roman" w:cs="Times New Roman" w:eastAsia="Times New Roman" w:hAnsi="Times New Roman"/>
          <w:sz w:val="18"/>
          <w:szCs w:val="18"/>
          <w:color w:val="auto"/>
        </w:rPr>
        <w:t>Net interest income for the years ended December 31, 2022 and 2021 was $2.8 million and $1.1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$1.7 million, or 157%. The increase is primarily due to higher interest rates in the current year compared to the prior year.</w:t>
      </w:r>
    </w:p>
    <w:p>
      <w:pPr>
        <w:spacing w:after="0" w:line="104" w:lineRule="exact"/>
        <w:rPr>
          <w:sz w:val="20"/>
          <w:szCs w:val="20"/>
          <w:color w:val="auto"/>
        </w:rPr>
      </w:pPr>
    </w:p>
    <w:p>
      <w:pPr>
        <w:ind w:right="28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 Other (expense) income, net, for the year ended December 31, 2022 and 2021 was expense of $0.7 million and $0.3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Other (expense) income, net, in the years ended December 31, 2022 and 2021 primarily consists of gains and losses on foreign exchange transactions.</w:t>
      </w:r>
    </w:p>
    <w:p>
      <w:pPr>
        <w:spacing w:after="0" w:line="119" w:lineRule="exact"/>
        <w:rPr>
          <w:sz w:val="20"/>
          <w:szCs w:val="20"/>
          <w:color w:val="auto"/>
        </w:rPr>
      </w:pPr>
    </w:p>
    <w:p>
      <w:pPr>
        <w:ind w:right="7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Provision for income taxes for the year ended December 31, 2022 and 2021 was $2.0 million and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in the provision for income taxes is due to a change in geographic mix of pre-tax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Our aggregate sources of liquidity as of December 31, 2022 are approximately $311.2 million, with no debt. Our aggregate sources of liquidity include cash and cash equivalents and restricted cash of $218.2 million, short-term investments of $91.7 million and long-term investments of $1.3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Our cash flows from operating, investing and financing activities, as reflected in the consolidated statements of cash flows, are summarized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(180.1 )</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(66.5 )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w:t>
            </w:r>
          </w:p>
        </w:tc>
        <w:tc>
          <w:tcPr>
            <w:tcW w:w="3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(58.9 )</w:t>
            </w: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2022 compared to 2021 increased primarily as a result of a decrease in U.S. product revenue, costs associated with commercial and pre-launch operations in Europe as well as an increase in inventory purchases in the first half of 2022.</w:t>
      </w:r>
    </w:p>
    <w:p>
      <w:pPr>
        <w:spacing w:after="0" w:line="10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2022 is primarily due to the proceeds from the maturity of $257.5 million in investment-grade interest bearing instruments, partially offset by $81.6 million in purchases of investment-grade interest bearing instruments as compared to the same period in 2021 where proceeds from the maturity of investment-grade interest bearing instruments was $394.3 million, partially offset by $290.2 million in purchases of investment-grade interest bearing instruments.</w:t>
      </w:r>
    </w:p>
    <w:p>
      <w:pPr>
        <w:spacing w:after="0" w:line="12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during the years ended December 31, 2022 and 2021 are primarily as a result of costs associated with our stock compensation plan.</w:t>
      </w:r>
    </w:p>
    <w:p>
      <w:pPr>
        <w:spacing w:after="0" w:line="108" w:lineRule="exact"/>
        <w:rPr>
          <w:sz w:val="20"/>
          <w:szCs w:val="20"/>
          <w:color w:val="auto"/>
        </w:rPr>
      </w:pPr>
    </w:p>
    <w:p>
      <w:pPr>
        <w:ind w:right="80" w:firstLine="509"/>
        <w:spacing w:after="0" w:line="274" w:lineRule="auto"/>
        <w:rPr>
          <w:sz w:val="20"/>
          <w:szCs w:val="20"/>
          <w:color w:val="auto"/>
        </w:rPr>
      </w:pPr>
      <w:r>
        <w:rPr>
          <w:rFonts w:ascii="Times New Roman" w:cs="Times New Roman" w:eastAsia="Times New Roman" w:hAnsi="Times New Roman"/>
          <w:sz w:val="17"/>
          <w:szCs w:val="17"/>
          <w:color w:val="auto"/>
        </w:rPr>
        <w:t>As of December 31, 2022, we had net accounts receivable of $131.0 million, current inventory of $228.7 million and long-term inventory of $163.6 million. We have incurred annual operating losses since our inception and, as a result, we had an accumulated deficit of $1.5 billion as of December 31, 2022. We anticipate that quarterly net cash outflows in future periods will continue to be variable as a result of the timing of certain items, including our purchases of API, the generic competition in the United States and commercialization of VAZKEPA in Europe. VAZKEPA is available in certain countries throughout Europe, including the UK, and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7" w:name="page88"/>
    <w:bookmarkEnd w:id="87"/>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$217.7 million and short-term investments of $91.7 million. In accordance with ASC 205-40, management is required to evaluate our ability to continue as a going concern for at least one year after the date of the financial statements are issued. We believe that our cash and cash equivalents and our short-term investments will be sufficient to fund our projected operations for at least twelve months from the issuance date of our audited consolidated financial statements included elsewhere within this Annual Report and is adequate to support continued operations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8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risks, which include changes in interest rates. We do not use derivative financial instruments in our investment portfolio, and we do not enter into foreign exchange contracts. Our investments meet high credit quality and diversification standards, as specified in our investment policy.</w:t>
      </w:r>
    </w:p>
    <w:p>
      <w:pPr>
        <w:spacing w:after="0" w:line="12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results of operations and cash flows are subject to fluctuations due to changes in the Euro, Sterling, Swiss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Franc and Yen. The majority of cash and cash equivalents, investments, and the majority of our vendor relationships are denominated in U.S. dollars. We therefore believe that the risk of a significant impact on our operating income from foreign currency fluctuations is not substantial. All of our investments are held in U.S. dollars. We maintain a small amount of our cash and cash equivalents in Euro and from time to time, maintain a small amount of our cash and cash equivalents in other currencies. We purchase a portion of our supply based on a U.S. dollar to Euro exchange rate and, as such, remain subject to currency fluctuation risk for such purchases. Based on the size of our international operations and the amount of our expenses denominated in foreign currencies, currency fluctuation would not have a material effect on our financial position or results of operations. We believe the impact of inflation on operations has been minimal during the past three years.</w:t>
      </w:r>
    </w:p>
    <w:p>
      <w:pPr>
        <w:spacing w:after="0" w:line="13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believe that we are not exposed to significant interest rate risk through market value fluctuations of balance sheet items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risk) or through changes in interest income or expenses (i.e., re-financing or re-investment risk). Interest rate risk mainly arises through interest bearing liabilities and assets. Our portfolio of held-to-maturity investments as of December 31, 2022 was composed of U.S. Treasury securities, commercial paper, corporate, CD and asset-backed securities and other government-related securities. At December 31, 2022 and 2021, we had short-term investments and long-term investments of $93.0 million and $269.7 million, respectively. We invest funds to have a continuous inflow of cash from diversified short-term and long-term investments, consisting primarily of investment grade securities. A hypothetical 10 percent change in interest rates would not result in a material decrease or increase in the fair value of our securities due to the balance and diversified investment portfolio.</w:t>
      </w:r>
    </w:p>
    <w:p>
      <w:pPr>
        <w:spacing w:after="0" w:line="129" w:lineRule="exact"/>
        <w:rPr>
          <w:sz w:val="20"/>
          <w:szCs w:val="20"/>
          <w:color w:val="auto"/>
        </w:rPr>
      </w:pPr>
    </w:p>
    <w:p>
      <w:pPr>
        <w:ind w:right="80" w:firstLine="50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Credit Risk. </w:t>
      </w:r>
      <w:r>
        <w:rPr>
          <w:rFonts w:ascii="Times New Roman" w:cs="Times New Roman" w:eastAsia="Times New Roman" w:hAnsi="Times New Roman"/>
          <w:sz w:val="17"/>
          <w:szCs w:val="17"/>
          <w:color w:val="auto"/>
        </w:rPr>
        <w:t>We monitor our investments with our investment managers with the objective of minimizing concentrations of credit risks.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 Additionally, our investment policy is to invest only in institutions that meet high credit quality and diversification standards and established limits on the amount and time to maturity of investments.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consolidated financial statements are annexed to this Annual Report on Form 10-K beginning on page F-1.</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by us in the reports that we file or submit under the Exchange Act is (i) recorded, processed, summarized, and reported within the time periods specified in the SEC’s rules and forms and</w:t>
      </w:r>
    </w:p>
    <w:p>
      <w:pPr>
        <w:spacing w:after="0" w:line="1" w:lineRule="exact"/>
        <w:rPr>
          <w:sz w:val="20"/>
          <w:szCs w:val="20"/>
          <w:color w:val="auto"/>
        </w:rPr>
      </w:pPr>
    </w:p>
    <w:p>
      <w:pPr>
        <w:ind w:right="140" w:firstLine="8"/>
        <w:spacing w:after="0" w:line="26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officer and principal financial officer, to allow timely decisions regarding required disclosure.</w:t>
      </w:r>
    </w:p>
    <w:p>
      <w:pPr>
        <w:spacing w:after="0" w:line="1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ind w:right="40"/>
        <w:spacing w:after="0" w:line="266" w:lineRule="auto"/>
        <w:rPr>
          <w:sz w:val="20"/>
          <w:szCs w:val="20"/>
          <w:color w:val="auto"/>
        </w:rPr>
      </w:pPr>
      <w:r>
        <w:rPr>
          <w:rFonts w:ascii="Times New Roman" w:cs="Times New Roman" w:eastAsia="Times New Roman" w:hAnsi="Times New Roman"/>
          <w:sz w:val="18"/>
          <w:szCs w:val="18"/>
          <w:color w:val="auto"/>
        </w:rPr>
        <w:t>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2022, our disclosure controls and procedures were effective at the reasonable assurance level.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our company. Internal control over financial reporting is defined in Rules 13a-15(f) and 15(d)-15(f)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5" w:lineRule="exact"/>
        <w:rPr>
          <w:sz w:val="20"/>
          <w:szCs w:val="20"/>
          <w:color w:val="auto"/>
        </w:rPr>
      </w:pPr>
    </w:p>
    <w:p>
      <w:pPr>
        <w:ind w:left="1020" w:hanging="368"/>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 of our assets;</w:t>
      </w:r>
    </w:p>
    <w:p>
      <w:pPr>
        <w:spacing w:after="0" w:line="117" w:lineRule="exact"/>
        <w:rPr>
          <w:rFonts w:ascii="Times New Roman" w:cs="Times New Roman" w:eastAsia="Times New Roman" w:hAnsi="Times New Roman"/>
          <w:sz w:val="18"/>
          <w:szCs w:val="18"/>
          <w:color w:val="auto"/>
        </w:rPr>
      </w:pPr>
    </w:p>
    <w:p>
      <w:pPr>
        <w:ind w:left="1020" w:right="320" w:hanging="368"/>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w:t>
      </w:r>
    </w:p>
    <w:p>
      <w:pPr>
        <w:spacing w:after="0" w:line="53" w:lineRule="exact"/>
        <w:rPr>
          <w:rFonts w:ascii="Times New Roman" w:cs="Times New Roman" w:eastAsia="Times New Roman" w:hAnsi="Times New Roman"/>
          <w:sz w:val="18"/>
          <w:szCs w:val="18"/>
          <w:color w:val="auto"/>
        </w:rPr>
      </w:pPr>
    </w:p>
    <w:p>
      <w:pPr>
        <w:ind w:left="1020" w:right="240" w:hanging="368"/>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our receipts and expenditures are being made only in accordance with authorization of our management and directors; and</w:t>
      </w:r>
    </w:p>
    <w:p>
      <w:pPr>
        <w:spacing w:after="0" w:line="53"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0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Our management, including our principal executive officer and principal financial officer, has conducted an evaluation of the effectiveness of our internal control over financial reporting as of December 31, 2022. In conducting this evaluation, we used the criteria set forth by the Committee of Sponsoring Organizations of the Treadway Commission, or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Based upon this evaluation and those criteria, management has concluded that, as of December 31, 2022, our internal control over financial reporting was effective.</w:t>
      </w:r>
    </w:p>
    <w:p>
      <w:pPr>
        <w:spacing w:after="0" w:line="10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Ernst &amp; Young LLP (PCAOB ID 42), our independent registered public accounting firm, has audited our consolidated financial statements and the effectiveness of our internal control over financial reporting as of December 31, 2022. This report appears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8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6"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Amarin Corporation plc’s internal control over financial reporting as of December 31, 2022, based on criteria established in Internal Control—Integrated Framework issued by the Committee of Sponsoring Organizations of the Treadway Commission (2013 framework) (the COSO criteria). In our opinion, Amarin Corporation plc (the Company) maintained, in all material respects, effective internal control over financial reporting as of December 31, 2022, based on the COSO criteria</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stockholders’ equity and cash flows for each of the three years in the period ended December 31, 2022, and the related notes and our report dated March 1,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Rule 10b5-1 Trading Plans</w:t>
      </w:r>
    </w:p>
    <w:p>
      <w:pPr>
        <w:spacing w:after="0" w:line="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officers, directors and certain other persons to enter into trading plans complying with Rule 10b5-1 under the Exchange Act. Consistent with such regulation, our policy permits such plans to be entered into only when that person confirms they are not in possession of material non-public information. Our policy also requires a waiting period after a trading plan is created before shares can be traded under the plan. Our open trading windows are established in consultation with legal counsel.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2023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ethical responsibility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You may also request a printed copy of the code, without charge, by writing to us at Amarin Pharma, Inc., 440 Route 22, Bridgewater, NJ 08807, Attention: Investor Relations. In addition, should any changes be made to our code of business conduct and ethical responsibility, we intend to disclose within four business days on our website (or in any other medium required by law or the NASDAQ): (a) the date and nature of any amendment to our code of business conduct and ethical responsibility that applies to our principal executive officer, principal financial officer, principal accounting officer or controller, or persons performing similar functions and (b) the nature of any waiver, including an implicit waiver, from a provision of our code of business conduct and ethical responsibility that is granted to one of these specified officers, the name of such person is granted the waiver, and the date of the waiver.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94"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2023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2023 Annual General Meeting of Shareholders to be filed within 120 days after the fiscal year ended December 31, 2022 ("Definitive Proxy Statement"). Such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2023 Annual General Meeting of Shareholders. Such information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9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which will be filed with the SEC in connection with our 2023 Annual General Meeting of Shareholders. Such information is incorporated herein by reference.</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94"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included herein, see Index to Consolidated Financial Statements on page F-1 of this Annual Report on Form 10-K.</w:t>
      </w:r>
    </w:p>
    <w:p>
      <w:pPr>
        <w:spacing w:after="0" w:line="27" w:lineRule="exact"/>
        <w:rPr>
          <w:sz w:val="20"/>
          <w:szCs w:val="20"/>
          <w:color w:val="auto"/>
        </w:rPr>
      </w:pPr>
    </w:p>
    <w:p>
      <w:pPr>
        <w:ind w:left="520" w:hanging="3"/>
        <w:spacing w:after="0" w:line="282" w:lineRule="auto"/>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26" w:lineRule="exact"/>
        <w:rPr>
          <w:rFonts w:ascii="Times New Roman" w:cs="Times New Roman" w:eastAsia="Times New Roman" w:hAnsi="Times New Roman"/>
          <w:sz w:val="18"/>
          <w:szCs w:val="18"/>
          <w:color w:val="auto"/>
        </w:rPr>
      </w:pPr>
    </w:p>
    <w:p>
      <w:pPr>
        <w:ind w:left="1180" w:hanging="663"/>
        <w:spacing w:after="0"/>
        <w:tabs>
          <w:tab w:leader="none" w:pos="1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below. The exhibits listed in the Exhibit Index are incorporated by reference herein.</w:t>
      </w:r>
    </w:p>
    <w:p>
      <w:pPr>
        <w:spacing w:after="0" w:line="27" w:lineRule="exact"/>
        <w:rPr>
          <w:sz w:val="20"/>
          <w:szCs w:val="20"/>
          <w:color w:val="auto"/>
        </w:rPr>
      </w:pPr>
    </w:p>
    <w:p>
      <w:pPr>
        <w:ind w:left="1180" w:hanging="663"/>
        <w:spacing w:after="0"/>
        <w:tabs>
          <w:tab w:leader="none" w:pos="1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93" w:name="page94"/>
    <w:bookmarkEnd w:id="9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10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3"/>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3920" w:type="dxa"/>
            <w:vAlign w:val="bottom"/>
            <w:gridSpan w:val="1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Articles of Association of the Company</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Amended and Restated Deposit Agreement,</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dated as of November 4, 2011, among the Company,</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Citibank, N.A., as Depositary, and all holders from</w:t>
              </w:r>
            </w:hyperlink>
          </w:p>
        </w:tc>
        <w:tc>
          <w:tcPr>
            <w:tcW w:w="20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time to time of American Depositary Receipts issued</w:t>
              </w:r>
            </w:hyperlink>
          </w:p>
        </w:tc>
        <w:tc>
          <w:tcPr>
            <w:tcW w:w="6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thereunder</w:t>
              </w:r>
            </w:hyperlink>
          </w:p>
        </w:tc>
        <w:tc>
          <w:tcPr>
            <w:tcW w:w="20" w:type="dxa"/>
            <w:vAlign w:val="bottom"/>
            <w:tcBorders>
              <w:bottom w:val="single" w:sz="8" w:color="0000EE"/>
            </w:tcBorders>
          </w:tcPr>
          <w:p>
            <w:pPr>
              <w:spacing w:after="0"/>
              <w:rPr>
                <w:sz w:val="17"/>
                <w:szCs w:val="17"/>
                <w:color w:val="auto"/>
              </w:rPr>
            </w:pPr>
          </w:p>
        </w:tc>
        <w:tc>
          <w:tcPr>
            <w:tcW w:w="3120" w:type="dxa"/>
            <w:vAlign w:val="bottom"/>
            <w:gridSpan w:val="14"/>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3920" w:type="dxa"/>
            <w:vAlign w:val="bottom"/>
            <w:gridSpan w:val="1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Ordinary Share certificate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3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American Depositary Receipt evidencing</w:t>
              </w:r>
            </w:hyperlink>
          </w:p>
        </w:tc>
        <w:tc>
          <w:tcPr>
            <w:tcW w:w="28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36">
              <w:r>
                <w:rPr>
                  <w:rFonts w:ascii="Times New Roman" w:cs="Times New Roman" w:eastAsia="Times New Roman" w:hAnsi="Times New Roman"/>
                  <w:sz w:val="18"/>
                  <w:szCs w:val="18"/>
                  <w:color w:val="0000FF"/>
                  <w:w w:val="97"/>
                </w:rPr>
                <w:t>ADSs</w:t>
              </w:r>
            </w:hyperlink>
          </w:p>
        </w:tc>
        <w:tc>
          <w:tcPr>
            <w:tcW w:w="20" w:type="dxa"/>
            <w:vAlign w:val="bottom"/>
            <w:tcBorders>
              <w:bottom w:val="single" w:sz="8" w:color="0000EE"/>
            </w:tcBorders>
          </w:tcPr>
          <w:p>
            <w:pPr>
              <w:spacing w:after="0"/>
              <w:rPr>
                <w:sz w:val="17"/>
                <w:szCs w:val="17"/>
                <w:color w:val="auto"/>
              </w:rPr>
            </w:pPr>
          </w:p>
        </w:tc>
        <w:tc>
          <w:tcPr>
            <w:tcW w:w="3460" w:type="dxa"/>
            <w:vAlign w:val="bottom"/>
            <w:gridSpan w:val="16"/>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27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Description of Registrant’s Securities</w:t>
              </w:r>
            </w:hyperlink>
          </w:p>
        </w:tc>
        <w:tc>
          <w:tcPr>
            <w:tcW w:w="20" w:type="dxa"/>
            <w:vAlign w:val="bottom"/>
            <w:tcBorders>
              <w:bottom w:val="single" w:sz="8" w:color="0000EE"/>
            </w:tcBorders>
          </w:tcPr>
          <w:p>
            <w:pPr>
              <w:spacing w:after="0"/>
              <w:rPr>
                <w:sz w:val="24"/>
                <w:szCs w:val="24"/>
                <w:color w:val="auto"/>
              </w:rPr>
            </w:pPr>
          </w:p>
        </w:tc>
        <w:tc>
          <w:tcPr>
            <w:tcW w:w="1200" w:type="dxa"/>
            <w:vAlign w:val="bottom"/>
            <w:gridSpan w:val="10"/>
          </w:tcPr>
          <w:p>
            <w:pPr>
              <w:spacing w:after="0"/>
              <w:rPr>
                <w:sz w:val="24"/>
                <w:szCs w:val="24"/>
                <w:color w:val="auto"/>
              </w:rPr>
            </w:pPr>
          </w:p>
        </w:tc>
      </w:tr>
      <w:tr>
        <w:trPr>
          <w:trHeight w:val="534"/>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29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Company 2002 Stock Option Plan*</w:t>
              </w:r>
            </w:hyperlink>
          </w:p>
        </w:tc>
        <w:tc>
          <w:tcPr>
            <w:tcW w:w="1000" w:type="dxa"/>
            <w:vAlign w:val="bottom"/>
            <w:gridSpan w:val="7"/>
          </w:tcPr>
          <w:p>
            <w:pPr>
              <w:spacing w:after="0"/>
              <w:rPr>
                <w:sz w:val="24"/>
                <w:szCs w:val="24"/>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2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The Company 2011 Stock Option Plan*</w:t>
              </w:r>
            </w:hyperlink>
          </w:p>
        </w:tc>
        <w:tc>
          <w:tcPr>
            <w:tcW w:w="20" w:type="dxa"/>
            <w:vAlign w:val="bottom"/>
            <w:tcBorders>
              <w:bottom w:val="single" w:sz="8" w:color="0000EE"/>
            </w:tcBorders>
          </w:tcPr>
          <w:p>
            <w:pPr>
              <w:spacing w:after="0"/>
              <w:rPr>
                <w:sz w:val="24"/>
                <w:szCs w:val="24"/>
                <w:color w:val="auto"/>
              </w:rPr>
            </w:pPr>
          </w:p>
        </w:tc>
        <w:tc>
          <w:tcPr>
            <w:tcW w:w="1020" w:type="dxa"/>
            <w:vAlign w:val="bottom"/>
            <w:gridSpan w:val="8"/>
          </w:tcPr>
          <w:p>
            <w:pPr>
              <w:spacing w:after="0"/>
              <w:rPr>
                <w:sz w:val="24"/>
                <w:szCs w:val="24"/>
                <w:color w:val="auto"/>
              </w:rPr>
            </w:pPr>
          </w:p>
        </w:tc>
      </w:tr>
      <w:tr>
        <w:trPr>
          <w:trHeight w:val="547"/>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Amendment No. 1 to 2011 Stock Option Incentive</w:t>
              </w:r>
            </w:hyperlink>
          </w:p>
        </w:tc>
        <w:tc>
          <w:tcPr>
            <w:tcW w:w="2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40">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7"/>
          </w:tcPr>
          <w:p>
            <w:pPr>
              <w:spacing w:after="0"/>
              <w:rPr>
                <w:sz w:val="17"/>
                <w:szCs w:val="17"/>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36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2 to 2011 Stock Option Incentive</w:t>
              </w:r>
            </w:hyperlink>
          </w:p>
        </w:tc>
        <w:tc>
          <w:tcPr>
            <w:tcW w:w="24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141">
              <w:r>
                <w:rPr>
                  <w:rFonts w:ascii="Times New Roman" w:cs="Times New Roman" w:eastAsia="Times New Roman" w:hAnsi="Times New Roman"/>
                  <w:sz w:val="18"/>
                  <w:szCs w:val="18"/>
                  <w:color w:val="0000FF"/>
                  <w:w w:val="97"/>
                </w:rPr>
                <w:t>Plan*</w:t>
              </w:r>
            </w:hyperlink>
          </w:p>
        </w:tc>
        <w:tc>
          <w:tcPr>
            <w:tcW w:w="20" w:type="dxa"/>
            <w:vAlign w:val="bottom"/>
            <w:tcBorders>
              <w:bottom w:val="single" w:sz="8" w:color="0000EE"/>
            </w:tcBorders>
          </w:tcPr>
          <w:p>
            <w:pPr>
              <w:spacing w:after="0"/>
              <w:rPr>
                <w:sz w:val="17"/>
                <w:szCs w:val="17"/>
                <w:color w:val="auto"/>
              </w:rPr>
            </w:pPr>
          </w:p>
        </w:tc>
        <w:tc>
          <w:tcPr>
            <w:tcW w:w="3480" w:type="dxa"/>
            <w:vAlign w:val="bottom"/>
            <w:gridSpan w:val="17"/>
          </w:tcPr>
          <w:p>
            <w:pPr>
              <w:spacing w:after="0"/>
              <w:rPr>
                <w:sz w:val="17"/>
                <w:szCs w:val="17"/>
                <w:color w:val="auto"/>
              </w:rPr>
            </w:pPr>
          </w:p>
        </w:tc>
      </w:tr>
      <w:tr>
        <w:trPr>
          <w:trHeight w:val="263"/>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2"/>
                <w:szCs w:val="22"/>
                <w:color w:val="auto"/>
              </w:rPr>
            </w:pPr>
          </w:p>
        </w:tc>
        <w:tc>
          <w:tcPr>
            <w:tcW w:w="32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No. 3 to 2011 Stock Option and</w:t>
              </w:r>
            </w:hyperlink>
          </w:p>
        </w:tc>
        <w:tc>
          <w:tcPr>
            <w:tcW w:w="660" w:type="dxa"/>
            <w:vAlign w:val="bottom"/>
            <w:gridSpan w:val="6"/>
          </w:tcPr>
          <w:p>
            <w:pPr>
              <w:spacing w:after="0"/>
              <w:rPr>
                <w:sz w:val="22"/>
                <w:szCs w:val="22"/>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9"/>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gridSpan w:val="6"/>
            <w:shd w:val="clear" w:color="auto" w:fill="0000FF"/>
          </w:tcPr>
          <w:p>
            <w:pPr>
              <w:spacing w:after="0" w:line="20" w:lineRule="exact"/>
              <w:rPr>
                <w:sz w:val="1"/>
                <w:szCs w:val="1"/>
                <w:color w:val="auto"/>
              </w:rPr>
            </w:pPr>
          </w:p>
        </w:tc>
        <w:tc>
          <w:tcPr>
            <w:tcW w:w="2780" w:type="dxa"/>
            <w:vAlign w:val="bottom"/>
            <w:gridSpan w:val="13"/>
          </w:tcPr>
          <w:p>
            <w:pPr>
              <w:spacing w:after="0" w:line="20" w:lineRule="exact"/>
              <w:rPr>
                <w:sz w:val="1"/>
                <w:szCs w:val="1"/>
                <w:color w:val="auto"/>
              </w:rPr>
            </w:pPr>
          </w:p>
        </w:tc>
      </w:tr>
      <w:tr>
        <w:trPr>
          <w:trHeight w:val="331"/>
        </w:trPr>
        <w:tc>
          <w:tcPr>
            <w:tcW w:w="104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2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Amendment No. 4 to 2011 Stock Option and</w:t>
              </w:r>
            </w:hyperlink>
          </w:p>
        </w:tc>
        <w:tc>
          <w:tcPr>
            <w:tcW w:w="6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gridSpan w:val="19"/>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20" w:type="dxa"/>
            <w:vAlign w:val="bottom"/>
            <w:tcBorders>
              <w:top w:val="single" w:sz="8" w:color="auto"/>
              <w:bottom w:val="single" w:sz="8" w:color="auto"/>
            </w:tcBorders>
          </w:tcPr>
          <w:p>
            <w:pPr>
              <w:ind w:left="18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Borders>
              <w:top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1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August 8, 2013</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ended June 30, 2013, as Exhibit 3.1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 for the year ended</w:t>
            </w:r>
          </w:p>
        </w:tc>
        <w:tc>
          <w:tcPr>
            <w:tcW w:w="120" w:type="dxa"/>
            <w:vAlign w:val="bottom"/>
          </w:tcPr>
          <w:p>
            <w:pPr>
              <w:spacing w:after="0"/>
              <w:rPr>
                <w:sz w:val="24"/>
                <w:szCs w:val="24"/>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February 29, 2012</w:t>
            </w:r>
          </w:p>
        </w:tc>
      </w:t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2011, as Exhibit 4.1</w:t>
            </w: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8"/>
          <w:szCs w:val="18"/>
          <w:color w:val="auto"/>
        </w:rPr>
        <w:t>April 24, 2003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2002, as Exhibit 2.4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2011, as Exhibit 4.4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25, 2020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2019, as Exhibit 4.7</w:t>
      </w:r>
    </w:p>
    <w:p>
      <w:pPr>
        <w:spacing w:after="0" w:line="112"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20-F for the year ended</w:t>
      </w:r>
      <w:r>
        <w:rPr>
          <w:sz w:val="20"/>
          <w:szCs w:val="20"/>
          <w:color w:val="auto"/>
        </w:rPr>
        <w:tab/>
      </w:r>
      <w:r>
        <w:rPr>
          <w:rFonts w:ascii="Times New Roman" w:cs="Times New Roman" w:eastAsia="Times New Roman" w:hAnsi="Times New Roman"/>
          <w:sz w:val="18"/>
          <w:szCs w:val="18"/>
          <w:color w:val="auto"/>
        </w:rPr>
        <w:t>March 5, 2007</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2006, as Exhibit 4.17</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7"/>
          <w:szCs w:val="17"/>
          <w:color w:val="auto"/>
        </w:rPr>
        <w:t>August 9, 2011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2011, as Exhibit 10.4</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10.1</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8, 2012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2012, as Exhibit 10.2</w:t>
      </w:r>
    </w:p>
    <w:p>
      <w:pPr>
        <w:spacing w:after="0" w:line="58"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28, 2013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2012, as Exhibit 10.5</w:t>
      </w:r>
    </w:p>
    <w:p>
      <w:pPr>
        <w:spacing w:after="0" w:line="126" w:lineRule="exact"/>
        <w:rPr>
          <w:sz w:val="20"/>
          <w:szCs w:val="20"/>
          <w:color w:val="auto"/>
        </w:rPr>
      </w:pPr>
    </w:p>
    <w:p>
      <w:pPr>
        <w:ind w:left="20"/>
        <w:spacing w:after="0"/>
        <w:tabs>
          <w:tab w:leader="none" w:pos="4020" w:val="left"/>
        </w:tabs>
        <w:rPr>
          <w:sz w:val="20"/>
          <w:szCs w:val="20"/>
          <w:color w:val="auto"/>
        </w:rPr>
      </w:pPr>
      <w:r>
        <w:rPr>
          <w:rFonts w:ascii="Times New Roman" w:cs="Times New Roman" w:eastAsia="Times New Roman" w:hAnsi="Times New Roman"/>
          <w:sz w:val="18"/>
          <w:szCs w:val="18"/>
          <w:color w:val="auto"/>
        </w:rPr>
        <w:t>Quarterly Report on Form 10-Q for the quarterly</w:t>
      </w:r>
      <w:r>
        <w:rPr>
          <w:sz w:val="20"/>
          <w:szCs w:val="20"/>
          <w:color w:val="auto"/>
        </w:rPr>
        <w:tab/>
      </w:r>
      <w:r>
        <w:rPr>
          <w:rFonts w:ascii="Times New Roman" w:cs="Times New Roman" w:eastAsia="Times New Roman" w:hAnsi="Times New Roman"/>
          <w:sz w:val="18"/>
          <w:szCs w:val="18"/>
          <w:color w:val="auto"/>
        </w:rPr>
        <w:t>August 6, 2015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ended June 30, 2015, as Exhibit 4.1</w:t>
      </w:r>
    </w:p>
    <w:p>
      <w:pPr>
        <w:spacing w:after="0" w:line="113" w:lineRule="exact"/>
        <w:rPr>
          <w:sz w:val="20"/>
          <w:szCs w:val="20"/>
          <w:color w:val="auto"/>
        </w:rPr>
      </w:pPr>
    </w:p>
    <w:p>
      <w:pPr>
        <w:sectPr>
          <w:pgSz w:w="11900" w:h="16838" w:orient="portrait"/>
          <w:cols w:equalWidth="0" w:num="2">
            <w:col w:w="5100" w:space="120"/>
            <w:col w:w="6020"/>
          </w:cols>
          <w:pgMar w:left="320" w:top="371"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10.7</w:t>
            </w:r>
          </w:p>
        </w:tc>
        <w:tc>
          <w:tcPr>
            <w:tcW w:w="3480" w:type="dxa"/>
            <w:vAlign w:val="bottom"/>
            <w:gridSpan w:val="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Amendment No. 5 to 2011 Stock Option and</w:t>
              </w:r>
            </w:hyperlink>
          </w:p>
        </w:tc>
      </w:tr>
      <w:tr>
        <w:trPr>
          <w:trHeight w:val="20"/>
        </w:trPr>
        <w:tc>
          <w:tcPr>
            <w:tcW w:w="1180" w:type="dxa"/>
            <w:vAlign w:val="bottom"/>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480" w:type="dxa"/>
            <w:vAlign w:val="bottom"/>
            <w:gridSpan w:val="5"/>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10.8</w:t>
            </w:r>
          </w:p>
        </w:tc>
        <w:tc>
          <w:tcPr>
            <w:tcW w:w="3480" w:type="dxa"/>
            <w:vAlign w:val="bottom"/>
            <w:gridSpan w:val="5"/>
          </w:tcPr>
          <w:p>
            <w:pPr>
              <w:spacing w:after="0"/>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Amendment No.6 to 2011 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439"/>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10.9</w:t>
            </w:r>
          </w:p>
        </w:tc>
        <w:tc>
          <w:tcPr>
            <w:tcW w:w="3480" w:type="dxa"/>
            <w:vAlign w:val="bottom"/>
            <w:gridSpan w:val="5"/>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Amarin Corporation plc Management Incentive</w:t>
              </w:r>
            </w:hyperlink>
          </w:p>
        </w:tc>
      </w:tr>
      <w:tr>
        <w:trPr>
          <w:trHeight w:val="20"/>
        </w:trPr>
        <w:tc>
          <w:tcPr>
            <w:tcW w:w="1180" w:type="dxa"/>
            <w:vAlign w:val="bottom"/>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480" w:type="dxa"/>
            <w:vAlign w:val="bottom"/>
            <w:gridSpan w:val="5"/>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Compensation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6"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2015, as Exhibit 4.2</w:t>
      </w:r>
    </w:p>
    <w:p>
      <w:pPr>
        <w:spacing w:after="0" w:line="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2017, as Exhibit 4.1</w:t>
      </w:r>
    </w:p>
    <w:p>
      <w:pPr>
        <w:spacing w:after="0" w:line="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year ended December 31, 2010, as Exhibit 10.44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6, 2015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16, 2011</w:t>
      </w:r>
    </w:p>
    <w:p>
      <w:pPr>
        <w:spacing w:after="0" w:line="357" w:lineRule="exact"/>
        <w:rPr>
          <w:sz w:val="20"/>
          <w:szCs w:val="20"/>
          <w:color w:val="auto"/>
        </w:rPr>
      </w:pPr>
    </w:p>
    <w:p>
      <w:pPr>
        <w:sectPr>
          <w:pgSz w:w="11900" w:h="16838" w:orient="portrait"/>
          <w:cols w:equalWidth="0" w:num="3">
            <w:col w:w="4680" w:space="560"/>
            <w:col w:w="3500" w:space="520"/>
            <w:col w:w="1980"/>
          </w:cols>
          <w:pgMar w:left="320" w:top="371"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10.10</w:t>
            </w:r>
          </w:p>
        </w:tc>
        <w:tc>
          <w:tcPr>
            <w:tcW w:w="3740" w:type="dxa"/>
            <w:vAlign w:val="bottom"/>
            <w:gridSpan w:val="7"/>
          </w:tcPr>
          <w:p>
            <w:pPr>
              <w:spacing w:after="0"/>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Form of Incentive Stock Option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10.11</w:t>
            </w:r>
          </w:p>
        </w:tc>
        <w:tc>
          <w:tcPr>
            <w:tcW w:w="3740" w:type="dxa"/>
            <w:vAlign w:val="bottom"/>
            <w:gridSpan w:val="7"/>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Non-Qualified Stock Option Award</w:t>
              </w:r>
            </w:hyperlink>
          </w:p>
        </w:tc>
      </w:tr>
      <w:tr>
        <w:trPr>
          <w:trHeight w:val="20"/>
        </w:trPr>
        <w:tc>
          <w:tcPr>
            <w:tcW w:w="1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740" w:type="dxa"/>
            <w:vAlign w:val="bottom"/>
            <w:gridSpan w:val="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10.12</w:t>
            </w:r>
          </w:p>
        </w:tc>
        <w:tc>
          <w:tcPr>
            <w:tcW w:w="3740" w:type="dxa"/>
            <w:vAlign w:val="bottom"/>
            <w:gridSpan w:val="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Restricted Stock Unit Award Agreement*</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10.13</w:t>
            </w:r>
          </w:p>
        </w:tc>
        <w:tc>
          <w:tcPr>
            <w:tcW w:w="360" w:type="dxa"/>
            <w:vAlign w:val="bottom"/>
          </w:tcPr>
          <w:p>
            <w:pPr>
              <w:spacing w:after="0"/>
              <w:rPr>
                <w:rFonts w:ascii="Times New Roman" w:cs="Times New Roman" w:eastAsia="Times New Roman" w:hAnsi="Times New Roman"/>
                <w:sz w:val="18"/>
                <w:szCs w:val="18"/>
                <w:color w:val="0000FF"/>
                <w:w w:val="94"/>
              </w:rPr>
            </w:pPr>
            <w:hyperlink r:id="rId150">
              <w:r>
                <w:rPr>
                  <w:rFonts w:ascii="Times New Roman" w:cs="Times New Roman" w:eastAsia="Times New Roman" w:hAnsi="Times New Roman"/>
                  <w:sz w:val="18"/>
                  <w:szCs w:val="18"/>
                  <w:color w:val="0000FF"/>
                  <w:w w:val="94"/>
                </w:rPr>
                <w:t>2017</w:t>
              </w:r>
            </w:hyperlink>
          </w:p>
        </w:tc>
        <w:tc>
          <w:tcPr>
            <w:tcW w:w="3380" w:type="dxa"/>
            <w:vAlign w:val="bottom"/>
            <w:gridSpan w:val="6"/>
          </w:tcPr>
          <w:p>
            <w:pPr>
              <w:ind w:left="20"/>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Employee Stock Purchase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10.14</w:t>
            </w:r>
          </w:p>
        </w:tc>
        <w:tc>
          <w:tcPr>
            <w:tcW w:w="360" w:type="dxa"/>
            <w:vAlign w:val="bottom"/>
          </w:tcPr>
          <w:p>
            <w:pPr>
              <w:spacing w:after="0"/>
              <w:rPr>
                <w:rFonts w:ascii="Times New Roman" w:cs="Times New Roman" w:eastAsia="Times New Roman" w:hAnsi="Times New Roman"/>
                <w:sz w:val="18"/>
                <w:szCs w:val="18"/>
                <w:color w:val="0000FF"/>
                <w:w w:val="94"/>
              </w:rPr>
            </w:pPr>
            <w:hyperlink r:id="rId151">
              <w:r>
                <w:rPr>
                  <w:rFonts w:ascii="Times New Roman" w:cs="Times New Roman" w:eastAsia="Times New Roman" w:hAnsi="Times New Roman"/>
                  <w:sz w:val="18"/>
                  <w:szCs w:val="18"/>
                  <w:color w:val="0000FF"/>
                  <w:w w:val="94"/>
                </w:rPr>
                <w:t>2020</w:t>
              </w:r>
            </w:hyperlink>
          </w:p>
        </w:tc>
        <w:tc>
          <w:tcPr>
            <w:tcW w:w="3380" w:type="dxa"/>
            <w:vAlign w:val="bottom"/>
            <w:gridSpan w:val="6"/>
          </w:tcPr>
          <w:p>
            <w:pPr>
              <w:ind w:left="20"/>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Stock Incentive Plan*</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as Exhibit 10.3</w:t>
      </w:r>
    </w:p>
    <w:p>
      <w:pPr>
        <w:spacing w:after="0" w:line="126"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as Exhibit 10.4</w:t>
      </w:r>
    </w:p>
    <w:p>
      <w:pPr>
        <w:spacing w:after="0" w:line="126"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29,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2011, as Exhibit 10.5</w:t>
      </w:r>
    </w:p>
    <w:p>
      <w:pPr>
        <w:spacing w:after="0" w:line="126"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Annual Report on Form 10-K for the year ended</w:t>
      </w:r>
      <w:r>
        <w:rPr>
          <w:sz w:val="20"/>
          <w:szCs w:val="20"/>
          <w:color w:val="auto"/>
        </w:rPr>
        <w:tab/>
      </w:r>
      <w:r>
        <w:rPr>
          <w:rFonts w:ascii="Times New Roman" w:cs="Times New Roman" w:eastAsia="Times New Roman" w:hAnsi="Times New Roman"/>
          <w:sz w:val="18"/>
          <w:szCs w:val="18"/>
          <w:color w:val="auto"/>
        </w:rPr>
        <w:t>February 27,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2017, as Exhibit 10.64</w:t>
      </w:r>
    </w:p>
    <w:p>
      <w:pPr>
        <w:spacing w:after="0" w:line="126" w:lineRule="exact"/>
        <w:rPr>
          <w:sz w:val="20"/>
          <w:szCs w:val="20"/>
          <w:color w:val="auto"/>
        </w:rPr>
      </w:pPr>
    </w:p>
    <w:p>
      <w:pPr>
        <w:spacing w:after="0"/>
        <w:tabs>
          <w:tab w:leader="none" w:pos="4000" w:val="left"/>
        </w:tabs>
        <w:rPr>
          <w:sz w:val="20"/>
          <w:szCs w:val="20"/>
          <w:color w:val="auto"/>
        </w:rPr>
      </w:pPr>
      <w:r>
        <w:rPr>
          <w:rFonts w:ascii="Times New Roman" w:cs="Times New Roman" w:eastAsia="Times New Roman" w:hAnsi="Times New Roman"/>
          <w:sz w:val="18"/>
          <w:szCs w:val="18"/>
          <w:color w:val="auto"/>
        </w:rPr>
        <w:t>Current Report on Form 8-K dated July 13, 2020, as</w:t>
        <w:tab/>
        <w:t>July 14,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40" w:space="300"/>
            <w:col w:w="6000"/>
          </w:cols>
          <w:pgMar w:left="320" w:top="371" w:right="339" w:bottom="1440" w:gutter="0" w:footer="0" w:header="0"/>
          <w:type w:val="continuous"/>
        </w:sectPr>
      </w:pPr>
    </w:p>
    <w:bookmarkStart w:id="94" w:name="page95"/>
    <w:bookmarkEnd w:id="94"/>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10.15</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Amendment No. 1 to 2020 Stock Incentive Plan*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10.16</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Incentive Stock Option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10.17</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Non-Qualified Stock Option Award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Agreements*</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10.18</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Restricted Stock Unit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10.19</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Non-Qualified Stock Option for Non-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Employee Director Award 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10.20</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Deferred Restricted Stock Unit Award</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Agreement*</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10.21</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Amarin Corporation plc Executive Severance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Change of Control Plan*</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10.22</w:t>
            </w:r>
          </w:p>
        </w:tc>
        <w:tc>
          <w:tcPr>
            <w:tcW w:w="3880" w:type="dxa"/>
            <w:vAlign w:val="bottom"/>
            <w:gridSpan w:val="19"/>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Contract of Employment between Karim Mikhail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Amarin Switzerland GmbH, Grafenauweg 8, 6300</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Zug, dated April 12,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10.23</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Employment Agreement between Jason Marks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Amarin Corporation plc, dated July 19, 2021*</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10.24</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Letter Agreement with Steve Ketchum, dated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February 8,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10.25</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Amendment, dated July 6, 2015, to Letter Agreement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with Steven Ketchum, dated February 8,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10.26</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2012 Long Term Incentive Award with Steven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Ketchum dated March 1, 2012*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gridSpan w:val="4"/>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10.27</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Letter Agreement, dated May 9, 2016, by and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between Amarin Corporation plc and Michael Kalb*</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10.28</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Employment Agreement, dated April 20, 2018, by</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and between Amarin Corporation plc and Aaron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Berg*</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93"/>
              </w:rPr>
              <w:t>10.29</w:t>
            </w:r>
          </w:p>
        </w:tc>
        <w:tc>
          <w:tcPr>
            <w:tcW w:w="3880" w:type="dxa"/>
            <w:vAlign w:val="bottom"/>
            <w:gridSpan w:val="1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Offer Letter with Thomas Reilly, dated May 26,</w:t>
              </w:r>
            </w:hyperlink>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80" w:type="dxa"/>
            <w:vAlign w:val="bottom"/>
            <w:vMerge w:val="continue"/>
          </w:tcPr>
          <w:p>
            <w:pPr>
              <w:spacing w:after="0"/>
              <w:rPr>
                <w:sz w:val="11"/>
                <w:szCs w:val="11"/>
                <w:color w:val="auto"/>
              </w:rPr>
            </w:pPr>
          </w:p>
        </w:tc>
        <w:tc>
          <w:tcPr>
            <w:tcW w:w="440" w:type="dxa"/>
            <w:vAlign w:val="bottom"/>
            <w:vMerge w:val="restart"/>
          </w:tcPr>
          <w:p>
            <w:pPr>
              <w:spacing w:after="0" w:line="196" w:lineRule="exact"/>
              <w:rPr>
                <w:rFonts w:ascii="Times New Roman" w:cs="Times New Roman" w:eastAsia="Times New Roman" w:hAnsi="Times New Roman"/>
                <w:sz w:val="18"/>
                <w:szCs w:val="18"/>
                <w:color w:val="0000FF"/>
                <w:w w:val="88"/>
              </w:rPr>
            </w:pPr>
            <w:hyperlink r:id="rId167">
              <w:r>
                <w:rPr>
                  <w:rFonts w:ascii="Times New Roman" w:cs="Times New Roman" w:eastAsia="Times New Roman" w:hAnsi="Times New Roman"/>
                  <w:sz w:val="18"/>
                  <w:szCs w:val="18"/>
                  <w:color w:val="0000FF"/>
                  <w:w w:val="88"/>
                </w:rPr>
                <w:t>2022*</w:t>
              </w:r>
            </w:hyperlink>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spacing w:after="0"/>
              <w:rPr>
                <w:sz w:val="22"/>
                <w:szCs w:val="22"/>
                <w:color w:val="auto"/>
              </w:rPr>
            </w:pPr>
          </w:p>
        </w:tc>
        <w:tc>
          <w:tcPr>
            <w:tcW w:w="3880" w:type="dxa"/>
            <w:vAlign w:val="bottom"/>
            <w:gridSpan w:val="19"/>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Transition and Separation Agreement between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520" w:type="dxa"/>
            <w:vAlign w:val="bottom"/>
            <w:tcBorders>
              <w:left w:val="single" w:sz="8" w:color="0000FF"/>
            </w:tcBorders>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jc w:val="right"/>
              <w:ind w:right="690"/>
              <w:spacing w:after="0" w:line="196" w:lineRule="exact"/>
              <w:rPr>
                <w:sz w:val="20"/>
                <w:szCs w:val="20"/>
                <w:color w:val="auto"/>
              </w:rPr>
            </w:pPr>
            <w:r>
              <w:rPr>
                <w:rFonts w:ascii="Times New Roman" w:cs="Times New Roman" w:eastAsia="Times New Roman" w:hAnsi="Times New Roman"/>
                <w:sz w:val="18"/>
                <w:szCs w:val="18"/>
                <w:color w:val="auto"/>
                <w:w w:val="93"/>
              </w:rPr>
              <w:t>10.30</w:t>
            </w: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Michael W. Kalb and Amarin Corporation plc, dated</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780" w:type="dxa"/>
            <w:vAlign w:val="bottom"/>
            <w:gridSpan w:val="1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19"/>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June 6, 2022*</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FF"/>
            </w:tcBorders>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10.31</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Transition Agreement between Jason M. Marks and</w:t>
            </w:r>
          </w:p>
        </w:tc>
        <w:tc>
          <w:tcPr>
            <w:tcW w:w="0" w:type="dxa"/>
            <w:vAlign w:val="bottom"/>
          </w:tcPr>
          <w:p>
            <w:pPr>
              <w:spacing w:after="0"/>
              <w:rPr>
                <w:sz w:val="1"/>
                <w:szCs w:val="1"/>
                <w:color w:val="auto"/>
              </w:rPr>
            </w:pPr>
          </w:p>
        </w:tc>
      </w:tr>
      <w:tr>
        <w:trPr>
          <w:trHeight w:val="20"/>
        </w:trPr>
        <w:tc>
          <w:tcPr>
            <w:tcW w:w="1180" w:type="dxa"/>
            <w:vAlign w:val="bottom"/>
            <w:vMerge w:val="continue"/>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80" w:type="dxa"/>
            <w:vAlign w:val="bottom"/>
            <w:vMerge w:val="continue"/>
          </w:tcPr>
          <w:p>
            <w:pPr>
              <w:spacing w:after="0"/>
              <w:rPr>
                <w:sz w:val="11"/>
                <w:szCs w:val="11"/>
                <w:color w:val="auto"/>
              </w:rPr>
            </w:pPr>
          </w:p>
        </w:tc>
        <w:tc>
          <w:tcPr>
            <w:tcW w:w="3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Amarin Corporation plc, dated December 6, 2022*</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June 27, 2022, as Exhibit 10.2</w:t>
      </w:r>
    </w:p>
    <w:p>
      <w:pPr>
        <w:spacing w:after="0" w:line="8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10.2</w:t>
      </w:r>
    </w:p>
    <w:p>
      <w:pPr>
        <w:spacing w:after="0" w:line="5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10.3</w:t>
      </w:r>
    </w:p>
    <w:p>
      <w:pPr>
        <w:spacing w:after="0" w:line="5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10.3</w:t>
      </w:r>
    </w:p>
    <w:p>
      <w:pPr>
        <w:spacing w:after="0" w:line="59"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2020, as Exhibit 10.5</w:t>
      </w:r>
    </w:p>
    <w:p>
      <w:pPr>
        <w:spacing w:after="0" w:line="5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10.2</w:t>
      </w:r>
    </w:p>
    <w:p>
      <w:pPr>
        <w:spacing w:after="0" w:line="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January 28, 2021, as Exhibit 10.1</w:t>
      </w:r>
    </w:p>
    <w:p>
      <w:pPr>
        <w:spacing w:after="0" w:line="8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2021, as Exhibit 10.4</w:t>
      </w:r>
    </w:p>
    <w:p>
      <w:pPr>
        <w:spacing w:after="0" w:line="261"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September 30, 2021, as Exhibit 10.1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F-1, as Exhibit 10.1</w:t>
      </w:r>
    </w:p>
    <w:p>
      <w:pPr>
        <w:spacing w:after="0" w:line="36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2015, as Exhibit 10.2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 as Exhibit 4.2</w:t>
      </w:r>
    </w:p>
    <w:p>
      <w:pPr>
        <w:spacing w:after="0" w:line="3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Current Report on Form 8-K dated June 30, 2016, as Exhibit 10.1</w:t>
      </w:r>
    </w:p>
    <w:p>
      <w:pPr>
        <w:spacing w:after="0" w:line="31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March 31, 2019, as Exhibit 10.1</w:t>
      </w:r>
    </w:p>
    <w:p>
      <w:pPr>
        <w:spacing w:after="0" w:line="207"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10.4</w:t>
      </w:r>
    </w:p>
    <w:p>
      <w:pPr>
        <w:spacing w:after="0" w:line="9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Quarterly Report on Form 10-Q for the quarterly period ended June 30, 2022, as Exhibit 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2020</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2021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2015</w:t>
      </w:r>
    </w:p>
    <w:p>
      <w:pPr>
        <w:spacing w:after="0" w:line="36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March 16, 2012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 2022</w:t>
      </w:r>
    </w:p>
    <w:p>
      <w:pPr>
        <w:sectPr>
          <w:pgSz w:w="11900" w:h="16838" w:orient="portrait"/>
          <w:cols w:equalWidth="0" w:num="3">
            <w:col w:w="5060" w:space="160"/>
            <w:col w:w="3820" w:space="200"/>
            <w:col w:w="1360"/>
          </w:cols>
          <w:pgMar w:left="340" w:top="378" w:right="9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10.32</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API Commercial Supply Agreement, dated May 25,</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2011, between Amarin Pharmaceuticals Ireland Ltd.</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2021, as Exhibit 10.35</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 Chemport Inc.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10.33</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to API Commercial Supply Agreement</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by and between Amarin Pharmaceuticals Ireland Ltd</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2021, as Exhibit 10.36</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and Chemport Inc., dated April 4, 2012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10.34</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Second Amendment to API Commercial Supply</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Agreement by and between Amarin Pharmaceuticals</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2021, as Exhibit 10.37</w:t>
            </w: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Ireland Ltd. and Chemport Inc., dated July 19, 2012</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160" w:type="dxa"/>
            <w:vAlign w:val="bottom"/>
          </w:tcPr>
          <w:p>
            <w:pPr>
              <w:spacing w:after="0" w:line="196" w:lineRule="exact"/>
              <w:rPr>
                <w:rFonts w:ascii="Times New Roman" w:cs="Times New Roman" w:eastAsia="Times New Roman" w:hAnsi="Times New Roman"/>
                <w:sz w:val="18"/>
                <w:szCs w:val="18"/>
                <w:color w:val="0000FF"/>
                <w:w w:val="77"/>
              </w:rPr>
            </w:pPr>
            <w:hyperlink r:id="rId172">
              <w:r>
                <w:rPr>
                  <w:rFonts w:ascii="Times New Roman" w:cs="Times New Roman" w:eastAsia="Times New Roman" w:hAnsi="Times New Roman"/>
                  <w:sz w:val="18"/>
                  <w:szCs w:val="18"/>
                  <w:color w:val="0000FF"/>
                  <w:w w:val="77"/>
                </w:rPr>
                <w:t>**</w:t>
              </w:r>
            </w:hyperlink>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10.35</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Purchase and Sale Agreement, dated December 6,</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2012, by and between Amarin Corporation plc,</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2021, as Exhibit 10.38</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Amarin Pharmaceuticals Ireland Limited and</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BioPharma Secured Debt Fund II Holdings Cayman</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LP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10.36</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Consent and Waiver, dated December 20, 2017, by</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among Amarin Pharmaceuticals Ireland Limited,</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2017, as Exhibit 10.66</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Amarin Corporation PLC, BioPharma Secured Debt</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Fund II Holdings Cayman LP and Pharmakon</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Advisors LP</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3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10.37</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Co-Promotion Agreement dated March 31, 2014, by</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Quarterly Report on Form 10-Q for the quarterly</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and among the Company and Kowa Pharmaceuticals</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period ended March 31, 2014, as Exhibit 10.1</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America, Inc.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291"/>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10.38</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First Amendment to the Co-Promotion Agreement of</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Quarterly Report on Form 10-Q for the quarterly</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March 31, 2014 dated July 25, 2017, by and among</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period ended June 30, 2017, as Exhibit 10.1</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Amarin Pharmaceuticals Ireland Limited, Amarin</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Pharma, Inc., and Kowa Pharmaceuticals America,</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86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10.39</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Development, Commercialization and Supply</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Quarterly Report on Form 10-Q for the quarterly</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6"/>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Agreement dated February 26, 2015, by and between</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period ended March 31, 2015, as Exhibit 10.1</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6"/>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Amarin Pharmaceuticals Ireland Limited, Amarin</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6"/>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Pharma, Inc. and Eddingpharm (Asia) Macao</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FF"/>
            </w:tcBorders>
            <w:gridSpan w:val="6"/>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Commercial Offshore Limited††</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120" w:type="dxa"/>
            <w:vAlign w:val="bottom"/>
            <w:tcBorders>
              <w:right w:val="single" w:sz="8" w:color="0000EE"/>
            </w:tcBorders>
            <w:gridSpan w:val="6"/>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10.40</w:t>
            </w:r>
          </w:p>
        </w:tc>
        <w:tc>
          <w:tcPr>
            <w:tcW w:w="3880" w:type="dxa"/>
            <w:vAlign w:val="bottom"/>
            <w:gridSpan w:val="21"/>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Distribution Agreement, dated March 8, 2016, by and</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among Biologix FZCo, Amarin Pharmaceuticals</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2017, as Exhibit 10.67</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34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Ireland Limited and Amarin Pharma, Inc.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10.41</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Development, Commercialization and Supply</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Agreement, dated September 25, 2017, by and among</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2017, as Exhibit 10.68</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Amarin Pharmaceuticals Ireland Limited, Amarin</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FF"/>
            </w:tcBorders>
            <w:gridSpan w:val="8"/>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Pharma, Inc. and HLS Therapeutics Inc. ††</w:t>
              </w:r>
            </w:hyperlink>
          </w:p>
        </w:tc>
        <w:tc>
          <w:tcPr>
            <w:tcW w:w="3660" w:type="dxa"/>
            <w:vAlign w:val="bottom"/>
          </w:tcPr>
          <w:p>
            <w:pPr>
              <w:spacing w:after="0"/>
              <w:rPr>
                <w:sz w:val="17"/>
                <w:szCs w:val="17"/>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940" w:type="dxa"/>
            <w:vAlign w:val="bottom"/>
            <w:tcBorders>
              <w:right w:val="single" w:sz="8" w:color="0000EE"/>
            </w:tcBorders>
            <w:gridSpan w:val="8"/>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18"/>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10.42</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Lease Agreement, dated February 5, 2019, by and</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360" w:type="dxa"/>
            <w:vAlign w:val="bottom"/>
            <w:gridSpan w:val="14"/>
            <w:shd w:val="clear" w:color="auto" w:fill="0000FF"/>
          </w:tcPr>
          <w:p>
            <w:pPr>
              <w:spacing w:after="0" w:line="20" w:lineRule="exact"/>
              <w:rPr>
                <w:sz w:val="1"/>
                <w:szCs w:val="1"/>
                <w:color w:val="auto"/>
              </w:rPr>
            </w:pPr>
          </w:p>
        </w:tc>
        <w:tc>
          <w:tcPr>
            <w:tcW w:w="200" w:type="dxa"/>
            <w:vAlign w:val="bottom"/>
            <w:tcBorders>
              <w:left w:val="single" w:sz="8" w:color="0000FF"/>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between 440 Route 22 LLC and Amarin Pharma, Inc.</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2018, as Exhibit 10.69</w:t>
            </w: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360" w:type="dxa"/>
            <w:vAlign w:val="bottom"/>
            <w:gridSpan w:val="14"/>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560"/>
        </w:trPr>
        <w:tc>
          <w:tcPr>
            <w:tcW w:w="11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93"/>
              </w:rPr>
              <w:t>10.43</w:t>
            </w:r>
          </w:p>
        </w:tc>
        <w:tc>
          <w:tcPr>
            <w:tcW w:w="3880" w:type="dxa"/>
            <w:vAlign w:val="bottom"/>
            <w:gridSpan w:val="2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English Summary of German Language Commercial</w:t>
              </w:r>
            </w:hyperlink>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Annual Report on Form 10-K for the year ended</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360" w:type="dxa"/>
            <w:vAlign w:val="bottom"/>
            <w:gridSpan w:val="14"/>
            <w:shd w:val="clear" w:color="auto" w:fill="0000FF"/>
          </w:tcPr>
          <w:p>
            <w:pPr>
              <w:spacing w:after="0" w:line="20" w:lineRule="exact"/>
              <w:rPr>
                <w:sz w:val="1"/>
                <w:szCs w:val="1"/>
                <w:color w:val="auto"/>
              </w:rPr>
            </w:pPr>
          </w:p>
        </w:tc>
        <w:tc>
          <w:tcPr>
            <w:tcW w:w="20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Lease Agreement dated October 10, 2021, by and</w:t>
              </w:r>
            </w:hyperlink>
          </w:p>
        </w:tc>
        <w:tc>
          <w:tcPr>
            <w:tcW w:w="36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December 31, 2021, as Exhibit 10.54</w:t>
            </w: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360" w:type="dxa"/>
            <w:vAlign w:val="bottom"/>
            <w:gridSpan w:val="1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between Amarin Switzerland GmbH and Zug Estates</w:t>
              </w:r>
            </w:hyperlink>
          </w:p>
        </w:tc>
        <w:tc>
          <w:tcPr>
            <w:tcW w:w="36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560" w:type="dxa"/>
            <w:vAlign w:val="bottom"/>
            <w:gridSpan w:val="1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3880" w:type="dxa"/>
            <w:vAlign w:val="bottom"/>
            <w:gridSpan w:val="2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AG</w:t>
              </w:r>
            </w:hyperlink>
          </w:p>
        </w:tc>
        <w:tc>
          <w:tcPr>
            <w:tcW w:w="3660" w:type="dxa"/>
            <w:vAlign w:val="bottom"/>
          </w:tcPr>
          <w:p>
            <w:pPr>
              <w:spacing w:after="0"/>
              <w:rPr>
                <w:sz w:val="17"/>
                <w:szCs w:val="17"/>
                <w:color w:val="auto"/>
              </w:rPr>
            </w:pPr>
          </w:p>
        </w:tc>
      </w:tr>
      <w:tr>
        <w:trPr>
          <w:trHeight w:val="560"/>
        </w:trPr>
        <w:tc>
          <w:tcPr>
            <w:tcW w:w="11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2014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2019</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2022</w:t>
      </w:r>
    </w:p>
    <w:p>
      <w:pPr>
        <w:sectPr>
          <w:pgSz w:w="11900" w:h="16838" w:orient="portrait"/>
          <w:cols w:equalWidth="0" w:num="2">
            <w:col w:w="8720" w:space="520"/>
            <w:col w:w="1340"/>
          </w:cols>
          <w:pgMar w:left="340" w:top="365" w:right="97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07"/>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10.44</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Landlord to Sublease dated as of January</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20, 2023, among Amarin Pharma, Inc. ST Shared</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Services LLC and Liberty Denver Wood LLC</w:t>
            </w:r>
          </w:p>
        </w:tc>
        <w:tc>
          <w:tcPr>
            <w:tcW w:w="3040" w:type="dxa"/>
            <w:vAlign w:val="bottom"/>
          </w:tcPr>
          <w:p>
            <w:pPr>
              <w:spacing w:after="0"/>
              <w:rPr>
                <w:sz w:val="17"/>
                <w:szCs w:val="17"/>
                <w:color w:val="auto"/>
              </w:rPr>
            </w:pPr>
          </w:p>
        </w:tc>
      </w:tr>
      <w:tr>
        <w:trPr>
          <w:trHeight w:val="20"/>
        </w:trPr>
        <w:tc>
          <w:tcPr>
            <w:tcW w:w="1180" w:type="dxa"/>
            <w:vAlign w:val="bottom"/>
            <w:tcBorders>
              <w:right w:val="single" w:sz="8" w:color="0000EE"/>
            </w:tcBorders>
            <w:gridSpan w:val="2"/>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63"/>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10.45</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Guaranty dated January 20, 2023, issued by MEH,</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Inc.</w:t>
            </w:r>
          </w:p>
        </w:tc>
        <w:tc>
          <w:tcPr>
            <w:tcW w:w="3040" w:type="dxa"/>
            <w:vAlign w:val="bottom"/>
          </w:tcPr>
          <w:p>
            <w:pPr>
              <w:spacing w:after="0"/>
              <w:rPr>
                <w:sz w:val="17"/>
                <w:szCs w:val="17"/>
                <w:color w:val="auto"/>
              </w:rPr>
            </w:pPr>
          </w:p>
        </w:tc>
      </w:tr>
      <w:tr>
        <w:trPr>
          <w:trHeight w:val="20"/>
        </w:trPr>
        <w:tc>
          <w:tcPr>
            <w:tcW w:w="1180" w:type="dxa"/>
            <w:vAlign w:val="bottom"/>
            <w:tcBorders>
              <w:right w:val="single" w:sz="8" w:color="0000EE"/>
            </w:tcBorders>
            <w:gridSpan w:val="2"/>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1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10.46</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Sublease Agreement dated January 20, 2023, by and</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between Amarin Pharma, Inc. and ST Shared</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Services LLC</w:t>
            </w:r>
          </w:p>
        </w:tc>
        <w:tc>
          <w:tcPr>
            <w:tcW w:w="3040" w:type="dxa"/>
            <w:vAlign w:val="bottom"/>
          </w:tcPr>
          <w:p>
            <w:pPr>
              <w:spacing w:after="0"/>
              <w:rPr>
                <w:sz w:val="17"/>
                <w:szCs w:val="17"/>
                <w:color w:val="auto"/>
              </w:rPr>
            </w:pPr>
          </w:p>
        </w:tc>
      </w:tr>
      <w:tr>
        <w:trPr>
          <w:trHeight w:val="20"/>
        </w:trPr>
        <w:tc>
          <w:tcPr>
            <w:tcW w:w="118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91"/>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10.47</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License Agreement dated September 13, 2022,</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between Amarin Pharmaceuticals Ireland Ltd and</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Weston Office Solutions Ltd</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6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40" w:type="dxa"/>
            <w:vAlign w:val="bottom"/>
          </w:tcPr>
          <w:p>
            <w:pPr>
              <w:spacing w:after="0"/>
              <w:rPr>
                <w:sz w:val="22"/>
                <w:szCs w:val="22"/>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1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84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Power of Attorney</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Included on the signature page(s) hereto</w:t>
            </w: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3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4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pursuant to Section 302</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of Sarbanes-Oxley Act of 2002</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90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(Principal Financial Officer and</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302 of Sarbanes-Oxley Act of 2002</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40" w:type="dxa"/>
            <w:vAlign w:val="bottom"/>
          </w:tcPr>
          <w:p>
            <w:pPr>
              <w:spacing w:after="0"/>
              <w:rPr>
                <w:sz w:val="24"/>
                <w:szCs w:val="24"/>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Certification of President and Chief Executive Officer</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34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(Principal Executive Officer) and Senior Vice</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President and Chief Financial Officer (Principal</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120" w:type="dxa"/>
            <w:vAlign w:val="bottom"/>
            <w:gridSpan w:val="11"/>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and Principal Accounting Officer)</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240" w:type="dxa"/>
            <w:vAlign w:val="bottom"/>
            <w:gridSpan w:val="1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Sarbanes-Oxley Act of</w:t>
            </w:r>
          </w:p>
        </w:tc>
        <w:tc>
          <w:tcPr>
            <w:tcW w:w="30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
        </w:trPr>
        <w:tc>
          <w:tcPr>
            <w:tcW w:w="118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3520" w:type="dxa"/>
            <w:vAlign w:val="bottom"/>
            <w:gridSpan w:val="14"/>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6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5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3040" w:type="dxa"/>
            <w:vAlign w:val="bottom"/>
          </w:tcPr>
          <w:p>
            <w:pPr>
              <w:spacing w:after="0"/>
              <w:rPr>
                <w:sz w:val="20"/>
                <w:szCs w:val="20"/>
                <w:color w:val="auto"/>
              </w:rPr>
            </w:pPr>
          </w:p>
        </w:tc>
      </w:tr>
      <w:tr>
        <w:trPr>
          <w:trHeight w:val="2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40" w:type="dxa"/>
            <w:vAlign w:val="bottom"/>
          </w:tcPr>
          <w:p>
            <w:pPr>
              <w:spacing w:after="0"/>
              <w:rPr>
                <w:sz w:val="20"/>
                <w:szCs w:val="20"/>
                <w:color w:val="auto"/>
              </w:rPr>
            </w:pPr>
          </w:p>
        </w:tc>
      </w:tr>
      <w:tr>
        <w:trPr>
          <w:trHeight w:val="2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40" w:type="dxa"/>
            <w:vAlign w:val="bottom"/>
          </w:tcPr>
          <w:p>
            <w:pPr>
              <w:spacing w:after="0"/>
              <w:rPr>
                <w:sz w:val="20"/>
                <w:szCs w:val="20"/>
                <w:color w:val="auto"/>
              </w:rPr>
            </w:pPr>
          </w:p>
        </w:tc>
      </w:tr>
      <w:tr>
        <w:trPr>
          <w:trHeight w:val="2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3040" w:type="dxa"/>
            <w:vAlign w:val="bottom"/>
          </w:tcPr>
          <w:p>
            <w:pPr>
              <w:spacing w:after="0"/>
              <w:rPr>
                <w:sz w:val="20"/>
                <w:szCs w:val="20"/>
                <w:color w:val="auto"/>
              </w:rPr>
            </w:pPr>
          </w:p>
        </w:tc>
      </w:tr>
      <w:tr>
        <w:trPr>
          <w:trHeight w:val="2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040" w:type="dxa"/>
            <w:vAlign w:val="bottom"/>
          </w:tcPr>
          <w:p>
            <w:pPr>
              <w:spacing w:after="0"/>
              <w:rPr>
                <w:sz w:val="20"/>
                <w:szCs w:val="20"/>
                <w:color w:val="auto"/>
              </w:rPr>
            </w:pPr>
          </w:p>
        </w:tc>
      </w:tr>
      <w:tr>
        <w:trPr>
          <w:trHeight w:val="26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tcPr>
          <w:p>
            <w:pPr>
              <w:spacing w:after="0"/>
              <w:rPr>
                <w:sz w:val="23"/>
                <w:szCs w:val="23"/>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3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with applicable taxonomy extension</w:t>
            </w:r>
          </w:p>
        </w:tc>
        <w:tc>
          <w:tcPr>
            <w:tcW w:w="30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information contained in Exhibit 101.)</w:t>
            </w:r>
          </w:p>
        </w:tc>
        <w:tc>
          <w:tcPr>
            <w:tcW w:w="3040" w:type="dxa"/>
            <w:vAlign w:val="bottom"/>
          </w:tcPr>
          <w:p>
            <w:pPr>
              <w:spacing w:after="0"/>
              <w:rPr>
                <w:sz w:val="20"/>
                <w:szCs w:val="20"/>
                <w:color w:val="auto"/>
              </w:rPr>
            </w:pPr>
          </w:p>
        </w:tc>
      </w:tr>
    </w:tbl>
    <w:p>
      <w:pPr>
        <w:spacing w:after="0" w:line="198" w:lineRule="exact"/>
        <w:rPr>
          <w:sz w:val="20"/>
          <w:szCs w:val="20"/>
          <w:color w:val="auto"/>
        </w:rPr>
      </w:pPr>
    </w:p>
    <w:p>
      <w:pPr>
        <w:ind w:left="240" w:hanging="232"/>
        <w:spacing w:after="0"/>
        <w:tabs>
          <w:tab w:leader="none" w:pos="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with respect to portions of this exhibit pursuant to an application requesting confidential treatment under Rule</w:t>
      </w:r>
    </w:p>
    <w:p>
      <w:pPr>
        <w:spacing w:after="0" w:line="38" w:lineRule="exact"/>
        <w:rPr>
          <w:rFonts w:ascii="Times New Roman" w:cs="Times New Roman" w:eastAsia="Times New Roman" w:hAnsi="Times New Roman"/>
          <w:sz w:val="17"/>
          <w:szCs w:val="17"/>
          <w:color w:val="auto"/>
        </w:rPr>
      </w:pPr>
    </w:p>
    <w:p>
      <w:pPr>
        <w:ind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24b-2 of the Securities Exchange Act of 1934. A complete copy of this exhibit, including the redacted terms, has been separately filed with the Securities and Exchange Commission.</w:t>
      </w:r>
    </w:p>
    <w:p>
      <w:pPr>
        <w:ind w:right="34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Certain confidential portions (indicated by brackets and asterisks) have been omitted from this exhibit. * Management contract or compensatory plan or arrangement.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5" w:right="51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79" w:lineRule="exact"/>
        <w:rPr>
          <w:sz w:val="20"/>
          <w:szCs w:val="20"/>
          <w:color w:val="auto"/>
        </w:rPr>
      </w:pPr>
    </w:p>
    <w:p>
      <w:pPr>
        <w:ind w:left="6780"/>
        <w:spacing w:after="0"/>
        <w:tabs>
          <w:tab w:leader="none" w:pos="7320" w:val="left"/>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24860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0"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Karim Mikhail</w:t>
      </w:r>
    </w:p>
    <w:p>
      <w:pPr>
        <w:spacing w:after="0" w:line="3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 xml:space="preserve">President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Chief Executive Officer</w:t>
      </w:r>
    </w:p>
    <w:p>
      <w:pPr>
        <w:spacing w:after="0" w:line="29"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March 1, 2023</w:t>
      </w:r>
    </w:p>
    <w:p>
      <w:pPr>
        <w:spacing w:after="0" w:line="17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the Registrant hereby severally constitute and appoint Karim Mikhail and Tom Reilly,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the Registrant to comply with the provisions of the Securities Exchange Act of 1934, as amended, and all requirements of the Securities and Exchange Commission.</w:t>
      </w:r>
    </w:p>
    <w:p>
      <w:pPr>
        <w:spacing w:after="0" w:line="12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0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20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w:t>
            </w:r>
          </w:p>
        </w:tc>
        <w:tc>
          <w:tcPr>
            <w:tcW w:w="80" w:type="dxa"/>
            <w:vAlign w:val="bottom"/>
          </w:tcPr>
          <w:p>
            <w:pPr>
              <w:spacing w:after="0"/>
              <w:rPr>
                <w:sz w:val="24"/>
                <w:szCs w:val="24"/>
                <w:color w:val="auto"/>
              </w:rPr>
            </w:pPr>
          </w:p>
        </w:tc>
        <w:tc>
          <w:tcPr>
            <w:tcW w:w="2980" w:type="dxa"/>
            <w:vAlign w:val="bottom"/>
          </w:tcPr>
          <w:p>
            <w:pPr>
              <w:jc w:val="center"/>
              <w:ind w:right="1732"/>
              <w:spacing w:after="0"/>
              <w:rPr>
                <w:sz w:val="20"/>
                <w:szCs w:val="20"/>
                <w:color w:val="auto"/>
              </w:rPr>
            </w:pPr>
            <w:r>
              <w:rPr>
                <w:rFonts w:ascii="Times New Roman" w:cs="Times New Roman" w:eastAsia="Times New Roman" w:hAnsi="Times New Roman"/>
                <w:sz w:val="18"/>
                <w:szCs w:val="18"/>
                <w:color w:val="auto"/>
              </w:rPr>
              <w:t>Karim Mikhail</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Karim Mikhail</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21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w w:val="93"/>
              </w:rPr>
              <w:t>/s/</w:t>
            </w:r>
          </w:p>
        </w:tc>
        <w:tc>
          <w:tcPr>
            <w:tcW w:w="2980" w:type="dxa"/>
            <w:vAlign w:val="bottom"/>
          </w:tcPr>
          <w:p>
            <w:pPr>
              <w:jc w:val="center"/>
              <w:ind w:right="1732"/>
              <w:spacing w:after="0"/>
              <w:rPr>
                <w:sz w:val="20"/>
                <w:szCs w:val="20"/>
                <w:color w:val="auto"/>
              </w:rPr>
            </w:pPr>
            <w:r>
              <w:rPr>
                <w:rFonts w:ascii="Times New Roman" w:cs="Times New Roman" w:eastAsia="Times New Roman" w:hAnsi="Times New Roman"/>
                <w:sz w:val="18"/>
                <w:szCs w:val="18"/>
                <w:color w:val="auto"/>
                <w:w w:val="96"/>
              </w:rPr>
              <w:t>Tom Reilly</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Financial Officer (Principal</w:t>
            </w: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vMerge w:val="restart"/>
          </w:tcPr>
          <w:p>
            <w:pPr>
              <w:jc w:val="center"/>
              <w:ind w:right="2072"/>
              <w:spacing w:after="0"/>
              <w:rPr>
                <w:sz w:val="20"/>
                <w:szCs w:val="20"/>
                <w:color w:val="auto"/>
              </w:rPr>
            </w:pPr>
            <w:r>
              <w:rPr>
                <w:rFonts w:ascii="Times New Roman" w:cs="Times New Roman" w:eastAsia="Times New Roman" w:hAnsi="Times New Roman"/>
                <w:sz w:val="18"/>
                <w:szCs w:val="18"/>
                <w:color w:val="auto"/>
                <w:w w:val="99"/>
              </w:rPr>
              <w:t>Tom Reilly</w:t>
            </w:r>
          </w:p>
        </w:tc>
        <w:tc>
          <w:tcPr>
            <w:tcW w:w="20" w:type="dxa"/>
            <w:vAlign w:val="bottom"/>
          </w:tcPr>
          <w:p>
            <w:pPr>
              <w:spacing w:after="0"/>
              <w:rPr>
                <w:sz w:val="14"/>
                <w:szCs w:val="14"/>
                <w:color w:val="auto"/>
              </w:rPr>
            </w:pPr>
          </w:p>
        </w:tc>
        <w:tc>
          <w:tcPr>
            <w:tcW w:w="39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w w:val="93"/>
              </w:rPr>
              <w:t>/s/</w:t>
            </w: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732"/>
              <w:spacing w:after="0"/>
              <w:rPr>
                <w:sz w:val="20"/>
                <w:szCs w:val="20"/>
                <w:color w:val="auto"/>
              </w:rPr>
            </w:pPr>
            <w:r>
              <w:rPr>
                <w:rFonts w:ascii="Times New Roman" w:cs="Times New Roman" w:eastAsia="Times New Roman" w:hAnsi="Times New Roman"/>
                <w:sz w:val="18"/>
                <w:szCs w:val="18"/>
                <w:color w:val="auto"/>
                <w:w w:val="98"/>
              </w:rPr>
              <w:t>Adam Berger</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60" w:type="dxa"/>
            <w:vAlign w:val="bottom"/>
            <w:gridSpan w:val="2"/>
          </w:tcPr>
          <w:p>
            <w:pPr>
              <w:jc w:val="center"/>
              <w:ind w:right="1992"/>
              <w:spacing w:after="0"/>
              <w:rPr>
                <w:sz w:val="20"/>
                <w:szCs w:val="20"/>
                <w:color w:val="auto"/>
              </w:rPr>
            </w:pPr>
            <w:r>
              <w:rPr>
                <w:rFonts w:ascii="Times New Roman" w:cs="Times New Roman" w:eastAsia="Times New Roman" w:hAnsi="Times New Roman"/>
                <w:sz w:val="18"/>
                <w:szCs w:val="18"/>
                <w:color w:val="auto"/>
              </w:rPr>
              <w:t>Adam Berger</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60" w:type="dxa"/>
            <w:vAlign w:val="bottom"/>
            <w:tcBorders>
              <w:bottom w:val="single" w:sz="8" w:color="auto"/>
            </w:tcBorders>
            <w:gridSpan w:val="2"/>
          </w:tcPr>
          <w:p>
            <w:pPr>
              <w:ind w:left="1940"/>
              <w:spacing w:after="0"/>
              <w:rPr>
                <w:sz w:val="20"/>
                <w:szCs w:val="20"/>
                <w:color w:val="auto"/>
              </w:rPr>
            </w:pPr>
            <w:r>
              <w:rPr>
                <w:rFonts w:ascii="Times New Roman" w:cs="Times New Roman" w:eastAsia="Times New Roman" w:hAnsi="Times New Roman"/>
                <w:sz w:val="18"/>
                <w:szCs w:val="18"/>
                <w:color w:val="auto"/>
              </w:rPr>
              <w:t>/s/</w:t>
            </w:r>
          </w:p>
        </w:tc>
        <w:tc>
          <w:tcPr>
            <w:tcW w:w="2980" w:type="dxa"/>
            <w:vAlign w:val="bottom"/>
            <w:tcBorders>
              <w:bottom w:val="single" w:sz="8" w:color="auto"/>
            </w:tcBorders>
          </w:tcPr>
          <w:p>
            <w:pPr>
              <w:jc w:val="center"/>
              <w:ind w:right="1732"/>
              <w:spacing w:after="0"/>
              <w:rPr>
                <w:sz w:val="20"/>
                <w:szCs w:val="20"/>
                <w:color w:val="auto"/>
              </w:rPr>
            </w:pPr>
            <w:r>
              <w:rPr>
                <w:rFonts w:ascii="Times New Roman" w:cs="Times New Roman" w:eastAsia="Times New Roman" w:hAnsi="Times New Roman"/>
                <w:sz w:val="18"/>
                <w:szCs w:val="18"/>
                <w:color w:val="auto"/>
                <w:w w:val="98"/>
              </w:rPr>
              <w:t>Erin Enright</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60" w:type="dxa"/>
            <w:vAlign w:val="bottom"/>
            <w:gridSpan w:val="2"/>
          </w:tcPr>
          <w:p>
            <w:pPr>
              <w:jc w:val="center"/>
              <w:ind w:right="1992"/>
              <w:spacing w:after="0"/>
              <w:rPr>
                <w:sz w:val="20"/>
                <w:szCs w:val="20"/>
                <w:color w:val="auto"/>
              </w:rPr>
            </w:pPr>
            <w:r>
              <w:rPr>
                <w:rFonts w:ascii="Times New Roman" w:cs="Times New Roman" w:eastAsia="Times New Roman" w:hAnsi="Times New Roman"/>
                <w:sz w:val="18"/>
                <w:szCs w:val="18"/>
                <w:color w:val="auto"/>
              </w:rPr>
              <w:t>Erin Enright</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color w:val="auto"/>
                <w:w w:val="93"/>
              </w:rPr>
              <w:t>/s/</w:t>
            </w: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732"/>
              <w:spacing w:after="0"/>
              <w:rPr>
                <w:sz w:val="20"/>
                <w:szCs w:val="20"/>
                <w:color w:val="auto"/>
              </w:rPr>
            </w:pPr>
            <w:r>
              <w:rPr>
                <w:rFonts w:ascii="Times New Roman" w:cs="Times New Roman" w:eastAsia="Times New Roman" w:hAnsi="Times New Roman"/>
                <w:sz w:val="18"/>
                <w:szCs w:val="18"/>
                <w:color w:val="auto"/>
                <w:w w:val="98"/>
              </w:rPr>
              <w:t>Jan van Heek</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60" w:type="dxa"/>
            <w:vAlign w:val="bottom"/>
            <w:gridSpan w:val="2"/>
          </w:tcPr>
          <w:p>
            <w:pPr>
              <w:jc w:val="center"/>
              <w:ind w:right="1992"/>
              <w:spacing w:after="0"/>
              <w:rPr>
                <w:sz w:val="20"/>
                <w:szCs w:val="20"/>
                <w:color w:val="auto"/>
              </w:rPr>
            </w:pPr>
            <w:r>
              <w:rPr>
                <w:rFonts w:ascii="Times New Roman" w:cs="Times New Roman" w:eastAsia="Times New Roman" w:hAnsi="Times New Roman"/>
                <w:sz w:val="18"/>
                <w:szCs w:val="18"/>
                <w:color w:val="auto"/>
              </w:rPr>
              <w:t>Jan van Heek</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20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gridSpan w:val="2"/>
          </w:tcPr>
          <w:p>
            <w:pPr>
              <w:jc w:val="center"/>
              <w:ind w:right="1652"/>
              <w:spacing w:after="0"/>
              <w:rPr>
                <w:sz w:val="20"/>
                <w:szCs w:val="20"/>
                <w:color w:val="auto"/>
              </w:rPr>
            </w:pPr>
            <w:r>
              <w:rPr>
                <w:rFonts w:ascii="Times New Roman" w:cs="Times New Roman" w:eastAsia="Times New Roman" w:hAnsi="Times New Roman"/>
                <w:sz w:val="18"/>
                <w:szCs w:val="18"/>
                <w:color w:val="auto"/>
                <w:w w:val="98"/>
              </w:rPr>
              <w:t>Geraldine Murphy</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Geraldine Murphy</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gridSpan w:val="2"/>
          </w:tcPr>
          <w:p>
            <w:pPr>
              <w:jc w:val="center"/>
              <w:ind w:right="1652"/>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5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Murray Stewart D.M., F.R.C.P.</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Murray Stewart D.M., F.R.C.P.</w:t>
            </w:r>
          </w:p>
        </w:tc>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20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/s/</w:t>
            </w: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732"/>
              <w:spacing w:after="0"/>
              <w:rPr>
                <w:sz w:val="20"/>
                <w:szCs w:val="20"/>
                <w:color w:val="auto"/>
              </w:rPr>
            </w:pPr>
            <w:r>
              <w:rPr>
                <w:rFonts w:ascii="Times New Roman" w:cs="Times New Roman" w:eastAsia="Times New Roman" w:hAnsi="Times New Roman"/>
                <w:sz w:val="18"/>
                <w:szCs w:val="18"/>
                <w:color w:val="auto"/>
                <w:w w:val="98"/>
              </w:rPr>
              <w:t>Alfonso Zulueta</w:t>
            </w:r>
          </w:p>
        </w:tc>
        <w:tc>
          <w:tcPr>
            <w:tcW w:w="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 2023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Alfonso Zulueta</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Page</w:t>
            </w:r>
          </w:p>
        </w:tc>
      </w:tr>
      <w:tr>
        <w:trPr>
          <w:trHeight w:val="183"/>
        </w:trPr>
        <w:tc>
          <w:tcPr>
            <w:tcW w:w="1010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120" w:type="dxa"/>
            <w:vAlign w:val="bottom"/>
          </w:tcPr>
          <w:p>
            <w:pPr>
              <w:ind w:left="86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120" w:type="dxa"/>
            <w:vAlign w:val="bottom"/>
          </w:tcPr>
          <w:p>
            <w:pPr>
              <w:spacing w:after="0"/>
              <w:rPr>
                <w:sz w:val="22"/>
                <w:szCs w:val="22"/>
                <w:color w:val="auto"/>
              </w:rPr>
            </w:pPr>
          </w:p>
        </w:tc>
      </w:tr>
      <w:tr>
        <w:trPr>
          <w:trHeight w:val="203"/>
        </w:trPr>
        <w:tc>
          <w:tcPr>
            <w:tcW w:w="101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December 31, 2022 and 2021</w:t>
            </w:r>
          </w:p>
        </w:tc>
        <w:tc>
          <w:tcPr>
            <w:tcW w:w="1120" w:type="dxa"/>
            <w:vAlign w:val="bottom"/>
          </w:tcPr>
          <w:p>
            <w:pPr>
              <w:ind w:left="860"/>
              <w:spacing w:after="0" w:line="202"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2021 and 2020</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2021 and 2020</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2021 and 2020</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shd w:val="clear" w:color="auto" w:fill="0000FF"/>
          </w:tcPr>
          <w:p>
            <w:pPr>
              <w:spacing w:after="0" w:line="20" w:lineRule="exact"/>
              <w:rPr>
                <w:sz w:val="1"/>
                <w:szCs w:val="1"/>
                <w:color w:val="auto"/>
              </w:rPr>
            </w:pPr>
          </w:p>
        </w:tc>
        <w:tc>
          <w:tcPr>
            <w:tcW w:w="3740" w:type="dxa"/>
            <w:vAlign w:val="bottom"/>
            <w:gridSpan w:val="4"/>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F-8</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Amarin Corporation plc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Amarin Corporation plc (the Company) as of December 31, 2022 and 2021, the related consolidated statements of operations,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Product Return Reserve Estimate</w:t>
            </w:r>
          </w:p>
        </w:tc>
      </w:tr>
      <w:tr>
        <w:trPr>
          <w:trHeight w:val="439"/>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2022, the Company recorded a liability for product returns totaling $8.7 million. As discussed in Note 13 of</w:t>
            </w:r>
          </w:p>
        </w:tc>
      </w:tr>
      <w:tr>
        <w:trPr>
          <w:trHeight w:val="218"/>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financial statements, the Company sells its product to distributors that in turn resell the product to retail pharmacies for</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subsequent sale to patients and healthcare providers. The Company estimates variable consideration resulting from product</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returns based on quantitative and qualitative data from various internal and external sources.</w:t>
            </w:r>
          </w:p>
        </w:tc>
      </w:tr>
      <w:tr>
        <w:trPr>
          <w:trHeight w:val="414"/>
        </w:trPr>
        <w:tc>
          <w:tcPr>
            <w:tcW w:w="1680" w:type="dxa"/>
            <w:vAlign w:val="bottom"/>
          </w:tcPr>
          <w:p>
            <w:pPr>
              <w:spacing w:after="0"/>
              <w:rPr>
                <w:sz w:val="24"/>
                <w:szCs w:val="24"/>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Auditing management’s estimate of product returns was complex and judgmental due to the significant estimation required to</w:t>
            </w:r>
          </w:p>
        </w:tc>
      </w:tr>
      <w:tr>
        <w:trPr>
          <w:trHeight w:val="216"/>
        </w:trPr>
        <w:tc>
          <w:tcPr>
            <w:tcW w:w="1680" w:type="dxa"/>
            <w:vAlign w:val="bottom"/>
          </w:tcPr>
          <w:p>
            <w:pPr>
              <w:spacing w:after="0"/>
              <w:rPr>
                <w:sz w:val="18"/>
                <w:szCs w:val="18"/>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determine inventory in the distribution channel that will not ultimately be sold to patients and healthcare providers and will be</w:t>
            </w:r>
          </w:p>
        </w:tc>
      </w:tr>
      <w:tr>
        <w:trPr>
          <w:trHeight w:val="234"/>
        </w:trPr>
        <w:tc>
          <w:tcPr>
            <w:tcW w:w="168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returned. Sales into the distribution channel could exceed market demand.</w:t>
            </w:r>
          </w:p>
        </w:tc>
      </w:tr>
      <w:tr>
        <w:trPr>
          <w:trHeight w:val="661"/>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F-2</w:t>
            </w:r>
          </w:p>
        </w:tc>
      </w:tr>
      <w:tr>
        <w:trPr>
          <w:trHeight w:val="115"/>
        </w:trPr>
        <w:tc>
          <w:tcPr>
            <w:tcW w:w="1680" w:type="dxa"/>
            <w:vAlign w:val="bottom"/>
            <w:tcBorders>
              <w:bottom w:val="single" w:sz="8" w:color="9A9A9A"/>
            </w:tcBorders>
          </w:tcPr>
          <w:p>
            <w:pPr>
              <w:spacing w:after="0"/>
              <w:rPr>
                <w:sz w:val="10"/>
                <w:szCs w:val="10"/>
                <w:color w:val="auto"/>
              </w:rPr>
            </w:pPr>
          </w:p>
        </w:tc>
        <w:tc>
          <w:tcPr>
            <w:tcW w:w="9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ind w:left="20"/>
        <w:spacing w:after="0"/>
        <w:tabs>
          <w:tab w:leader="none" w:pos="202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We obtained an understanding, evaluated the design and tested the operating effectiveness of the controls over the Company’s</w:t>
      </w:r>
    </w:p>
    <w:p>
      <w:pPr>
        <w:spacing w:after="0" w:line="29" w:lineRule="exact"/>
        <w:rPr>
          <w:sz w:val="20"/>
          <w:szCs w:val="20"/>
          <w:color w:val="auto"/>
        </w:rPr>
      </w:pPr>
    </w:p>
    <w:p>
      <w:pPr>
        <w:ind w:left="2040" w:hanging="2024"/>
        <w:spacing w:after="0" w:line="250" w:lineRule="auto"/>
        <w:tabs>
          <w:tab w:leader="none" w:pos="202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process for product returns including inventory in the distribution channel. These procedures included controls over management’s review of the inputs used and assumptions applied in the returns reserve calculation and channel inventory analysis.</w:t>
      </w:r>
    </w:p>
    <w:p>
      <w:pPr>
        <w:spacing w:after="0" w:line="1" w:lineRule="exact"/>
        <w:rPr>
          <w:sz w:val="20"/>
          <w:szCs w:val="20"/>
          <w:color w:val="auto"/>
        </w:rPr>
      </w:pPr>
    </w:p>
    <w:p>
      <w:pPr>
        <w:ind w:left="2040" w:right="40"/>
        <w:spacing w:after="0" w:line="251" w:lineRule="auto"/>
        <w:rPr>
          <w:sz w:val="20"/>
          <w:szCs w:val="20"/>
          <w:color w:val="auto"/>
        </w:rPr>
      </w:pPr>
      <w:r>
        <w:rPr>
          <w:rFonts w:ascii="Times New Roman" w:cs="Times New Roman" w:eastAsia="Times New Roman" w:hAnsi="Times New Roman"/>
          <w:sz w:val="18"/>
          <w:szCs w:val="18"/>
          <w:color w:val="auto"/>
        </w:rPr>
        <w:t>To test the estimated product return reserve, we performed audit procedures that included, among others, testing management’s historical return rate calculation and testing the completeness and accuracy of sales and returns data used in the calculation. We also compared product expiration dates in the calculation to the related quality control documentation. We assessed the historical accuracy of management’s estimate and performed analytical procedures to assess the correlation of monthly sales to distributors and monthly patient prescriptions. In addition, we assessed the Company’s quarterly analysis of inventory held at various stages in the distribution channel. We confirmed prescription data directly with a third party, confirmed contract terms directly with significant customers, and tested credit memos issued subsequent to year-end for recording in the proper period. We read significant customer contracts and performed direct inquiries with management including the sales, legal, and contracting departments to identify any terms or conditions not included in customer contracts that could impact the estimate of product returns.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76" w:right="419" w:bottom="1440" w:gutter="0" w:footer="0" w:header="0"/>
        </w:sectPr>
      </w:pPr>
    </w:p>
    <w:bookmarkStart w:id="101" w:name="page102"/>
    <w:bookmarkEnd w:id="1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217,666</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219,454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91,695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689,098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878,727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163,620</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121,254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Pr>
          <w:p>
            <w:pPr>
              <w:spacing w:after="0"/>
              <w:rPr>
                <w:sz w:val="20"/>
                <w:szCs w:val="20"/>
                <w:color w:val="auto"/>
              </w:rPr>
            </w:pPr>
          </w:p>
        </w:tc>
      </w:tr>
      <w:tr>
        <w:trPr>
          <w:trHeight w:val="278"/>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259,479</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370,682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290,846</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400,966</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£0.50 par, unlimited authorized; 412,333,087 shares issued, 404,346,256 shares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December 31, 2022; 404,084,775 shares issued, 396,598,008 shares outstanding at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December 31, 2021</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299,002</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294,027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1,855,246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7,986,831 shares at December 31, 2022; 7,486,767 shares at December 31, 2021</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(61,770 )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(60,726 )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(1,527,251 )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(1,421,448 )</w:t>
            </w:r>
          </w:p>
        </w:tc>
      </w:tr>
      <w:tr>
        <w:trPr>
          <w:trHeight w:val="236"/>
        </w:trPr>
        <w:tc>
          <w:tcPr>
            <w:tcW w:w="772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595,333</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667,099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886,179</w:t>
            </w:r>
          </w:p>
        </w:tc>
        <w:tc>
          <w:tcPr>
            <w:tcW w:w="2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-4568190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-3308350</wp:posOffset>
            </wp:positionV>
            <wp:extent cx="124333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-1722120</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366,511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580,320</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607,025</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 net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369,193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583,187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614,060</w:t>
            </w: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Cost of goods sold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131,444</w:t>
            </w:r>
          </w:p>
        </w:tc>
        <w:tc>
          <w:tcPr>
            <w:tcW w:w="100" w:type="dxa"/>
            <w:vAlign w:val="bottom"/>
          </w:tcPr>
          <w:p>
            <w:pPr>
              <w:spacing w:after="0"/>
              <w:rPr>
                <w:sz w:val="20"/>
                <w:szCs w:val="20"/>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Cost of goods sold - restructuring inventory</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242,484</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461,860</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482,616</w:t>
            </w:r>
          </w:p>
        </w:tc>
        <w:tc>
          <w:tcPr>
            <w:tcW w:w="100" w:type="dxa"/>
            <w:vAlign w:val="bottom"/>
            <w:tcBorders>
              <w:top w:val="single" w:sz="8" w:color="CFF0FC"/>
            </w:tcBorders>
          </w:tcPr>
          <w:p>
            <w:pPr>
              <w:spacing w:after="0"/>
              <w:rPr>
                <w:sz w:val="20"/>
                <w:szCs w:val="20"/>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408,334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463,312</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(105,869 )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(19,655 )</w:t>
            </w: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(129 )</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(2,605 )</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(103,805 )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(17,255 )</w:t>
            </w: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(1,998 )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(3,562 )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(745 )</w:t>
            </w:r>
          </w:p>
        </w:tc>
      </w:tr>
      <w:tr>
        <w:trPr>
          <w:trHeight w:val="20"/>
        </w:trPr>
        <w:tc>
          <w:tcPr>
            <w:tcW w:w="6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(105,803 )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(18,000 )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earnings per share: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(0.26 )</w:t>
            </w: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8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(0.26 )</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(0.05 )</w:t>
            </w:r>
          </w:p>
        </w:tc>
      </w:tr>
      <w:tr>
        <w:trPr>
          <w:trHeight w:val="224"/>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395,992</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100" w:type="dxa"/>
            <w:vAlign w:val="bottom"/>
            <w:shd w:val="clear" w:color="auto" w:fill="CFF0FC"/>
          </w:tcPr>
          <w:p>
            <w:pPr>
              <w:spacing w:after="0"/>
              <w:rPr>
                <w:sz w:val="21"/>
                <w:szCs w:val="21"/>
                <w:color w:val="auto"/>
              </w:rPr>
            </w:pPr>
          </w:p>
        </w:tc>
      </w:tr>
      <w:tr>
        <w:trPr>
          <w:trHeight w:val="234"/>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402,480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-3028315</wp:posOffset>
            </wp:positionV>
            <wp:extent cx="7683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-3028315</wp:posOffset>
            </wp:positionV>
            <wp:extent cx="685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-2077085</wp:posOffset>
            </wp:positionV>
            <wp:extent cx="76835"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-2077085</wp:posOffset>
            </wp:positionV>
            <wp:extent cx="6858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-2077085</wp:posOffset>
            </wp:positionV>
            <wp:extent cx="6858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-1450975</wp:posOffset>
            </wp:positionV>
            <wp:extent cx="76835"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-1450975</wp:posOffset>
            </wp:positionV>
            <wp:extent cx="68580" cy="1631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-1450975</wp:posOffset>
            </wp:positionV>
            <wp:extent cx="6858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-1134110</wp:posOffset>
            </wp:positionV>
            <wp:extent cx="7683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-1134110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-1134110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-482600</wp:posOffset>
            </wp:positionV>
            <wp:extent cx="209169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2091690" cy="179705"/>
                    </a:xfrm>
                    <a:prstGeom prst="rect">
                      <a:avLst/>
                    </a:prstGeom>
                    <a:noFill/>
                  </pic:spPr>
                </pic:pic>
              </a:graphicData>
            </a:graphic>
          </wp:anchor>
        </w:drawing>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620" w:type="dxa"/>
            <w:vAlign w:val="bottom"/>
          </w:tcPr>
          <w:p>
            <w:pPr>
              <w:spacing w:after="0"/>
              <w:rPr>
                <w:sz w:val="11"/>
                <w:szCs w:val="11"/>
                <w:color w:val="auto"/>
              </w:rPr>
            </w:pPr>
          </w:p>
        </w:tc>
        <w:tc>
          <w:tcPr>
            <w:tcW w:w="1200" w:type="dxa"/>
            <w:vAlign w:val="bottom"/>
            <w:gridSpan w:val="2"/>
          </w:tcPr>
          <w:p>
            <w:pPr>
              <w:jc w:val="right"/>
              <w:ind w:right="44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318"/>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8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8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7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89"/>
              </w:rPr>
              <w:t>Treasury</w:t>
            </w:r>
          </w:p>
        </w:tc>
        <w:tc>
          <w:tcPr>
            <w:tcW w:w="80" w:type="dxa"/>
            <w:vAlign w:val="bottom"/>
          </w:tcPr>
          <w:p>
            <w:pPr>
              <w:spacing w:after="0"/>
              <w:rPr>
                <w:sz w:val="11"/>
                <w:szCs w:val="11"/>
                <w:color w:val="auto"/>
              </w:rPr>
            </w:pPr>
          </w:p>
        </w:tc>
        <w:tc>
          <w:tcPr>
            <w:tcW w:w="94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2"/>
              </w:rPr>
              <w:t>Accumulated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70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4"/>
                <w:szCs w:val="14"/>
                <w:color w:val="auto"/>
              </w:rPr>
            </w:pPr>
          </w:p>
        </w:tc>
        <w:tc>
          <w:tcPr>
            <w:tcW w:w="94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289,317,460</w:t>
            </w:r>
          </w:p>
        </w:tc>
        <w:tc>
          <w:tcPr>
            <w:tcW w:w="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365,014,893</w:t>
            </w: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(4,910,992</w:t>
            </w:r>
          </w:p>
        </w:tc>
        <w:tc>
          <w:tcPr>
            <w:tcW w:w="18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21,850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269,173</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1,764,317</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(35,900</w:t>
            </w:r>
          </w:p>
        </w:tc>
        <w:tc>
          <w:tcPr>
            <w:tcW w:w="14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(1,411,177</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608,263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11"/>
        </w:trPr>
        <w:tc>
          <w:tcPr>
            <w:tcW w:w="262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auto"/>
              </w:rPr>
              <w:t>Conversion of Series A</w:t>
            </w: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65"/>
        </w:trPr>
        <w:tc>
          <w:tcPr>
            <w:tcW w:w="2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Preferred Stock, net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(289,317,460 )</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28,931,746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(21,850 )</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(504 )</w:t>
            </w:r>
          </w:p>
        </w:tc>
      </w:tr>
      <w:tr>
        <w:trPr>
          <w:trHeight w:val="132"/>
        </w:trPr>
        <w:tc>
          <w:tcPr>
            <w:tcW w:w="26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2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347,153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00" w:type="dxa"/>
            <w:vAlign w:val="bottom"/>
            <w:shd w:val="clear" w:color="auto" w:fill="CFF0FC"/>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1,623,460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5,158</w:t>
            </w:r>
          </w:p>
        </w:tc>
        <w:tc>
          <w:tcPr>
            <w:tcW w:w="100" w:type="dxa"/>
            <w:vAlign w:val="bottom"/>
          </w:tcPr>
          <w:p>
            <w:pPr>
              <w:spacing w:after="0"/>
              <w:rPr>
                <w:sz w:val="14"/>
                <w:szCs w:val="14"/>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2,507,748</w:t>
            </w:r>
          </w:p>
        </w:tc>
        <w:tc>
          <w:tcPr>
            <w:tcW w:w="1220" w:type="dxa"/>
            <w:vAlign w:val="bottom"/>
            <w:gridSpan w:val="4"/>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(975,927 )</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(1,635 )</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(15,182 )</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(15,182 )</w:t>
            </w: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45,813</w:t>
            </w:r>
          </w:p>
        </w:tc>
        <w:tc>
          <w:tcPr>
            <w:tcW w:w="100" w:type="dxa"/>
            <w:vAlign w:val="bottom"/>
          </w:tcPr>
          <w:p>
            <w:pPr>
              <w:spacing w:after="0"/>
              <w:rPr>
                <w:sz w:val="14"/>
                <w:szCs w:val="14"/>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(18,000 )</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(18,000 )</w:t>
            </w:r>
          </w:p>
        </w:tc>
      </w:tr>
      <w:tr>
        <w:trPr>
          <w:trHeight w:val="20"/>
        </w:trPr>
        <w:tc>
          <w:tcPr>
            <w:tcW w:w="2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398,425,000</w:t>
            </w:r>
          </w:p>
        </w:tc>
        <w:tc>
          <w:tcPr>
            <w:tcW w:w="200" w:type="dxa"/>
            <w:vAlign w:val="bottom"/>
            <w:gridSpan w:val="2"/>
          </w:tcPr>
          <w:p>
            <w:pPr>
              <w:spacing w:after="0"/>
              <w:rPr>
                <w:sz w:val="13"/>
                <w:szCs w:val="13"/>
                <w:color w:val="auto"/>
              </w:rPr>
            </w:pPr>
          </w:p>
        </w:tc>
        <w:tc>
          <w:tcPr>
            <w:tcW w:w="102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(5,886,919 )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290,115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1,817,649</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(51,082 )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(1,429,177 )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627,505</w:t>
            </w:r>
          </w:p>
        </w:tc>
        <w:tc>
          <w:tcPr>
            <w:tcW w:w="10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62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 under employee stock</w:t>
            </w:r>
          </w:p>
        </w:tc>
        <w:tc>
          <w:tcPr>
            <w:tcW w:w="10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399,286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1,650</w:t>
            </w:r>
          </w:p>
        </w:tc>
        <w:tc>
          <w:tcPr>
            <w:tcW w:w="100" w:type="dxa"/>
            <w:vAlign w:val="bottom"/>
            <w:shd w:val="clear" w:color="auto" w:fill="CFF0FC"/>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1,203,845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w:t>
            </w:r>
          </w:p>
        </w:tc>
        <w:tc>
          <w:tcPr>
            <w:tcW w:w="100" w:type="dxa"/>
            <w:vAlign w:val="bottom"/>
          </w:tcPr>
          <w:p>
            <w:pPr>
              <w:spacing w:after="0"/>
              <w:rPr>
                <w:sz w:val="14"/>
                <w:szCs w:val="14"/>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4,056,644</w:t>
            </w:r>
          </w:p>
        </w:tc>
        <w:tc>
          <w:tcPr>
            <w:tcW w:w="1220" w:type="dxa"/>
            <w:vAlign w:val="bottom"/>
            <w:gridSpan w:val="4"/>
            <w:shd w:val="clear" w:color="auto" w:fill="CFF0FC"/>
          </w:tcPr>
          <w:p>
            <w:pPr>
              <w:jc w:val="right"/>
              <w:ind w:right="98"/>
              <w:spacing w:after="0"/>
              <w:rPr>
                <w:sz w:val="20"/>
                <w:szCs w:val="20"/>
                <w:color w:val="auto"/>
              </w:rPr>
            </w:pPr>
            <w:r>
              <w:rPr>
                <w:rFonts w:ascii="Times New Roman" w:cs="Times New Roman" w:eastAsia="Times New Roman" w:hAnsi="Times New Roman"/>
                <w:sz w:val="13"/>
                <w:szCs w:val="13"/>
                <w:color w:val="auto"/>
              </w:rPr>
              <w:t>(1,599,848 )</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(2,810 )</w:t>
            </w: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(9,644 )</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(9,644 )</w:t>
            </w: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36,938</w:t>
            </w:r>
          </w:p>
        </w:tc>
        <w:tc>
          <w:tcPr>
            <w:tcW w:w="100" w:type="dxa"/>
            <w:vAlign w:val="bottom"/>
          </w:tcPr>
          <w:p>
            <w:pPr>
              <w:spacing w:after="0"/>
              <w:rPr>
                <w:sz w:val="14"/>
                <w:szCs w:val="14"/>
                <w:color w:val="auto"/>
              </w:rPr>
            </w:pPr>
          </w:p>
        </w:tc>
      </w:tr>
      <w:tr>
        <w:trPr>
          <w:trHeight w:val="162"/>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Income for the period</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7,729</w:t>
            </w:r>
          </w:p>
        </w:tc>
        <w:tc>
          <w:tcPr>
            <w:tcW w:w="1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404,084,775</w:t>
            </w:r>
          </w:p>
        </w:tc>
        <w:tc>
          <w:tcPr>
            <w:tcW w:w="1220" w:type="dxa"/>
            <w:vAlign w:val="bottom"/>
            <w:gridSpan w:val="4"/>
          </w:tcPr>
          <w:p>
            <w:pPr>
              <w:jc w:val="right"/>
              <w:ind w:right="98"/>
              <w:spacing w:after="0"/>
              <w:rPr>
                <w:sz w:val="20"/>
                <w:szCs w:val="20"/>
                <w:color w:val="auto"/>
              </w:rPr>
            </w:pPr>
            <w:r>
              <w:rPr>
                <w:rFonts w:ascii="Times New Roman" w:cs="Times New Roman" w:eastAsia="Times New Roman" w:hAnsi="Times New Roman"/>
                <w:sz w:val="13"/>
                <w:szCs w:val="13"/>
                <w:b w:val="1"/>
                <w:bCs w:val="1"/>
                <w:color w:val="auto"/>
              </w:rPr>
              <w:t>(7,486,767 )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294,027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1,855,246</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(60,726 )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(1,421,448 )</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667,099</w:t>
            </w:r>
          </w:p>
        </w:tc>
        <w:tc>
          <w:tcPr>
            <w:tcW w:w="10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1"/>
        </w:trPr>
        <w:tc>
          <w:tcPr>
            <w:tcW w:w="2620" w:type="dxa"/>
            <w:vAlign w:val="bottom"/>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color w:val="auto"/>
              </w:rPr>
              <w:t>Issuance of common stock under employee stock</w:t>
            </w:r>
          </w:p>
        </w:tc>
        <w:tc>
          <w:tcPr>
            <w:tcW w:w="10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 plan</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456,696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shd w:val="clear" w:color="auto" w:fill="CFF0FC"/>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9"/>
              </w:rPr>
              <w:t>Issuance of common stock for milestone payment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5,817,942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8,203</w:t>
            </w:r>
          </w:p>
        </w:tc>
        <w:tc>
          <w:tcPr>
            <w:tcW w:w="100" w:type="dxa"/>
            <w:vAlign w:val="bottom"/>
          </w:tcPr>
          <w:p>
            <w:pPr>
              <w:spacing w:after="0"/>
              <w:rPr>
                <w:sz w:val="14"/>
                <w:szCs w:val="14"/>
                <w:color w:val="auto"/>
              </w:rPr>
            </w:pP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FF0FC"/>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stock units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1,940,371</w:t>
            </w:r>
          </w:p>
        </w:tc>
        <w:tc>
          <w:tcPr>
            <w:tcW w:w="1220" w:type="dxa"/>
            <w:vAlign w:val="bottom"/>
            <w:gridSpan w:val="4"/>
          </w:tcPr>
          <w:p>
            <w:pPr>
              <w:jc w:val="right"/>
              <w:ind w:right="98"/>
              <w:spacing w:after="0"/>
              <w:rPr>
                <w:sz w:val="20"/>
                <w:szCs w:val="20"/>
                <w:color w:val="auto"/>
              </w:rPr>
            </w:pPr>
            <w:r>
              <w:rPr>
                <w:rFonts w:ascii="Times New Roman" w:cs="Times New Roman" w:eastAsia="Times New Roman" w:hAnsi="Times New Roman"/>
                <w:sz w:val="13"/>
                <w:szCs w:val="13"/>
                <w:color w:val="auto"/>
              </w:rPr>
              <w:t>(500,064 )</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(1,210 )</w:t>
            </w:r>
          </w:p>
        </w:tc>
        <w:tc>
          <w:tcPr>
            <w:tcW w:w="80" w:type="dxa"/>
            <w:vAlign w:val="bottom"/>
          </w:tcPr>
          <w:p>
            <w:pPr>
              <w:spacing w:after="0"/>
              <w:rPr>
                <w:sz w:val="14"/>
                <w:szCs w:val="14"/>
                <w:color w:val="auto"/>
              </w:rPr>
            </w:pPr>
          </w:p>
        </w:tc>
        <w:tc>
          <w:tcPr>
            <w:tcW w:w="7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(1,044 )</w:t>
            </w:r>
          </w:p>
        </w:tc>
        <w:tc>
          <w:tcPr>
            <w:tcW w:w="8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(1,044 )</w:t>
            </w:r>
          </w:p>
        </w:tc>
      </w:tr>
      <w:tr>
        <w:trPr>
          <w:trHeight w:val="162"/>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26,213</w:t>
            </w:r>
          </w:p>
        </w:tc>
        <w:tc>
          <w:tcPr>
            <w:tcW w:w="100" w:type="dxa"/>
            <w:vAlign w:val="bottom"/>
            <w:shd w:val="clear" w:color="auto" w:fill="CFF0FC"/>
          </w:tcPr>
          <w:p>
            <w:pPr>
              <w:spacing w:after="0"/>
              <w:rPr>
                <w:sz w:val="14"/>
                <w:szCs w:val="14"/>
                <w:color w:val="auto"/>
              </w:rPr>
            </w:pPr>
          </w:p>
        </w:tc>
      </w:tr>
      <w:tr>
        <w:trPr>
          <w:trHeight w:val="162"/>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for the period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color w:val="auto"/>
              </w:rPr>
              <w:t>(105,803 )</w:t>
            </w:r>
          </w:p>
        </w:tc>
        <w:tc>
          <w:tcPr>
            <w:tcW w:w="1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(105,803 )</w:t>
            </w:r>
          </w:p>
        </w:tc>
      </w:tr>
      <w:tr>
        <w:trPr>
          <w:trHeight w:val="195"/>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412,333,087</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(7,986,831</w:t>
            </w:r>
          </w:p>
        </w:tc>
        <w:tc>
          <w:tcPr>
            <w:tcW w:w="180" w:type="dxa"/>
            <w:vAlign w:val="bottom"/>
            <w:tcBorders>
              <w:bottom w:val="single" w:sz="8" w:color="CFF0FC"/>
            </w:tcBorders>
            <w:shd w:val="clear" w:color="auto" w:fill="CFF0FC"/>
          </w:tcPr>
          <w:p>
            <w:pPr>
              <w:jc w:val="right"/>
              <w:ind w:right="9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299,002</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1,885,352</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(61,770</w:t>
            </w:r>
          </w:p>
        </w:tc>
        <w:tc>
          <w:tcPr>
            <w:tcW w:w="14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(1,527,251</w:t>
            </w:r>
          </w:p>
        </w:tc>
        <w:tc>
          <w:tcPr>
            <w:tcW w:w="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595,333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-2528570</wp:posOffset>
            </wp:positionV>
            <wp:extent cx="482600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4826000" cy="21463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-1713865</wp:posOffset>
            </wp:positionV>
            <wp:extent cx="7683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-1713865</wp:posOffset>
            </wp:positionV>
            <wp:extent cx="7683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-1713865</wp:posOffset>
            </wp:positionV>
            <wp:extent cx="7747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-1713865</wp:posOffset>
            </wp:positionV>
            <wp:extent cx="7747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-1713865</wp:posOffset>
            </wp:positionV>
            <wp:extent cx="6858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-1713865</wp:posOffset>
            </wp:positionV>
            <wp:extent cx="6858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-1713865</wp:posOffset>
            </wp:positionV>
            <wp:extent cx="6858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-1713865</wp:posOffset>
            </wp:positionV>
            <wp:extent cx="6858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-976630</wp:posOffset>
            </wp:positionV>
            <wp:extent cx="76835"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-976630</wp:posOffset>
            </wp:positionV>
            <wp:extent cx="76835"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-976630</wp:posOffset>
            </wp:positionV>
            <wp:extent cx="7747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-976630</wp:posOffset>
            </wp:positionV>
            <wp:extent cx="7747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-976630</wp:posOffset>
            </wp:positionV>
            <wp:extent cx="6858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-976630</wp:posOffset>
            </wp:positionV>
            <wp:extent cx="6858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-976630</wp:posOffset>
            </wp:positionV>
            <wp:extent cx="6858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-976630</wp:posOffset>
            </wp:positionV>
            <wp:extent cx="6858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-25400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-7620</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-25400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ind w:left="432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9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4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2021</w:t>
            </w: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3"/>
                <w:szCs w:val="13"/>
                <w:color w:val="auto"/>
              </w:rPr>
            </w:pPr>
          </w:p>
        </w:tc>
      </w:tr>
      <w:tr>
        <w:trPr>
          <w:trHeight w:val="169"/>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(105,803 )</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7,729</w:t>
            </w:r>
          </w:p>
        </w:tc>
        <w:tc>
          <w:tcPr>
            <w:tcW w:w="24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(18,000 )</w:t>
            </w:r>
          </w:p>
        </w:tc>
      </w:tr>
      <w:tr>
        <w:trPr>
          <w:trHeight w:val="17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5"/>
                <w:szCs w:val="15"/>
                <w:color w:val="auto"/>
              </w:rPr>
            </w:pPr>
          </w:p>
        </w:tc>
      </w:tr>
      <w:tr>
        <w:trPr>
          <w:trHeight w:val="17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investments</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00" w:type="dxa"/>
            <w:vAlign w:val="bottom"/>
            <w:shd w:val="clear" w:color="auto" w:fill="CFF0FC"/>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45,813</w:t>
            </w:r>
          </w:p>
        </w:tc>
        <w:tc>
          <w:tcPr>
            <w:tcW w:w="100" w:type="dxa"/>
            <w:vAlign w:val="bottom"/>
          </w:tcPr>
          <w:p>
            <w:pPr>
              <w:spacing w:after="0"/>
              <w:rPr>
                <w:sz w:val="15"/>
                <w:szCs w:val="15"/>
                <w:color w:val="auto"/>
              </w:rPr>
            </w:pPr>
          </w:p>
        </w:tc>
      </w:tr>
      <w:tr>
        <w:trPr>
          <w:trHeight w:val="17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shd w:val="clear" w:color="auto" w:fill="CFF0FC"/>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intangible asset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5"/>
                <w:szCs w:val="15"/>
                <w:color w:val="auto"/>
              </w:rPr>
            </w:pPr>
          </w:p>
        </w:tc>
      </w:tr>
      <w:tr>
        <w:trPr>
          <w:trHeight w:val="17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(9,079 )</w:t>
            </w: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(38,144 )</w:t>
            </w:r>
          </w:p>
        </w:tc>
      </w:tr>
      <w:tr>
        <w:trPr>
          <w:trHeight w:val="175"/>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Inventory</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(36,422 )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(167,066 )</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(112,095 )</w:t>
            </w:r>
          </w:p>
        </w:tc>
      </w:tr>
      <w:tr>
        <w:trPr>
          <w:trHeight w:val="176"/>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(17,636 )</w:t>
            </w:r>
          </w:p>
        </w:tc>
      </w:tr>
      <w:tr>
        <w:trPr>
          <w:trHeight w:val="175"/>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long-term assets</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(24 )</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FF0FC"/>
          </w:tcPr>
          <w:p>
            <w:pPr>
              <w:spacing w:after="0"/>
              <w:rPr>
                <w:sz w:val="15"/>
                <w:szCs w:val="15"/>
                <w:color w:val="auto"/>
              </w:rPr>
            </w:pPr>
          </w:p>
        </w:tc>
      </w:tr>
      <w:tr>
        <w:trPr>
          <w:trHeight w:val="176"/>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receivable</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(1,329 )</w:t>
            </w:r>
          </w:p>
        </w:tc>
      </w:tr>
      <w:tr>
        <w:trPr>
          <w:trHeight w:val="17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(428 )</w:t>
            </w: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860" w:type="dxa"/>
            <w:vAlign w:val="bottom"/>
          </w:tcPr>
          <w:p>
            <w:pPr>
              <w:spacing w:after="0"/>
              <w:rPr>
                <w:sz w:val="15"/>
                <w:szCs w:val="15"/>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(1,363 )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(1,923 )</w:t>
            </w: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(2,214 )</w:t>
            </w:r>
          </w:p>
        </w:tc>
      </w:tr>
      <w:tr>
        <w:trPr>
          <w:trHeight w:val="17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(102,729 )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51,516</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114,741</w:t>
            </w:r>
          </w:p>
        </w:tc>
        <w:tc>
          <w:tcPr>
            <w:tcW w:w="100" w:type="dxa"/>
            <w:vAlign w:val="bottom"/>
            <w:shd w:val="clear" w:color="auto" w:fill="CFF0FC"/>
          </w:tcPr>
          <w:p>
            <w:pPr>
              <w:spacing w:after="0"/>
              <w:rPr>
                <w:sz w:val="15"/>
                <w:szCs w:val="15"/>
                <w:color w:val="auto"/>
              </w:rPr>
            </w:pPr>
          </w:p>
        </w:tc>
      </w:tr>
      <w:tr>
        <w:trPr>
          <w:trHeight w:val="175"/>
        </w:trPr>
        <w:tc>
          <w:tcPr>
            <w:tcW w:w="6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100" w:type="dxa"/>
            <w:vAlign w:val="bottom"/>
          </w:tcPr>
          <w:p>
            <w:pPr>
              <w:spacing w:after="0"/>
              <w:rPr>
                <w:sz w:val="15"/>
                <w:szCs w:val="15"/>
                <w:color w:val="auto"/>
              </w:rPr>
            </w:pPr>
          </w:p>
        </w:tc>
      </w:tr>
      <w:tr>
        <w:trPr>
          <w:trHeight w:val="169"/>
        </w:trPr>
        <w:tc>
          <w:tcPr>
            <w:tcW w:w="64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6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(180,092</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(66,537</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 and maturities of securities</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257,520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394,294</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301,989</w:t>
            </w:r>
          </w:p>
        </w:tc>
        <w:tc>
          <w:tcPr>
            <w:tcW w:w="100" w:type="dxa"/>
            <w:vAlign w:val="bottom"/>
            <w:shd w:val="clear" w:color="auto" w:fill="CFF0FC"/>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securities</w:t>
            </w:r>
          </w:p>
        </w:tc>
        <w:tc>
          <w:tcPr>
            <w:tcW w:w="860" w:type="dxa"/>
            <w:vAlign w:val="bottom"/>
          </w:tcPr>
          <w:p>
            <w:pPr>
              <w:spacing w:after="0"/>
              <w:rPr>
                <w:sz w:val="15"/>
                <w:szCs w:val="15"/>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(81,633 )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(290,195 )</w:t>
            </w: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(678,700 )</w:t>
            </w:r>
          </w:p>
        </w:tc>
      </w:tr>
      <w:tr>
        <w:trPr>
          <w:trHeight w:val="17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Investment in website development costs</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(599 )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Disposal (purchases) of furniture, fixtures and equipment</w:t>
            </w:r>
          </w:p>
        </w:tc>
        <w:tc>
          <w:tcPr>
            <w:tcW w:w="860" w:type="dxa"/>
            <w:vAlign w:val="bottom"/>
          </w:tcPr>
          <w:p>
            <w:pPr>
              <w:spacing w:after="0"/>
              <w:rPr>
                <w:sz w:val="15"/>
                <w:szCs w:val="15"/>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(252 )</w:t>
            </w:r>
          </w:p>
        </w:tc>
      </w:tr>
      <w:tr>
        <w:trPr>
          <w:trHeight w:val="169"/>
        </w:trPr>
        <w:tc>
          <w:tcPr>
            <w:tcW w:w="64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175,288</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104,103</w:t>
            </w:r>
          </w:p>
        </w:tc>
        <w:tc>
          <w:tcPr>
            <w:tcW w:w="2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(376,963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shd w:val="clear" w:color="auto" w:fill="CFF0FC"/>
          </w:tcPr>
          <w:p>
            <w:pPr>
              <w:spacing w:after="0"/>
              <w:rPr>
                <w:sz w:val="15"/>
                <w:szCs w:val="15"/>
                <w:color w:val="auto"/>
              </w:rPr>
            </w:pP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 net of transaction costs</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tcPr>
          <w:p>
            <w:pPr>
              <w:spacing w:after="0"/>
              <w:rPr>
                <w:sz w:val="15"/>
                <w:szCs w:val="15"/>
                <w:color w:val="auto"/>
              </w:rPr>
            </w:pPr>
          </w:p>
        </w:tc>
      </w:tr>
      <w:tr>
        <w:trPr>
          <w:trHeight w:val="17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 of transaction costs for conversion of preferred stock</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(504 )</w:t>
            </w:r>
          </w:p>
        </w:tc>
      </w:t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on debt from royalty-bearing instrument</w:t>
            </w:r>
          </w:p>
        </w:tc>
        <w:tc>
          <w:tcPr>
            <w:tcW w:w="860" w:type="dxa"/>
            <w:vAlign w:val="bottom"/>
          </w:tcPr>
          <w:p>
            <w:pPr>
              <w:spacing w:after="0"/>
              <w:rPr>
                <w:sz w:val="15"/>
                <w:szCs w:val="15"/>
                <w:color w:val="auto"/>
              </w:rPr>
            </w:pPr>
          </w:p>
        </w:tc>
        <w:tc>
          <w:tcPr>
            <w:tcW w:w="7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(50,336 )</w:t>
            </w:r>
          </w:p>
        </w:tc>
      </w:tr>
      <w:tr>
        <w:trPr>
          <w:trHeight w:val="17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related to stock-based awards</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(1,044 )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(9,644 )</w:t>
            </w: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(15,182 )</w:t>
            </w:r>
          </w:p>
        </w:tc>
      </w:tr>
      <w:tr>
        <w:trPr>
          <w:trHeight w:val="20"/>
        </w:trPr>
        <w:tc>
          <w:tcPr>
            <w:tcW w:w="64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4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860" w:type="dxa"/>
            <w:vAlign w:val="bottom"/>
          </w:tcPr>
          <w:p>
            <w:pPr>
              <w:spacing w:after="0"/>
              <w:rPr>
                <w:sz w:val="14"/>
                <w:szCs w:val="14"/>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(379 )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(5,073 )</w:t>
            </w:r>
          </w:p>
        </w:tc>
        <w:tc>
          <w:tcPr>
            <w:tcW w:w="34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(58,907 )</w:t>
            </w:r>
          </w:p>
        </w:tc>
      </w:tr>
      <w:tr>
        <w:trPr>
          <w:trHeight w:val="175"/>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 AND RESTRICTED CASH</w:t>
            </w:r>
          </w:p>
        </w:tc>
        <w:tc>
          <w:tcPr>
            <w:tcW w:w="8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(5,183 )</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32,493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(457,616 )</w:t>
            </w:r>
          </w:p>
        </w:tc>
      </w:tr>
      <w:tr>
        <w:trPr>
          <w:trHeight w:val="175"/>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190,879</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648,495</w:t>
            </w:r>
          </w:p>
        </w:tc>
        <w:tc>
          <w:tcPr>
            <w:tcW w:w="100" w:type="dxa"/>
            <w:vAlign w:val="bottom"/>
          </w:tcPr>
          <w:p>
            <w:pPr>
              <w:spacing w:after="0"/>
              <w:rPr>
                <w:sz w:val="15"/>
                <w:szCs w:val="15"/>
                <w:color w:val="auto"/>
              </w:rPr>
            </w:pPr>
          </w:p>
        </w:tc>
      </w:tr>
      <w:tr>
        <w:trPr>
          <w:trHeight w:val="209"/>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860" w:type="dxa"/>
            <w:vAlign w:val="bottom"/>
            <w:tcBorders>
              <w:bottom w:val="single" w:sz="8" w:color="auto"/>
            </w:tcBorders>
            <w:shd w:val="clear" w:color="auto" w:fill="CFF0FC"/>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218,189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223,372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190,879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4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 (paid) received during the year for:</w:t>
            </w:r>
          </w:p>
        </w:tc>
        <w:tc>
          <w:tcPr>
            <w:tcW w:w="8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(2,043 )</w:t>
            </w:r>
          </w:p>
        </w:tc>
      </w:tr>
      <w:tr>
        <w:trPr>
          <w:trHeight w:val="20"/>
        </w:trPr>
        <w:tc>
          <w:tcPr>
            <w:tcW w:w="6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40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tcBorders>
              <w:bottom w:val="single" w:sz="8" w:color="auto"/>
            </w:tcBorders>
            <w:shd w:val="clear" w:color="auto" w:fill="CFF0FC"/>
          </w:tcPr>
          <w:p>
            <w:pPr>
              <w:jc w:val="right"/>
              <w:ind w:right="70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(1,782</w:t>
            </w:r>
          </w:p>
        </w:tc>
        <w:tc>
          <w:tcPr>
            <w:tcW w:w="140" w:type="dxa"/>
            <w:vAlign w:val="bottom"/>
            <w:tcBorders>
              <w:bottom w:val="single" w:sz="8" w:color="CFF0FC"/>
            </w:tcBorders>
            <w:shd w:val="clear" w:color="auto" w:fill="CFF0FC"/>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3,656</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r>
      <w:tr>
        <w:trPr>
          <w:trHeight w:val="156"/>
        </w:trPr>
        <w:tc>
          <w:tcPr>
            <w:tcW w:w="64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Supplemental disclosure of non-cash transactions: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6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Laxdale milestone</w:t>
            </w:r>
          </w:p>
        </w:tc>
        <w:tc>
          <w:tcPr>
            <w:tcW w:w="860" w:type="dxa"/>
            <w:vAlign w:val="bottom"/>
            <w:tcBorders>
              <w:bottom w:val="single" w:sz="8" w:color="auto"/>
            </w:tcBorders>
            <w:shd w:val="clear" w:color="auto" w:fill="CFF0FC"/>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40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color w:val="auto"/>
              </w:rPr>
              <w:t>Shares issued in settlement of Laxdale milestone payment</w:t>
            </w:r>
          </w:p>
        </w:tc>
        <w:tc>
          <w:tcPr>
            <w:tcW w:w="860" w:type="dxa"/>
            <w:vAlign w:val="bottom"/>
            <w:tcBorders>
              <w:bottom w:val="single" w:sz="8" w:color="auto"/>
            </w:tcBorders>
          </w:tcPr>
          <w:p>
            <w:pPr>
              <w:jc w:val="right"/>
              <w:ind w:right="70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8,203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r>
      <w:tr>
        <w:trPr>
          <w:trHeight w:val="196"/>
        </w:trPr>
        <w:tc>
          <w:tcPr>
            <w:tcW w:w="6400" w:type="dxa"/>
            <w:vAlign w:val="bottom"/>
            <w:tcBorders>
              <w:bottom w:val="single" w:sz="8" w:color="CFF0FC"/>
            </w:tcBorders>
            <w:shd w:val="clear" w:color="auto" w:fill="CFF0FC"/>
          </w:tcPr>
          <w:p>
            <w:pPr>
              <w:ind w:left="380"/>
              <w:spacing w:after="0" w:line="156" w:lineRule="exact"/>
              <w:rPr>
                <w:sz w:val="20"/>
                <w:szCs w:val="20"/>
                <w:color w:val="auto"/>
              </w:rPr>
            </w:pPr>
            <w:r>
              <w:rPr>
                <w:rFonts w:ascii="Times New Roman" w:cs="Times New Roman" w:eastAsia="Times New Roman" w:hAnsi="Times New Roman"/>
                <w:sz w:val="14"/>
                <w:szCs w:val="14"/>
                <w:color w:val="auto"/>
              </w:rPr>
              <w:t>Initial recognition of operating lease right-of-use asset</w:t>
            </w:r>
          </w:p>
        </w:tc>
        <w:tc>
          <w:tcPr>
            <w:tcW w:w="860" w:type="dxa"/>
            <w:vAlign w:val="bottom"/>
            <w:tcBorders>
              <w:top w:val="single" w:sz="8" w:color="auto"/>
              <w:bottom w:val="single" w:sz="8" w:color="auto"/>
            </w:tcBorders>
            <w:shd w:val="clear" w:color="auto" w:fill="CFF0FC"/>
          </w:tcPr>
          <w:p>
            <w:pPr>
              <w:jc w:val="right"/>
              <w:ind w:right="70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2,041</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400" w:type="dxa"/>
            <w:vAlign w:val="bottom"/>
          </w:tcPr>
          <w:p>
            <w:pPr>
              <w:ind w:left="380"/>
              <w:spacing w:after="0" w:line="156" w:lineRule="exact"/>
              <w:rPr>
                <w:sz w:val="20"/>
                <w:szCs w:val="20"/>
                <w:color w:val="auto"/>
              </w:rPr>
            </w:pPr>
            <w:r>
              <w:rPr>
                <w:rFonts w:ascii="Times New Roman" w:cs="Times New Roman" w:eastAsia="Times New Roman" w:hAnsi="Times New Roman"/>
                <w:sz w:val="14"/>
                <w:szCs w:val="14"/>
                <w:color w:val="auto"/>
              </w:rPr>
              <w:t>Conversion of Series A Convertible Preferred Stock into common stock</w:t>
            </w:r>
          </w:p>
        </w:tc>
        <w:tc>
          <w:tcPr>
            <w:tcW w:w="860" w:type="dxa"/>
            <w:vAlign w:val="bottom"/>
          </w:tcPr>
          <w:p>
            <w:pPr>
              <w:jc w:val="right"/>
              <w:ind w:right="709"/>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18,020</w:t>
            </w:r>
          </w:p>
        </w:tc>
        <w:tc>
          <w:tcPr>
            <w:tcW w:w="100" w:type="dxa"/>
            <w:vAlign w:val="bottom"/>
          </w:tcPr>
          <w:p>
            <w:pPr>
              <w:spacing w:after="0"/>
              <w:rPr>
                <w:sz w:val="13"/>
                <w:szCs w:val="13"/>
                <w:color w:val="auto"/>
              </w:rPr>
            </w:pPr>
          </w:p>
        </w:tc>
      </w:tr>
      <w:tr>
        <w:trPr>
          <w:trHeight w:val="20"/>
        </w:trPr>
        <w:tc>
          <w:tcPr>
            <w:tcW w:w="6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-3007995</wp:posOffset>
            </wp:positionV>
            <wp:extent cx="7683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-3007995</wp:posOffset>
            </wp:positionV>
            <wp:extent cx="68580"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-2322195</wp:posOffset>
            </wp:positionV>
            <wp:extent cx="76835"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5">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-2322195</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-1645285</wp:posOffset>
            </wp:positionV>
            <wp:extent cx="7683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-1645285</wp:posOffset>
            </wp:positionV>
            <wp:extent cx="6858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-1182370</wp:posOffset>
            </wp:positionV>
            <wp:extent cx="2177415"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2177415" cy="1371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-685165</wp:posOffset>
            </wp:positionV>
            <wp:extent cx="2177415"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2177415" cy="13716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-436880</wp:posOffset>
            </wp:positionV>
            <wp:extent cx="2177415"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2177415" cy="16319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-162560</wp:posOffset>
            </wp:positionV>
            <wp:extent cx="2177415"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2177415" cy="16319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MARIN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ORPORATION PLC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The Company has launched commercial operations in certain European countries, such as the United Kingdom, or the UK, and continues pre-launch commercial activities throughout the rest of Europe. The Company’s operations outside of the U.S. and Europe are in early stages of development with reliance on third-party commercial partners in select geographies.</w:t>
      </w:r>
    </w:p>
    <w:p>
      <w:pPr>
        <w:spacing w:after="0" w:line="136"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The Company’s commercialized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or the MARINE indication. VASCEPA was also approved for another indication in December 2019 for use as an adjunct to maximally tolerated statin therapy for reducing persistent cardiovascular risk in select high risk patients, or the REDUCE-IT indication.</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2020, following our unsuccessful appeals of a court ruling in favor of two generic drug companies, Dr. Reddy's Laboratories, Inc., or Dr. Reddy's, and Hikma Pharmaceuticals USA Inc., or Hikma, and certain of their affiliates, or collectively, the Defendants, several of the Company's patents covering the MARINE indication were declared as invalid. As a result, the following generic versions of VASCEPA have obtained U.S. FDA approval with labeling consistent with the MARINE indication of VASCEPA and have entered the U.S. market with a 1-gram capsule:</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FDA MARINE Indication Approval</w:t>
            </w:r>
          </w:p>
        </w:tc>
        <w:tc>
          <w:tcPr>
            <w:tcW w:w="3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r>
      <w:tr>
        <w:trPr>
          <w:trHeight w:val="23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2020</w:t>
            </w:r>
          </w:p>
        </w:tc>
        <w:tc>
          <w:tcPr>
            <w:tcW w:w="34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2020</w:t>
            </w:r>
          </w:p>
        </w:tc>
      </w:tr>
      <w:tr>
        <w:trPr>
          <w:trHeight w:val="23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Dr. Reddy’s Laboratories,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2020</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r>
      <w:tr>
        <w:trPr>
          <w:trHeight w:val="247"/>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2020</w:t>
            </w:r>
          </w:p>
        </w:tc>
        <w:tc>
          <w:tcPr>
            <w:tcW w:w="34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8" w:lineRule="exact"/>
              <w:rPr>
                <w:sz w:val="20"/>
                <w:szCs w:val="20"/>
                <w:color w:val="auto"/>
              </w:rPr>
            </w:pPr>
            <w:r>
              <w:rPr>
                <w:rFonts w:ascii="Times New Roman" w:cs="Times New Roman" w:eastAsia="Times New Roman" w:hAnsi="Times New Roman"/>
                <w:sz w:val="18"/>
                <w:szCs w:val="18"/>
                <w:color w:val="auto"/>
                <w:w w:val="96"/>
              </w:rPr>
              <w:t xml:space="preserve">September 2022 </w:t>
            </w:r>
            <w:r>
              <w:rPr>
                <w:rFonts w:ascii="Times New Roman" w:cs="Times New Roman" w:eastAsia="Times New Roman" w:hAnsi="Times New Roman"/>
                <w:sz w:val="24"/>
                <w:szCs w:val="24"/>
                <w:color w:val="auto"/>
                <w:w w:val="96"/>
                <w:vertAlign w:val="superscript"/>
              </w:rPr>
              <w:t>(1)</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Apotex, Inc.</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2021</w:t>
            </w:r>
          </w:p>
        </w:tc>
        <w:tc>
          <w:tcPr>
            <w:tcW w:w="34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2022</w:t>
            </w:r>
          </w:p>
        </w:tc>
      </w:tr>
    </w:tbl>
    <w:p>
      <w:pPr>
        <w:spacing w:after="0" w:line="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 Teva launched a 0.5-gram capsule in September 2022 and a 1-gram capsule in January 2023.</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through MHRA’s new ‘reliance’ route. On December 7, 2022, the Company announced that Swissmedic approved VAZKEPA in Switzerland. Collectively CHMP, EMA, EC and MHRA are referred to herein as the European Regulatory Authorities.</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had commenced. The Chinese National Medical Products Administration, or NMPA, has accepted for review the new drug application for VASCEPA based on the results from the Phase 3 clinical trial and the results from the Company’s prior studies of VASCEPA. On February 23, 2022, the Hong Kong Department of Health concluded their evaluation and approved the use of VASCEPA under the REDUCE-IT indication.</w:t>
      </w:r>
    </w:p>
    <w:p>
      <w:pPr>
        <w:spacing w:after="0" w:line="1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the United States, and certain countries throughout Europe,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included herein have been prepared by the Company in accordance with accounting principles generally accepted in the United States and pursuant to the rules and regulations of the Securities and Exchange Commission, or the SEC.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ind w:right="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years ended December 31, 2022, 2021 and 2020 are not necessarily indicative of the results for any future period. Certain numbers presented throughout this document may not add precisely to the totals provided due to rounding. Absolute and percentage changes are calculated using the underlying amounts in thousands. The consolidated financial statements include the accounts of the Company and its wholly-owned subsidiaries. All intercompany accounts and transactions have been eliminated in consolidation.</w:t>
      </w:r>
    </w:p>
    <w:p>
      <w:pPr>
        <w:spacing w:after="0" w:line="1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ongoing global pandemic, COVID-19.</w:t>
      </w:r>
    </w:p>
    <w:p>
      <w:pPr>
        <w:spacing w:after="0" w:line="122"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At December 31, 2022, the Company had Total assets of $886.2 million, of which $310.6 million consisted of cash and liquid short-term and long-term investments. More specifically, the Company had Current assets of $689.1 million, including Cash and cash equivalents of $217.7 million, Short-term investments of $91.7 million, Accounts receivable, net, of $131.0 million and Inventory of $228.7 million. In addition, at December 31, 2022, the Company had Long-term investments of $1.3 million and Long-term inventory of $163.6 million. At December 31, 2022, the Company had no debt outstanding.</w:t>
      </w:r>
    </w:p>
    <w:p>
      <w:pPr>
        <w:spacing w:after="0" w:line="220"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accounts and transactions have been eliminated in consolidation.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Accounting estimates are based on historical experience and other factors that are considered reasonable under the circumstances. Estimates and assumptions relied upon in preparing these consolidated financial statements relate to, but are not limited to,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Forecasted Financial Information in Accounting Estimates</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use of forecasted financial information is inherent in many of the Company’s accounting estimates including, but not limited to, determining the estimated fair values of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committed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7" w:name="page108"/>
    <w:bookmarkEnd w:id="107"/>
    <w:p>
      <w:pPr>
        <w:ind w:right="660"/>
        <w:spacing w:after="0" w:line="282" w:lineRule="auto"/>
        <w:rPr>
          <w:sz w:val="20"/>
          <w:szCs w:val="20"/>
          <w:color w:val="auto"/>
        </w:rPr>
      </w:pPr>
      <w:r>
        <w:rPr>
          <w:rFonts w:ascii="Times New Roman" w:cs="Times New Roman" w:eastAsia="Times New Roman" w:hAnsi="Times New Roman"/>
          <w:sz w:val="18"/>
          <w:szCs w:val="18"/>
          <w:color w:val="auto"/>
        </w:rPr>
        <w:t>performance obligation is satisfied. For a complete discussion of accounting for net product revenue and licensing revenue, see Note 13—Revenue Recognition.</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Costs</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records distribution costs related to shipping product to its customers, primarily through the use of common carriers or external distribution services, in Cost of goods sold.</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3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at December 31, 2022 and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6"/>
                <w:szCs w:val="16"/>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6"/>
                <w:szCs w:val="16"/>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187,418</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262,948</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allowances</w:t>
            </w:r>
          </w:p>
        </w:tc>
        <w:tc>
          <w:tcPr>
            <w:tcW w:w="16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(44,626 )</w:t>
            </w: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(86,636 )</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(11,802 )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(11,714 )</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(945 )</w:t>
            </w:r>
          </w:p>
        </w:tc>
      </w:tr>
      <w:tr>
        <w:trPr>
          <w:trHeight w:val="27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130,990</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94"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finished goods and work in process inventory is expected beyond the normal operating cycle. The Company classifies finished goods expected to be consumed within a normal operating cycle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2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 Impairment</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8" w:name="page109"/>
    <w:bookmarkEnd w:id="10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 net</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Intangible asset, net consists of website development costs and milestone payments to the former shareholders of Laxdale Limited, or Laxdale, related to the 2004 acquisition of the rights to VASCEPA, which is the result of VASCEPA receiving marketing approval in the U.S. for the first indication in 2012, the expanded label in 2019 and marketing authorization in Europe in 2021. These assets are amortized over its estimated useful life on a straight-line basis. See Note 7—Commitments and Contingencies for further information regarding other obligations related to the acquisition of Laxdale.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Costs for Patent Litigation and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patent litigation or other legal proceedings are expensed as incurred and included in Selling, general and administrative expense.</w:t>
      </w:r>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 Costs</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 as well as license fees related to the Company’s strategic collaboration with Mochida Pharmaceutical Co., Ltd., or Mochida.</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Selling, General and Administrative Costs</w:t>
      </w:r>
    </w:p>
    <w:p>
      <w:pPr>
        <w:spacing w:after="0" w:line="94"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consolidated balance sheet.</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2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09" w:name="page110"/>
    <w:bookmarkEnd w:id="109"/>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Earnings per Share</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net (loss) earnings per share is determined by dividing net (loss) income by the weighted average shares of common stock outstanding during the period. Diluted net (loss) earnings per share is determined by dividing net (loss) income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calculation of net (loss) income and the number of shares used to compute basic and diluted net (loss) earnings per share for the years ended December 31, 2022, 2021, and 2020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(105,803</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395,992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20" w:type="dxa"/>
            <w:vAlign w:val="bottom"/>
          </w:tcPr>
          <w:p>
            <w:pPr>
              <w:spacing w:after="0"/>
              <w:rPr>
                <w:sz w:val="20"/>
                <w:szCs w:val="20"/>
                <w:color w:val="auto"/>
              </w:rPr>
            </w:pPr>
          </w:p>
        </w:tc>
        <w:tc>
          <w:tcPr>
            <w:tcW w:w="13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401,155</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402,480</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381,759</w:t>
            </w:r>
          </w:p>
        </w:tc>
        <w:tc>
          <w:tcPr>
            <w:tcW w:w="100" w:type="dxa"/>
            <w:vAlign w:val="bottom"/>
            <w:tcBorders>
              <w:top w:val="single" w:sz="8" w:color="CFF0FC"/>
            </w:tcBorders>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earnings per share—basic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3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per share—diluted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(0.26 )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-465455</wp:posOffset>
            </wp:positionV>
            <wp:extent cx="7747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-465455</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the following potentially dilutive securities were not included in the computation of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because the effect would be anti-dilutive or because performance criteria were not yet met for awards contingent upon such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6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24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Laxdale milestone shares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92"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the guidance of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and requires the fair value of all stock-based payments to employees and non-employees to be recognized in the consolidated statement of operations over the requisite service period.</w:t>
      </w:r>
    </w:p>
    <w:p>
      <w:pPr>
        <w:spacing w:after="0" w:line="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the Company's restricted stock units is determined to be the market price on the date of the grant. The Company estimates the fair value of stock option awards on the date of the grant using the Black-Scholes Model, which requires that the Company makes certain assumptions regarding: (i) the expected volatility in the market price of its common stock; (ii) dividend yield; (iii) risk-free interest rates; and (iv) the period of time employees are expected to hold the award prior to exercise, referred to as the expected holding period. As a result, if the Company revises its assumptions and estimates, stock-based compensation expense could change materially for future grants.</w:t>
      </w:r>
    </w:p>
    <w:p>
      <w:pPr>
        <w:spacing w:after="0" w:line="4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For awards with performance conditions, if the achievement of the performance conditions is deemed probable, the Company recognizes compensation expense based on the grant date fair value of the award over the requisite service period. The Company reassesses the probability of achievement of the performance conditions each reporting period. The Company estimates the level of forfeitures expected to occur based on its historical data and records compensation cost only for those awards that are ultimately expected to vest. See Note 9—Stock Incentive Plans and Stock-Based Compensation for further discussion.</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0" w:name="page111"/>
    <w:bookmarkEnd w:id="110"/>
    <w:p>
      <w:pPr>
        <w:spacing w:after="0" w:line="256" w:lineRule="auto"/>
        <w:rPr>
          <w:sz w:val="20"/>
          <w:szCs w:val="20"/>
          <w:color w:val="auto"/>
        </w:rPr>
      </w:pPr>
      <w:r>
        <w:rPr>
          <w:rFonts w:ascii="Times New Roman" w:cs="Times New Roman" w:eastAsia="Times New Roman" w:hAnsi="Times New Roman"/>
          <w:sz w:val="18"/>
          <w:szCs w:val="18"/>
          <w:color w:val="auto"/>
        </w:rPr>
        <w:t>gross product sales. Customers A, B, and C accounted for 35%, 31%, and 27%, respectively, of gross product sales for the year ended December 31, 2022 and represented 35%, 21%, and 39%, respectively, of the gross accounts receivable balance as of December 31, 2022. Customers A, B, and C accounted for 37%, 28% and 27%, respectively, of gross product sales for the year ended December 31, 2021 and represented 39%, 22%, and 35%, respectively, of the gross accounts receivable balance as of December 31, 2021. The Company has not experienced any significant write-offs of its accounts receivable. All customer accounts are actively managed and no losses are currently expected; however, the Company is monitoring the potential negative impact of COVID-19 on the Company’s customers’ ability to meet their financial obligations.</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2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 The Company recorded a foreign currency loss within the Other (expense) income, net on the consolidated statement of operations of $0.7 million, $0.6 million and less than $0.1 million for each of the years ended December 31, 2022, 2021, and 2020, respectively.</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2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December 31, 2022 and 2021 and indicate the fair value hierarchy of the valuation techniques the Company utilized to determine such fair value: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Shares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28,416</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Government</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7"/>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192,307</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86,541</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105,766</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58"/>
        </w:trPr>
        <w:tc>
          <w:tcPr>
            <w:tcW w:w="3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7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8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Shares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 Securities</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Certificate of Deposit</w:t>
            </w:r>
          </w:p>
        </w:tc>
        <w:tc>
          <w:tcPr>
            <w:tcW w:w="4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Government</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r>
      <w:tr>
        <w:trPr>
          <w:trHeight w:val="276"/>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374,911</w:t>
            </w:r>
          </w:p>
        </w:tc>
        <w:tc>
          <w:tcPr>
            <w:tcW w:w="3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118,282</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256,629</w:t>
            </w:r>
          </w:p>
        </w:tc>
        <w:tc>
          <w:tcPr>
            <w:tcW w:w="3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-1971040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-1953895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-1971040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-1953895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-1971040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-1953895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original maturities greater than 90 days and less than 12 months are included in short-term investments on its consolidated balance sheet. Those with remaining maturities in excess of 12 months are included in long-term investments on its consolidated balance sheet.</w:t>
      </w:r>
    </w:p>
    <w:p>
      <w:pPr>
        <w:spacing w:after="0" w:line="12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year ended December 31, 2022 and December 31, 2021 were losses of $0.4 million and $0.2 million, respectively. Interest on investments is reported in interest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22, 2021, the Company announced a Go-to-Market strategy for VASCEPA. As part of this strategy, the Company completed a reduction of its U.S. field force to approximately 300 sales representatives, enhanced managed care access and optimized VASCEPA prescriptions for cardiovascular risk reduction. During the year ended December 31, 2021, the Company recognized approximately $13.7 million in charges related to the reduction in force, substantially all of which were cash expenditures for one-time termination benefits and associated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112" w:name="page113"/>
    <w:bookmarkEnd w:id="112"/>
    <w:p>
      <w:pPr>
        <w:ind w:right="100"/>
        <w:spacing w:after="0" w:line="254"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included an organizational restructuring plan to address shifts within the Company’s U.S. business. As part of the plan, the Company completed a reduction of its U.S. field force from approximately 300 sales representatives to approximately 75 sales representatives. During the year ended December 31, 2022 the Company recognized approximately $9.4 million within Restructuring expense on the consolidated statement of operations related to the Comprehensive Cost Reduction Plan, substantially all of which are cash expenditures. The Company also reviewed its contractual supplier purchase obligations and has taken steps to amend supplier agreements to align supply arrangements with current and future market demand resulting in charges of $18.1 million recognized within Cost of goods sold - restructuring inventory for the year ended December 31, 2022 on the consolidated statement of operations. The Company continues to negotiate with other contract suppliers to align its supply arrangements with current and future global demand which may result in additional costs to the Company.</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19, 2022, the Company announced that after the conclusion of the fourth and final round of negotiations with the National Association of Statutory Health Insurance Funds, or GKV-SV, a viable agreement on the reimbursement price of VAZKEPA in Germany could not be reached. As a result of the negotiation outcome with the GKV-SV, the Company discontinued its German business operations effective September 1, 2022. The Company recognized approximately $4.2 million within Restructuring expense on the consolidated statement of operations, substantially all of which are cash expenditures.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restructuring charges for the years ended December 31, 2022 and 2021 (none in 2020):</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6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restructuring separation charges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280" w:type="dxa"/>
            <w:vAlign w:val="bottom"/>
            <w:gridSpan w:val="2"/>
            <w:shd w:val="clear" w:color="auto" w:fill="CFF0F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shd w:val="clear" w:color="auto" w:fill="CFF0FC"/>
          </w:tcPr>
          <w:p>
            <w:pPr>
              <w:spacing w:after="0"/>
              <w:rPr>
                <w:sz w:val="22"/>
                <w:szCs w:val="22"/>
                <w:color w:val="auto"/>
              </w:rPr>
            </w:pP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Vendor contract charges</w:t>
            </w: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3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expense</w:t>
            </w:r>
          </w:p>
        </w:tc>
        <w:tc>
          <w:tcPr>
            <w:tcW w:w="540" w:type="dxa"/>
            <w:vAlign w:val="bottom"/>
            <w:tcBorders>
              <w:bottom w:val="single" w:sz="8" w:color="auto"/>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inventory</w:t>
            </w: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18,078</w:t>
            </w: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57"/>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forfeitures</w:t>
            </w:r>
          </w:p>
        </w:tc>
        <w:tc>
          <w:tcPr>
            <w:tcW w:w="540" w:type="dxa"/>
            <w:vAlign w:val="bottom"/>
            <w:tcBorders>
              <w:bottom w:val="single" w:sz="8" w:color="auto"/>
            </w:tcBorders>
            <w:shd w:val="clear" w:color="auto" w:fill="CFF0FC"/>
          </w:tcPr>
          <w:p>
            <w:pPr>
              <w:spacing w:after="0"/>
              <w:rPr>
                <w:sz w:val="22"/>
                <w:szCs w:val="2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restructuring costs incurred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12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-548005</wp:posOffset>
            </wp:positionV>
            <wp:extent cx="1706245" cy="1974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1706245" cy="19748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60325"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restructuring liability which is included within accrued expenses and other current liabilities: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60" w:type="dxa"/>
            <w:vAlign w:val="bottom"/>
            <w:gridSpan w:val="2"/>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37"/>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20"/>
                <w:szCs w:val="20"/>
                <w:color w:val="auto"/>
              </w:rPr>
            </w:pPr>
          </w:p>
        </w:tc>
      </w:tr>
      <w:tr>
        <w:trPr>
          <w:trHeight w:val="239"/>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Costs incurred</w:t>
            </w:r>
          </w:p>
        </w:tc>
        <w:tc>
          <w:tcPr>
            <w:tcW w:w="740" w:type="dxa"/>
            <w:vAlign w:val="bottom"/>
          </w:tcPr>
          <w:p>
            <w:pPr>
              <w:spacing w:after="0"/>
              <w:rPr>
                <w:sz w:val="20"/>
                <w:szCs w:val="20"/>
                <w:color w:val="auto"/>
              </w:rPr>
            </w:pP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32,195</w:t>
            </w:r>
          </w:p>
        </w:tc>
        <w:tc>
          <w:tcPr>
            <w:tcW w:w="100" w:type="dxa"/>
            <w:vAlign w:val="bottom"/>
          </w:tcPr>
          <w:p>
            <w:pPr>
              <w:spacing w:after="0"/>
              <w:rPr>
                <w:sz w:val="20"/>
                <w:szCs w:val="20"/>
                <w:color w:val="auto"/>
              </w:rPr>
            </w:pPr>
          </w:p>
        </w:tc>
      </w:tr>
      <w:tr>
        <w:trPr>
          <w:trHeight w:val="243"/>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shd w:val="clear" w:color="auto" w:fill="CFF0FC"/>
          </w:tcPr>
          <w:p>
            <w:pPr>
              <w:spacing w:after="0"/>
              <w:rPr>
                <w:sz w:val="21"/>
                <w:szCs w:val="21"/>
                <w:color w:val="auto"/>
              </w:rPr>
            </w:pPr>
          </w:p>
        </w:tc>
        <w:tc>
          <w:tcPr>
            <w:tcW w:w="3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(33,189 )</w:t>
            </w:r>
          </w:p>
        </w:tc>
      </w:tr>
      <w:tr>
        <w:trPr>
          <w:trHeight w:val="237"/>
        </w:trPr>
        <w:tc>
          <w:tcPr>
            <w:tcW w:w="5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FF0FC"/>
            </w:tcBorders>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12"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Intangible asset consists of website development costs and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For the year ended December 31, 2022, the Company capitalized $0.8 million of costs associated with the development of a global company website. In accordance with ASC 350, the Company evaluates the remaining useful life of the intangible asset at each reporting period to determine if any events or circumstances warrant a revision to the remaining period of amortization. As of December 31, 2022, the intangible assets have an estimated weighted-average remaining useful life of 8.1 years. The carrying value as of December 31, 2022 and 2021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rights</w:t>
            </w:r>
          </w:p>
        </w:tc>
        <w:tc>
          <w:tcPr>
            <w:tcW w:w="39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32,859</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00" w:type="dxa"/>
            <w:vAlign w:val="bottom"/>
            <w:shd w:val="clear" w:color="auto" w:fill="CFF0FC"/>
          </w:tcPr>
          <w:p>
            <w:pPr>
              <w:spacing w:after="0"/>
              <w:rPr>
                <w:sz w:val="20"/>
                <w:szCs w:val="20"/>
                <w:color w:val="auto"/>
              </w:rPr>
            </w:pPr>
          </w:p>
        </w:tc>
      </w:tr>
      <w:tr>
        <w:trPr>
          <w:trHeight w:val="23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(11,079 )</w:t>
            </w:r>
          </w:p>
        </w:tc>
        <w:tc>
          <w:tcPr>
            <w:tcW w:w="1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(8,534 )</w:t>
            </w:r>
          </w:p>
        </w:tc>
      </w:tr>
      <w:tr>
        <w:trPr>
          <w:trHeight w:val="276"/>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39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700" w:type="dxa"/>
            <w:vAlign w:val="bottom"/>
          </w:tcPr>
          <w:p>
            <w:pPr>
              <w:spacing w:after="0"/>
              <w:rPr>
                <w:sz w:val="24"/>
                <w:szCs w:val="24"/>
                <w:color w:val="auto"/>
              </w:rPr>
            </w:pPr>
          </w:p>
        </w:tc>
        <w:tc>
          <w:tcPr>
            <w:tcW w:w="4140" w:type="dxa"/>
            <w:vAlign w:val="bottom"/>
            <w:gridSpan w:val="2"/>
          </w:tcPr>
          <w:p>
            <w:pPr>
              <w:jc w:val="right"/>
              <w:ind w:right="1950"/>
              <w:spacing w:after="0"/>
              <w:rPr>
                <w:sz w:val="20"/>
                <w:szCs w:val="20"/>
                <w:color w:val="auto"/>
              </w:rPr>
            </w:pPr>
            <w:r>
              <w:rPr>
                <w:rFonts w:ascii="Times New Roman" w:cs="Times New Roman" w:eastAsia="Times New Roman" w:hAnsi="Times New Roman"/>
                <w:sz w:val="18"/>
                <w:szCs w:val="18"/>
                <w:color w:val="auto"/>
              </w:rPr>
              <w:t>F-15</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-521970</wp:posOffset>
            </wp:positionV>
            <wp:extent cx="768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-504825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13" w:name="page114"/>
    <w:bookmarkEnd w:id="113"/>
    <w:p>
      <w:pPr>
        <w:ind w:right="40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2022 and 2021 was $2.5 million and $2.3 million, respectively. Estimated future amortization expense, based upon the Company’s intangible asset, as of December 31, 2022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r>
      <w:tr>
        <w:trPr>
          <w:trHeight w:val="23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20"/>
                <w:szCs w:val="20"/>
                <w:color w:val="auto"/>
              </w:rPr>
            </w:pPr>
          </w:p>
        </w:tc>
      </w:tr>
      <w:tr>
        <w:trPr>
          <w:trHeight w:val="26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2"/>
                <w:szCs w:val="22"/>
                <w:color w:val="auto"/>
              </w:rPr>
            </w:pPr>
          </w:p>
        </w:tc>
      </w:tr>
      <w:tr>
        <w:trPr>
          <w:trHeight w:val="250"/>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21"/>
                <w:szCs w:val="21"/>
                <w:color w:val="auto"/>
              </w:rPr>
            </w:pPr>
          </w:p>
        </w:tc>
      </w:tr>
      <w:tr>
        <w:trPr>
          <w:trHeight w:val="26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22"/>
                <w:szCs w:val="22"/>
                <w:color w:val="auto"/>
              </w:rPr>
            </w:pPr>
          </w:p>
        </w:tc>
      </w:tr>
      <w:tr>
        <w:trPr>
          <w:trHeight w:val="250"/>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FF0FC"/>
          </w:tcPr>
          <w:p>
            <w:pPr>
              <w:spacing w:after="0"/>
              <w:rPr>
                <w:sz w:val="21"/>
                <w:szCs w:val="21"/>
                <w:color w:val="auto"/>
              </w:rPr>
            </w:pPr>
          </w:p>
        </w:tc>
      </w:tr>
      <w:tr>
        <w:trPr>
          <w:trHeight w:val="257"/>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8,273</w:t>
            </w:r>
          </w:p>
        </w:tc>
        <w:tc>
          <w:tcPr>
            <w:tcW w:w="100" w:type="dxa"/>
            <w:vAlign w:val="bottom"/>
          </w:tcPr>
          <w:p>
            <w:pPr>
              <w:spacing w:after="0"/>
              <w:rPr>
                <w:sz w:val="22"/>
                <w:szCs w:val="22"/>
                <w:color w:val="auto"/>
              </w:rPr>
            </w:pPr>
          </w:p>
        </w:tc>
      </w:tr>
      <w:tr>
        <w:trPr>
          <w:trHeight w:val="277"/>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and other global regulatory agencies. Inventories as of December 31, 2022 and 2021 consist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126,391</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213,664</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355,930</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classifies inventory as long-term when consumption of the finished goods and work in process inventory are expected beyond the normal operating cycle. As of December 31, 2022 and 2021, we had $163.6 million and $121.3 million of Long-term inventory, respectively.</w:t>
      </w:r>
    </w:p>
    <w:p>
      <w:pPr>
        <w:spacing w:after="0" w:line="18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as of December 31, 2022 and 2021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16"/>
                <w:szCs w:val="16"/>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useful life or lease term</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20"/>
                <w:szCs w:val="20"/>
                <w:color w:val="auto"/>
              </w:rPr>
            </w:pPr>
          </w:p>
        </w:tc>
      </w:tr>
      <w:tr>
        <w:trPr>
          <w:trHeight w:val="247"/>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FF0FC"/>
          </w:tcPr>
          <w:p>
            <w:pPr>
              <w:spacing w:after="0"/>
              <w:rPr>
                <w:sz w:val="21"/>
                <w:szCs w:val="21"/>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3 - 5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r>
      <w:tr>
        <w:trPr>
          <w:trHeight w:val="241"/>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shd w:val="clear" w:color="auto" w:fill="CFF0FC"/>
          </w:tcPr>
          <w:p>
            <w:pPr>
              <w:spacing w:after="0"/>
              <w:rPr>
                <w:sz w:val="20"/>
                <w:szCs w:val="20"/>
                <w:color w:val="auto"/>
              </w:rPr>
            </w:pPr>
          </w:p>
        </w:tc>
      </w:tr>
      <w:tr>
        <w:trPr>
          <w:trHeight w:val="23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(2,472 )</w:t>
            </w:r>
          </w:p>
        </w:tc>
        <w:tc>
          <w:tcPr>
            <w:tcW w:w="16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(1,921 )</w:t>
            </w:r>
          </w:p>
        </w:tc>
      </w:tr>
      <w:tr>
        <w:trPr>
          <w:trHeight w:val="277"/>
        </w:trPr>
        <w:tc>
          <w:tcPr>
            <w:tcW w:w="4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provides for depreciation and amortization using the straight-line method by charges to operations in amounts that depreciate the cost of the fixed asset over its estimated useful life. Depreciation expense for the years ended December 31, 2022, 2021, and 2020 were $0.6 million, annually. Upon retirement or sale of assets, the cost of the assets disposed and the related accumulated depreciation are removed from the consolidated balance sheet and any resulting gain or loss is credited or expensed to operations. Repairs and maintenance costs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4" w:name="page115"/>
    <w:bookmarkEnd w:id="114"/>
    <w:p>
      <w:pPr>
        <w:ind w:left="520" w:hanging="512"/>
        <w:spacing w:after="0"/>
        <w:tabs>
          <w:tab w:leader="none" w:pos="5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3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payroll-related expenses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100" w:type="dxa"/>
            <w:vAlign w:val="bottom"/>
            <w:shd w:val="clear" w:color="auto" w:fill="CFF0FC"/>
          </w:tcPr>
          <w:p>
            <w:pPr>
              <w:spacing w:after="0"/>
              <w:rPr>
                <w:sz w:val="20"/>
                <w:szCs w:val="20"/>
                <w:color w:val="auto"/>
              </w:rPr>
            </w:pPr>
          </w:p>
        </w:tc>
      </w:tr>
      <w:tr>
        <w:trPr>
          <w:trHeight w:val="23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accruals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0"/>
                <w:szCs w:val="20"/>
                <w:color w:val="auto"/>
              </w:rPr>
            </w:pPr>
          </w:p>
        </w:tc>
      </w:tr>
      <w:tr>
        <w:trPr>
          <w:trHeight w:val="247"/>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revenue allowances</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135,061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184,216</w:t>
            </w:r>
          </w:p>
        </w:tc>
        <w:tc>
          <w:tcPr>
            <w:tcW w:w="100" w:type="dxa"/>
            <w:vAlign w:val="bottom"/>
            <w:shd w:val="clear" w:color="auto" w:fill="CFF0FC"/>
          </w:tcPr>
          <w:p>
            <w:pPr>
              <w:spacing w:after="0"/>
              <w:rPr>
                <w:sz w:val="21"/>
                <w:szCs w:val="21"/>
                <w:color w:val="auto"/>
              </w:rPr>
            </w:pP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45,602</w:t>
            </w:r>
          </w:p>
        </w:tc>
        <w:tc>
          <w:tcPr>
            <w:tcW w:w="100" w:type="dxa"/>
            <w:vAlign w:val="bottom"/>
          </w:tcPr>
          <w:p>
            <w:pPr>
              <w:spacing w:after="0"/>
              <w:rPr>
                <w:sz w:val="21"/>
                <w:szCs w:val="21"/>
                <w:color w:val="auto"/>
              </w:rPr>
            </w:pPr>
          </w:p>
        </w:tc>
      </w:tr>
      <w:tr>
        <w:trPr>
          <w:trHeight w:val="276"/>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60" w:right="8180" w:hanging="252"/>
        <w:spacing w:after="0" w:line="367" w:lineRule="auto"/>
        <w:tabs>
          <w:tab w:leader="none" w:pos="516"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u w:val="single" w:color="auto"/>
          <w:color w:val="auto"/>
        </w:rPr>
        <w:t>Litigation – U.S. ANDAs</w:t>
      </w: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(&gt;500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announced the price and launched its generic version of icosapent ethyl. In June 2021, Dr. Reddy’s announced the price and launched its generic version of icosapent ethyl. In January 2022, Apotex announced the price and launched its generic version of icosapent ethyl. In September 2022, Teva announced the price and launched its generic version of icosapent ethyl for the 0.5-gram capsule and the 1.0 gram capsule in January 2023. All generic versions of icosapent ethyl as approved by the U.S. FDA pertains to the MARINE indication of VASCEPA, lowering of TG levels in patients with very high TG (&gt;500 mg/dL). Current generic competition, together with past and on-going litigation related to such generic versions of icosapent ethyl are applicable to the U.S. only. The Company did not seek, nor is VAZKEPA approved in Europe for lowering of TG levels in patients with very high TG (&gt;500 mg/dL).</w:t>
      </w:r>
    </w:p>
    <w:p>
      <w:pPr>
        <w:spacing w:after="0" w:line="13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2020, the Company filed a patent infringement lawsuit against Hikma in the United States District Court in Delaware. The complaint alleged that Hikma induced the infringement of VASCEPA-related CV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LLC, or Health Net. Through insurance coverage and economic incentives the Company alleged that Health Net has actively induced pharmacies to dispense, and patients to use, Hikma generic icosapent ethyl capsules in infringement of the related patents. In the complaint, the Company sought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On October 13, 2022, the district court granted final judgement on the aspect of the litigation relating to the Company and Hikma.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15" w:name="page116"/>
    <w:bookmarkEnd w:id="115"/>
    <w:p>
      <w:pPr>
        <w:ind w:right="40"/>
        <w:spacing w:after="0" w:line="261" w:lineRule="auto"/>
        <w:rPr>
          <w:sz w:val="20"/>
          <w:szCs w:val="20"/>
          <w:color w:val="auto"/>
        </w:rPr>
      </w:pPr>
      <w:r>
        <w:rPr>
          <w:rFonts w:ascii="Times New Roman" w:cs="Times New Roman" w:eastAsia="Times New Roman" w:hAnsi="Times New Roman"/>
          <w:sz w:val="18"/>
          <w:szCs w:val="18"/>
          <w:color w:val="auto"/>
        </w:rPr>
        <w:t>Company has appealed the decision of the district court. On December 26, 2022, the Company entered into a settlement agreement with Health Net that resolved the litigation relating to the Company and Health Net. The Company will continue to consider its legal options against parties similarly situated to Health Net and Hikma and acting in concert with either by making or selling any drug product or component thereof covered by the subject patents, or inducing others to do the same.</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and February 21, 2023, Dr. Reddy’s and Hikma, respectively, filed a complaint against the Company in the United States District Court for the District of New Jersey, Civil actions No.21-cv-10309 and No.3:23-cv-01016, alleging various antitrust violations stemming from alleged anticompetitive practices related to the supply of active pharmaceutical ingredient of VASCEPA. The complaints also includes a related state law tortious interference claim. Damages sought include recovery for alleged economic harm to Dr. Reddy’s and Hikma's, payors and consumers, treble damages and other costs and fees. Injunctive relief against the alleged violative activities is also being sought by Dr. Reddy’s and Hikma. Amarin believes it has valid defenses and will vigorously defend against the claims.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The Company believes such contact from the governments may have been prompted by a generic competitor.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1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has been a practice of class action legal counsel following governmental investigations and litigation by generics companies, Amarin is also named as a defendant in six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 Amarin is a defendant in a class action lawsuit filed by Board of Trustees of Heavy and General Laborers' Local Unions 472 and 172 of N.J. Welfare Fund, on behalf of indirect purchasers, in the District Court of New Jersey, Civil Action No. 21-14639, alleging Amarin violated state and federal antitrust laws by monopolizing and engaging in a conspiracy to restrain trade in the icosapent ethyl drug and API markets. These cases have been consolidated into In re Vascepa Antitrust Litigation (Indirect Purchasers), Civil Action No. 21-12061, in the District Court for the District of New Jersey. Amarin is a defendant in a class action lawsuit filed by KPH Healthcare Services, Inc., on behalf of direct purchasers, in the District Court for the District of New Jersey, Civil Action No. 21-12747, alleging Amarin violated state and federal antitrust laws by monopolizing and engaging in a conspiracy to restrain trade in the icosapent ethyl drug and API markets. This case has been coordinated with the consolidated indirect purchaser case above as In re Vascepa Antitrust Litigation (Direct Purchasers), Civil Action No. 21-12747, in the District Court for the District of New Jersey.</w:t>
      </w:r>
    </w:p>
    <w:p>
      <w:pPr>
        <w:spacing w:after="0" w:line="13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Other</w:t>
      </w:r>
    </w:p>
    <w:p>
      <w:pPr>
        <w:spacing w:after="0" w:line="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February 22, 2019, a purported investor in the Company’s publicly traded securities filed a putative class action lawsuit against Amarin Corporation plc, the former chief executive officer and chief scientific officer in the U.S. District Court for the District of New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16" w:name="page117"/>
    <w:bookmarkEnd w:id="116"/>
    <w:p>
      <w:pPr>
        <w:spacing w:after="0" w:line="253" w:lineRule="auto"/>
        <w:rPr>
          <w:sz w:val="20"/>
          <w:szCs w:val="20"/>
          <w:color w:val="auto"/>
        </w:rPr>
      </w:pPr>
      <w:r>
        <w:rPr>
          <w:rFonts w:ascii="Times New Roman" w:cs="Times New Roman" w:eastAsia="Times New Roman" w:hAnsi="Times New Roman"/>
          <w:sz w:val="18"/>
          <w:szCs w:val="18"/>
          <w:color w:val="auto"/>
        </w:rPr>
        <w:t>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Times New Roman" w:cs="Times New Roman" w:eastAsia="Times New Roman" w:hAnsi="Times New Roman"/>
          <w:sz w:val="18"/>
          <w:szCs w:val="18"/>
          <w:i w:val="1"/>
          <w:iCs w:val="1"/>
          <w:color w:val="auto"/>
        </w:rPr>
        <w:t>In re: Amarin Corp. PLC</w:t>
      </w:r>
      <w:r>
        <w:rPr>
          <w:rFonts w:ascii="Times New Roman" w:cs="Times New Roman" w:eastAsia="Times New Roman" w:hAnsi="Times New Roman"/>
          <w:sz w:val="18"/>
          <w:szCs w:val="18"/>
          <w:color w:val="auto"/>
        </w:rPr>
        <w:t>, case number 21-2071 (3d Cir.). On June 14, 2022, the Court of Appeals for the Third Circuit affirmed the dismissal of the matter by the trial district court.</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October 21, 2021, a purported investor in the Company's publicly traded securities filed a putative class action lawsuit against Amarin Corporation plc, the former chief executive officer and the former chief financial officer in the U.S. District Court for the District of New Jersey, Vincent Dang v. Amarin Corporation plc, John F. Thero and Michael W. Kalb, No. 1:21-cv-19212 (D.N.J. Oct. 21, 2021) and a subsequent case, Dorfman v. Amarin Corporation plc, et al., No. 3:21-cv-19911 (D.N.J. filed Nov. 10, 2021), was filed in November 2021. In December 2021, several Amarin shareholders moved to consolidate the cases, or the Securities Litigation, and appoint a lead plaintiff and lead counsel pursuant to the Private Securities Litigation Reform Act. The plaintiffs filed an amended complaint on January 13, 2023 that added as a defendant the Company's former general counsel. The complaints in these actions are nearly identical and allege that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The Company believes it has valid defenses and will vigorously defend against the claims but cannot predict the outcome. The Company is unable to reasonably estimate the loss exposure, if any, associated with these claims.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April 7, 2022, a purported investor in the Company's publicly traded securities filed a derivative lawsuit naming the same officer defendants from the Securities Litigation, the Officer Defendants, and also the members of the Company's board of directors, and the Company as nominal defendant in the U.S. District Court for the District of New Jersey, Gary Schader v. Amarin Corporation plc, John F. Thero, Michael W. Kalb, Lars G. Ekman, Jan Van Heek, Karim Mikhail, Patrick J. O'Sullivan, Per Wold-Olsen, Kristine Peterson, David Stack, and Joseph S. Zakrzewski, No. 3:22-cv-02017 (D.N.J. Apr. 7, 2022). The complaint alleges, like the Securities Litigation, that the defendants allegedly downplayed the risk associated with the ANDA litigation and the risk that certain of the Company's patents would be invalidated. Based on the allegations, plaintiffs allege that the directors breached their fiduciary duties and that the Officer Defendants were unjustly enriched, and plaintiffs seek contribution from the Officer Defendants for any liability they incur in the Securities Litigation and for which they are indemnified by the Company. On July 1, 2022, the plaintiff voluntarily dismissed this matter.</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12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6, 2022, the Company announced a Comprehensive Cost Reduction Plan which includes a comprehensive cost and organizational restructuring plan to address current shifts within the Company’s U.S. business as a result of the generic competition. As part of this plan, the Company has reviewed its contractual supplier purchase obligations and has entered into agreements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7" w:name="page118"/>
    <w:bookmarkEnd w:id="117"/>
    <w:p>
      <w:pPr>
        <w:ind w:right="220"/>
        <w:spacing w:after="0" w:line="261" w:lineRule="auto"/>
        <w:rPr>
          <w:sz w:val="20"/>
          <w:szCs w:val="20"/>
          <w:color w:val="auto"/>
        </w:rPr>
      </w:pPr>
      <w:r>
        <w:rPr>
          <w:rFonts w:ascii="Times New Roman" w:cs="Times New Roman" w:eastAsia="Times New Roman" w:hAnsi="Times New Roman"/>
          <w:sz w:val="18"/>
          <w:szCs w:val="18"/>
          <w:color w:val="auto"/>
        </w:rPr>
        <w:t>some suppliers to amend supplier agreements to align supply arrangements with current and future market demand. The Company continues to negotiate with other contract suppliers to align its supply arrangements with current and future global demand which may result in additional costs to the Company. As of December 31, 2022, the Company has a total of approximately $86.0 million in future contractual purchase obligations without consideration to ongoing discussions with other suppliers.</w:t>
      </w:r>
    </w:p>
    <w:p>
      <w:pPr>
        <w:spacing w:after="0" w:line="12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was obligated to make an aggregate stock or cash payment to the former shareholders of Laxdale (at the sole option of each of such former shareholders) of £7.5 million. 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the aggregate milestone payment of £7.5 million to Laxdale’s former shareholders (in either stock or cash at the election of each shareholder). As of December 31, 2022, the Company has settled the first European indication approval milestone through issuance of stock and cash payments based on the respective shareholder's election.</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 of £5.0 million (approximately $6.0 million as of December 31, 2022) for the potential market approval.</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December 31, 2022.</w:t>
      </w:r>
    </w:p>
    <w:p>
      <w:pPr>
        <w:spacing w:after="0" w:line="198"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July 13, 2022, in connection with the United Kingdom's National Institute for Health and Care Excellence, or NICE's, final guidance for reimbursement of VAZKEPA and use across the National Health Service, or NHS, in England and Wales, representing receipt of marketing approval in Europe for the first indication for VAZKEPA, the Company became obligated to make an aggregate milestone payment of £7.5 million to Laxdale's former shareholders (in either stock or cash at the election of each shareholder) under the 2004 purchase agreement among the Company and such former shareholders. One of the shareholders elected to receive payment in stock for its pro rata portion of the milestone payment, resulting in the issuance of 5,817,942 shares at a price of $1.41 per share in July 2022.</w:t>
      </w:r>
    </w:p>
    <w:p>
      <w:pPr>
        <w:spacing w:after="0" w:line="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During the years ended December 31, 2022 and 2021, other than as described elsewhere in this Annual Report on Form 10-K, including in the Notes to Consolidated Financial Statements, the Company did not engage in any transactions involving its common stock. Refer to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 for discussion of ordinary shares issued as a result of stock option exercises and the vesting of restricted stock units. Refer to </w:t>
      </w:r>
      <w:r>
        <w:rPr>
          <w:rFonts w:ascii="Times New Roman" w:cs="Times New Roman" w:eastAsia="Times New Roman" w:hAnsi="Times New Roman"/>
          <w:sz w:val="18"/>
          <w:szCs w:val="18"/>
          <w:i w:val="1"/>
          <w:iCs w:val="1"/>
          <w:color w:val="auto"/>
        </w:rPr>
        <w:t>Note 9—Stock Incentive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Stock Based Compensation </w:t>
      </w:r>
      <w:r>
        <w:rPr>
          <w:rFonts w:ascii="Times New Roman" w:cs="Times New Roman" w:eastAsia="Times New Roman" w:hAnsi="Times New Roman"/>
          <w:sz w:val="18"/>
          <w:szCs w:val="18"/>
          <w:color w:val="auto"/>
        </w:rPr>
        <w:t>for discussion of shares issued under the Company’s employee stock purchase plan.</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9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 xml:space="preserve">The Company issues incentive equity awards, including incentive and non-qualified stock options and restricted stock units, under the Amarin Corporation plc 2020 Stock Incentive Plan, or the 2020 Plan, which is the successor to the Amarin Corporation plc 2011 Stock Incentive Plan, as amended, or the 2011 Plan, and the Amarin Corporation plc 2002 Stock Option Plan, as amended, or the 2002 Plan, and together with the 2020 Plan and 2011 Plan, the Plans. Refer to </w:t>
      </w:r>
      <w:r>
        <w:rPr>
          <w:rFonts w:ascii="Times New Roman" w:cs="Times New Roman" w:eastAsia="Times New Roman" w:hAnsi="Times New Roman"/>
          <w:sz w:val="17"/>
          <w:szCs w:val="17"/>
          <w:i w:val="1"/>
          <w:iCs w:val="1"/>
          <w:color w:val="auto"/>
        </w:rPr>
        <w:t>Note 9—Stock Incentive Plans and Stock Based Compensation</w:t>
      </w:r>
      <w:r>
        <w:rPr>
          <w:rFonts w:ascii="Times New Roman" w:cs="Times New Roman" w:eastAsia="Times New Roman" w:hAnsi="Times New Roman"/>
          <w:sz w:val="17"/>
          <w:szCs w:val="17"/>
          <w:color w:val="auto"/>
        </w:rPr>
        <w:t xml:space="preserve"> for further information regarding the Company’s incentive equity plans and awards.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2020 Plan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20" w:type="dxa"/>
            <w:vAlign w:val="bottom"/>
            <w:gridSpan w:val="3"/>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340" w:type="dxa"/>
            <w:vAlign w:val="bottom"/>
            <w:shd w:val="clear" w:color="auto" w:fill="CFF0FC"/>
          </w:tcPr>
          <w:p>
            <w:pPr>
              <w:spacing w:after="0"/>
              <w:rPr>
                <w:sz w:val="20"/>
                <w:szCs w:val="20"/>
                <w:color w:val="auto"/>
              </w:rPr>
            </w:pPr>
          </w:p>
        </w:tc>
        <w:tc>
          <w:tcPr>
            <w:tcW w:w="3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19,182,111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6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14,461,050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57"/>
        </w:trPr>
        <w:tc>
          <w:tcPr>
            <w:tcW w:w="4440" w:type="dxa"/>
            <w:vAlign w:val="bottom"/>
          </w:tcPr>
          <w:p>
            <w:pPr>
              <w:spacing w:after="0"/>
              <w:rPr>
                <w:sz w:val="24"/>
                <w:szCs w:val="24"/>
                <w:color w:val="auto"/>
              </w:rPr>
            </w:pPr>
          </w:p>
        </w:tc>
        <w:tc>
          <w:tcPr>
            <w:tcW w:w="6860" w:type="dxa"/>
            <w:vAlign w:val="bottom"/>
            <w:gridSpan w:val="4"/>
          </w:tcPr>
          <w:p>
            <w:pPr>
              <w:jc w:val="right"/>
              <w:ind w:right="5500"/>
              <w:spacing w:after="0"/>
              <w:rPr>
                <w:sz w:val="20"/>
                <w:szCs w:val="20"/>
                <w:color w:val="auto"/>
              </w:rPr>
            </w:pPr>
            <w:r>
              <w:rPr>
                <w:rFonts w:ascii="Times New Roman" w:cs="Times New Roman" w:eastAsia="Times New Roman" w:hAnsi="Times New Roman"/>
                <w:sz w:val="18"/>
                <w:szCs w:val="18"/>
                <w:color w:val="auto"/>
              </w:rPr>
              <w:t>F-20</w:t>
            </w:r>
          </w:p>
        </w:tc>
      </w:tr>
      <w:tr>
        <w:trPr>
          <w:trHeight w:val="115"/>
        </w:trPr>
        <w:tc>
          <w:tcPr>
            <w:tcW w:w="44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26" w:right="2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years ended December 31, 2022 and 2021: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tc>
        <w:tc>
          <w:tcPr>
            <w:tcW w:w="58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4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and net proceeds from stock option exercises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59,686</w:t>
            </w: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tc>
        <w:tc>
          <w:tcPr>
            <w:tcW w:w="58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1,940,371</w:t>
            </w: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Shares retained for settlement of employee tax obligations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RSUs</w:t>
            </w:r>
          </w:p>
        </w:tc>
        <w:tc>
          <w:tcPr>
            <w:tcW w:w="5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500,064</w:t>
            </w: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860" w:type="dxa"/>
            <w:vAlign w:val="bottom"/>
            <w:shd w:val="clear" w:color="auto" w:fill="CFF0FC"/>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Common shares issued in settlement of vested Performance-Based RSUs </w:t>
            </w:r>
            <w:r>
              <w:rPr>
                <w:rFonts w:ascii="Times New Roman" w:cs="Times New Roman" w:eastAsia="Times New Roman" w:hAnsi="Times New Roman"/>
                <w:sz w:val="24"/>
                <w:szCs w:val="24"/>
                <w:color w:val="auto"/>
                <w:vertAlign w:val="superscript"/>
              </w:rPr>
              <w:t>(1)</w:t>
            </w:r>
          </w:p>
        </w:tc>
        <w:tc>
          <w:tcPr>
            <w:tcW w:w="580" w:type="dxa"/>
            <w:vAlign w:val="bottom"/>
            <w:shd w:val="clear" w:color="auto" w:fill="CFF0FC"/>
          </w:tcPr>
          <w:p>
            <w:pPr>
              <w:spacing w:after="0"/>
              <w:rPr>
                <w:sz w:val="21"/>
                <w:szCs w:val="21"/>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retained for settlement of employee tax obligations ─ Performance-</w:t>
            </w:r>
          </w:p>
        </w:tc>
        <w:tc>
          <w:tcPr>
            <w:tcW w:w="580" w:type="dxa"/>
            <w:vAlign w:val="bottom"/>
          </w:tcPr>
          <w:p>
            <w:pPr>
              <w:spacing w:after="0"/>
              <w:rPr>
                <w:sz w:val="18"/>
                <w:szCs w:val="18"/>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Based RSUs</w:t>
            </w:r>
          </w:p>
        </w:tc>
        <w:tc>
          <w:tcPr>
            <w:tcW w:w="5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20" w:right="1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regulatory and sales performance conditions associated with the REDUCE-IT clinical trial and subsequent revenue growth. These performance-based RSUs have fully vested as of August 2021.</w:t>
      </w:r>
    </w:p>
    <w:p>
      <w:pPr>
        <w:spacing w:after="0" w:line="108"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granted a total of 3,065,000 and 4,535,117 stock options, respectively, and 9,069,500 and 5,497,700 RSUs, respectively, to employees under the Plans. The RSUs typically vest annually over a three- or four-year period and the stock options typically vest quarterly over a four-year period. Also during 2022 and 2021, the Company granted a total of 1,919,500 and 2,008,800 RSUs, respectively, to employees under the Plans that vest upon the achievement of specified performance conditions.</w:t>
      </w:r>
    </w:p>
    <w:p>
      <w:pPr>
        <w:spacing w:after="0" w:line="11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 addition, during the years ended December 31, 2022 and 2021, the Company granted a total of 1,973,124 and 278,271 stock options, respectively, and 1,597,955 and 218,000 RSUs, respectively, to members of the Company’s Board of Directors under the Plans.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202"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and Stock-Based Compensation</w:t>
      </w:r>
    </w:p>
    <w:p>
      <w:pPr>
        <w:spacing w:after="0" w:line="9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March 16, 2020, the Company’s Board of Directors, upon the recommendation of the Remuneration Committee, adopted, subject to shareholder approval, the 2020 Plan which was subsequently approved by the Company’s shareholders on July 13, 2020 at the Annual General Meeting of Shareholders. The 2020 Plan is the successor to the Company’s 2011 Plan, which was set to expire on July 12, 2021, and the Company’s 2002 Plan, the Plans.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2020 Plan allows the Company to grant stock options, both incentive and non-qualified options, to employees and Directors, restricted stock units to employees and unrestricted shares to Directors. The maximum number of the Company’s Ordinary Shares of £0.50 each or any ADS’s, as to be issued under the 2020 Plan shall not exceed the sum of (i) 20,000,000 shares and (ii) the number of Shares that remained available for grants under the Company’s 2011 Plan as of July 13, 2020. If any award granted and outstanding under the Plans expires or is forfeited, surrendered, canceled or otherwise terminated, the shares may be made available for subsequent grants under the 2020 Plan. The 2020 Plan is administered by the Remuneration Committee of the Company’s Board of Directors and expires on July 13, 2030.</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terms of the Plans, stock options typically vest over a four-year period and expire after a ten-year term. The stock options are granted at an exercise price equal to the closing price of the Company’s American Depositary Shares on the grant date. The following table summarizes all stock option activity for the year ended December 31,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6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9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 and years)</w:t>
            </w: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26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(4,105 )</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(33 )</w:t>
            </w:r>
          </w:p>
        </w:tc>
        <w:tc>
          <w:tcPr>
            <w:tcW w:w="9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260" w:type="dxa"/>
            <w:vAlign w:val="bottom"/>
            <w:tcBorders>
              <w:top w:val="single" w:sz="8" w:color="CFF0FC"/>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tcBorders>
              <w:top w:val="single" w:sz="8" w:color="CFF0FC"/>
            </w:tcBorders>
          </w:tcPr>
          <w:p>
            <w:pPr>
              <w:spacing w:after="0"/>
              <w:rPr>
                <w:sz w:val="20"/>
                <w:szCs w:val="20"/>
                <w:color w:val="auto"/>
              </w:rPr>
            </w:pPr>
          </w:p>
        </w:tc>
        <w:tc>
          <w:tcPr>
            <w:tcW w:w="1440" w:type="dxa"/>
            <w:vAlign w:val="bottom"/>
            <w:tcBorders>
              <w:top w:val="single" w:sz="8" w:color="CFF0FC"/>
            </w:tcBorders>
          </w:tcPr>
          <w:p>
            <w:pPr>
              <w:ind w:left="780"/>
              <w:spacing w:after="0"/>
              <w:rPr>
                <w:sz w:val="20"/>
                <w:szCs w:val="20"/>
                <w:color w:val="auto"/>
              </w:rPr>
            </w:pPr>
            <w:r>
              <w:rPr>
                <w:rFonts w:ascii="Times New Roman" w:cs="Times New Roman" w:eastAsia="Times New Roman" w:hAnsi="Times New Roman"/>
                <w:sz w:val="18"/>
                <w:szCs w:val="18"/>
                <w:color w:val="auto"/>
                <w:w w:val="98"/>
              </w:rPr>
              <w:t>6.2 years</w:t>
            </w:r>
          </w:p>
        </w:tc>
        <w:tc>
          <w:tcPr>
            <w:tcW w:w="26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8"/>
              </w:rPr>
              <w:t>4.9 years</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 2022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18,867</w:t>
            </w:r>
          </w:p>
        </w:tc>
        <w:tc>
          <w:tcPr>
            <w:tcW w:w="2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9"/>
                <w:szCs w:val="19"/>
                <w:color w:val="auto"/>
              </w:rPr>
            </w:pPr>
          </w:p>
        </w:tc>
        <w:tc>
          <w:tcPr>
            <w:tcW w:w="14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6.2 years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 for future grant as of December 31,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26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-728345</wp:posOffset>
            </wp:positionV>
            <wp:extent cx="76835"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685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1080135" cy="205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1080135" cy="20574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2022, 2021, and 2020 was $2.56, $5.12, and</w:t>
      </w:r>
    </w:p>
    <w:p>
      <w:pPr>
        <w:spacing w:after="0" w:line="27"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18"/>
          <w:szCs w:val="18"/>
          <w:color w:val="auto"/>
        </w:rPr>
        <w:t>$14.43, respectively. The total grant date fair value of options vested during the years ended December 31, 2022, 2021, and 2020 was $16.6 million, $21.1 million, and $22.5 million, respectively.</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2021 and 2020, the Company received proceeds from the exercise of options of $0.1 million, $2.9 million, and $5.2 million, respectively. The total intrinsic value of options exercised during the years ended December 31, 2022, 2021, and 2020 was nominal, $4.9 million, and $9.0 million, respectively, calculated as the difference between the quoted stock price of the Company’s common stock as of the reporting date and the exercise prices of the underlying awards.</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2022, options have $13.5 million of unrecognized stock-based compensation expense with such expense expected to be recognized over a weighted-average period of approximately 2.1 years.</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on the date of grant was estimated using the Black-Scholes option pricing model. Use of a valuation model requires management to make certain assumptions with respect to selected model inputs, which include:</w:t>
      </w:r>
    </w:p>
    <w:p>
      <w:pPr>
        <w:spacing w:after="0" w:line="52" w:lineRule="exact"/>
        <w:rPr>
          <w:sz w:val="20"/>
          <w:szCs w:val="20"/>
          <w:color w:val="auto"/>
        </w:rPr>
      </w:pPr>
    </w:p>
    <w:p>
      <w:pPr>
        <w:ind w:left="1020" w:right="22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free rate</w:t>
      </w:r>
      <w:r>
        <w:rPr>
          <w:rFonts w:ascii="Times New Roman" w:cs="Times New Roman" w:eastAsia="Times New Roman" w:hAnsi="Times New Roman"/>
          <w:sz w:val="18"/>
          <w:szCs w:val="18"/>
          <w:color w:val="auto"/>
        </w:rPr>
        <w:t>: The risk-free interest rate is based on zero-coupon U.S. Treasury securities with a maturity term approximating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of the option at the date of grant.</w:t>
      </w:r>
    </w:p>
    <w:p>
      <w:pPr>
        <w:spacing w:after="0" w:line="50" w:lineRule="exact"/>
        <w:rPr>
          <w:rFonts w:ascii="Times New Roman" w:cs="Times New Roman" w:eastAsia="Times New Roman" w:hAnsi="Times New Roman"/>
          <w:sz w:val="18"/>
          <w:szCs w:val="18"/>
          <w:color w:val="auto"/>
        </w:rPr>
      </w:pPr>
    </w:p>
    <w:p>
      <w:pPr>
        <w:ind w:left="1020" w:right="32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No dividend yield has been assumed as the Company does not currently pay dividends on its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anticipate doing so in the foreseeable future.</w:t>
      </w:r>
    </w:p>
    <w:p>
      <w:pPr>
        <w:spacing w:after="0" w:line="5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option life: </w:t>
      </w:r>
      <w:r>
        <w:rPr>
          <w:rFonts w:ascii="Times New Roman" w:cs="Times New Roman" w:eastAsia="Times New Roman" w:hAnsi="Times New Roman"/>
          <w:sz w:val="18"/>
          <w:szCs w:val="18"/>
          <w:color w:val="auto"/>
        </w:rPr>
        <w:t>The expected life was determined using the simplified method based on the term and vesting period.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stock price volatility was calculated based on the historical volatility of the Company’s common stock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2021, and 2020, the Company used the following assumptions to estimate the fair value of share-based payment awards: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3"/>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40" w:type="dxa"/>
            <w:vAlign w:val="bottom"/>
            <w:gridSpan w:val="3"/>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1.64% - 4.35%</w:t>
            </w:r>
          </w:p>
        </w:tc>
        <w:tc>
          <w:tcPr>
            <w:tcW w:w="20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8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- 1.36%</w:t>
            </w:r>
          </w:p>
        </w:tc>
        <w:tc>
          <w:tcPr>
            <w:tcW w:w="180" w:type="dxa"/>
            <w:vAlign w:val="bottom"/>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7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- 1.74%</w:t>
            </w: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70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8"/>
              </w:rPr>
              <w:t>0.00%</w:t>
            </w:r>
          </w:p>
        </w:tc>
        <w:tc>
          <w:tcPr>
            <w:tcW w:w="164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1700" w:type="dxa"/>
            <w:vAlign w:val="bottom"/>
            <w:gridSpan w:val="3"/>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5"/>
              </w:rPr>
              <w:t>6.25</w:t>
            </w:r>
          </w:p>
        </w:tc>
        <w:tc>
          <w:tcPr>
            <w:tcW w:w="1640" w:type="dxa"/>
            <w:vAlign w:val="bottom"/>
            <w:gridSpan w:val="3"/>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w w:val="95"/>
              </w:rPr>
              <w:t>6.25</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 - 101%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- 99%</w:t>
            </w:r>
          </w:p>
        </w:tc>
      </w:tr>
    </w:tbl>
    <w:p>
      <w:pPr>
        <w:spacing w:after="0" w:line="15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Employee stock options generally require future service and vest ratably over a four-year service period and are settled by the issuance of new common shares. The grant date fair value of the stock options, net of an estimated forfeiture rate is amortized straight-line over the awards’ vesting periods or respective requisite service periods and is adjusted for actual forfeitures over such period. The Company recorded compensation expense in relation to stock options of $14.8 million, $23.0 million, and $22.4 million for the years ended December 31, 2022, 2021, and 2020, respectively.</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restricted stock units vest based upon either a time-based service condition, a performance condition, or both. The grant date fair value of the restricted stock unites, net of the estimated forfeiture rate, is amortized straight-line over the vesting periods or requisite service periods and is adjusted for actual forfeitures over such period. For any awards with a performance condition, the probability that any performance criteria will be achieved is assessed by management and compensation expense for such awards is only recorded to the extent that the attainment of the performance criteria is deemed to be probable.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The following table presents the restricted stock unit activity for the year ended December 31, 2022 :</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r>
      <w:tr>
        <w:trPr>
          <w:trHeight w:val="148"/>
        </w:trPr>
        <w:tc>
          <w:tcPr>
            <w:tcW w:w="7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r>
      <w:tr>
        <w:trPr>
          <w:trHeight w:val="187"/>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1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5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7"/>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FF0FC"/>
          </w:tcPr>
          <w:p>
            <w:pPr>
              <w:spacing w:after="0"/>
              <w:rPr>
                <w:sz w:val="20"/>
                <w:szCs w:val="20"/>
                <w:color w:val="auto"/>
              </w:rPr>
            </w:pPr>
          </w:p>
        </w:tc>
      </w:tr>
      <w:tr>
        <w:trPr>
          <w:trHeight w:val="239"/>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r>
      <w:tr>
        <w:trPr>
          <w:trHeight w:val="247"/>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(1,940 )</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FF0FC"/>
          </w:tcPr>
          <w:p>
            <w:pPr>
              <w:spacing w:after="0"/>
              <w:rPr>
                <w:sz w:val="21"/>
                <w:szCs w:val="21"/>
                <w:color w:val="auto"/>
              </w:rPr>
            </w:pPr>
          </w:p>
        </w:tc>
      </w:tr>
      <w:tr>
        <w:trPr>
          <w:trHeight w:val="243"/>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(5,463 )</w:t>
            </w: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r>
      <w:tr>
        <w:trPr>
          <w:trHeight w:val="277"/>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3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recorded compensation expense in relation to restricted stock units of $11.4 million, $13.9 million, and $23.4 million for the years ended December 31, 2022, 2021, and 2020 respectively. As of December 31, 2022, restricted stock units have $23.7 million of unrecognized stock-based compensation expense with such expense to be recognized over a weighted-average period of approximately 2.2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related to stock-based awards for the years ended December 31, 2022,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shd w:val="clear" w:color="auto" w:fill="CFF0FC"/>
          </w:tcPr>
          <w:p>
            <w:pPr>
              <w:spacing w:after="0"/>
              <w:rPr>
                <w:sz w:val="20"/>
                <w:szCs w:val="20"/>
                <w:color w:val="auto"/>
              </w:rPr>
            </w:pPr>
          </w:p>
        </w:tc>
      </w:tr>
      <w:tr>
        <w:trPr>
          <w:trHeight w:val="23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100" w:type="dxa"/>
            <w:vAlign w:val="bottom"/>
          </w:tcPr>
          <w:p>
            <w:pPr>
              <w:spacing w:after="0"/>
              <w:rPr>
                <w:sz w:val="20"/>
                <w:szCs w:val="20"/>
                <w:color w:val="auto"/>
              </w:rPr>
            </w:pPr>
          </w:p>
        </w:tc>
      </w:tr>
      <w:tr>
        <w:trPr>
          <w:trHeight w:val="24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(591 )</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3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28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100" w:type="dxa"/>
            <w:vAlign w:val="bottom"/>
            <w:tcBorders>
              <w:top w:val="single" w:sz="8" w:color="CFF0FC"/>
            </w:tcBorders>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-187960</wp:posOffset>
            </wp:positionV>
            <wp:extent cx="7747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13, 2017, the Board adopted, subject to shareholder approval, the Amarin Corporation plc 2017 Employee Stock Purchase Plan, or the ESPP, which was approved by the Company’s shareholders on May 15, 2017. The ESPP is intended to qualify as an “employee stock purchase plan” within the meaning of Section 423 of the Internal Revenue Code. The maximum fair market value of stock which can be purchased by a participant in a calendar year is $25,000.</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ESPP, an aggregate of 3,000,000 ordinary shares (each ordinary share to be represented by one ADS) are reserved and available for issuance, which were registered with the SEC on August 2, 2017, for sale to eligible employees. Subject to certain exclusions, any employee of the Company’s U.S. subsidiary, Amarin Pharma, Inc., who works at least 20 hours per week and has been employed for at least six months as of the first day of the applicable offering period is eligible to participate in the ESPP. Eligible employees may authorize payroll deductions of up to 15 percent of their base pay to be withheld to purchase ordinary shares, subject to terms and limitations of the plan, at a price equal to 85 percent of the lower of the fair market values of the Company’s ordinary shares as of the beginning or the end of six-month offering periods.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2022 and November 30, 2022, the Company issued 265,214 shares and 191,482 shares, respectively, at a purchase price of $1.45 per share and $1.15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2021 and November 30, 2021, the Company issued 226,402 shares and 172,884 shares, respectively, at a purchase price of $3.86 per share and $3.06 per share, respectively.</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offering periods ended on the last business day on or before each of May 31, 2020 and November 30, 2020, the Company issued shares 123,608 shares and 223,545 shares, respectively, at a purchase price of $5.83 per share and $4.22 per share,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1,361,577 shares were reserved for future issuance under the ESPP.</w:t>
      </w:r>
    </w:p>
    <w:p>
      <w:pPr>
        <w:spacing w:after="0" w:line="262"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within the provision for income taxes. The total amount of unrecognized tax benefits that would affect the Company’s effective tax rate if recognized is $8.2 million and $7.9 million as of December 31, 2022 and 2021, respectively. The Company recognized interest related to uncertain tax positions of $0.5 million and $0.9 million for the years ended December 31, 2022 and 2021, respectively. No penalties have been recognized in conjunction with these positions.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uncertain tax benefits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100" w:type="dxa"/>
            <w:vAlign w:val="bottom"/>
            <w:shd w:val="clear" w:color="auto" w:fill="CFF0FC"/>
          </w:tcPr>
          <w:p>
            <w:pPr>
              <w:spacing w:after="0"/>
              <w:rPr>
                <w:sz w:val="20"/>
                <w:szCs w:val="20"/>
                <w:color w:val="auto"/>
              </w:rPr>
            </w:pP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year—increases</w:t>
            </w:r>
          </w:p>
        </w:tc>
        <w:tc>
          <w:tcPr>
            <w:tcW w:w="36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Prior year—decreases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(9,107 )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(2,248 )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(5,391 )</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year—increases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1"/>
                <w:szCs w:val="21"/>
                <w:color w:val="auto"/>
              </w:rPr>
            </w:pPr>
          </w:p>
        </w:tc>
      </w:tr>
      <w:tr>
        <w:trPr>
          <w:trHeight w:val="277"/>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uncertain tax benefits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22,040</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Ireland and United Kingdom, or UK. The Company remains subject to tax examinations in the following jurisdictions as of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13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Tax Years</w:t>
            </w: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States—Federal</w:t>
            </w:r>
          </w:p>
        </w:tc>
        <w:tc>
          <w:tcPr>
            <w:tcW w:w="134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2018-2022</w:t>
            </w: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States—State</w:t>
            </w:r>
          </w:p>
        </w:tc>
        <w:tc>
          <w:tcPr>
            <w:tcW w:w="36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2012-2022</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680" w:type="dxa"/>
            <w:vAlign w:val="bottom"/>
            <w:gridSpan w:val="2"/>
            <w:shd w:val="clear" w:color="auto" w:fill="CFF0FC"/>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2018-2022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6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w w:val="99"/>
              </w:rPr>
              <w:t>2021-2022</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expect any gross liabilities to expire in 2023 based on statutory lapses or audits.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(loss) from operations before taxes were as follows for the years ended December 31, 2022, 2021 and 2020: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100" w:type="dxa"/>
            <w:vAlign w:val="bottom"/>
            <w:shd w:val="clear" w:color="auto" w:fill="CFF0FC"/>
          </w:tcPr>
          <w:p>
            <w:pPr>
              <w:spacing w:after="0"/>
              <w:rPr>
                <w:sz w:val="20"/>
                <w:szCs w:val="20"/>
                <w:color w:val="auto"/>
              </w:rPr>
            </w:pPr>
          </w:p>
        </w:tc>
      </w:tr>
      <w:tr>
        <w:trPr>
          <w:trHeight w:val="23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 and United Kingdom</w:t>
            </w:r>
          </w:p>
        </w:tc>
        <w:tc>
          <w:tcPr>
            <w:tcW w:w="3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(112,527 )</w:t>
            </w:r>
          </w:p>
        </w:tc>
        <w:tc>
          <w:tcPr>
            <w:tcW w:w="3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(4,368 )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(32,170 )</w:t>
            </w:r>
          </w:p>
        </w:tc>
      </w:tr>
      <w:tr>
        <w:trPr>
          <w:trHeight w:val="247"/>
        </w:trPr>
        <w:tc>
          <w:tcPr>
            <w:tcW w:w="6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 / income before taxes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(103,805 )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(17,255 )</w:t>
            </w:r>
          </w:p>
        </w:tc>
      </w:tr>
      <w:tr>
        <w:trPr>
          <w:trHeight w:val="20"/>
        </w:trPr>
        <w:tc>
          <w:tcPr>
            <w:tcW w:w="6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-187960</wp:posOffset>
            </wp:positionV>
            <wp:extent cx="768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6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provision for income taxes shown in the accompanying consolidated statements of operations consists of the following for the years ended December 31, 2022, 2021 and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2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0"/>
                <w:szCs w:val="20"/>
                <w:color w:val="auto"/>
              </w:rPr>
            </w:pPr>
          </w:p>
        </w:tc>
      </w:tr>
      <w:tr>
        <w:trPr>
          <w:trHeight w:val="247"/>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20"/>
                <w:szCs w:val="20"/>
                <w:color w:val="auto"/>
              </w:rPr>
            </w:pPr>
          </w:p>
        </w:tc>
      </w:tr>
      <w:tr>
        <w:trPr>
          <w:trHeight w:val="23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1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States—Federal</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(3,721 )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States—State</w:t>
            </w:r>
          </w:p>
        </w:tc>
        <w:tc>
          <w:tcPr>
            <w:tcW w:w="2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(3,057 )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FF0FC"/>
          </w:tcPr>
          <w:p>
            <w:pPr>
              <w:spacing w:after="0"/>
              <w:rPr>
                <w:sz w:val="21"/>
                <w:szCs w:val="2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(1,646 )</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(26,793 )</w:t>
            </w: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(546 )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1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72"/>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633"/>
        </w:trPr>
        <w:tc>
          <w:tcPr>
            <w:tcW w:w="3940" w:type="dxa"/>
            <w:vAlign w:val="bottom"/>
          </w:tcPr>
          <w:p>
            <w:pPr>
              <w:spacing w:after="0"/>
              <w:rPr>
                <w:sz w:val="24"/>
                <w:szCs w:val="24"/>
                <w:color w:val="auto"/>
              </w:rPr>
            </w:pPr>
          </w:p>
        </w:tc>
        <w:tc>
          <w:tcPr>
            <w:tcW w:w="25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F-24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-1790700</wp:posOffset>
            </wp:positionV>
            <wp:extent cx="685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-1790700</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-848360</wp:posOffset>
            </wp:positionV>
            <wp:extent cx="6858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-848360</wp:posOffset>
            </wp:positionV>
            <wp:extent cx="6858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-521970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-505460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-521970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-505460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2" w:name="page123"/>
    <w:bookmarkEnd w:id="122"/>
    <w:p>
      <w:pPr>
        <w:ind w:right="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computed by applying the statutory income tax rate to income before taxes due to the following for the years ended December 31, 2022, 2021 and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Benefits from taxes at statutory rate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(25,952</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differential</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(4,416 )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reserves</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(546 )</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22,865</w:t>
            </w:r>
          </w:p>
        </w:tc>
        <w:tc>
          <w:tcPr>
            <w:tcW w:w="100" w:type="dxa"/>
            <w:vAlign w:val="bottom"/>
            <w:shd w:val="clear" w:color="auto" w:fill="CFF0FC"/>
          </w:tcPr>
          <w:p>
            <w:pPr>
              <w:spacing w:after="0"/>
              <w:rPr>
                <w:sz w:val="21"/>
                <w:szCs w:val="21"/>
                <w:color w:val="auto"/>
              </w:rPr>
            </w:pP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employee compensation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option/RSU windfall (shortfall)</w:t>
            </w: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(3,262 )</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ISO disqualifying disposition windfall</w:t>
            </w:r>
          </w:p>
        </w:tc>
        <w:tc>
          <w:tcPr>
            <w:tcW w:w="360" w:type="dxa"/>
            <w:vAlign w:val="bottom"/>
          </w:tcPr>
          <w:p>
            <w:pPr>
              <w:spacing w:after="0"/>
              <w:rPr>
                <w:sz w:val="20"/>
                <w:szCs w:val="20"/>
                <w:color w:val="auto"/>
              </w:rPr>
            </w:pPr>
          </w:p>
        </w:tc>
        <w:tc>
          <w:tcPr>
            <w:tcW w:w="1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(958 )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(1,170 )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(6,225 )</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return to provision adjustments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(8,372 )</w:t>
            </w: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 carryback</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(2,465 )</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(10,852 )</w:t>
            </w: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and other</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(1,542 )</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(4,283 )</w:t>
            </w:r>
          </w:p>
        </w:tc>
      </w:tr>
      <w:tr>
        <w:trPr>
          <w:trHeight w:val="23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60" w:type="dxa"/>
            <w:vAlign w:val="bottom"/>
          </w:tcPr>
          <w:p>
            <w:pPr>
              <w:spacing w:after="0"/>
              <w:rPr>
                <w:sz w:val="20"/>
                <w:szCs w:val="20"/>
                <w:color w:val="auto"/>
              </w:rPr>
            </w:pPr>
          </w:p>
        </w:tc>
        <w:tc>
          <w:tcPr>
            <w:tcW w:w="1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(3,290 )</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20"/>
                <w:szCs w:val="20"/>
                <w:color w:val="auto"/>
              </w:rPr>
            </w:pPr>
          </w:p>
        </w:tc>
      </w:tr>
      <w:tr>
        <w:trPr>
          <w:trHeight w:val="247"/>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(2,935 )</w:t>
            </w:r>
          </w:p>
        </w:tc>
        <w:tc>
          <w:tcPr>
            <w:tcW w:w="3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of tax attributes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6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subject to a corporate tax rate in Ireland of 25% for non-trading activities and 12.5% for trading activities. For the years ended December 31, 2022, 2021, and 2020,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 In the table above, the Company used Amarin Corporation plc’s 25% tax rate as the starting point for the reconciliation since it is the parent entity of the business.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or the Act, was signed into law by the Biden Administration, with tax provisions effective January 1, 2023 primarily focused on implementing a 15% minimum tax on global adjusted financial statement income (CAMT) and a 1% excise tax on share repurchases. While we are still evaluating the impact of the Act, we do not expect either of these provisions to have a material impact on our financial results.</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or CARES Act, was enacted in the United States. Among other provisions, the CARES Act allows businesses to carry back net operating losses arising in years 2018 to 2020 to the five prior tax years. We recorded an income tax benefit of $2.5 million for the year ended December 31, 2020 as a result of these loss carrybacks and an income tax benefit of nil for the years ended December 31, 2022 and 2021, respectively.</w:t>
      </w:r>
    </w:p>
    <w:p>
      <w:pPr>
        <w:spacing w:after="0" w:line="12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April 2016, the Company adopted ASU No. 2016-09, </w:t>
      </w:r>
      <w:r>
        <w:rPr>
          <w:rFonts w:ascii="Times New Roman" w:cs="Times New Roman" w:eastAsia="Times New Roman" w:hAnsi="Times New Roman"/>
          <w:sz w:val="18"/>
          <w:szCs w:val="18"/>
          <w:i w:val="1"/>
          <w:iCs w:val="1"/>
          <w:color w:val="auto"/>
        </w:rPr>
        <w:t>Compensation-Stock Compensation (Topic 718): Improvements to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which changes the accounting for certain aspects of share-based payments to employees. One aspect of the standard requires that excess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deficiencies that arise upon vesting or exercise of share-based payments be recognized as an income tax benefit and expense in the income statement. Previously, such amounts were recognized as an increase and decrease in additional paid-in capital. This aspect of the standard was adopted prospectively, and accordingly the provisions for income taxes for the years ended December 31, 2022, 2021 and 2020 includes $0.6 million, $0.1 million and $3.7 million of excess tax benefits, respectively, arising from share-based payments during the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The income tax effect of each type of temporary difference comprising the net deferred tax asset as of December 31, 2022 and 2021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6"/>
                <w:szCs w:val="16"/>
                <w:color w:val="auto"/>
              </w:rPr>
            </w:pPr>
          </w:p>
        </w:tc>
        <w:tc>
          <w:tcPr>
            <w:tcW w:w="16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58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127,378</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11,616</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100" w:type="dxa"/>
            <w:vAlign w:val="bottom"/>
            <w:shd w:val="clear" w:color="auto" w:fill="CFF0FC"/>
          </w:tcPr>
          <w:p>
            <w:pPr>
              <w:spacing w:after="0"/>
              <w:rPr>
                <w:sz w:val="21"/>
                <w:szCs w:val="2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15,803</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R&amp;D</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0"/>
                <w:szCs w:val="20"/>
                <w:color w:val="auto"/>
              </w:rPr>
            </w:pPr>
          </w:p>
        </w:tc>
      </w:tr>
      <w:tr>
        <w:trPr>
          <w:trHeight w:val="247"/>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reserves and accrued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165,349</w:t>
            </w:r>
          </w:p>
        </w:tc>
        <w:tc>
          <w:tcPr>
            <w:tcW w:w="100" w:type="dxa"/>
            <w:vAlign w:val="bottom"/>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(165,378 )</w:t>
            </w:r>
          </w:p>
        </w:tc>
        <w:tc>
          <w:tcPr>
            <w:tcW w:w="1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(160,295 )</w:t>
            </w:r>
          </w:p>
        </w:tc>
      </w:tr>
      <w:tr>
        <w:trPr>
          <w:trHeight w:val="232"/>
        </w:trPr>
        <w:tc>
          <w:tcPr>
            <w:tcW w:w="7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Borders>
              <w:top w:val="single" w:sz="8" w:color="CFF0FC"/>
            </w:tcBorders>
          </w:tcPr>
          <w:p>
            <w:pPr>
              <w:spacing w:after="0"/>
              <w:rPr>
                <w:sz w:val="20"/>
                <w:szCs w:val="20"/>
                <w:color w:val="auto"/>
              </w:rPr>
            </w:pPr>
          </w:p>
        </w:tc>
      </w:tr>
      <w:tr>
        <w:trPr>
          <w:trHeight w:val="247"/>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(3,337 )</w:t>
            </w:r>
          </w:p>
        </w:tc>
        <w:tc>
          <w:tcPr>
            <w:tcW w:w="18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(3,404 )</w:t>
            </w: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(1,603 )</w:t>
            </w:r>
          </w:p>
        </w:tc>
        <w:tc>
          <w:tcPr>
            <w:tcW w:w="1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(1,639 )</w:t>
            </w:r>
          </w:p>
        </w:tc>
      </w:tr>
      <w:tr>
        <w:trPr>
          <w:trHeight w:val="24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21"/>
                <w:szCs w:val="21"/>
                <w:color w:val="auto"/>
              </w:rPr>
            </w:pP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37"/>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-1448435</wp:posOffset>
            </wp:positionV>
            <wp:extent cx="6858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1631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-1130935</wp:posOffset>
            </wp:positionV>
            <wp:extent cx="68580" cy="1631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31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68580"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assesses whether it is more-likely-than-not that the Company will realize its deferred tax assets. The Company determined that it was more-likely-than-not that the Irish, U.S., Germany, and Israeli net operating losses and the related deferred tax assets would not be realized in future periods and a full valuation allowance has been provided for all periods.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in the valuation allowance for the years ended December 31,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valuation allowance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160,295</w:t>
            </w:r>
          </w:p>
        </w:tc>
        <w:tc>
          <w:tcPr>
            <w:tcW w:w="3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160,841</w:t>
            </w:r>
          </w:p>
        </w:tc>
        <w:tc>
          <w:tcPr>
            <w:tcW w:w="100" w:type="dxa"/>
            <w:vAlign w:val="bottom"/>
          </w:tcPr>
          <w:p>
            <w:pPr>
              <w:spacing w:after="0"/>
              <w:rPr>
                <w:sz w:val="20"/>
                <w:szCs w:val="20"/>
                <w:color w:val="auto"/>
              </w:rPr>
            </w:pPr>
          </w:p>
        </w:tc>
      </w:tr>
      <w:tr>
        <w:trPr>
          <w:trHeight w:val="247"/>
        </w:trPr>
        <w:tc>
          <w:tcPr>
            <w:tcW w:w="7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as reflected in income tax expense</w:t>
            </w: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FF0FC"/>
          </w:tcPr>
          <w:p>
            <w:pPr>
              <w:spacing w:after="0"/>
              <w:rPr>
                <w:sz w:val="21"/>
                <w:szCs w:val="21"/>
                <w:color w:val="auto"/>
              </w:rPr>
            </w:pPr>
          </w:p>
        </w:tc>
      </w:tr>
      <w:tr>
        <w:trPr>
          <w:trHeight w:val="24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420" w:type="dxa"/>
            <w:vAlign w:val="bottom"/>
          </w:tcPr>
          <w:p>
            <w:pPr>
              <w:spacing w:after="0"/>
              <w:rPr>
                <w:sz w:val="21"/>
                <w:szCs w:val="21"/>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(7,859 )</w:t>
            </w:r>
          </w:p>
        </w:tc>
        <w:tc>
          <w:tcPr>
            <w:tcW w:w="4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(3,445 )</w:t>
            </w:r>
          </w:p>
        </w:tc>
      </w:tr>
      <w:tr>
        <w:trPr>
          <w:trHeight w:val="277"/>
        </w:trPr>
        <w:tc>
          <w:tcPr>
            <w:tcW w:w="7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valuation allowance</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165,378</w:t>
            </w:r>
          </w:p>
        </w:tc>
        <w:tc>
          <w:tcPr>
            <w:tcW w:w="3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2022, the Company recorded adjustments to its deferred tax accounts related to the impact of foreign exchange rate changes and to reconcile the financial statement accounts to the amounts expected to result in future income and deductions under local law, primarily as it relates to Irish net operating losses and deferred taxes for stock compensation. These adjustments were fully offset with valuation allowances based on the Company’s position with respect to the realizability of its recorded deferred tax assets.</w:t>
      </w:r>
    </w:p>
    <w:p>
      <w:pPr>
        <w:spacing w:after="0" w:line="12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Company has combined U.S. and Non-U.S. net operating loss carryforwards of $834.4 million, which do not expire. The total net operating loss carryforwards decreased by approximately $15.6 million from the prior year primarily as a result of current year loss generated by the Company’s U.S. and Non-U.S. subsidiaries, the impact of foreign exchange rate changes, and adjustments to reconcile the financial statement accounts to the amounts reported on the filed 2021 foreign tax returns. In addition, the Company has U.S. Federal tax credit carryforwards of $9.5 million and state tax credit carryforwards of $3.7 million. These amounts exclude the impact of any unrecognized tax benefits and valuation allowances. These carryforwards, which will expire between 2023 and 2042, may be used to offset future taxable income, if any.</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2022, there are no earnings that have been retained indefinitely for reinvestment by foreign subsidiary; therefore, no provision has been made for income taxes that would be payable upon the distribution of such earnings or the recovery of the Company’s investment in its subsidiaries as the amount of the related unrecognized deferred income tax liability is zero.</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taxing authorities. The Company is currently under audit by the IRS for the Company’s 2018 U.S. income tax return, by the New Jersey Department of Treasury for the years 2012 to 2015 and by the New York Department of Finance for the years 2018 and 2019. Although the outcome of tax audits is always uncertain and could result in significant cash tax payments, the Company does not believe the outcome of these audits will have a material adverse effect on the Company's consolidated financial position or results of operations.</w:t>
      </w:r>
    </w:p>
    <w:p>
      <w:pPr>
        <w:spacing w:after="0" w:line="220"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makes available a 401(k) plan for its U.S. employees. Under the 401(k) plan, employees may make contributions which are eligible for a discretionary percentage match, in cash, as defined in the 401(k) plan and determined by the Board of Directors.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4" w:name="page125"/>
    <w:bookmarkEnd w:id="124"/>
    <w:p>
      <w:pPr>
        <w:ind w:right="80"/>
        <w:spacing w:after="0" w:line="282" w:lineRule="auto"/>
        <w:rPr>
          <w:sz w:val="20"/>
          <w:szCs w:val="20"/>
          <w:color w:val="auto"/>
        </w:rPr>
      </w:pPr>
      <w:r>
        <w:rPr>
          <w:rFonts w:ascii="Times New Roman" w:cs="Times New Roman" w:eastAsia="Times New Roman" w:hAnsi="Times New Roman"/>
          <w:sz w:val="18"/>
          <w:szCs w:val="18"/>
          <w:color w:val="auto"/>
        </w:rPr>
        <w:t>Company recognized $1.7 million, $1.9 million and $1.7 million of related compensation expense for the years ended December 31, 2022, 2021 and 2020, respectively.</w:t>
      </w:r>
    </w:p>
    <w:p>
      <w:pPr>
        <w:spacing w:after="0" w:line="198" w:lineRule="exact"/>
        <w:rPr>
          <w:sz w:val="20"/>
          <w:szCs w:val="20"/>
          <w:color w:val="auto"/>
        </w:rPr>
      </w:pPr>
    </w:p>
    <w:p>
      <w:pPr>
        <w:ind w:left="520" w:hanging="512"/>
        <w:spacing w:after="0"/>
        <w:tabs>
          <w:tab w:leader="none" w:pos="5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Co-Promotion Agreement</w:t>
      </w:r>
    </w:p>
    <w:p>
      <w:pPr>
        <w:spacing w:after="0" w:line="9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12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11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the final co-promotion tail payment was made to Kowa Pharmaceuticals America, Inc. As of December 31, 2021, the Company recognized a net payable to Kowa Pharmaceuticals America, Inc. of $0.6 million was classified as current on the consolidated balance sheets, representing the remaining accrued co-promotion tail payments.</w:t>
      </w:r>
    </w:p>
    <w:p>
      <w:pPr>
        <w:spacing w:after="0" w:line="199"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or customer.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 The Company calculates gross product revenues generally based on the wholesale acquisition cost or list price that the Company charges its distributors for VASCEPA.</w:t>
      </w:r>
    </w:p>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Reserves for Variable Consideration</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individual contractual amounts earned or to be claimed on the related sales and are classified as reductions of accounts receivable (distributor payments or credits) or as a current liability (payable to a non-distributor).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13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such as fees for certain data that distributors provide to the Company. The payment terms for sales to distributors in the U.S. and Germany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5" w:name="page126"/>
    <w:bookmarkEnd w:id="125"/>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 organizations,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Third-party Payors, so that VASCEPA will be eligible for purchase by, for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w:t>
      </w:r>
    </w:p>
    <w:p>
      <w:pPr>
        <w:spacing w:after="0" w:line="3" w:lineRule="exact"/>
        <w:rPr>
          <w:sz w:val="20"/>
          <w:szCs w:val="20"/>
          <w:color w:val="auto"/>
        </w:rPr>
      </w:pPr>
    </w:p>
    <w:p>
      <w:pPr>
        <w:ind w:right="20" w:firstLine="8"/>
        <w:spacing w:after="0" w:line="253"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1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 beginning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consolidated balance sheets.</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consolidated balance sheets. The Company adjusts its accruals for co-pay mitigation rebates based on actual redemption activity and estimates regarding the portion of issued co-pay mitigation rebates that it estimates will be redeemed.</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years ended December 31, 2022 and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60" w:type="dxa"/>
            <w:vAlign w:val="bottom"/>
          </w:tcPr>
          <w:p>
            <w:pPr>
              <w:spacing w:after="0"/>
              <w:rPr>
                <w:sz w:val="13"/>
                <w:szCs w:val="13"/>
                <w:color w:val="auto"/>
              </w:rPr>
            </w:pPr>
          </w:p>
        </w:tc>
        <w:tc>
          <w:tcPr>
            <w:tcW w:w="10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6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4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36,242</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141,200</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7,798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5,584</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(2,034 )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(2,034 )</w:t>
            </w:r>
          </w:p>
        </w:tc>
        <w:tc>
          <w:tcPr>
            <w:tcW w:w="0" w:type="dxa"/>
            <w:vAlign w:val="bottom"/>
          </w:tcPr>
          <w:p>
            <w:pPr>
              <w:spacing w:after="0"/>
              <w:rPr>
                <w:sz w:val="1"/>
                <w:szCs w:val="1"/>
                <w:color w:val="auto"/>
              </w:rPr>
            </w:pPr>
          </w:p>
        </w:tc>
      </w:tr>
      <w:tr>
        <w:trPr>
          <w:trHeight w:val="23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(36,473 )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(504,210 )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(42,754 )</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(583,437 )</w:t>
            </w: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(34,511 )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(134,210 )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(1,240 )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(5,586 )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(175,547 )</w:t>
            </w:r>
          </w:p>
        </w:tc>
        <w:tc>
          <w:tcPr>
            <w:tcW w:w="0" w:type="dxa"/>
            <w:vAlign w:val="bottom"/>
          </w:tcPr>
          <w:p>
            <w:pPr>
              <w:spacing w:after="0"/>
              <w:rPr>
                <w:sz w:val="1"/>
                <w:szCs w:val="1"/>
                <w:color w:val="auto"/>
              </w:rPr>
            </w:pPr>
          </w:p>
        </w:tc>
      </w:tr>
      <w:tr>
        <w:trPr>
          <w:trHeight w:val="239"/>
        </w:trPr>
        <w:tc>
          <w:tcPr>
            <w:tcW w:w="51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184,756</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8,089</w:t>
            </w:r>
          </w:p>
        </w:tc>
        <w:tc>
          <w:tcPr>
            <w:tcW w:w="22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22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282,226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96,340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676,816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(54,952 )</w:t>
            </w:r>
          </w:p>
        </w:tc>
        <w:tc>
          <w:tcPr>
            <w:tcW w:w="1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(548,783 )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(24,671 )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(628,406 )</w:t>
            </w:r>
          </w:p>
        </w:tc>
        <w:tc>
          <w:tcPr>
            <w:tcW w:w="0" w:type="dxa"/>
            <w:vAlign w:val="bottom"/>
          </w:tcPr>
          <w:p>
            <w:pPr>
              <w:spacing w:after="0"/>
              <w:rPr>
                <w:sz w:val="1"/>
                <w:szCs w:val="1"/>
                <w:color w:val="auto"/>
              </w:rPr>
            </w:pPr>
          </w:p>
        </w:tc>
      </w:tr>
      <w:tr>
        <w:trPr>
          <w:trHeight w:val="23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(83,398 )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(177,288 )</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(1,690 )</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(2,630 )</w:t>
            </w: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(265,006 )</w:t>
            </w:r>
          </w:p>
        </w:tc>
        <w:tc>
          <w:tcPr>
            <w:tcW w:w="0" w:type="dxa"/>
            <w:vAlign w:val="bottom"/>
          </w:tcPr>
          <w:p>
            <w:pPr>
              <w:spacing w:after="0"/>
              <w:rPr>
                <w:sz w:val="1"/>
                <w:szCs w:val="1"/>
                <w:color w:val="auto"/>
              </w:rPr>
            </w:pPr>
          </w:p>
        </w:tc>
      </w:tr>
      <w:tr>
        <w:trPr>
          <w:trHeight w:val="278"/>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44,626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136,093</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8,746</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2,056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191,521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F-28</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-1465580</wp:posOffset>
            </wp:positionV>
            <wp:extent cx="77470"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-1465580</wp:posOffset>
            </wp:positionV>
            <wp:extent cx="76835"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-1465580</wp:posOffset>
            </wp:positionV>
            <wp:extent cx="68580"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-1465580</wp:posOffset>
            </wp:positionV>
            <wp:extent cx="68580" cy="1631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-1465580</wp:posOffset>
            </wp:positionV>
            <wp:extent cx="68580" cy="163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-522605</wp:posOffset>
            </wp:positionV>
            <wp:extent cx="77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-504825</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-522605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-504825</wp:posOffset>
            </wp:positionV>
            <wp:extent cx="76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-522605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-504825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-522605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-504825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26" w:name="page127"/>
    <w:bookmarkEnd w:id="126"/>
    <w:p>
      <w:pPr>
        <w:ind w:right="480"/>
        <w:spacing w:after="0" w:line="282" w:lineRule="auto"/>
        <w:rPr>
          <w:sz w:val="20"/>
          <w:szCs w:val="20"/>
          <w:color w:val="auto"/>
        </w:rPr>
      </w:pPr>
      <w:r>
        <w:rPr>
          <w:rFonts w:ascii="Times New Roman" w:cs="Times New Roman" w:eastAsia="Times New Roman" w:hAnsi="Times New Roman"/>
          <w:sz w:val="18"/>
          <w:szCs w:val="18"/>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above.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u w:val="single" w:color="auto"/>
          <w:color w:val="auto"/>
        </w:rPr>
        <w:t>Licensing Revenue</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6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3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20" w:lineRule="exact"/>
        <w:rPr>
          <w:sz w:val="20"/>
          <w:szCs w:val="20"/>
          <w:color w:val="auto"/>
        </w:rPr>
      </w:pPr>
    </w:p>
    <w:p>
      <w:pPr>
        <w:ind w:right="6240" w:firstLine="8"/>
        <w:spacing w:after="0" w:line="345" w:lineRule="auto"/>
        <w:tabs>
          <w:tab w:leader="none" w:pos="50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Development, Commercialization and Supply Agreements </w:t>
      </w:r>
      <w:r>
        <w:rPr>
          <w:rFonts w:ascii="Times New Roman" w:cs="Times New Roman" w:eastAsia="Times New Roman" w:hAnsi="Times New Roman"/>
          <w:sz w:val="18"/>
          <w:szCs w:val="18"/>
          <w:i w:val="1"/>
          <w:iCs w:val="1"/>
          <w:u w:val="single" w:color="auto"/>
          <w:color w:val="auto"/>
        </w:rPr>
        <w:t>In-licenses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92" w:lineRule="exact"/>
        <w:rPr>
          <w:sz w:val="20"/>
          <w:szCs w:val="20"/>
          <w:color w:val="auto"/>
        </w:rPr>
      </w:pPr>
    </w:p>
    <w:p>
      <w:pPr>
        <w:jc w:val="both"/>
        <w:ind w:right="1060"/>
        <w:spacing w:after="0" w:line="266"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127" w:name="page128"/>
    <w:bookmarkEnd w:id="127"/>
    <w:p>
      <w:pPr>
        <w:ind w:right="40"/>
        <w:spacing w:after="0" w:line="266" w:lineRule="auto"/>
        <w:rPr>
          <w:sz w:val="20"/>
          <w:szCs w:val="20"/>
          <w:color w:val="auto"/>
        </w:rPr>
      </w:pPr>
      <w:r>
        <w:rPr>
          <w:rFonts w:ascii="Times New Roman" w:cs="Times New Roman" w:eastAsia="Times New Roman" w:hAnsi="Times New Roman"/>
          <w:sz w:val="18"/>
          <w:szCs w:val="18"/>
          <w:color w:val="auto"/>
        </w:rPr>
        <w:t>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2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2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January 2022 and 2021, the Company exercised certain rights under the agreement, resulting in payments of $1.0 million, respectively, to Mochida, which was recorded as Research and development expense in the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The Company received approval of VASCEPA under the REDUCE-IT indication in Hong Kong in February 2022.</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28" w:name="page129"/>
    <w:bookmarkEnd w:id="12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$0.6 million and $1.1 million, respectively, as licensing revenue related to the up-front and milestone payments received in connection with the Edding agreement. From contract inception through December 31, 2022 and 2021, the Company recognized $7.7 million and $7.1 million, respectively, as licensing revenue under the DCS Agreement concurrent with the input measure of support hours provided by the Company to Edding in achieving the combined development and regulatory performance obligation, which in the Company’s judgment is the best measure of progress towards satisfying this performance obligation. The remaining transaction price of $9.3 million and $9.8 million is recorded in deferred revenue as of December 31, 2022 and 2021, respectively, on the consolidated balance sheets and will be recognized as revenue over the remaining period of 12 years.</w:t>
      </w:r>
    </w:p>
    <w:p>
      <w:pPr>
        <w:spacing w:after="0" w:line="13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$0.2 million and $0.3 million for the years ended December 31, 2022 and 2021, respectively, related to sales to Edding.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180" w:type="dxa"/>
            <w:vAlign w:val="bottom"/>
          </w:tcPr>
          <w:p>
            <w:pPr>
              <w:spacing w:after="0"/>
              <w:rPr>
                <w:sz w:val="16"/>
                <w:szCs w:val="16"/>
                <w:color w:val="auto"/>
              </w:rPr>
            </w:pPr>
          </w:p>
        </w:tc>
        <w:tc>
          <w:tcPr>
            <w:tcW w:w="140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100" w:type="dxa"/>
            <w:vAlign w:val="bottom"/>
          </w:tcPr>
          <w:p>
            <w:pPr>
              <w:spacing w:after="0"/>
              <w:rPr>
                <w:sz w:val="16"/>
                <w:szCs w:val="16"/>
                <w:color w:val="auto"/>
              </w:rPr>
            </w:pPr>
          </w:p>
        </w:tc>
      </w:tr>
      <w:tr>
        <w:trPr>
          <w:trHeight w:val="23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Lebanon</w:t>
            </w:r>
          </w:p>
        </w:tc>
        <w:tc>
          <w:tcPr>
            <w:tcW w:w="200" w:type="dxa"/>
            <w:vAlign w:val="bottom"/>
            <w:shd w:val="clear" w:color="auto" w:fill="CFF0FC"/>
          </w:tcPr>
          <w:p>
            <w:pPr>
              <w:spacing w:after="0"/>
              <w:rPr>
                <w:sz w:val="20"/>
                <w:szCs w:val="20"/>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March 2018</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rPr>
              <w:t>August 2021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June 2018</w:t>
            </w:r>
          </w:p>
        </w:tc>
        <w:tc>
          <w:tcPr>
            <w:tcW w:w="100" w:type="dxa"/>
            <w:vAlign w:val="bottom"/>
            <w:shd w:val="clear" w:color="auto" w:fill="CFF0FC"/>
          </w:tcPr>
          <w:p>
            <w:pPr>
              <w:spacing w:after="0"/>
              <w:rPr>
                <w:sz w:val="20"/>
                <w:szCs w:val="20"/>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2018</w:t>
            </w:r>
          </w:p>
        </w:tc>
        <w:tc>
          <w:tcPr>
            <w:tcW w:w="180" w:type="dxa"/>
            <w:vAlign w:val="bottom"/>
          </w:tcPr>
          <w:p>
            <w:pPr>
              <w:spacing w:after="0"/>
              <w:rPr>
                <w:sz w:val="20"/>
                <w:szCs w:val="20"/>
                <w:color w:val="auto"/>
              </w:rPr>
            </w:pPr>
          </w:p>
        </w:tc>
        <w:tc>
          <w:tcPr>
            <w:tcW w:w="14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October 2021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2019</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Qatar</w:t>
            </w: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2019</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jc w:val="center"/>
              <w:ind w:left="174"/>
              <w:spacing w:after="0"/>
              <w:rPr>
                <w:sz w:val="20"/>
                <w:szCs w:val="20"/>
                <w:color w:val="auto"/>
              </w:rPr>
            </w:pPr>
            <w:r>
              <w:rPr>
                <w:rFonts w:ascii="Times New Roman" w:cs="Times New Roman" w:eastAsia="Times New Roman" w:hAnsi="Times New Roman"/>
                <w:sz w:val="18"/>
                <w:szCs w:val="18"/>
                <w:color w:val="auto"/>
                <w:w w:val="99"/>
              </w:rPr>
              <w:t>April 2021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Bahrain</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2021</w:t>
            </w:r>
          </w:p>
        </w:tc>
        <w:tc>
          <w:tcPr>
            <w:tcW w:w="180" w:type="dxa"/>
            <w:vAlign w:val="bottom"/>
          </w:tcPr>
          <w:p>
            <w:pPr>
              <w:spacing w:after="0"/>
              <w:rPr>
                <w:sz w:val="20"/>
                <w:szCs w:val="20"/>
                <w:color w:val="auto"/>
              </w:rPr>
            </w:pPr>
          </w:p>
        </w:tc>
        <w:tc>
          <w:tcPr>
            <w:tcW w:w="14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April 2022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Kuwait</w:t>
            </w:r>
          </w:p>
        </w:tc>
        <w:tc>
          <w:tcPr>
            <w:tcW w:w="20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2021</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20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2022</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0"/>
                <w:szCs w:val="20"/>
                <w:color w:val="auto"/>
              </w:rPr>
            </w:pPr>
          </w:p>
        </w:tc>
        <w:tc>
          <w:tcPr>
            <w:tcW w:w="16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bl>
    <w:p>
      <w:pPr>
        <w:spacing w:after="0" w:line="1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approximately $1.0 million and $1.4 million as of December 31, 2022 and 2021, respectively, related to sales to Biologix.</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29" w:name="page130"/>
    <w:bookmarkEnd w:id="129"/>
    <w:p>
      <w:pPr>
        <w:ind w:right="580"/>
        <w:spacing w:after="0" w:line="282" w:lineRule="auto"/>
        <w:rPr>
          <w:sz w:val="20"/>
          <w:szCs w:val="20"/>
          <w:color w:val="auto"/>
        </w:rPr>
      </w:pPr>
      <w:r>
        <w:rPr>
          <w:rFonts w:ascii="Times New Roman" w:cs="Times New Roman" w:eastAsia="Times New Roman" w:hAnsi="Times New Roman"/>
          <w:sz w:val="18"/>
          <w:szCs w:val="18"/>
          <w:color w:val="auto"/>
        </w:rPr>
        <w:t>filings, supplying finished product under negotiated supply terms, maintaining intellectual property, and continuing the development and funding of REDUCE-IT related activities.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3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$0.7 million and $0.9 million, respectively, as licensing revenue related to up-front and milestone payments received in connection with the HLS agreement. From the contract’s inception through December 31, 2022 and 2021, the Company has recognized $8.2 million and $7.5 million, respectively, as licensing revenue is recognized under the agreement concurrent with the input measure of support hours provided by the Company to HLS in achieving this performance obligation, which in the Company’s judgment is the best measure of progress towards satisfying the combined development and regulatory performance obligation. The remaining transaction price of $5.6 million and $6.2 million is recorded in deferred revenue as of December 31, 2022 and 2021, respectively, on the consolidated balance sheets and will be recognized as revenue over the remaining period of 8 years.</w:t>
      </w:r>
    </w:p>
    <w:p>
      <w:pPr>
        <w:spacing w:after="0" w:line="13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recognized net product revenue of $2.9 million and nil for the years ended December 31, 2022 and 2021, respectively, related to sales to HLS.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CSL Seqirus to secure pricing and reimbursement, commercialize and distribute VAZKEPA in Australia and New Zealand. The Company will receive an upfront payment of $0.5 million and be eligible to receive event-related milestone payments of approximately $8.0 million and additional product-related milestone payments of approximately $4.0 million. The Company will be responsible for supplying finished product to CSL Seqirus at a profitable transfer price.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for years ended December 31,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6"/>
                <w:szCs w:val="16"/>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7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940" w:type="dxa"/>
            <w:vAlign w:val="bottom"/>
            <w:shd w:val="clear" w:color="auto" w:fill="CFF0FC"/>
          </w:tcPr>
          <w:p>
            <w:pPr>
              <w:spacing w:after="0"/>
              <w:rPr>
                <w:sz w:val="22"/>
                <w:szCs w:val="22"/>
                <w:color w:val="auto"/>
              </w:rPr>
            </w:pPr>
          </w:p>
        </w:tc>
        <w:tc>
          <w:tcPr>
            <w:tcW w:w="17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(2,051 )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940" w:type="dxa"/>
            <w:vAlign w:val="bottom"/>
          </w:tcPr>
          <w:p>
            <w:pPr>
              <w:spacing w:after="0"/>
              <w:rPr>
                <w:sz w:val="24"/>
                <w:szCs w:val="24"/>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F-32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0" w:name="page131"/>
    <w:bookmarkEnd w:id="130"/>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recognized the following revenues as a result of changes in the contract asset and contract liability balances in the respective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9"/>
                <w:szCs w:val="19"/>
                <w:color w:val="auto"/>
              </w:rPr>
            </w:pPr>
          </w:p>
        </w:tc>
        <w:tc>
          <w:tcPr>
            <w:tcW w:w="146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1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4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20"/>
                <w:szCs w:val="20"/>
                <w:color w:val="auto"/>
              </w:rPr>
            </w:pPr>
          </w:p>
        </w:tc>
      </w:tr>
      <w:tr>
        <w:trPr>
          <w:trHeight w:val="234"/>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obligations satisfied in previous periods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r>
    </w:tbl>
    <w:p>
      <w:pPr>
        <w:spacing w:after="0" w:line="270"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3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consolidated financial statements.</w:t>
      </w:r>
    </w:p>
    <w:p>
      <w:pPr>
        <w:spacing w:after="0" w:line="12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Commencement Date upon advance written notice and a termination payment specified in the Lease. Under the Lease, the Company paid monthly rent of approximately $0.1 million for the first year following the Commencement Date, and such rent increases by a nominal percentage every year following the first anniversary of the Commencement Date. In addition, Amarin receives certain abatements subject to the limitations in the Lease.</w:t>
      </w:r>
    </w:p>
    <w:p>
      <w:pPr>
        <w:spacing w:after="0" w:line="144"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5-year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September 13, 2022, the Company entered into a lease agreement for new office space in Dublin, Ireland, or the Dublin Lease. The Dublin Lease commenced on October 1, 2022, or the Dublin Commencement Date, for a 2-year period. Under the Dublin Lease, the Company will pay annual rent of approximately $0.4 million during the duration of the lease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real estate leases, the Company leases various vehicles with terms ranging from month to month up to 36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1" w:name="page132"/>
    <w:bookmarkEnd w:id="131"/>
    <w:p>
      <w:pPr>
        <w:ind w:right="200"/>
        <w:spacing w:after="0" w:line="282" w:lineRule="auto"/>
        <w:rPr>
          <w:sz w:val="20"/>
          <w:szCs w:val="20"/>
          <w:color w:val="auto"/>
        </w:rPr>
      </w:pPr>
      <w:r>
        <w:rPr>
          <w:rFonts w:ascii="Times New Roman" w:cs="Times New Roman" w:eastAsia="Times New Roman" w:hAnsi="Times New Roman"/>
          <w:sz w:val="18"/>
          <w:szCs w:val="18"/>
          <w:color w:val="auto"/>
        </w:rPr>
        <w:t>The operating lease liability is $11.6 million and $10.3 million and the operating lease right-of-use asset is $9.1 million and $7.7 million, as of December 31, 2022 and 2021,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years ended December 31, 2022, 2021 and 2020 is approximately $2.8 million, $2.2 million and $1.6 million, respectively.</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48"/>
        </w:trPr>
        <w:tc>
          <w:tcPr>
            <w:tcW w:w="8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r>
      <w:tr>
        <w:trPr>
          <w:trHeight w:val="149"/>
        </w:trPr>
        <w:tc>
          <w:tcPr>
            <w:tcW w:w="8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8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37"/>
        </w:trPr>
        <w:tc>
          <w:tcPr>
            <w:tcW w:w="8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FF0FC"/>
          </w:tcPr>
          <w:p>
            <w:pPr>
              <w:spacing w:after="0"/>
              <w:rPr>
                <w:sz w:val="20"/>
                <w:szCs w:val="20"/>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FF0FC"/>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21"/>
                <w:szCs w:val="21"/>
                <w:color w:val="auto"/>
              </w:rPr>
            </w:pPr>
          </w:p>
        </w:tc>
      </w:tr>
      <w:tr>
        <w:trPr>
          <w:trHeight w:val="236"/>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(5,227 )</w:t>
            </w:r>
          </w:p>
        </w:tc>
      </w:tr>
      <w:tr>
        <w:trPr>
          <w:trHeight w:val="23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FF0FC"/>
          </w:tcPr>
          <w:p>
            <w:pPr>
              <w:spacing w:after="0"/>
              <w:rPr>
                <w:sz w:val="20"/>
                <w:szCs w:val="20"/>
                <w:color w:val="auto"/>
              </w:rPr>
            </w:pPr>
          </w:p>
        </w:tc>
      </w:tr>
      <w:tr>
        <w:trPr>
          <w:trHeight w:val="234"/>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entered into a sublease agreement to lease a portion of the Bridgewater, New Jersey facility. The lease commenced on February 1, 2023, or the Sublease Commencement Date, for a seven and a half year period. Under the sublease, the Company will receive monthly rent payments of approximately $0.1 million during the first year, and such rent increases by a nominal percentage every year following the first anniversary of the Sublease Commencement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21"/>
          <w:szCs w:val="21"/>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19685</wp:posOffset>
            </wp:positionV>
            <wp:extent cx="2880360" cy="5740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288036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2D2F34"/>
        </w:rPr>
        <w:t>De</w:t>
      </w:r>
      <w:r>
        <w:rPr>
          <w:rFonts w:ascii="Times New Roman" w:cs="Times New Roman" w:eastAsia="Times New Roman" w:hAnsi="Times New Roman"/>
          <w:sz w:val="21"/>
          <w:szCs w:val="21"/>
          <w:color w:val="4D4D54"/>
        </w:rPr>
        <w:t>cember</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1,</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2022</w:t>
      </w:r>
      <w:r>
        <w:rPr>
          <w:rFonts w:ascii="Times New Roman" w:cs="Times New Roman" w:eastAsia="Times New Roman" w:hAnsi="Times New Roman"/>
          <w:sz w:val="21"/>
          <w:szCs w:val="21"/>
          <w:color w:val="2D2F34"/>
        </w:rPr>
        <w:t xml:space="preserve"> Ja</w:t>
      </w:r>
      <w:r>
        <w:rPr>
          <w:rFonts w:ascii="Times New Roman" w:cs="Times New Roman" w:eastAsia="Times New Roman" w:hAnsi="Times New Roman"/>
          <w:sz w:val="21"/>
          <w:szCs w:val="21"/>
          <w:color w:val="4D4D54"/>
        </w:rPr>
        <w:t>son Marks</w:t>
      </w:r>
    </w:p>
    <w:p>
      <w:pPr>
        <w:spacing w:after="0" w:line="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3D3D44"/>
        </w:rPr>
        <w:t xml:space="preserve">Re: </w:t>
      </w:r>
      <w:r>
        <w:rPr>
          <w:rFonts w:ascii="Times New Roman" w:cs="Times New Roman" w:eastAsia="Times New Roman" w:hAnsi="Times New Roman"/>
          <w:sz w:val="21"/>
          <w:szCs w:val="21"/>
          <w:b w:val="1"/>
          <w:bCs w:val="1"/>
          <w:color w:val="2D2F34"/>
        </w:rPr>
        <w:t>Transition Agreement</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2D2F34"/>
        </w:rPr>
        <w:t>De</w:t>
      </w:r>
      <w:r>
        <w:rPr>
          <w:rFonts w:ascii="Times New Roman" w:cs="Times New Roman" w:eastAsia="Times New Roman" w:hAnsi="Times New Roman"/>
          <w:sz w:val="21"/>
          <w:szCs w:val="21"/>
          <w:color w:val="4D4D54"/>
        </w:rPr>
        <w:t>ar</w:t>
      </w:r>
      <w:r>
        <w:rPr>
          <w:rFonts w:ascii="Times New Roman" w:cs="Times New Roman" w:eastAsia="Times New Roman" w:hAnsi="Times New Roman"/>
          <w:sz w:val="21"/>
          <w:szCs w:val="21"/>
          <w:color w:val="2D2F34"/>
        </w:rPr>
        <w:t xml:space="preserve"> J</w:t>
      </w:r>
      <w:r>
        <w:rPr>
          <w:rFonts w:ascii="Times New Roman" w:cs="Times New Roman" w:eastAsia="Times New Roman" w:hAnsi="Times New Roman"/>
          <w:sz w:val="21"/>
          <w:szCs w:val="21"/>
          <w:color w:val="4D4D54"/>
        </w:rPr>
        <w:t>ason:</w:t>
      </w:r>
    </w:p>
    <w:p>
      <w:pPr>
        <w:spacing w:after="0" w:line="218" w:lineRule="exact"/>
        <w:rPr>
          <w:sz w:val="20"/>
          <w:szCs w:val="20"/>
          <w:color w:val="auto"/>
        </w:rPr>
      </w:pPr>
    </w:p>
    <w:p>
      <w:pPr>
        <w:ind w:left="160" w:right="640" w:hanging="5"/>
        <w:spacing w:after="0" w:line="255" w:lineRule="auto"/>
        <w:rPr>
          <w:sz w:val="20"/>
          <w:szCs w:val="20"/>
          <w:color w:val="auto"/>
        </w:rPr>
      </w:pPr>
      <w:r>
        <w:rPr>
          <w:rFonts w:ascii="Times New Roman" w:cs="Times New Roman" w:eastAsia="Times New Roman" w:hAnsi="Times New Roman"/>
          <w:sz w:val="21"/>
          <w:szCs w:val="21"/>
          <w:color w:val="2D2F34"/>
        </w:rPr>
        <w:t>Thi</w:t>
      </w:r>
      <w:r>
        <w:rPr>
          <w:rFonts w:ascii="Times New Roman" w:cs="Times New Roman" w:eastAsia="Times New Roman" w:hAnsi="Times New Roman"/>
          <w:sz w:val="21"/>
          <w:szCs w:val="21"/>
          <w:color w:val="4D4D54"/>
        </w:rPr>
        <w:t>s letter</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confirms</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tha</w:t>
      </w:r>
      <w:r>
        <w:rPr>
          <w:rFonts w:ascii="Times New Roman" w:cs="Times New Roman" w:eastAsia="Times New Roman" w:hAnsi="Times New Roman"/>
          <w:sz w:val="21"/>
          <w:szCs w:val="21"/>
          <w:color w:val="2D2F34"/>
        </w:rPr>
        <w:t xml:space="preserve">t </w:t>
      </w:r>
      <w:r>
        <w:rPr>
          <w:rFonts w:ascii="Times New Roman" w:cs="Times New Roman" w:eastAsia="Times New Roman" w:hAnsi="Times New Roman"/>
          <w:sz w:val="21"/>
          <w:szCs w:val="21"/>
          <w:color w:val="4D4D54"/>
        </w:rPr>
        <w:t>your employment with Amarin Co</w:t>
      </w:r>
      <w:r>
        <w:rPr>
          <w:rFonts w:ascii="Times New Roman" w:cs="Times New Roman" w:eastAsia="Times New Roman" w:hAnsi="Times New Roman"/>
          <w:sz w:val="21"/>
          <w:szCs w:val="21"/>
          <w:color w:val="2D2F34"/>
        </w:rPr>
        <w:t>rpor</w:t>
      </w:r>
      <w:r>
        <w:rPr>
          <w:rFonts w:ascii="Times New Roman" w:cs="Times New Roman" w:eastAsia="Times New Roman" w:hAnsi="Times New Roman"/>
          <w:sz w:val="21"/>
          <w:szCs w:val="21"/>
          <w:color w:val="4D4D54"/>
        </w:rPr>
        <w:t>at</w:t>
      </w:r>
      <w:r>
        <w:rPr>
          <w:rFonts w:ascii="Times New Roman" w:cs="Times New Roman" w:eastAsia="Times New Roman" w:hAnsi="Times New Roman"/>
          <w:sz w:val="21"/>
          <w:szCs w:val="21"/>
          <w:color w:val="2D2F34"/>
        </w:rPr>
        <w:t>i</w:t>
      </w:r>
      <w:r>
        <w:rPr>
          <w:rFonts w:ascii="Times New Roman" w:cs="Times New Roman" w:eastAsia="Times New Roman" w:hAnsi="Times New Roman"/>
          <w:sz w:val="21"/>
          <w:szCs w:val="21"/>
          <w:color w:val="4D4D54"/>
        </w:rPr>
        <w:t>on</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plc</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(toge</w:t>
      </w:r>
      <w:r>
        <w:rPr>
          <w:rFonts w:ascii="Times New Roman" w:cs="Times New Roman" w:eastAsia="Times New Roman" w:hAnsi="Times New Roman"/>
          <w:sz w:val="21"/>
          <w:szCs w:val="21"/>
          <w:color w:val="2D2F34"/>
        </w:rPr>
        <w:t>th</w:t>
      </w:r>
      <w:r>
        <w:rPr>
          <w:rFonts w:ascii="Times New Roman" w:cs="Times New Roman" w:eastAsia="Times New Roman" w:hAnsi="Times New Roman"/>
          <w:sz w:val="21"/>
          <w:szCs w:val="21"/>
          <w:color w:val="4D4D54"/>
        </w:rPr>
        <w:t>er w</w:t>
      </w:r>
      <w:r>
        <w:rPr>
          <w:rFonts w:ascii="Times New Roman" w:cs="Times New Roman" w:eastAsia="Times New Roman" w:hAnsi="Times New Roman"/>
          <w:sz w:val="21"/>
          <w:szCs w:val="21"/>
          <w:color w:val="2D2F34"/>
        </w:rPr>
        <w:t>ith it</w:t>
      </w:r>
      <w:r>
        <w:rPr>
          <w:rFonts w:ascii="Times New Roman" w:cs="Times New Roman" w:eastAsia="Times New Roman" w:hAnsi="Times New Roman"/>
          <w:sz w:val="21"/>
          <w:szCs w:val="21"/>
          <w:color w:val="4D4D54"/>
        </w:rPr>
        <w:t>s subsidiaries and any controlled</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affi</w:t>
      </w:r>
      <w:r>
        <w:rPr>
          <w:rFonts w:ascii="Times New Roman" w:cs="Times New Roman" w:eastAsia="Times New Roman" w:hAnsi="Times New Roman"/>
          <w:sz w:val="21"/>
          <w:szCs w:val="21"/>
          <w:color w:val="2D2F34"/>
        </w:rPr>
        <w:t>l</w:t>
      </w:r>
      <w:r>
        <w:rPr>
          <w:rFonts w:ascii="Times New Roman" w:cs="Times New Roman" w:eastAsia="Times New Roman" w:hAnsi="Times New Roman"/>
          <w:sz w:val="21"/>
          <w:szCs w:val="21"/>
          <w:color w:val="4D4D54"/>
        </w:rPr>
        <w:t xml:space="preserve">iates, the "Company") will be ending. We appreciate your </w:t>
      </w:r>
      <w:r>
        <w:rPr>
          <w:rFonts w:ascii="Times New Roman" w:cs="Times New Roman" w:eastAsia="Times New Roman" w:hAnsi="Times New Roman"/>
          <w:sz w:val="21"/>
          <w:szCs w:val="21"/>
          <w:color w:val="3D3D44"/>
        </w:rPr>
        <w:t>service and</w:t>
      </w:r>
      <w:r>
        <w:rPr>
          <w:rFonts w:ascii="Times New Roman" w:cs="Times New Roman" w:eastAsia="Times New Roman" w:hAnsi="Times New Roman"/>
          <w:sz w:val="21"/>
          <w:szCs w:val="21"/>
          <w:color w:val="4D4D54"/>
        </w:rPr>
        <w:t xml:space="preserve"> contributions and would </w:t>
      </w:r>
      <w:r>
        <w:rPr>
          <w:rFonts w:ascii="Times New Roman" w:cs="Times New Roman" w:eastAsia="Times New Roman" w:hAnsi="Times New Roman"/>
          <w:sz w:val="21"/>
          <w:szCs w:val="21"/>
          <w:color w:val="3D3D44"/>
        </w:rPr>
        <w:t>like</w:t>
      </w:r>
      <w:r>
        <w:rPr>
          <w:rFonts w:ascii="Times New Roman" w:cs="Times New Roman" w:eastAsia="Times New Roman" w:hAnsi="Times New Roman"/>
          <w:sz w:val="21"/>
          <w:szCs w:val="21"/>
          <w:color w:val="4D4D54"/>
        </w:rPr>
        <w:t xml:space="preserve"> to </w:t>
      </w:r>
      <w:r>
        <w:rPr>
          <w:rFonts w:ascii="Times New Roman" w:cs="Times New Roman" w:eastAsia="Times New Roman" w:hAnsi="Times New Roman"/>
          <w:sz w:val="21"/>
          <w:szCs w:val="21"/>
          <w:color w:val="3D3D44"/>
        </w:rPr>
        <w:t>make</w:t>
      </w:r>
      <w:r>
        <w:rPr>
          <w:rFonts w:ascii="Times New Roman" w:cs="Times New Roman" w:eastAsia="Times New Roman" w:hAnsi="Times New Roman"/>
          <w:sz w:val="21"/>
          <w:szCs w:val="21"/>
          <w:color w:val="4D4D54"/>
        </w:rPr>
        <w:t xml:space="preserve"> this </w:t>
      </w:r>
      <w:r>
        <w:rPr>
          <w:rFonts w:ascii="Times New Roman" w:cs="Times New Roman" w:eastAsia="Times New Roman" w:hAnsi="Times New Roman"/>
          <w:sz w:val="21"/>
          <w:szCs w:val="21"/>
          <w:color w:val="3D3D44"/>
        </w:rPr>
        <w:t>transition</w:t>
      </w:r>
      <w:r>
        <w:rPr>
          <w:rFonts w:ascii="Times New Roman" w:cs="Times New Roman" w:eastAsia="Times New Roman" w:hAnsi="Times New Roman"/>
          <w:sz w:val="21"/>
          <w:szCs w:val="21"/>
          <w:color w:val="4D4D54"/>
        </w:rPr>
        <w:t xml:space="preserve"> as s</w:t>
      </w:r>
      <w:r>
        <w:rPr>
          <w:rFonts w:ascii="Times New Roman" w:cs="Times New Roman" w:eastAsia="Times New Roman" w:hAnsi="Times New Roman"/>
          <w:sz w:val="21"/>
          <w:szCs w:val="21"/>
          <w:color w:val="2D2F34"/>
        </w:rPr>
        <w:t>mo</w:t>
      </w:r>
      <w:r>
        <w:rPr>
          <w:rFonts w:ascii="Times New Roman" w:cs="Times New Roman" w:eastAsia="Times New Roman" w:hAnsi="Times New Roman"/>
          <w:sz w:val="21"/>
          <w:szCs w:val="21"/>
          <w:color w:val="4D4D54"/>
        </w:rPr>
        <w:t xml:space="preserve">oth as </w:t>
      </w:r>
      <w:r>
        <w:rPr>
          <w:rFonts w:ascii="Times New Roman" w:cs="Times New Roman" w:eastAsia="Times New Roman" w:hAnsi="Times New Roman"/>
          <w:sz w:val="21"/>
          <w:szCs w:val="21"/>
          <w:color w:val="3D3D44"/>
        </w:rPr>
        <w:t>possible.</w:t>
      </w:r>
    </w:p>
    <w:p>
      <w:pPr>
        <w:spacing w:after="0" w:line="175" w:lineRule="exact"/>
        <w:rPr>
          <w:sz w:val="20"/>
          <w:szCs w:val="20"/>
          <w:color w:val="auto"/>
        </w:rPr>
      </w:pPr>
    </w:p>
    <w:p>
      <w:pPr>
        <w:ind w:left="160" w:right="700" w:hanging="3"/>
        <w:spacing w:after="0" w:line="249" w:lineRule="auto"/>
        <w:rPr>
          <w:sz w:val="20"/>
          <w:szCs w:val="20"/>
          <w:color w:val="auto"/>
        </w:rPr>
      </w:pPr>
      <w:r>
        <w:rPr>
          <w:rFonts w:ascii="Times New Roman" w:cs="Times New Roman" w:eastAsia="Times New Roman" w:hAnsi="Times New Roman"/>
          <w:sz w:val="21"/>
          <w:szCs w:val="21"/>
          <w:color w:val="3D3D44"/>
        </w:rPr>
        <w:t xml:space="preserve">This letter </w:t>
      </w:r>
      <w:r>
        <w:rPr>
          <w:rFonts w:ascii="Times New Roman" w:cs="Times New Roman" w:eastAsia="Times New Roman" w:hAnsi="Times New Roman"/>
          <w:sz w:val="21"/>
          <w:szCs w:val="21"/>
          <w:color w:val="4D4D54"/>
        </w:rPr>
        <w:t>se</w:t>
      </w:r>
      <w:r>
        <w:rPr>
          <w:rFonts w:ascii="Times New Roman" w:cs="Times New Roman" w:eastAsia="Times New Roman" w:hAnsi="Times New Roman"/>
          <w:sz w:val="21"/>
          <w:szCs w:val="21"/>
          <w:color w:val="2D2F34"/>
        </w:rPr>
        <w:t>t</w:t>
      </w:r>
      <w:r>
        <w:rPr>
          <w:rFonts w:ascii="Times New Roman" w:cs="Times New Roman" w:eastAsia="Times New Roman" w:hAnsi="Times New Roman"/>
          <w:sz w:val="21"/>
          <w:szCs w:val="21"/>
          <w:color w:val="4D4D54"/>
        </w:rPr>
        <w:t>s</w:t>
      </w:r>
      <w:r>
        <w:rPr>
          <w:rFonts w:ascii="Times New Roman" w:cs="Times New Roman" w:eastAsia="Times New Roman" w:hAnsi="Times New Roman"/>
          <w:sz w:val="21"/>
          <w:szCs w:val="21"/>
          <w:color w:val="3D3D44"/>
        </w:rPr>
        <w:t xml:space="preserve"> forth </w:t>
      </w:r>
      <w:r>
        <w:rPr>
          <w:rFonts w:ascii="Times New Roman" w:cs="Times New Roman" w:eastAsia="Times New Roman" w:hAnsi="Times New Roman"/>
          <w:sz w:val="21"/>
          <w:szCs w:val="21"/>
          <w:color w:val="4D4D54"/>
        </w:rPr>
        <w:t>the terms of a</w:t>
      </w:r>
      <w:r>
        <w:rPr>
          <w:rFonts w:ascii="Times New Roman" w:cs="Times New Roman" w:eastAsia="Times New Roman" w:hAnsi="Times New Roman"/>
          <w:sz w:val="21"/>
          <w:szCs w:val="21"/>
          <w:color w:val="3D3D44"/>
        </w:rPr>
        <w:t xml:space="preserve"> Transition </w:t>
      </w:r>
      <w:r>
        <w:rPr>
          <w:rFonts w:ascii="Times New Roman" w:cs="Times New Roman" w:eastAsia="Times New Roman" w:hAnsi="Times New Roman"/>
          <w:sz w:val="21"/>
          <w:szCs w:val="21"/>
          <w:color w:val="4D4D54"/>
        </w:rPr>
        <w:t>Agreement (the “Ag</w:t>
      </w:r>
      <w:r>
        <w:rPr>
          <w:rFonts w:ascii="Times New Roman" w:cs="Times New Roman" w:eastAsia="Times New Roman" w:hAnsi="Times New Roman"/>
          <w:sz w:val="21"/>
          <w:szCs w:val="21"/>
          <w:color w:val="2D2F34"/>
        </w:rPr>
        <w:t>reem</w:t>
      </w:r>
      <w:r>
        <w:rPr>
          <w:rFonts w:ascii="Times New Roman" w:cs="Times New Roman" w:eastAsia="Times New Roman" w:hAnsi="Times New Roman"/>
          <w:sz w:val="21"/>
          <w:szCs w:val="21"/>
          <w:color w:val="4D4D54"/>
        </w:rPr>
        <w:t>ent")</w:t>
      </w:r>
      <w:r>
        <w:rPr>
          <w:rFonts w:ascii="Times New Roman" w:cs="Times New Roman" w:eastAsia="Times New Roman" w:hAnsi="Times New Roman"/>
          <w:sz w:val="21"/>
          <w:szCs w:val="21"/>
          <w:color w:val="3D3D44"/>
        </w:rPr>
        <w:t xml:space="preserve"> between </w:t>
      </w:r>
      <w:r>
        <w:rPr>
          <w:rFonts w:ascii="Times New Roman" w:cs="Times New Roman" w:eastAsia="Times New Roman" w:hAnsi="Times New Roman"/>
          <w:sz w:val="21"/>
          <w:szCs w:val="21"/>
          <w:color w:val="4D4D54"/>
        </w:rPr>
        <w:t>you and the Company under which</w:t>
      </w:r>
      <w:r>
        <w:rPr>
          <w:rFonts w:ascii="Times New Roman" w:cs="Times New Roman" w:eastAsia="Times New Roman" w:hAnsi="Times New Roman"/>
          <w:sz w:val="21"/>
          <w:szCs w:val="21"/>
          <w:color w:val="3D3D44"/>
        </w:rPr>
        <w:t xml:space="preserve"> you would </w:t>
      </w:r>
      <w:r>
        <w:rPr>
          <w:rFonts w:ascii="Times New Roman" w:cs="Times New Roman" w:eastAsia="Times New Roman" w:hAnsi="Times New Roman"/>
          <w:sz w:val="21"/>
          <w:szCs w:val="21"/>
          <w:color w:val="4D4D54"/>
        </w:rPr>
        <w:t>remain employed by</w:t>
      </w:r>
      <w:r>
        <w:rPr>
          <w:rFonts w:ascii="Times New Roman" w:cs="Times New Roman" w:eastAsia="Times New Roman" w:hAnsi="Times New Roman"/>
          <w:sz w:val="21"/>
          <w:szCs w:val="21"/>
          <w:color w:val="3D3D44"/>
        </w:rPr>
        <w:t xml:space="preserve"> the </w:t>
      </w:r>
      <w:r>
        <w:rPr>
          <w:rFonts w:ascii="Times New Roman" w:cs="Times New Roman" w:eastAsia="Times New Roman" w:hAnsi="Times New Roman"/>
          <w:sz w:val="21"/>
          <w:szCs w:val="21"/>
          <w:color w:val="4D4D54"/>
        </w:rPr>
        <w:t>Com</w:t>
      </w:r>
      <w:r>
        <w:rPr>
          <w:rFonts w:ascii="Times New Roman" w:cs="Times New Roman" w:eastAsia="Times New Roman" w:hAnsi="Times New Roman"/>
          <w:sz w:val="21"/>
          <w:szCs w:val="21"/>
          <w:color w:val="2D2F34"/>
        </w:rPr>
        <w:t>pany</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4D4D54"/>
        </w:rPr>
        <w:t>an</w:t>
      </w:r>
      <w:r>
        <w:rPr>
          <w:rFonts w:ascii="Times New Roman" w:cs="Times New Roman" w:eastAsia="Times New Roman" w:hAnsi="Times New Roman"/>
          <w:sz w:val="21"/>
          <w:szCs w:val="21"/>
          <w:color w:val="2D2F34"/>
        </w:rPr>
        <w:t>d</w:t>
      </w:r>
      <w:r>
        <w:rPr>
          <w:rFonts w:ascii="Times New Roman" w:cs="Times New Roman" w:eastAsia="Times New Roman" w:hAnsi="Times New Roman"/>
          <w:sz w:val="21"/>
          <w:szCs w:val="21"/>
          <w:color w:val="3D3D44"/>
        </w:rPr>
        <w:t xml:space="preserve"> receive </w:t>
      </w:r>
      <w:r>
        <w:rPr>
          <w:rFonts w:ascii="Times New Roman" w:cs="Times New Roman" w:eastAsia="Times New Roman" w:hAnsi="Times New Roman"/>
          <w:sz w:val="21"/>
          <w:szCs w:val="21"/>
          <w:color w:val="4D4D54"/>
        </w:rPr>
        <w:t>your</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curre</w:t>
      </w:r>
      <w:r>
        <w:rPr>
          <w:rFonts w:ascii="Times New Roman" w:cs="Times New Roman" w:eastAsia="Times New Roman" w:hAnsi="Times New Roman"/>
          <w:sz w:val="21"/>
          <w:szCs w:val="21"/>
          <w:color w:val="4D4D54"/>
        </w:rPr>
        <w:t>nt</w:t>
      </w:r>
      <w:r>
        <w:rPr>
          <w:rFonts w:ascii="Times New Roman" w:cs="Times New Roman" w:eastAsia="Times New Roman" w:hAnsi="Times New Roman"/>
          <w:sz w:val="21"/>
          <w:szCs w:val="21"/>
          <w:color w:val="3D3D44"/>
        </w:rPr>
        <w:t xml:space="preserve"> compensation </w:t>
      </w:r>
      <w:r>
        <w:rPr>
          <w:rFonts w:ascii="Times New Roman" w:cs="Times New Roman" w:eastAsia="Times New Roman" w:hAnsi="Times New Roman"/>
          <w:sz w:val="21"/>
          <w:szCs w:val="21"/>
          <w:color w:val="4D4D54"/>
        </w:rPr>
        <w:t>and</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ben</w:t>
      </w:r>
      <w:r>
        <w:rPr>
          <w:rFonts w:ascii="Times New Roman" w:cs="Times New Roman" w:eastAsia="Times New Roman" w:hAnsi="Times New Roman"/>
          <w:sz w:val="21"/>
          <w:szCs w:val="21"/>
          <w:color w:val="4D4D54"/>
        </w:rPr>
        <w:t>efi</w:t>
      </w:r>
      <w:r>
        <w:rPr>
          <w:rFonts w:ascii="Times New Roman" w:cs="Times New Roman" w:eastAsia="Times New Roman" w:hAnsi="Times New Roman"/>
          <w:sz w:val="21"/>
          <w:szCs w:val="21"/>
          <w:color w:val="2D2F34"/>
        </w:rPr>
        <w:t>t</w:t>
      </w:r>
      <w:r>
        <w:rPr>
          <w:rFonts w:ascii="Times New Roman" w:cs="Times New Roman" w:eastAsia="Times New Roman" w:hAnsi="Times New Roman"/>
          <w:sz w:val="21"/>
          <w:szCs w:val="21"/>
          <w:color w:val="4D4D54"/>
        </w:rPr>
        <w:t>s (subject</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to</w:t>
      </w:r>
      <w:r>
        <w:rPr>
          <w:rFonts w:ascii="Times New Roman" w:cs="Times New Roman" w:eastAsia="Times New Roman" w:hAnsi="Times New Roman"/>
          <w:sz w:val="21"/>
          <w:szCs w:val="21"/>
          <w:color w:val="3D3D44"/>
        </w:rPr>
        <w:t xml:space="preserve"> the terms </w:t>
      </w:r>
      <w:r>
        <w:rPr>
          <w:rFonts w:ascii="Times New Roman" w:cs="Times New Roman" w:eastAsia="Times New Roman" w:hAnsi="Times New Roman"/>
          <w:sz w:val="21"/>
          <w:szCs w:val="21"/>
          <w:color w:val="4D4D54"/>
        </w:rPr>
        <w:t>of</w:t>
      </w:r>
      <w:r>
        <w:rPr>
          <w:rFonts w:ascii="Times New Roman" w:cs="Times New Roman" w:eastAsia="Times New Roman" w:hAnsi="Times New Roman"/>
          <w:sz w:val="21"/>
          <w:szCs w:val="21"/>
          <w:color w:val="3D3D44"/>
        </w:rPr>
        <w:t xml:space="preserve"> any applicable </w:t>
      </w:r>
      <w:r>
        <w:rPr>
          <w:rFonts w:ascii="Times New Roman" w:cs="Times New Roman" w:eastAsia="Times New Roman" w:hAnsi="Times New Roman"/>
          <w:sz w:val="21"/>
          <w:szCs w:val="21"/>
          <w:color w:val="4D4D54"/>
        </w:rPr>
        <w:t>benefits</w:t>
      </w:r>
      <w:r>
        <w:rPr>
          <w:rFonts w:ascii="Times New Roman" w:cs="Times New Roman" w:eastAsia="Times New Roman" w:hAnsi="Times New Roman"/>
          <w:sz w:val="21"/>
          <w:szCs w:val="21"/>
          <w:color w:val="3D3D44"/>
        </w:rPr>
        <w:t xml:space="preserve"> plan) </w:t>
      </w:r>
      <w:r>
        <w:rPr>
          <w:rFonts w:ascii="Times New Roman" w:cs="Times New Roman" w:eastAsia="Times New Roman" w:hAnsi="Times New Roman"/>
          <w:sz w:val="21"/>
          <w:szCs w:val="21"/>
          <w:color w:val="4D4D54"/>
        </w:rPr>
        <w:t>and v</w:t>
      </w:r>
      <w:r>
        <w:rPr>
          <w:rFonts w:ascii="Times New Roman" w:cs="Times New Roman" w:eastAsia="Times New Roman" w:hAnsi="Times New Roman"/>
          <w:sz w:val="21"/>
          <w:szCs w:val="21"/>
          <w:color w:val="2D2F34"/>
        </w:rPr>
        <w:t>est</w:t>
      </w:r>
    </w:p>
    <w:p>
      <w:pPr>
        <w:spacing w:after="0" w:line="1" w:lineRule="exact"/>
        <w:rPr>
          <w:sz w:val="20"/>
          <w:szCs w:val="20"/>
          <w:color w:val="auto"/>
        </w:rPr>
      </w:pPr>
    </w:p>
    <w:p>
      <w:pPr>
        <w:ind w:left="180" w:right="560" w:hanging="8"/>
        <w:spacing w:after="0" w:line="243" w:lineRule="auto"/>
        <w:rPr>
          <w:sz w:val="20"/>
          <w:szCs w:val="20"/>
          <w:color w:val="auto"/>
        </w:rPr>
      </w:pPr>
      <w:r>
        <w:rPr>
          <w:rFonts w:ascii="Times New Roman" w:cs="Times New Roman" w:eastAsia="Times New Roman" w:hAnsi="Times New Roman"/>
          <w:sz w:val="21"/>
          <w:szCs w:val="21"/>
          <w:color w:val="2D2F34"/>
        </w:rPr>
        <w:t xml:space="preserve">in </w:t>
      </w:r>
      <w:r>
        <w:rPr>
          <w:rFonts w:ascii="Times New Roman" w:cs="Times New Roman" w:eastAsia="Times New Roman" w:hAnsi="Times New Roman"/>
          <w:sz w:val="21"/>
          <w:szCs w:val="21"/>
          <w:color w:val="4D4D54"/>
        </w:rPr>
        <w:t>your</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outstanding</w:t>
      </w:r>
      <w:r>
        <w:rPr>
          <w:rFonts w:ascii="Times New Roman" w:cs="Times New Roman" w:eastAsia="Times New Roman" w:hAnsi="Times New Roman"/>
          <w:sz w:val="21"/>
          <w:szCs w:val="21"/>
          <w:color w:val="6B6E75"/>
        </w:rPr>
        <w:t>,</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unvested equity awards between now and February 28,2023</w:t>
      </w:r>
      <w:r>
        <w:rPr>
          <w:rFonts w:ascii="Times New Roman" w:cs="Times New Roman" w:eastAsia="Times New Roman" w:hAnsi="Times New Roman"/>
          <w:sz w:val="21"/>
          <w:szCs w:val="21"/>
          <w:color w:val="6B6E75"/>
        </w:rPr>
        <w:t>,</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unless your</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employment</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4D4D54"/>
        </w:rPr>
        <w:t>ends</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on an earlier</w:t>
      </w:r>
      <w:r>
        <w:rPr>
          <w:rFonts w:ascii="Times New Roman" w:cs="Times New Roman" w:eastAsia="Times New Roman" w:hAnsi="Times New Roman"/>
          <w:sz w:val="21"/>
          <w:szCs w:val="21"/>
          <w:color w:val="2D2F34"/>
        </w:rPr>
        <w:t xml:space="preserve"> </w:t>
      </w:r>
      <w:r>
        <w:rPr>
          <w:rFonts w:ascii="Times New Roman" w:cs="Times New Roman" w:eastAsia="Times New Roman" w:hAnsi="Times New Roman"/>
          <w:sz w:val="21"/>
          <w:szCs w:val="21"/>
          <w:color w:val="3D3D44"/>
        </w:rPr>
        <w:t xml:space="preserve">date consistent </w:t>
      </w:r>
      <w:r>
        <w:rPr>
          <w:rFonts w:ascii="Times New Roman" w:cs="Times New Roman" w:eastAsia="Times New Roman" w:hAnsi="Times New Roman"/>
          <w:sz w:val="21"/>
          <w:szCs w:val="21"/>
          <w:color w:val="4D4D54"/>
        </w:rPr>
        <w:t>with</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the</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4D4D54"/>
        </w:rPr>
        <w:t>terms</w:t>
      </w:r>
      <w:r>
        <w:rPr>
          <w:rFonts w:ascii="Times New Roman" w:cs="Times New Roman" w:eastAsia="Times New Roman" w:hAnsi="Times New Roman"/>
          <w:sz w:val="21"/>
          <w:szCs w:val="21"/>
          <w:color w:val="3D3D44"/>
        </w:rPr>
        <w:t xml:space="preserve"> of </w:t>
      </w:r>
      <w:r>
        <w:rPr>
          <w:rFonts w:ascii="Times New Roman" w:cs="Times New Roman" w:eastAsia="Times New Roman" w:hAnsi="Times New Roman"/>
          <w:sz w:val="21"/>
          <w:szCs w:val="21"/>
          <w:color w:val="4D4D54"/>
        </w:rPr>
        <w:t>the Agreeme</w:t>
      </w:r>
      <w:r>
        <w:rPr>
          <w:rFonts w:ascii="Times New Roman" w:cs="Times New Roman" w:eastAsia="Times New Roman" w:hAnsi="Times New Roman"/>
          <w:sz w:val="21"/>
          <w:szCs w:val="21"/>
          <w:color w:val="2D2F34"/>
        </w:rPr>
        <w:t>n</w:t>
      </w:r>
      <w:r>
        <w:rPr>
          <w:rFonts w:ascii="Times New Roman" w:cs="Times New Roman" w:eastAsia="Times New Roman" w:hAnsi="Times New Roman"/>
          <w:sz w:val="21"/>
          <w:szCs w:val="21"/>
          <w:color w:val="4D4D54"/>
        </w:rPr>
        <w:t>t.</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3"/>
          <w:szCs w:val="23"/>
          <w:color w:val="3D3D44"/>
        </w:rPr>
        <w:t>In</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4D4D54"/>
        </w:rPr>
        <w:t>a</w:t>
      </w:r>
      <w:r>
        <w:rPr>
          <w:rFonts w:ascii="Times New Roman" w:cs="Times New Roman" w:eastAsia="Times New Roman" w:hAnsi="Times New Roman"/>
          <w:sz w:val="21"/>
          <w:szCs w:val="21"/>
          <w:color w:val="2D2F34"/>
        </w:rPr>
        <w:t>ddi</w:t>
      </w:r>
      <w:r>
        <w:rPr>
          <w:rFonts w:ascii="Times New Roman" w:cs="Times New Roman" w:eastAsia="Times New Roman" w:hAnsi="Times New Roman"/>
          <w:sz w:val="21"/>
          <w:szCs w:val="21"/>
          <w:color w:val="4D4D54"/>
        </w:rPr>
        <w:t>tion, th</w:t>
      </w:r>
      <w:r>
        <w:rPr>
          <w:rFonts w:ascii="Times New Roman" w:cs="Times New Roman" w:eastAsia="Times New Roman" w:hAnsi="Times New Roman"/>
          <w:sz w:val="21"/>
          <w:szCs w:val="21"/>
          <w:color w:val="2D2F34"/>
        </w:rPr>
        <w:t>e below</w:t>
      </w:r>
      <w:r>
        <w:rPr>
          <w:rFonts w:ascii="Times New Roman" w:cs="Times New Roman" w:eastAsia="Times New Roman" w:hAnsi="Times New Roman"/>
          <w:sz w:val="21"/>
          <w:szCs w:val="21"/>
          <w:color w:val="3D3D44"/>
        </w:rPr>
        <w:t xml:space="preserve"> Agreement </w:t>
      </w:r>
      <w:r>
        <w:rPr>
          <w:rFonts w:ascii="Times New Roman" w:cs="Times New Roman" w:eastAsia="Times New Roman" w:hAnsi="Times New Roman"/>
          <w:sz w:val="21"/>
          <w:szCs w:val="21"/>
          <w:color w:val="2D2F34"/>
        </w:rPr>
        <w:t>pr</w:t>
      </w:r>
      <w:r>
        <w:rPr>
          <w:rFonts w:ascii="Times New Roman" w:cs="Times New Roman" w:eastAsia="Times New Roman" w:hAnsi="Times New Roman"/>
          <w:sz w:val="21"/>
          <w:szCs w:val="21"/>
          <w:color w:val="4D4D54"/>
        </w:rPr>
        <w:t>ov</w:t>
      </w:r>
      <w:r>
        <w:rPr>
          <w:rFonts w:ascii="Times New Roman" w:cs="Times New Roman" w:eastAsia="Times New Roman" w:hAnsi="Times New Roman"/>
          <w:sz w:val="21"/>
          <w:szCs w:val="21"/>
          <w:color w:val="2D2F34"/>
        </w:rPr>
        <w:t>ides</w:t>
      </w:r>
      <w:r>
        <w:rPr>
          <w:rFonts w:ascii="Times New Roman" w:cs="Times New Roman" w:eastAsia="Times New Roman" w:hAnsi="Times New Roman"/>
          <w:sz w:val="21"/>
          <w:szCs w:val="21"/>
          <w:color w:val="3D3D44"/>
        </w:rPr>
        <w:t xml:space="preserve"> you </w:t>
      </w:r>
      <w:r>
        <w:rPr>
          <w:rFonts w:ascii="Times New Roman" w:cs="Times New Roman" w:eastAsia="Times New Roman" w:hAnsi="Times New Roman"/>
          <w:sz w:val="21"/>
          <w:szCs w:val="21"/>
          <w:color w:val="2D2F34"/>
        </w:rPr>
        <w:t>the</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4D4D54"/>
        </w:rPr>
        <w:t>opportunity</w:t>
      </w:r>
      <w:r>
        <w:rPr>
          <w:rFonts w:ascii="Times New Roman" w:cs="Times New Roman" w:eastAsia="Times New Roman" w:hAnsi="Times New Roman"/>
          <w:sz w:val="21"/>
          <w:szCs w:val="21"/>
          <w:color w:val="3D3D44"/>
        </w:rPr>
        <w:t xml:space="preserve"> to </w:t>
      </w:r>
      <w:r>
        <w:rPr>
          <w:rFonts w:ascii="Times New Roman" w:cs="Times New Roman" w:eastAsia="Times New Roman" w:hAnsi="Times New Roman"/>
          <w:sz w:val="21"/>
          <w:szCs w:val="21"/>
          <w:color w:val="4D4D54"/>
        </w:rPr>
        <w:t>receive</w:t>
      </w:r>
      <w:r>
        <w:rPr>
          <w:rFonts w:ascii="Times New Roman" w:cs="Times New Roman" w:eastAsia="Times New Roman" w:hAnsi="Times New Roman"/>
          <w:sz w:val="21"/>
          <w:szCs w:val="21"/>
          <w:color w:val="3D3D44"/>
        </w:rPr>
        <w:t xml:space="preserve"> the </w:t>
      </w:r>
      <w:r>
        <w:rPr>
          <w:rFonts w:ascii="Times New Roman" w:cs="Times New Roman" w:eastAsia="Times New Roman" w:hAnsi="Times New Roman"/>
          <w:sz w:val="21"/>
          <w:szCs w:val="21"/>
          <w:color w:val="4D4D54"/>
        </w:rPr>
        <w:t xml:space="preserve">severance pay </w:t>
      </w:r>
      <w:r>
        <w:rPr>
          <w:rFonts w:ascii="Times New Roman" w:cs="Times New Roman" w:eastAsia="Times New Roman" w:hAnsi="Times New Roman"/>
          <w:sz w:val="21"/>
          <w:szCs w:val="21"/>
          <w:color w:val="3D3D44"/>
        </w:rPr>
        <w:t>and benefits</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2D2F34"/>
        </w:rPr>
        <w:t>de</w:t>
      </w:r>
      <w:r>
        <w:rPr>
          <w:rFonts w:ascii="Times New Roman" w:cs="Times New Roman" w:eastAsia="Times New Roman" w:hAnsi="Times New Roman"/>
          <w:sz w:val="21"/>
          <w:szCs w:val="21"/>
          <w:color w:val="4D4D54"/>
        </w:rPr>
        <w:t>scr</w:t>
      </w:r>
      <w:r>
        <w:rPr>
          <w:rFonts w:ascii="Times New Roman" w:cs="Times New Roman" w:eastAsia="Times New Roman" w:hAnsi="Times New Roman"/>
          <w:sz w:val="21"/>
          <w:szCs w:val="21"/>
          <w:color w:val="2D2F34"/>
        </w:rPr>
        <w:t>i</w:t>
      </w:r>
      <w:r>
        <w:rPr>
          <w:rFonts w:ascii="Times New Roman" w:cs="Times New Roman" w:eastAsia="Times New Roman" w:hAnsi="Times New Roman"/>
          <w:sz w:val="21"/>
          <w:szCs w:val="21"/>
          <w:color w:val="4D4D54"/>
        </w:rPr>
        <w:t xml:space="preserve">bed </w:t>
      </w:r>
      <w:r>
        <w:rPr>
          <w:rFonts w:ascii="Times New Roman" w:cs="Times New Roman" w:eastAsia="Times New Roman" w:hAnsi="Times New Roman"/>
          <w:sz w:val="21"/>
          <w:szCs w:val="21"/>
          <w:color w:val="3D3D44"/>
        </w:rPr>
        <w:t>in</w:t>
      </w:r>
      <w:r>
        <w:rPr>
          <w:rFonts w:ascii="Times New Roman" w:cs="Times New Roman" w:eastAsia="Times New Roman" w:hAnsi="Times New Roman"/>
          <w:sz w:val="21"/>
          <w:szCs w:val="21"/>
          <w:color w:val="4D4D54"/>
        </w:rPr>
        <w:t xml:space="preserve"> Section 4 below pursuant to the terms of </w:t>
      </w:r>
      <w:r>
        <w:rPr>
          <w:rFonts w:ascii="Times New Roman" w:cs="Times New Roman" w:eastAsia="Times New Roman" w:hAnsi="Times New Roman"/>
          <w:sz w:val="21"/>
          <w:szCs w:val="21"/>
          <w:color w:val="3D3D44"/>
        </w:rPr>
        <w:t>the</w:t>
      </w:r>
      <w:r>
        <w:rPr>
          <w:rFonts w:ascii="Times New Roman" w:cs="Times New Roman" w:eastAsia="Times New Roman" w:hAnsi="Times New Roman"/>
          <w:sz w:val="21"/>
          <w:szCs w:val="21"/>
          <w:color w:val="4D4D54"/>
        </w:rPr>
        <w:t xml:space="preserve"> Amarin Corporation p</w:t>
      </w:r>
      <w:r>
        <w:rPr>
          <w:rFonts w:ascii="Times New Roman" w:cs="Times New Roman" w:eastAsia="Times New Roman" w:hAnsi="Times New Roman"/>
          <w:sz w:val="21"/>
          <w:szCs w:val="21"/>
          <w:color w:val="2D2F34"/>
        </w:rPr>
        <w:t>l</w:t>
      </w:r>
      <w:r>
        <w:rPr>
          <w:rFonts w:ascii="Times New Roman" w:cs="Times New Roman" w:eastAsia="Times New Roman" w:hAnsi="Times New Roman"/>
          <w:sz w:val="21"/>
          <w:szCs w:val="21"/>
          <w:color w:val="4D4D54"/>
        </w:rPr>
        <w:t xml:space="preserve">c Executive </w:t>
      </w:r>
      <w:r>
        <w:rPr>
          <w:rFonts w:ascii="Times New Roman" w:cs="Times New Roman" w:eastAsia="Times New Roman" w:hAnsi="Times New Roman"/>
          <w:sz w:val="21"/>
          <w:szCs w:val="21"/>
          <w:color w:val="3D3D44"/>
        </w:rPr>
        <w:t xml:space="preserve">Severance </w:t>
      </w:r>
      <w:r>
        <w:rPr>
          <w:rFonts w:ascii="Times New Roman" w:cs="Times New Roman" w:eastAsia="Times New Roman" w:hAnsi="Times New Roman"/>
          <w:sz w:val="21"/>
          <w:szCs w:val="21"/>
          <w:color w:val="4D4D54"/>
        </w:rPr>
        <w:t>and</w:t>
      </w:r>
      <w:r>
        <w:rPr>
          <w:rFonts w:ascii="Times New Roman" w:cs="Times New Roman" w:eastAsia="Times New Roman" w:hAnsi="Times New Roman"/>
          <w:sz w:val="21"/>
          <w:szCs w:val="21"/>
          <w:color w:val="3D3D44"/>
        </w:rPr>
        <w:t xml:space="preserve"> Change </w:t>
      </w:r>
      <w:r>
        <w:rPr>
          <w:rFonts w:ascii="Times New Roman" w:cs="Times New Roman" w:eastAsia="Times New Roman" w:hAnsi="Times New Roman"/>
          <w:sz w:val="21"/>
          <w:szCs w:val="21"/>
          <w:color w:val="4D4D54"/>
        </w:rPr>
        <w:t>of</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C</w:t>
      </w:r>
      <w:r>
        <w:rPr>
          <w:rFonts w:ascii="Times New Roman" w:cs="Times New Roman" w:eastAsia="Times New Roman" w:hAnsi="Times New Roman"/>
          <w:sz w:val="21"/>
          <w:szCs w:val="21"/>
          <w:color w:val="4D4D54"/>
        </w:rPr>
        <w:t>ontrol</w:t>
      </w:r>
      <w:r>
        <w:rPr>
          <w:rFonts w:ascii="Times New Roman" w:cs="Times New Roman" w:eastAsia="Times New Roman" w:hAnsi="Times New Roman"/>
          <w:sz w:val="21"/>
          <w:szCs w:val="21"/>
          <w:color w:val="3D3D44"/>
        </w:rPr>
        <w:t xml:space="preserve"> Plan </w:t>
      </w:r>
      <w:r>
        <w:rPr>
          <w:rFonts w:ascii="Times New Roman" w:cs="Times New Roman" w:eastAsia="Times New Roman" w:hAnsi="Times New Roman"/>
          <w:sz w:val="21"/>
          <w:szCs w:val="21"/>
          <w:color w:val="4D4D54"/>
        </w:rPr>
        <w:t>effective as</w:t>
      </w:r>
      <w:r>
        <w:rPr>
          <w:rFonts w:ascii="Times New Roman" w:cs="Times New Roman" w:eastAsia="Times New Roman" w:hAnsi="Times New Roman"/>
          <w:sz w:val="21"/>
          <w:szCs w:val="21"/>
          <w:color w:val="3D3D44"/>
        </w:rPr>
        <w:t xml:space="preserve"> of January </w:t>
      </w:r>
      <w:r>
        <w:rPr>
          <w:rFonts w:ascii="Times New Roman" w:cs="Times New Roman" w:eastAsia="Times New Roman" w:hAnsi="Times New Roman"/>
          <w:sz w:val="21"/>
          <w:szCs w:val="21"/>
          <w:color w:val="4D4D54"/>
        </w:rPr>
        <w:t>28, 2021 (the "P</w:t>
      </w:r>
      <w:r>
        <w:rPr>
          <w:rFonts w:ascii="Times New Roman" w:cs="Times New Roman" w:eastAsia="Times New Roman" w:hAnsi="Times New Roman"/>
          <w:sz w:val="21"/>
          <w:szCs w:val="21"/>
          <w:color w:val="2D2F34"/>
        </w:rPr>
        <w:t>l</w:t>
      </w:r>
      <w:r>
        <w:rPr>
          <w:rFonts w:ascii="Times New Roman" w:cs="Times New Roman" w:eastAsia="Times New Roman" w:hAnsi="Times New Roman"/>
          <w:sz w:val="21"/>
          <w:szCs w:val="21"/>
          <w:color w:val="4D4D54"/>
        </w:rPr>
        <w:t>an").</w:t>
      </w:r>
      <w:r>
        <w:rPr>
          <w:rFonts w:ascii="Times New Roman" w:cs="Times New Roman" w:eastAsia="Times New Roman" w:hAnsi="Times New Roman"/>
          <w:sz w:val="21"/>
          <w:szCs w:val="21"/>
          <w:color w:val="3D3D44"/>
        </w:rPr>
        <w:t xml:space="preserve"> As </w:t>
      </w:r>
      <w:r>
        <w:rPr>
          <w:rFonts w:ascii="Times New Roman" w:cs="Times New Roman" w:eastAsia="Times New Roman" w:hAnsi="Times New Roman"/>
          <w:sz w:val="21"/>
          <w:szCs w:val="21"/>
          <w:color w:val="4D4D54"/>
        </w:rPr>
        <w:t>you</w:t>
      </w:r>
    </w:p>
    <w:p>
      <w:pPr>
        <w:spacing w:after="0" w:line="1" w:lineRule="exact"/>
        <w:rPr>
          <w:sz w:val="20"/>
          <w:szCs w:val="20"/>
          <w:color w:val="auto"/>
        </w:rPr>
      </w:pPr>
    </w:p>
    <w:p>
      <w:pPr>
        <w:ind w:left="180" w:right="460"/>
        <w:spacing w:after="0" w:line="264" w:lineRule="auto"/>
        <w:rPr>
          <w:sz w:val="20"/>
          <w:szCs w:val="20"/>
          <w:color w:val="auto"/>
        </w:rPr>
      </w:pPr>
      <w:r>
        <w:rPr>
          <w:rFonts w:ascii="Times New Roman" w:cs="Times New Roman" w:eastAsia="Times New Roman" w:hAnsi="Times New Roman"/>
          <w:sz w:val="20"/>
          <w:szCs w:val="20"/>
          <w:color w:val="3D3D44"/>
        </w:rPr>
        <w:t xml:space="preserve">know, you are </w:t>
      </w:r>
      <w:r>
        <w:rPr>
          <w:rFonts w:ascii="Times New Roman" w:cs="Times New Roman" w:eastAsia="Times New Roman" w:hAnsi="Times New Roman"/>
          <w:sz w:val="20"/>
          <w:szCs w:val="20"/>
          <w:color w:val="4D4D54"/>
        </w:rPr>
        <w:t>an</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"Eli</w:t>
      </w:r>
      <w:r>
        <w:rPr>
          <w:rFonts w:ascii="Times New Roman" w:cs="Times New Roman" w:eastAsia="Times New Roman" w:hAnsi="Times New Roman"/>
          <w:sz w:val="20"/>
          <w:szCs w:val="20"/>
          <w:color w:val="4D4D54"/>
        </w:rPr>
        <w:t>gible</w:t>
      </w:r>
      <w:r>
        <w:rPr>
          <w:rFonts w:ascii="Times New Roman" w:cs="Times New Roman" w:eastAsia="Times New Roman" w:hAnsi="Times New Roman"/>
          <w:sz w:val="20"/>
          <w:szCs w:val="20"/>
          <w:color w:val="3D3D44"/>
        </w:rPr>
        <w:t xml:space="preserve"> Executive" </w:t>
      </w:r>
      <w:r>
        <w:rPr>
          <w:rFonts w:ascii="Times New Roman" w:cs="Times New Roman" w:eastAsia="Times New Roman" w:hAnsi="Times New Roman"/>
          <w:sz w:val="20"/>
          <w:szCs w:val="20"/>
          <w:color w:val="4D4D54"/>
        </w:rPr>
        <w:t>unde</w:t>
      </w:r>
      <w:r>
        <w:rPr>
          <w:rFonts w:ascii="Times New Roman" w:cs="Times New Roman" w:eastAsia="Times New Roman" w:hAnsi="Times New Roman"/>
          <w:sz w:val="20"/>
          <w:szCs w:val="20"/>
          <w:color w:val="2D2F34"/>
        </w:rPr>
        <w:t>r</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the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Plan</w:t>
      </w:r>
      <w:r>
        <w:rPr>
          <w:rFonts w:ascii="Times New Roman" w:cs="Times New Roman" w:eastAsia="Times New Roman" w:hAnsi="Times New Roman"/>
          <w:sz w:val="20"/>
          <w:szCs w:val="20"/>
          <w:color w:val="4D4D54"/>
        </w:rPr>
        <w:t>, and</w:t>
      </w:r>
      <w:r>
        <w:rPr>
          <w:rFonts w:ascii="Times New Roman" w:cs="Times New Roman" w:eastAsia="Times New Roman" w:hAnsi="Times New Roman"/>
          <w:sz w:val="20"/>
          <w:szCs w:val="20"/>
          <w:color w:val="3D3D44"/>
        </w:rPr>
        <w:t xml:space="preserve"> provided that </w:t>
      </w:r>
      <w:r>
        <w:rPr>
          <w:rFonts w:ascii="Times New Roman" w:cs="Times New Roman" w:eastAsia="Times New Roman" w:hAnsi="Times New Roman"/>
          <w:sz w:val="20"/>
          <w:szCs w:val="20"/>
          <w:color w:val="4D4D54"/>
        </w:rPr>
        <w:t>you</w:t>
      </w:r>
      <w:r>
        <w:rPr>
          <w:rFonts w:ascii="Times New Roman" w:cs="Times New Roman" w:eastAsia="Times New Roman" w:hAnsi="Times New Roman"/>
          <w:sz w:val="20"/>
          <w:szCs w:val="20"/>
          <w:color w:val="3D3D44"/>
        </w:rPr>
        <w:t xml:space="preserve"> satisfy the Conditions </w:t>
      </w:r>
      <w:r>
        <w:rPr>
          <w:rFonts w:ascii="Times New Roman" w:cs="Times New Roman" w:eastAsia="Times New Roman" w:hAnsi="Times New Roman"/>
          <w:sz w:val="20"/>
          <w:szCs w:val="20"/>
          <w:color w:val="4D4D54"/>
        </w:rPr>
        <w:t>set forth in Section 3 below</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 xml:space="preserve">the ending </w:t>
      </w:r>
      <w:r>
        <w:rPr>
          <w:rFonts w:ascii="Times New Roman" w:cs="Times New Roman" w:eastAsia="Times New Roman" w:hAnsi="Times New Roman"/>
          <w:sz w:val="20"/>
          <w:szCs w:val="20"/>
          <w:color w:val="3D3D44"/>
        </w:rPr>
        <w:t>of</w:t>
      </w:r>
      <w:r>
        <w:rPr>
          <w:rFonts w:ascii="Times New Roman" w:cs="Times New Roman" w:eastAsia="Times New Roman" w:hAnsi="Times New Roman"/>
          <w:sz w:val="20"/>
          <w:szCs w:val="20"/>
          <w:color w:val="4D4D54"/>
        </w:rPr>
        <w:t xml:space="preserve"> your employment will </w:t>
      </w:r>
      <w:r>
        <w:rPr>
          <w:rFonts w:ascii="Times New Roman" w:cs="Times New Roman" w:eastAsia="Times New Roman" w:hAnsi="Times New Roman"/>
          <w:sz w:val="20"/>
          <w:szCs w:val="20"/>
          <w:color w:val="3D3D44"/>
        </w:rPr>
        <w:t>be</w:t>
      </w:r>
      <w:r>
        <w:rPr>
          <w:rFonts w:ascii="Times New Roman" w:cs="Times New Roman" w:eastAsia="Times New Roman" w:hAnsi="Times New Roman"/>
          <w:sz w:val="20"/>
          <w:szCs w:val="20"/>
          <w:color w:val="4D4D54"/>
        </w:rPr>
        <w:t xml:space="preserve"> trea</w:t>
      </w:r>
      <w:r>
        <w:rPr>
          <w:rFonts w:ascii="Times New Roman" w:cs="Times New Roman" w:eastAsia="Times New Roman" w:hAnsi="Times New Roman"/>
          <w:sz w:val="20"/>
          <w:szCs w:val="20"/>
          <w:color w:val="2D2F34"/>
        </w:rPr>
        <w:t>ted</w:t>
      </w:r>
      <w:r>
        <w:rPr>
          <w:rFonts w:ascii="Times New Roman" w:cs="Times New Roman" w:eastAsia="Times New Roman" w:hAnsi="Times New Roman"/>
          <w:sz w:val="20"/>
          <w:szCs w:val="20"/>
          <w:color w:val="4D4D54"/>
        </w:rPr>
        <w:t xml:space="preserve"> as a termination by the Company without Cause for purposes </w:t>
      </w:r>
      <w:r>
        <w:rPr>
          <w:rFonts w:ascii="Times New Roman" w:cs="Times New Roman" w:eastAsia="Times New Roman" w:hAnsi="Times New Roman"/>
          <w:sz w:val="20"/>
          <w:szCs w:val="20"/>
          <w:color w:val="3D3D44"/>
        </w:rPr>
        <w:t>of</w:t>
      </w:r>
      <w:r>
        <w:rPr>
          <w:rFonts w:ascii="Times New Roman" w:cs="Times New Roman" w:eastAsia="Times New Roman" w:hAnsi="Times New Roman"/>
          <w:sz w:val="20"/>
          <w:szCs w:val="20"/>
          <w:color w:val="4D4D54"/>
        </w:rPr>
        <w:t xml:space="preserve"> the </w:t>
      </w:r>
      <w:r>
        <w:rPr>
          <w:rFonts w:ascii="Times New Roman" w:cs="Times New Roman" w:eastAsia="Times New Roman" w:hAnsi="Times New Roman"/>
          <w:sz w:val="20"/>
          <w:szCs w:val="20"/>
          <w:color w:val="3D3D44"/>
        </w:rPr>
        <w:t>Plan.</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3D3D44"/>
        </w:rPr>
        <w:t xml:space="preserve">Accordingly, if you </w:t>
      </w:r>
      <w:r>
        <w:rPr>
          <w:rFonts w:ascii="Times New Roman" w:cs="Times New Roman" w:eastAsia="Times New Roman" w:hAnsi="Times New Roman"/>
          <w:sz w:val="20"/>
          <w:szCs w:val="20"/>
          <w:color w:val="4D4D54"/>
        </w:rPr>
        <w:t>satisfy</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th</w:t>
      </w:r>
      <w:r>
        <w:rPr>
          <w:rFonts w:ascii="Times New Roman" w:cs="Times New Roman" w:eastAsia="Times New Roman" w:hAnsi="Times New Roman"/>
          <w:sz w:val="20"/>
          <w:szCs w:val="20"/>
          <w:color w:val="4D4D54"/>
        </w:rPr>
        <w:t>e Co</w:t>
      </w:r>
      <w:r>
        <w:rPr>
          <w:rFonts w:ascii="Times New Roman" w:cs="Times New Roman" w:eastAsia="Times New Roman" w:hAnsi="Times New Roman"/>
          <w:sz w:val="20"/>
          <w:szCs w:val="20"/>
          <w:color w:val="2D2F34"/>
        </w:rPr>
        <w:t>ndition</w:t>
      </w:r>
      <w:r>
        <w:rPr>
          <w:rFonts w:ascii="Times New Roman" w:cs="Times New Roman" w:eastAsia="Times New Roman" w:hAnsi="Times New Roman"/>
          <w:sz w:val="20"/>
          <w:szCs w:val="20"/>
          <w:color w:val="4D4D54"/>
        </w:rPr>
        <w:t>s,</w:t>
      </w:r>
      <w:r>
        <w:rPr>
          <w:rFonts w:ascii="Times New Roman" w:cs="Times New Roman" w:eastAsia="Times New Roman" w:hAnsi="Times New Roman"/>
          <w:sz w:val="20"/>
          <w:szCs w:val="20"/>
          <w:color w:val="3D3D44"/>
        </w:rPr>
        <w:t xml:space="preserve"> you will </w:t>
      </w:r>
      <w:r>
        <w:rPr>
          <w:rFonts w:ascii="Times New Roman" w:cs="Times New Roman" w:eastAsia="Times New Roman" w:hAnsi="Times New Roman"/>
          <w:sz w:val="20"/>
          <w:szCs w:val="20"/>
          <w:color w:val="2D2F34"/>
        </w:rPr>
        <w:t>be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e</w:t>
      </w:r>
      <w:r>
        <w:rPr>
          <w:rFonts w:ascii="Times New Roman" w:cs="Times New Roman" w:eastAsia="Times New Roman" w:hAnsi="Times New Roman"/>
          <w:sz w:val="20"/>
          <w:szCs w:val="20"/>
          <w:color w:val="2D2F34"/>
        </w:rPr>
        <w:t>li</w:t>
      </w:r>
      <w:r>
        <w:rPr>
          <w:rFonts w:ascii="Times New Roman" w:cs="Times New Roman" w:eastAsia="Times New Roman" w:hAnsi="Times New Roman"/>
          <w:sz w:val="20"/>
          <w:szCs w:val="20"/>
          <w:color w:val="4D4D54"/>
        </w:rPr>
        <w:t>gib</w:t>
      </w:r>
      <w:r>
        <w:rPr>
          <w:rFonts w:ascii="Times New Roman" w:cs="Times New Roman" w:eastAsia="Times New Roman" w:hAnsi="Times New Roman"/>
          <w:sz w:val="20"/>
          <w:szCs w:val="20"/>
          <w:color w:val="2D2F34"/>
        </w:rPr>
        <w:t>le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for the</w:t>
      </w:r>
      <w:r>
        <w:rPr>
          <w:rFonts w:ascii="Times New Roman" w:cs="Times New Roman" w:eastAsia="Times New Roman" w:hAnsi="Times New Roman"/>
          <w:sz w:val="20"/>
          <w:szCs w:val="20"/>
          <w:color w:val="3D3D44"/>
        </w:rPr>
        <w:t xml:space="preserve"> Severance </w:t>
      </w:r>
      <w:r>
        <w:rPr>
          <w:rFonts w:ascii="Times New Roman" w:cs="Times New Roman" w:eastAsia="Times New Roman" w:hAnsi="Times New Roman"/>
          <w:sz w:val="20"/>
          <w:szCs w:val="20"/>
          <w:color w:val="2D2F34"/>
        </w:rPr>
        <w:t>B</w:t>
      </w:r>
      <w:r>
        <w:rPr>
          <w:rFonts w:ascii="Times New Roman" w:cs="Times New Roman" w:eastAsia="Times New Roman" w:hAnsi="Times New Roman"/>
          <w:sz w:val="20"/>
          <w:szCs w:val="20"/>
          <w:color w:val="4D4D54"/>
        </w:rPr>
        <w:t>enefits</w:t>
      </w:r>
      <w:r>
        <w:rPr>
          <w:rFonts w:ascii="Times New Roman" w:cs="Times New Roman" w:eastAsia="Times New Roman" w:hAnsi="Times New Roman"/>
          <w:sz w:val="20"/>
          <w:szCs w:val="20"/>
          <w:color w:val="3D3D44"/>
        </w:rPr>
        <w:t xml:space="preserve"> under Section 3 </w:t>
      </w:r>
      <w:r>
        <w:rPr>
          <w:rFonts w:ascii="Times New Roman" w:cs="Times New Roman" w:eastAsia="Times New Roman" w:hAnsi="Times New Roman"/>
          <w:sz w:val="20"/>
          <w:szCs w:val="20"/>
          <w:color w:val="4D4D54"/>
        </w:rPr>
        <w:t>of the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Pl</w:t>
      </w:r>
      <w:r>
        <w:rPr>
          <w:rFonts w:ascii="Times New Roman" w:cs="Times New Roman" w:eastAsia="Times New Roman" w:hAnsi="Times New Roman"/>
          <w:sz w:val="20"/>
          <w:szCs w:val="20"/>
          <w:color w:val="4D4D54"/>
        </w:rPr>
        <w:t>an and</w:t>
      </w:r>
      <w:r>
        <w:rPr>
          <w:rFonts w:ascii="Times New Roman" w:cs="Times New Roman" w:eastAsia="Times New Roman" w:hAnsi="Times New Roman"/>
          <w:sz w:val="20"/>
          <w:szCs w:val="20"/>
          <w:color w:val="3D3D44"/>
        </w:rPr>
        <w:t xml:space="preserve"> as described </w:t>
      </w:r>
      <w:r>
        <w:rPr>
          <w:rFonts w:ascii="Arial" w:cs="Arial" w:eastAsia="Arial" w:hAnsi="Arial"/>
          <w:sz w:val="20"/>
          <w:szCs w:val="20"/>
          <w:color w:val="4D4D54"/>
        </w:rPr>
        <w:t>in</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Sect</w:t>
      </w:r>
      <w:r>
        <w:rPr>
          <w:rFonts w:ascii="Times New Roman" w:cs="Times New Roman" w:eastAsia="Times New Roman" w:hAnsi="Times New Roman"/>
          <w:sz w:val="20"/>
          <w:szCs w:val="20"/>
          <w:color w:val="2D2F34"/>
        </w:rPr>
        <w:t>io</w:t>
      </w:r>
      <w:r>
        <w:rPr>
          <w:rFonts w:ascii="Times New Roman" w:cs="Times New Roman" w:eastAsia="Times New Roman" w:hAnsi="Times New Roman"/>
          <w:sz w:val="20"/>
          <w:szCs w:val="20"/>
          <w:color w:val="4D4D54"/>
        </w:rPr>
        <w:t>n 4 below. The below Agreement is the "</w:t>
      </w:r>
      <w:r>
        <w:rPr>
          <w:rFonts w:ascii="Times New Roman" w:cs="Times New Roman" w:eastAsia="Times New Roman" w:hAnsi="Times New Roman"/>
          <w:sz w:val="20"/>
          <w:szCs w:val="20"/>
          <w:color w:val="2D2F34"/>
        </w:rPr>
        <w:t>R</w:t>
      </w:r>
      <w:r>
        <w:rPr>
          <w:rFonts w:ascii="Times New Roman" w:cs="Times New Roman" w:eastAsia="Times New Roman" w:hAnsi="Times New Roman"/>
          <w:sz w:val="20"/>
          <w:szCs w:val="20"/>
          <w:color w:val="4D4D54"/>
        </w:rPr>
        <w:t>elease" and</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4D4D54"/>
        </w:rPr>
        <w:t>Separation</w:t>
      </w:r>
      <w:r>
        <w:rPr>
          <w:rFonts w:ascii="Times New Roman" w:cs="Times New Roman" w:eastAsia="Times New Roman" w:hAnsi="Times New Roman"/>
          <w:sz w:val="20"/>
          <w:szCs w:val="20"/>
          <w:color w:val="3D3D44"/>
        </w:rPr>
        <w:t xml:space="preserve"> Agreement" described in the Plan.</w:t>
      </w:r>
    </w:p>
    <w:p>
      <w:pPr>
        <w:spacing w:after="0" w:line="1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3D3D44"/>
        </w:rPr>
        <w:t xml:space="preserve">With </w:t>
      </w:r>
      <w:r>
        <w:rPr>
          <w:rFonts w:ascii="Times New Roman" w:cs="Times New Roman" w:eastAsia="Times New Roman" w:hAnsi="Times New Roman"/>
          <w:sz w:val="21"/>
          <w:szCs w:val="21"/>
          <w:color w:val="4D4D54"/>
        </w:rPr>
        <w:t>those understandings, the Agreement between you and the Company is</w:t>
      </w:r>
      <w:r>
        <w:rPr>
          <w:rFonts w:ascii="Times New Roman" w:cs="Times New Roman" w:eastAsia="Times New Roman" w:hAnsi="Times New Roman"/>
          <w:sz w:val="21"/>
          <w:szCs w:val="21"/>
          <w:color w:val="3D3D44"/>
        </w:rPr>
        <w:t xml:space="preserve"> </w:t>
      </w:r>
      <w:r>
        <w:rPr>
          <w:rFonts w:ascii="Times New Roman" w:cs="Times New Roman" w:eastAsia="Times New Roman" w:hAnsi="Times New Roman"/>
          <w:sz w:val="21"/>
          <w:szCs w:val="21"/>
          <w:color w:val="2D2F34"/>
        </w:rPr>
        <w:t>a</w:t>
      </w:r>
      <w:r>
        <w:rPr>
          <w:rFonts w:ascii="Times New Roman" w:cs="Times New Roman" w:eastAsia="Times New Roman" w:hAnsi="Times New Roman"/>
          <w:sz w:val="21"/>
          <w:szCs w:val="21"/>
          <w:color w:val="4D4D54"/>
        </w:rPr>
        <w:t>s follows:</w:t>
      </w:r>
    </w:p>
    <w:p>
      <w:pPr>
        <w:spacing w:after="0" w:line="216" w:lineRule="exact"/>
        <w:rPr>
          <w:sz w:val="20"/>
          <w:szCs w:val="20"/>
          <w:color w:val="auto"/>
        </w:rPr>
      </w:pPr>
    </w:p>
    <w:p>
      <w:pPr>
        <w:ind w:left="940" w:hanging="743"/>
        <w:spacing w:after="0"/>
        <w:tabs>
          <w:tab w:leader="none" w:pos="940" w:val="left"/>
        </w:tabs>
        <w:numPr>
          <w:ilvl w:val="0"/>
          <w:numId w:val="71"/>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C1C23"/>
        </w:rPr>
        <w:t>Tran</w:t>
      </w:r>
      <w:r>
        <w:rPr>
          <w:rFonts w:ascii="Times New Roman" w:cs="Times New Roman" w:eastAsia="Times New Roman" w:hAnsi="Times New Roman"/>
          <w:sz w:val="21"/>
          <w:szCs w:val="21"/>
          <w:b w:val="1"/>
          <w:bCs w:val="1"/>
          <w:color w:val="3D3D44"/>
        </w:rPr>
        <w:t>s</w:t>
      </w:r>
      <w:r>
        <w:rPr>
          <w:rFonts w:ascii="Times New Roman" w:cs="Times New Roman" w:eastAsia="Times New Roman" w:hAnsi="Times New Roman"/>
          <w:sz w:val="21"/>
          <w:szCs w:val="21"/>
          <w:b w:val="1"/>
          <w:bCs w:val="1"/>
          <w:color w:val="1C1C23"/>
        </w:rPr>
        <w:t>ition Period</w:t>
      </w:r>
    </w:p>
    <w:p>
      <w:pPr>
        <w:spacing w:after="0" w:line="233" w:lineRule="exact"/>
        <w:rPr>
          <w:rFonts w:ascii="Times New Roman" w:cs="Times New Roman" w:eastAsia="Times New Roman" w:hAnsi="Times New Roman"/>
          <w:sz w:val="21"/>
          <w:szCs w:val="21"/>
          <w:b w:val="1"/>
          <w:bCs w:val="1"/>
          <w:color w:val="1F2126"/>
        </w:rPr>
      </w:pPr>
    </w:p>
    <w:p>
      <w:pPr>
        <w:ind w:left="940" w:right="540" w:firstLine="756"/>
        <w:spacing w:after="0" w:line="263" w:lineRule="auto"/>
        <w:tabs>
          <w:tab w:leader="none" w:pos="2403" w:val="left"/>
        </w:tabs>
        <w:numPr>
          <w:ilvl w:val="1"/>
          <w:numId w:val="71"/>
        </w:numPr>
        <w:rPr>
          <w:rFonts w:ascii="Times New Roman" w:cs="Times New Roman" w:eastAsia="Times New Roman" w:hAnsi="Times New Roman"/>
          <w:sz w:val="20"/>
          <w:szCs w:val="20"/>
          <w:color w:val="505259"/>
        </w:rPr>
      </w:pPr>
      <w:r>
        <w:rPr>
          <w:rFonts w:ascii="Times New Roman" w:cs="Times New Roman" w:eastAsia="Times New Roman" w:hAnsi="Times New Roman"/>
          <w:sz w:val="20"/>
          <w:szCs w:val="20"/>
          <w:color w:val="4D4D54"/>
        </w:rPr>
        <w:t>If you ente</w:t>
      </w:r>
      <w:r>
        <w:rPr>
          <w:rFonts w:ascii="Times New Roman" w:cs="Times New Roman" w:eastAsia="Times New Roman" w:hAnsi="Times New Roman"/>
          <w:sz w:val="20"/>
          <w:szCs w:val="20"/>
          <w:color w:val="2D2F34"/>
        </w:rPr>
        <w:t>r i</w:t>
      </w:r>
      <w:r>
        <w:rPr>
          <w:rFonts w:ascii="Times New Roman" w:cs="Times New Roman" w:eastAsia="Times New Roman" w:hAnsi="Times New Roman"/>
          <w:sz w:val="20"/>
          <w:szCs w:val="20"/>
          <w:color w:val="4D4D54"/>
        </w:rPr>
        <w:t xml:space="preserve">nto and </w:t>
      </w:r>
      <w:r>
        <w:rPr>
          <w:rFonts w:ascii="Times New Roman" w:cs="Times New Roman" w:eastAsia="Times New Roman" w:hAnsi="Times New Roman"/>
          <w:sz w:val="20"/>
          <w:szCs w:val="20"/>
          <w:color w:val="3D3D44"/>
        </w:rPr>
        <w:t>comply</w:t>
      </w:r>
      <w:r>
        <w:rPr>
          <w:rFonts w:ascii="Times New Roman" w:cs="Times New Roman" w:eastAsia="Times New Roman" w:hAnsi="Times New Roman"/>
          <w:sz w:val="20"/>
          <w:szCs w:val="20"/>
          <w:color w:val="4D4D54"/>
        </w:rPr>
        <w:t xml:space="preserve"> with this </w:t>
      </w:r>
      <w:r>
        <w:rPr>
          <w:rFonts w:ascii="Times New Roman" w:cs="Times New Roman" w:eastAsia="Times New Roman" w:hAnsi="Times New Roman"/>
          <w:sz w:val="20"/>
          <w:szCs w:val="20"/>
          <w:color w:val="3D3D44"/>
        </w:rPr>
        <w:t>Agreement,</w:t>
      </w:r>
      <w:r>
        <w:rPr>
          <w:rFonts w:ascii="Times New Roman" w:cs="Times New Roman" w:eastAsia="Times New Roman" w:hAnsi="Times New Roman"/>
          <w:sz w:val="20"/>
          <w:szCs w:val="20"/>
          <w:color w:val="4D4D54"/>
        </w:rPr>
        <w:t xml:space="preserve"> your employment </w:t>
      </w:r>
      <w:r>
        <w:rPr>
          <w:rFonts w:ascii="Times New Roman" w:cs="Times New Roman" w:eastAsia="Times New Roman" w:hAnsi="Times New Roman"/>
          <w:sz w:val="20"/>
          <w:szCs w:val="20"/>
          <w:color w:val="3D3D44"/>
        </w:rPr>
        <w:t>with</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2D2F34"/>
        </w:rPr>
        <w:t>the</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3D3D44"/>
        </w:rPr>
        <w:t>Company w</w:t>
      </w:r>
      <w:r>
        <w:rPr>
          <w:rFonts w:ascii="Times New Roman" w:cs="Times New Roman" w:eastAsia="Times New Roman" w:hAnsi="Times New Roman"/>
          <w:sz w:val="20"/>
          <w:szCs w:val="20"/>
          <w:color w:val="1C1C23"/>
        </w:rPr>
        <w:t>ill</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3D3D44"/>
        </w:rPr>
        <w:t xml:space="preserve">continue, along </w:t>
      </w:r>
      <w:r>
        <w:rPr>
          <w:rFonts w:ascii="Times New Roman" w:cs="Times New Roman" w:eastAsia="Times New Roman" w:hAnsi="Times New Roman"/>
          <w:sz w:val="20"/>
          <w:szCs w:val="20"/>
          <w:color w:val="2D2F34"/>
        </w:rPr>
        <w:t>with</w:t>
      </w:r>
      <w:r>
        <w:rPr>
          <w:rFonts w:ascii="Times New Roman" w:cs="Times New Roman" w:eastAsia="Times New Roman" w:hAnsi="Times New Roman"/>
          <w:sz w:val="20"/>
          <w:szCs w:val="20"/>
          <w:color w:val="3D3D44"/>
        </w:rPr>
        <w:t xml:space="preserve"> the </w:t>
      </w:r>
      <w:r>
        <w:rPr>
          <w:rFonts w:ascii="Times New Roman" w:cs="Times New Roman" w:eastAsia="Times New Roman" w:hAnsi="Times New Roman"/>
          <w:sz w:val="20"/>
          <w:szCs w:val="20"/>
          <w:color w:val="2D2F34"/>
        </w:rPr>
        <w:t>comp</w:t>
      </w:r>
      <w:r>
        <w:rPr>
          <w:rFonts w:ascii="Times New Roman" w:cs="Times New Roman" w:eastAsia="Times New Roman" w:hAnsi="Times New Roman"/>
          <w:sz w:val="20"/>
          <w:szCs w:val="20"/>
          <w:color w:val="4D4D54"/>
        </w:rPr>
        <w:t>ens</w:t>
      </w:r>
      <w:r>
        <w:rPr>
          <w:rFonts w:ascii="Times New Roman" w:cs="Times New Roman" w:eastAsia="Times New Roman" w:hAnsi="Times New Roman"/>
          <w:sz w:val="20"/>
          <w:szCs w:val="20"/>
          <w:color w:val="2D2F34"/>
        </w:rPr>
        <w:t>ation</w:t>
      </w:r>
      <w:r>
        <w:rPr>
          <w:rFonts w:ascii="Times New Roman" w:cs="Times New Roman" w:eastAsia="Times New Roman" w:hAnsi="Times New Roman"/>
          <w:sz w:val="20"/>
          <w:szCs w:val="20"/>
          <w:color w:val="4D4D54"/>
        </w:rPr>
        <w:t>,</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bene</w:t>
      </w:r>
      <w:r>
        <w:rPr>
          <w:rFonts w:ascii="Times New Roman" w:cs="Times New Roman" w:eastAsia="Times New Roman" w:hAnsi="Times New Roman"/>
          <w:sz w:val="20"/>
          <w:szCs w:val="20"/>
          <w:color w:val="4D4D54"/>
        </w:rPr>
        <w:t>fits</w:t>
      </w:r>
      <w:r>
        <w:rPr>
          <w:rFonts w:ascii="Times New Roman" w:cs="Times New Roman" w:eastAsia="Times New Roman" w:hAnsi="Times New Roman"/>
          <w:sz w:val="20"/>
          <w:szCs w:val="20"/>
          <w:color w:val="3D3D44"/>
        </w:rPr>
        <w:t xml:space="preserve"> and </w:t>
      </w:r>
      <w:r>
        <w:rPr>
          <w:rFonts w:ascii="Times New Roman" w:cs="Times New Roman" w:eastAsia="Times New Roman" w:hAnsi="Times New Roman"/>
          <w:sz w:val="20"/>
          <w:szCs w:val="20"/>
          <w:color w:val="2D2F34"/>
        </w:rPr>
        <w:t>v</w:t>
      </w:r>
      <w:r>
        <w:rPr>
          <w:rFonts w:ascii="Times New Roman" w:cs="Times New Roman" w:eastAsia="Times New Roman" w:hAnsi="Times New Roman"/>
          <w:sz w:val="20"/>
          <w:szCs w:val="20"/>
          <w:color w:val="4D4D54"/>
        </w:rPr>
        <w:t>est</w:t>
      </w:r>
      <w:r>
        <w:rPr>
          <w:rFonts w:ascii="Times New Roman" w:cs="Times New Roman" w:eastAsia="Times New Roman" w:hAnsi="Times New Roman"/>
          <w:sz w:val="20"/>
          <w:szCs w:val="20"/>
          <w:color w:val="2D2F34"/>
        </w:rPr>
        <w:t>in</w:t>
      </w:r>
      <w:r>
        <w:rPr>
          <w:rFonts w:ascii="Times New Roman" w:cs="Times New Roman" w:eastAsia="Times New Roman" w:hAnsi="Times New Roman"/>
          <w:sz w:val="20"/>
          <w:szCs w:val="20"/>
          <w:color w:val="4D4D54"/>
        </w:rPr>
        <w:t>g</w:t>
      </w:r>
      <w:r>
        <w:rPr>
          <w:rFonts w:ascii="Times New Roman" w:cs="Times New Roman" w:eastAsia="Times New Roman" w:hAnsi="Times New Roman"/>
          <w:sz w:val="20"/>
          <w:szCs w:val="20"/>
          <w:color w:val="3D3D44"/>
        </w:rPr>
        <w:t xml:space="preserve"> described </w:t>
      </w:r>
      <w:r>
        <w:rPr>
          <w:rFonts w:ascii="Arial" w:cs="Arial" w:eastAsia="Arial" w:hAnsi="Arial"/>
          <w:sz w:val="20"/>
          <w:szCs w:val="20"/>
          <w:color w:val="4D4D54"/>
        </w:rPr>
        <w:t>in</w:t>
      </w:r>
      <w:r>
        <w:rPr>
          <w:rFonts w:ascii="Times New Roman" w:cs="Times New Roman" w:eastAsia="Times New Roman" w:hAnsi="Times New Roman"/>
          <w:sz w:val="20"/>
          <w:szCs w:val="20"/>
          <w:color w:val="3D3D44"/>
        </w:rPr>
        <w:t xml:space="preserve"> Section </w:t>
      </w:r>
      <w:r>
        <w:rPr>
          <w:rFonts w:ascii="Times New Roman" w:cs="Times New Roman" w:eastAsia="Times New Roman" w:hAnsi="Times New Roman"/>
          <w:sz w:val="20"/>
          <w:szCs w:val="20"/>
          <w:color w:val="2D2F34"/>
        </w:rPr>
        <w:t>l</w:t>
      </w:r>
      <w:r>
        <w:rPr>
          <w:rFonts w:ascii="Times New Roman" w:cs="Times New Roman" w:eastAsia="Times New Roman" w:hAnsi="Times New Roman"/>
          <w:sz w:val="20"/>
          <w:szCs w:val="20"/>
          <w:color w:val="4D4D54"/>
        </w:rPr>
        <w:t>(c)</w:t>
      </w:r>
      <w:r>
        <w:rPr>
          <w:rFonts w:ascii="Times New Roman" w:cs="Times New Roman" w:eastAsia="Times New Roman" w:hAnsi="Times New Roman"/>
          <w:sz w:val="20"/>
          <w:szCs w:val="20"/>
          <w:color w:val="3D3D44"/>
        </w:rPr>
        <w:t xml:space="preserve"> below</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unt</w:t>
      </w:r>
      <w:r>
        <w:rPr>
          <w:rFonts w:ascii="Times New Roman" w:cs="Times New Roman" w:eastAsia="Times New Roman" w:hAnsi="Times New Roman"/>
          <w:sz w:val="20"/>
          <w:szCs w:val="20"/>
          <w:color w:val="2D2F34"/>
        </w:rPr>
        <w:t>il</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February 28, 2023</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at whic</w:t>
      </w:r>
      <w:r>
        <w:rPr>
          <w:rFonts w:ascii="Times New Roman" w:cs="Times New Roman" w:eastAsia="Times New Roman" w:hAnsi="Times New Roman"/>
          <w:sz w:val="20"/>
          <w:szCs w:val="20"/>
          <w:color w:val="2D2F34"/>
        </w:rPr>
        <w:t>h</w:t>
      </w:r>
      <w:r>
        <w:rPr>
          <w:rFonts w:ascii="Times New Roman" w:cs="Times New Roman" w:eastAsia="Times New Roman" w:hAnsi="Times New Roman"/>
          <w:sz w:val="20"/>
          <w:szCs w:val="20"/>
          <w:color w:val="4D4D54"/>
        </w:rPr>
        <w:t xml:space="preserve"> time </w:t>
      </w:r>
      <w:r>
        <w:rPr>
          <w:rFonts w:ascii="Times New Roman" w:cs="Times New Roman" w:eastAsia="Times New Roman" w:hAnsi="Times New Roman"/>
          <w:sz w:val="20"/>
          <w:szCs w:val="20"/>
          <w:color w:val="3D3D44"/>
        </w:rPr>
        <w:t>it</w:t>
      </w:r>
      <w:r>
        <w:rPr>
          <w:rFonts w:ascii="Times New Roman" w:cs="Times New Roman" w:eastAsia="Times New Roman" w:hAnsi="Times New Roman"/>
          <w:sz w:val="20"/>
          <w:szCs w:val="20"/>
          <w:color w:val="4D4D54"/>
        </w:rPr>
        <w:t xml:space="preserve"> will end</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4D4D54"/>
        </w:rPr>
        <w:t xml:space="preserve"> unless you sooner </w:t>
      </w:r>
      <w:r>
        <w:rPr>
          <w:rFonts w:ascii="Times New Roman" w:cs="Times New Roman" w:eastAsia="Times New Roman" w:hAnsi="Times New Roman"/>
          <w:sz w:val="20"/>
          <w:szCs w:val="20"/>
          <w:color w:val="3D3D44"/>
        </w:rPr>
        <w:t>resign</w:t>
      </w:r>
      <w:r>
        <w:rPr>
          <w:rFonts w:ascii="Times New Roman" w:cs="Times New Roman" w:eastAsia="Times New Roman" w:hAnsi="Times New Roman"/>
          <w:sz w:val="20"/>
          <w:szCs w:val="20"/>
          <w:color w:val="4D4D54"/>
        </w:rPr>
        <w:t xml:space="preserve"> or the Company sooner ends yo</w:t>
      </w:r>
      <w:r>
        <w:rPr>
          <w:rFonts w:ascii="Times New Roman" w:cs="Times New Roman" w:eastAsia="Times New Roman" w:hAnsi="Times New Roman"/>
          <w:sz w:val="20"/>
          <w:szCs w:val="20"/>
          <w:color w:val="2D2F34"/>
        </w:rPr>
        <w:t>u</w:t>
      </w:r>
      <w:r>
        <w:rPr>
          <w:rFonts w:ascii="Times New Roman" w:cs="Times New Roman" w:eastAsia="Times New Roman" w:hAnsi="Times New Roman"/>
          <w:sz w:val="20"/>
          <w:szCs w:val="20"/>
          <w:color w:val="4D4D54"/>
        </w:rPr>
        <w:t xml:space="preserve">r employment </w:t>
      </w:r>
      <w:r>
        <w:rPr>
          <w:rFonts w:ascii="Times New Roman" w:cs="Times New Roman" w:eastAsia="Times New Roman" w:hAnsi="Times New Roman"/>
          <w:sz w:val="20"/>
          <w:szCs w:val="20"/>
          <w:color w:val="3D3D44"/>
        </w:rPr>
        <w:t>for</w:t>
      </w:r>
      <w:r>
        <w:rPr>
          <w:rFonts w:ascii="Times New Roman" w:cs="Times New Roman" w:eastAsia="Times New Roman" w:hAnsi="Times New Roman"/>
          <w:sz w:val="20"/>
          <w:szCs w:val="20"/>
          <w:color w:val="4D4D54"/>
        </w:rPr>
        <w:t xml:space="preserve"> Cause (as </w:t>
      </w:r>
      <w:r>
        <w:rPr>
          <w:rFonts w:ascii="Times New Roman" w:cs="Times New Roman" w:eastAsia="Times New Roman" w:hAnsi="Times New Roman"/>
          <w:sz w:val="20"/>
          <w:szCs w:val="20"/>
          <w:color w:val="3D3D44"/>
        </w:rPr>
        <w:t xml:space="preserve">defined </w:t>
      </w:r>
      <w:r>
        <w:rPr>
          <w:rFonts w:ascii="Times New Roman" w:cs="Times New Roman" w:eastAsia="Times New Roman" w:hAnsi="Times New Roman"/>
          <w:sz w:val="20"/>
          <w:szCs w:val="20"/>
          <w:color w:val="4D4D54"/>
        </w:rPr>
        <w:t>in the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2D2F34"/>
        </w:rPr>
        <w:t>Plan). The</w:t>
      </w:r>
      <w:r>
        <w:rPr>
          <w:rFonts w:ascii="Times New Roman" w:cs="Times New Roman" w:eastAsia="Times New Roman" w:hAnsi="Times New Roman"/>
          <w:sz w:val="20"/>
          <w:szCs w:val="20"/>
          <w:color w:val="3D3D44"/>
        </w:rPr>
        <w:t xml:space="preserve"> actual </w:t>
      </w:r>
      <w:r>
        <w:rPr>
          <w:rFonts w:ascii="Times New Roman" w:cs="Times New Roman" w:eastAsia="Times New Roman" w:hAnsi="Times New Roman"/>
          <w:sz w:val="20"/>
          <w:szCs w:val="20"/>
          <w:color w:val="2D2F34"/>
        </w:rPr>
        <w:t>la</w:t>
      </w:r>
      <w:r>
        <w:rPr>
          <w:rFonts w:ascii="Times New Roman" w:cs="Times New Roman" w:eastAsia="Times New Roman" w:hAnsi="Times New Roman"/>
          <w:sz w:val="20"/>
          <w:szCs w:val="20"/>
          <w:color w:val="4D4D54"/>
        </w:rPr>
        <w:t>st</w:t>
      </w:r>
      <w:r>
        <w:rPr>
          <w:rFonts w:ascii="Times New Roman" w:cs="Times New Roman" w:eastAsia="Times New Roman" w:hAnsi="Times New Roman"/>
          <w:sz w:val="20"/>
          <w:szCs w:val="20"/>
          <w:color w:val="3D3D44"/>
        </w:rPr>
        <w:t xml:space="preserve"> day </w:t>
      </w:r>
      <w:r>
        <w:rPr>
          <w:rFonts w:ascii="Times New Roman" w:cs="Times New Roman" w:eastAsia="Times New Roman" w:hAnsi="Times New Roman"/>
          <w:sz w:val="20"/>
          <w:szCs w:val="20"/>
          <w:color w:val="2D2F34"/>
        </w:rPr>
        <w:t>of</w:t>
      </w:r>
      <w:r>
        <w:rPr>
          <w:rFonts w:ascii="Times New Roman" w:cs="Times New Roman" w:eastAsia="Times New Roman" w:hAnsi="Times New Roman"/>
          <w:sz w:val="20"/>
          <w:szCs w:val="20"/>
          <w:color w:val="3D3D44"/>
        </w:rPr>
        <w:t xml:space="preserve"> your employment </w:t>
      </w:r>
      <w:r>
        <w:rPr>
          <w:rFonts w:ascii="Times New Roman" w:cs="Times New Roman" w:eastAsia="Times New Roman" w:hAnsi="Times New Roman"/>
          <w:sz w:val="20"/>
          <w:szCs w:val="20"/>
          <w:color w:val="4D4D54"/>
        </w:rPr>
        <w:t>is</w:t>
      </w:r>
      <w:r>
        <w:rPr>
          <w:rFonts w:ascii="Times New Roman" w:cs="Times New Roman" w:eastAsia="Times New Roman" w:hAnsi="Times New Roman"/>
          <w:sz w:val="20"/>
          <w:szCs w:val="20"/>
          <w:color w:val="3D3D44"/>
        </w:rPr>
        <w:t xml:space="preserve"> referred to herein as the "Date </w:t>
      </w:r>
      <w:r>
        <w:rPr>
          <w:rFonts w:ascii="Times New Roman" w:cs="Times New Roman" w:eastAsia="Times New Roman" w:hAnsi="Times New Roman"/>
          <w:sz w:val="20"/>
          <w:szCs w:val="20"/>
          <w:color w:val="4D4D54"/>
        </w:rPr>
        <w:t>of Termination.</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The</w:t>
      </w:r>
      <w:r>
        <w:rPr>
          <w:rFonts w:ascii="Times New Roman" w:cs="Times New Roman" w:eastAsia="Times New Roman" w:hAnsi="Times New Roman"/>
          <w:sz w:val="20"/>
          <w:szCs w:val="20"/>
          <w:color w:val="3D3D44"/>
        </w:rPr>
        <w:t xml:space="preserve"> </w:t>
      </w:r>
      <w:r>
        <w:rPr>
          <w:rFonts w:ascii="Times New Roman" w:cs="Times New Roman" w:eastAsia="Times New Roman" w:hAnsi="Times New Roman"/>
          <w:sz w:val="20"/>
          <w:szCs w:val="20"/>
          <w:color w:val="4D4D54"/>
        </w:rPr>
        <w:t xml:space="preserve">time period </w:t>
      </w:r>
      <w:r>
        <w:rPr>
          <w:rFonts w:ascii="Times New Roman" w:cs="Times New Roman" w:eastAsia="Times New Roman" w:hAnsi="Times New Roman"/>
          <w:sz w:val="20"/>
          <w:szCs w:val="20"/>
          <w:color w:val="3D3D44"/>
        </w:rPr>
        <w:t>between</w:t>
      </w:r>
      <w:r>
        <w:rPr>
          <w:rFonts w:ascii="Times New Roman" w:cs="Times New Roman" w:eastAsia="Times New Roman" w:hAnsi="Times New Roman"/>
          <w:sz w:val="20"/>
          <w:szCs w:val="20"/>
          <w:color w:val="4D4D54"/>
        </w:rPr>
        <w:t xml:space="preserve"> the </w:t>
      </w:r>
      <w:r>
        <w:rPr>
          <w:rFonts w:ascii="Times New Roman" w:cs="Times New Roman" w:eastAsia="Times New Roman" w:hAnsi="Times New Roman"/>
          <w:sz w:val="20"/>
          <w:szCs w:val="20"/>
          <w:color w:val="3D3D44"/>
        </w:rPr>
        <w:t>date</w:t>
      </w:r>
      <w:r>
        <w:rPr>
          <w:rFonts w:ascii="Times New Roman" w:cs="Times New Roman" w:eastAsia="Times New Roman" w:hAnsi="Times New Roman"/>
          <w:sz w:val="20"/>
          <w:szCs w:val="20"/>
          <w:color w:val="4D4D54"/>
        </w:rPr>
        <w:t xml:space="preserve"> of </w:t>
      </w:r>
      <w:r>
        <w:rPr>
          <w:rFonts w:ascii="Times New Roman" w:cs="Times New Roman" w:eastAsia="Times New Roman" w:hAnsi="Times New Roman"/>
          <w:sz w:val="20"/>
          <w:szCs w:val="20"/>
          <w:color w:val="3D3D44"/>
        </w:rPr>
        <w:t>this</w:t>
      </w:r>
      <w:r>
        <w:rPr>
          <w:rFonts w:ascii="Times New Roman" w:cs="Times New Roman" w:eastAsia="Times New Roman" w:hAnsi="Times New Roman"/>
          <w:sz w:val="20"/>
          <w:szCs w:val="20"/>
          <w:color w:val="4D4D54"/>
        </w:rPr>
        <w:t xml:space="preserve"> letter and the </w:t>
      </w:r>
      <w:r>
        <w:rPr>
          <w:rFonts w:ascii="Times New Roman" w:cs="Times New Roman" w:eastAsia="Times New Roman" w:hAnsi="Times New Roman"/>
          <w:sz w:val="20"/>
          <w:szCs w:val="20"/>
          <w:color w:val="1C1C23"/>
        </w:rPr>
        <w:t>D</w:t>
      </w:r>
      <w:r>
        <w:rPr>
          <w:rFonts w:ascii="Times New Roman" w:cs="Times New Roman" w:eastAsia="Times New Roman" w:hAnsi="Times New Roman"/>
          <w:sz w:val="20"/>
          <w:szCs w:val="20"/>
          <w:color w:val="4D4D54"/>
        </w:rPr>
        <w:t xml:space="preserve">ate </w:t>
      </w:r>
      <w:r>
        <w:rPr>
          <w:rFonts w:ascii="Times New Roman" w:cs="Times New Roman" w:eastAsia="Times New Roman" w:hAnsi="Times New Roman"/>
          <w:sz w:val="20"/>
          <w:szCs w:val="20"/>
          <w:color w:val="3D3D44"/>
        </w:rPr>
        <w:t>of Termination</w:t>
      </w:r>
      <w:r>
        <w:rPr>
          <w:rFonts w:ascii="Times New Roman" w:cs="Times New Roman" w:eastAsia="Times New Roman" w:hAnsi="Times New Roman"/>
          <w:sz w:val="20"/>
          <w:szCs w:val="20"/>
          <w:color w:val="4D4D54"/>
        </w:rPr>
        <w:t xml:space="preserve"> is </w:t>
      </w:r>
      <w:r>
        <w:rPr>
          <w:rFonts w:ascii="Times New Roman" w:cs="Times New Roman" w:eastAsia="Times New Roman" w:hAnsi="Times New Roman"/>
          <w:sz w:val="20"/>
          <w:szCs w:val="20"/>
          <w:color w:val="3D3D44"/>
        </w:rPr>
        <w:t>referred</w:t>
      </w:r>
      <w:r>
        <w:rPr>
          <w:rFonts w:ascii="Times New Roman" w:cs="Times New Roman" w:eastAsia="Times New Roman" w:hAnsi="Times New Roman"/>
          <w:sz w:val="20"/>
          <w:szCs w:val="20"/>
          <w:color w:val="4D4D54"/>
        </w:rPr>
        <w:t xml:space="preserve"> to herein as the </w:t>
      </w:r>
      <w:r>
        <w:rPr>
          <w:rFonts w:ascii="Times New Roman" w:cs="Times New Roman" w:eastAsia="Times New Roman" w:hAnsi="Times New Roman"/>
          <w:sz w:val="20"/>
          <w:szCs w:val="20"/>
          <w:color w:val="6B6E75"/>
        </w:rPr>
        <w:t>"</w:t>
      </w:r>
      <w:r>
        <w:rPr>
          <w:rFonts w:ascii="Times New Roman" w:cs="Times New Roman" w:eastAsia="Times New Roman" w:hAnsi="Times New Roman"/>
          <w:sz w:val="20"/>
          <w:szCs w:val="20"/>
          <w:color w:val="4D4D54"/>
        </w:rPr>
        <w:t xml:space="preserve">Transition </w:t>
      </w:r>
      <w:r>
        <w:rPr>
          <w:rFonts w:ascii="Times New Roman" w:cs="Times New Roman" w:eastAsia="Times New Roman" w:hAnsi="Times New Roman"/>
          <w:sz w:val="20"/>
          <w:szCs w:val="20"/>
          <w:color w:val="3D3D44"/>
        </w:rPr>
        <w:t>Period.</w:t>
      </w:r>
      <w:r>
        <w:rPr>
          <w:rFonts w:ascii="Times New Roman" w:cs="Times New Roman" w:eastAsia="Times New Roman" w:hAnsi="Times New Roman"/>
          <w:sz w:val="20"/>
          <w:szCs w:val="20"/>
          <w:color w:val="6B6E75"/>
        </w:rPr>
        <w:t>"</w:t>
      </w:r>
    </w:p>
    <w:p>
      <w:pPr>
        <w:spacing w:after="0" w:line="183" w:lineRule="exact"/>
        <w:rPr>
          <w:rFonts w:ascii="Times New Roman" w:cs="Times New Roman" w:eastAsia="Times New Roman" w:hAnsi="Times New Roman"/>
          <w:sz w:val="20"/>
          <w:szCs w:val="20"/>
          <w:color w:val="505259"/>
        </w:rPr>
      </w:pPr>
    </w:p>
    <w:p>
      <w:pPr>
        <w:ind w:left="960" w:right="540" w:firstLine="750"/>
        <w:spacing w:after="0" w:line="255" w:lineRule="auto"/>
        <w:tabs>
          <w:tab w:leader="none" w:pos="2414" w:val="left"/>
        </w:tabs>
        <w:numPr>
          <w:ilvl w:val="2"/>
          <w:numId w:val="71"/>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D4D54"/>
        </w:rPr>
        <w:t>A</w:t>
      </w:r>
      <w:r>
        <w:rPr>
          <w:rFonts w:ascii="Times New Roman" w:cs="Times New Roman" w:eastAsia="Times New Roman" w:hAnsi="Times New Roman"/>
          <w:sz w:val="21"/>
          <w:szCs w:val="21"/>
          <w:color w:val="2D2F34"/>
        </w:rPr>
        <w:t>t</w:t>
      </w:r>
      <w:r>
        <w:rPr>
          <w:rFonts w:ascii="Times New Roman" w:cs="Times New Roman" w:eastAsia="Times New Roman" w:hAnsi="Times New Roman"/>
          <w:sz w:val="21"/>
          <w:szCs w:val="21"/>
          <w:color w:val="4D4D54"/>
        </w:rPr>
        <w:t xml:space="preserve"> the commencement of the </w:t>
      </w:r>
      <w:r>
        <w:rPr>
          <w:rFonts w:ascii="Times New Roman" w:cs="Times New Roman" w:eastAsia="Times New Roman" w:hAnsi="Times New Roman"/>
          <w:sz w:val="21"/>
          <w:szCs w:val="21"/>
          <w:color w:val="2D2F34"/>
        </w:rPr>
        <w:t>T</w:t>
      </w:r>
      <w:r>
        <w:rPr>
          <w:rFonts w:ascii="Times New Roman" w:cs="Times New Roman" w:eastAsia="Times New Roman" w:hAnsi="Times New Roman"/>
          <w:sz w:val="21"/>
          <w:szCs w:val="21"/>
          <w:color w:val="4D4D54"/>
        </w:rPr>
        <w:t>ransi</w:t>
      </w:r>
      <w:r>
        <w:rPr>
          <w:rFonts w:ascii="Times New Roman" w:cs="Times New Roman" w:eastAsia="Times New Roman" w:hAnsi="Times New Roman"/>
          <w:sz w:val="21"/>
          <w:szCs w:val="21"/>
          <w:color w:val="2D2F34"/>
        </w:rPr>
        <w:t>tio</w:t>
      </w:r>
      <w:r>
        <w:rPr>
          <w:rFonts w:ascii="Times New Roman" w:cs="Times New Roman" w:eastAsia="Times New Roman" w:hAnsi="Times New Roman"/>
          <w:sz w:val="21"/>
          <w:szCs w:val="21"/>
          <w:color w:val="4D4D54"/>
        </w:rPr>
        <w:t xml:space="preserve">n </w:t>
      </w:r>
      <w:r>
        <w:rPr>
          <w:rFonts w:ascii="Times New Roman" w:cs="Times New Roman" w:eastAsia="Times New Roman" w:hAnsi="Times New Roman"/>
          <w:sz w:val="21"/>
          <w:szCs w:val="21"/>
          <w:color w:val="3D3D44"/>
        </w:rPr>
        <w:t>Period,</w:t>
      </w:r>
      <w:r>
        <w:rPr>
          <w:rFonts w:ascii="Times New Roman" w:cs="Times New Roman" w:eastAsia="Times New Roman" w:hAnsi="Times New Roman"/>
          <w:sz w:val="21"/>
          <w:szCs w:val="21"/>
          <w:color w:val="4D4D54"/>
        </w:rPr>
        <w:t xml:space="preserve"> you will transiti</w:t>
      </w:r>
      <w:r>
        <w:rPr>
          <w:rFonts w:ascii="Times New Roman" w:cs="Times New Roman" w:eastAsia="Times New Roman" w:hAnsi="Times New Roman"/>
          <w:sz w:val="21"/>
          <w:szCs w:val="21"/>
          <w:color w:val="2D2F34"/>
        </w:rPr>
        <w:t>o</w:t>
      </w:r>
      <w:r>
        <w:rPr>
          <w:rFonts w:ascii="Times New Roman" w:cs="Times New Roman" w:eastAsia="Times New Roman" w:hAnsi="Times New Roman"/>
          <w:sz w:val="21"/>
          <w:szCs w:val="21"/>
          <w:color w:val="4D4D54"/>
        </w:rPr>
        <w:t xml:space="preserve">n to </w:t>
      </w:r>
      <w:r>
        <w:rPr>
          <w:rFonts w:ascii="Times New Roman" w:cs="Times New Roman" w:eastAsia="Times New Roman" w:hAnsi="Times New Roman"/>
          <w:sz w:val="21"/>
          <w:szCs w:val="21"/>
          <w:color w:val="2D2F34"/>
        </w:rPr>
        <w:t>the</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D3D44"/>
        </w:rPr>
        <w:t>role</w:t>
      </w:r>
      <w:r>
        <w:rPr>
          <w:rFonts w:ascii="Times New Roman" w:cs="Times New Roman" w:eastAsia="Times New Roman" w:hAnsi="Times New Roman"/>
          <w:sz w:val="21"/>
          <w:szCs w:val="21"/>
          <w:color w:val="4D4D54"/>
        </w:rPr>
        <w:t xml:space="preserve"> of Senior A</w:t>
      </w:r>
      <w:r>
        <w:rPr>
          <w:rFonts w:ascii="Times New Roman" w:cs="Times New Roman" w:eastAsia="Times New Roman" w:hAnsi="Times New Roman"/>
          <w:sz w:val="21"/>
          <w:szCs w:val="21"/>
          <w:color w:val="2D2F34"/>
        </w:rPr>
        <w:t>d</w:t>
      </w:r>
      <w:r>
        <w:rPr>
          <w:rFonts w:ascii="Times New Roman" w:cs="Times New Roman" w:eastAsia="Times New Roman" w:hAnsi="Times New Roman"/>
          <w:sz w:val="21"/>
          <w:szCs w:val="21"/>
          <w:color w:val="4D4D54"/>
        </w:rPr>
        <w:t xml:space="preserve">visor. You agree </w:t>
      </w:r>
      <w:r>
        <w:rPr>
          <w:rFonts w:ascii="Times New Roman" w:cs="Times New Roman" w:eastAsia="Times New Roman" w:hAnsi="Times New Roman"/>
          <w:sz w:val="21"/>
          <w:szCs w:val="21"/>
          <w:color w:val="3D3D44"/>
        </w:rPr>
        <w:t>to</w:t>
      </w:r>
      <w:r>
        <w:rPr>
          <w:rFonts w:ascii="Times New Roman" w:cs="Times New Roman" w:eastAsia="Times New Roman" w:hAnsi="Times New Roman"/>
          <w:sz w:val="21"/>
          <w:szCs w:val="21"/>
          <w:color w:val="4D4D54"/>
        </w:rPr>
        <w:t xml:space="preserve"> work </w:t>
      </w:r>
      <w:r>
        <w:rPr>
          <w:rFonts w:ascii="Times New Roman" w:cs="Times New Roman" w:eastAsia="Times New Roman" w:hAnsi="Times New Roman"/>
          <w:sz w:val="21"/>
          <w:szCs w:val="21"/>
          <w:color w:val="3D3D44"/>
        </w:rPr>
        <w:t>professionally</w:t>
      </w:r>
      <w:r>
        <w:rPr>
          <w:rFonts w:ascii="Times New Roman" w:cs="Times New Roman" w:eastAsia="Times New Roman" w:hAnsi="Times New Roman"/>
          <w:sz w:val="21"/>
          <w:szCs w:val="21"/>
          <w:color w:val="4D4D54"/>
        </w:rPr>
        <w:t xml:space="preserve"> and </w:t>
      </w:r>
      <w:r>
        <w:rPr>
          <w:rFonts w:ascii="Times New Roman" w:cs="Times New Roman" w:eastAsia="Times New Roman" w:hAnsi="Times New Roman"/>
          <w:sz w:val="21"/>
          <w:szCs w:val="21"/>
          <w:color w:val="2D2F34"/>
        </w:rPr>
        <w:t>cooperatively</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D3D44"/>
        </w:rPr>
        <w:t>with</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1C1C23"/>
        </w:rPr>
        <w:t>t</w:t>
      </w:r>
      <w:r>
        <w:rPr>
          <w:rFonts w:ascii="Times New Roman" w:cs="Times New Roman" w:eastAsia="Times New Roman" w:hAnsi="Times New Roman"/>
          <w:sz w:val="21"/>
          <w:szCs w:val="21"/>
          <w:color w:val="3D3D44"/>
        </w:rPr>
        <w:t>he</w:t>
      </w:r>
      <w:r>
        <w:rPr>
          <w:rFonts w:ascii="Times New Roman" w:cs="Times New Roman" w:eastAsia="Times New Roman" w:hAnsi="Times New Roman"/>
          <w:sz w:val="21"/>
          <w:szCs w:val="21"/>
          <w:color w:val="4D4D54"/>
        </w:rPr>
        <w:t xml:space="preserve"> lea</w:t>
      </w:r>
      <w:r>
        <w:rPr>
          <w:rFonts w:ascii="Times New Roman" w:cs="Times New Roman" w:eastAsia="Times New Roman" w:hAnsi="Times New Roman"/>
          <w:sz w:val="21"/>
          <w:szCs w:val="21"/>
          <w:color w:val="2D2F34"/>
        </w:rPr>
        <w:t>d</w:t>
      </w:r>
      <w:r>
        <w:rPr>
          <w:rFonts w:ascii="Times New Roman" w:cs="Times New Roman" w:eastAsia="Times New Roman" w:hAnsi="Times New Roman"/>
          <w:sz w:val="21"/>
          <w:szCs w:val="21"/>
          <w:color w:val="4D4D54"/>
        </w:rPr>
        <w:t xml:space="preserve">ership </w:t>
      </w:r>
      <w:r>
        <w:rPr>
          <w:rFonts w:ascii="Times New Roman" w:cs="Times New Roman" w:eastAsia="Times New Roman" w:hAnsi="Times New Roman"/>
          <w:sz w:val="21"/>
          <w:szCs w:val="21"/>
          <w:color w:val="3D3D44"/>
        </w:rPr>
        <w:t>team</w:t>
      </w:r>
      <w:r>
        <w:rPr>
          <w:rFonts w:ascii="Times New Roman" w:cs="Times New Roman" w:eastAsia="Times New Roman" w:hAnsi="Times New Roman"/>
          <w:sz w:val="21"/>
          <w:szCs w:val="21"/>
          <w:color w:val="4D4D54"/>
        </w:rPr>
        <w:t xml:space="preserve"> an</w:t>
      </w:r>
      <w:r>
        <w:rPr>
          <w:rFonts w:ascii="Times New Roman" w:cs="Times New Roman" w:eastAsia="Times New Roman" w:hAnsi="Times New Roman"/>
          <w:sz w:val="21"/>
          <w:szCs w:val="21"/>
          <w:color w:val="2D2F34"/>
        </w:rPr>
        <w:t>d</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D3D44"/>
        </w:rPr>
        <w:t>your</w:t>
      </w:r>
      <w:r>
        <w:rPr>
          <w:rFonts w:ascii="Times New Roman" w:cs="Times New Roman" w:eastAsia="Times New Roman" w:hAnsi="Times New Roman"/>
          <w:sz w:val="21"/>
          <w:szCs w:val="21"/>
          <w:color w:val="4D4D54"/>
        </w:rPr>
        <w:t xml:space="preserve"> co</w:t>
      </w:r>
      <w:r>
        <w:rPr>
          <w:rFonts w:ascii="Times New Roman" w:cs="Times New Roman" w:eastAsia="Times New Roman" w:hAnsi="Times New Roman"/>
          <w:sz w:val="21"/>
          <w:szCs w:val="21"/>
          <w:color w:val="2D2F34"/>
        </w:rPr>
        <w:t>llea</w:t>
      </w:r>
      <w:r>
        <w:rPr>
          <w:rFonts w:ascii="Times New Roman" w:cs="Times New Roman" w:eastAsia="Times New Roman" w:hAnsi="Times New Roman"/>
          <w:sz w:val="21"/>
          <w:szCs w:val="21"/>
          <w:color w:val="4D4D54"/>
        </w:rPr>
        <w:t xml:space="preserve">gues </w:t>
      </w:r>
      <w:r>
        <w:rPr>
          <w:rFonts w:ascii="Times New Roman" w:cs="Times New Roman" w:eastAsia="Times New Roman" w:hAnsi="Times New Roman"/>
          <w:sz w:val="21"/>
          <w:szCs w:val="21"/>
          <w:color w:val="3D3D44"/>
        </w:rPr>
        <w:t>as</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2D2F34"/>
        </w:rPr>
        <w:t>r</w:t>
      </w:r>
      <w:r>
        <w:rPr>
          <w:rFonts w:ascii="Times New Roman" w:cs="Times New Roman" w:eastAsia="Times New Roman" w:hAnsi="Times New Roman"/>
          <w:sz w:val="21"/>
          <w:szCs w:val="21"/>
          <w:color w:val="4D4D54"/>
        </w:rPr>
        <w:t>equest</w:t>
      </w:r>
      <w:r>
        <w:rPr>
          <w:rFonts w:ascii="Times New Roman" w:cs="Times New Roman" w:eastAsia="Times New Roman" w:hAnsi="Times New Roman"/>
          <w:sz w:val="21"/>
          <w:szCs w:val="21"/>
          <w:color w:val="2D2F34"/>
        </w:rPr>
        <w:t>ed</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D3D44"/>
        </w:rPr>
        <w:t>during</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D3D44"/>
        </w:rPr>
        <w:t>the</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1</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5" w:right="3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1717040</wp:posOffset>
            </wp:positionH>
            <wp:positionV relativeFrom="page">
              <wp:posOffset>88900</wp:posOffset>
            </wp:positionV>
            <wp:extent cx="2871470" cy="5829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clrChange>
                        <a:clrFrom>
                          <a:srgbClr val="FFFFFF"/>
                        </a:clrFrom>
                        <a:clrTo>
                          <a:srgbClr val="FFFFFF">
                            <a:alpha val="0"/>
                          </a:srgbClr>
                        </a:clrTo>
                      </a:clrChange>
                      <a:extLst>
                        <a:ext uri="{28A0092B-C50C-407E-A947-70E740481C1C}"/>
                      </a:extLst>
                    </a:blip>
                    <a:srcRect/>
                    <a:stretch>
                      <a:fillRect/>
                    </a:stretch>
                  </pic:blipFill>
                  <pic:spPr bwMode="auto">
                    <a:xfrm>
                      <a:off x="0" y="0"/>
                      <a:ext cx="2871470" cy="5829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494B52"/>
        </w:rPr>
        <w:t xml:space="preserve">Transition </w:t>
      </w:r>
      <w:r>
        <w:rPr>
          <w:rFonts w:ascii="Times New Roman" w:cs="Times New Roman" w:eastAsia="Times New Roman" w:hAnsi="Times New Roman"/>
          <w:sz w:val="20"/>
          <w:szCs w:val="20"/>
          <w:color w:val="212126"/>
        </w:rPr>
        <w:t>P</w:t>
      </w:r>
      <w:r>
        <w:rPr>
          <w:rFonts w:ascii="Times New Roman" w:cs="Times New Roman" w:eastAsia="Times New Roman" w:hAnsi="Times New Roman"/>
          <w:sz w:val="20"/>
          <w:szCs w:val="20"/>
          <w:color w:val="494B52"/>
        </w:rPr>
        <w:t xml:space="preserve">eriod. </w:t>
      </w:r>
      <w:r>
        <w:rPr>
          <w:rFonts w:ascii="Times New Roman" w:cs="Times New Roman" w:eastAsia="Times New Roman" w:hAnsi="Times New Roman"/>
          <w:sz w:val="20"/>
          <w:szCs w:val="20"/>
          <w:color w:val="38383F"/>
        </w:rPr>
        <w:t>You</w:t>
      </w:r>
      <w:r>
        <w:rPr>
          <w:rFonts w:ascii="Times New Roman" w:cs="Times New Roman" w:eastAsia="Times New Roman" w:hAnsi="Times New Roman"/>
          <w:sz w:val="20"/>
          <w:szCs w:val="20"/>
          <w:color w:val="494B52"/>
        </w:rPr>
        <w:t xml:space="preserve"> agree that </w:t>
      </w:r>
      <w:r>
        <w:rPr>
          <w:rFonts w:ascii="Times New Roman" w:cs="Times New Roman" w:eastAsia="Times New Roman" w:hAnsi="Times New Roman"/>
          <w:sz w:val="20"/>
          <w:szCs w:val="20"/>
          <w:color w:val="38383F"/>
        </w:rPr>
        <w:t>Good Reason</w:t>
      </w:r>
      <w:r>
        <w:rPr>
          <w:rFonts w:ascii="Times New Roman" w:cs="Times New Roman" w:eastAsia="Times New Roman" w:hAnsi="Times New Roman"/>
          <w:sz w:val="20"/>
          <w:szCs w:val="20"/>
          <w:color w:val="494B52"/>
        </w:rPr>
        <w:t xml:space="preserve"> (as </w:t>
      </w:r>
      <w:r>
        <w:rPr>
          <w:rFonts w:ascii="Times New Roman" w:cs="Times New Roman" w:eastAsia="Times New Roman" w:hAnsi="Times New Roman"/>
          <w:sz w:val="20"/>
          <w:szCs w:val="20"/>
          <w:color w:val="38383F"/>
        </w:rPr>
        <w:t>defined under the</w:t>
      </w:r>
      <w:r>
        <w:rPr>
          <w:rFonts w:ascii="Times New Roman" w:cs="Times New Roman" w:eastAsia="Times New Roman" w:hAnsi="Times New Roman"/>
          <w:sz w:val="20"/>
          <w:szCs w:val="20"/>
          <w:color w:val="494B52"/>
        </w:rPr>
        <w:t xml:space="preserve"> </w:t>
      </w:r>
      <w:r>
        <w:rPr>
          <w:rFonts w:ascii="Times New Roman" w:cs="Times New Roman" w:eastAsia="Times New Roman" w:hAnsi="Times New Roman"/>
          <w:sz w:val="20"/>
          <w:szCs w:val="20"/>
          <w:color w:val="212126"/>
        </w:rPr>
        <w:t>Pla</w:t>
      </w:r>
      <w:r>
        <w:rPr>
          <w:rFonts w:ascii="Times New Roman" w:cs="Times New Roman" w:eastAsia="Times New Roman" w:hAnsi="Times New Roman"/>
          <w:sz w:val="20"/>
          <w:szCs w:val="20"/>
          <w:color w:val="494B52"/>
        </w:rPr>
        <w:t xml:space="preserve">n) shall </w:t>
      </w:r>
      <w:r>
        <w:rPr>
          <w:rFonts w:ascii="Times New Roman" w:cs="Times New Roman" w:eastAsia="Times New Roman" w:hAnsi="Times New Roman"/>
          <w:sz w:val="20"/>
          <w:szCs w:val="20"/>
          <w:color w:val="38383F"/>
        </w:rPr>
        <w:t>not</w:t>
      </w:r>
      <w:r>
        <w:rPr>
          <w:rFonts w:ascii="Times New Roman" w:cs="Times New Roman" w:eastAsia="Times New Roman" w:hAnsi="Times New Roman"/>
          <w:sz w:val="20"/>
          <w:szCs w:val="20"/>
          <w:color w:val="494B52"/>
        </w:rPr>
        <w:t xml:space="preserve"> apply </w:t>
      </w:r>
      <w:r>
        <w:rPr>
          <w:rFonts w:ascii="Times New Roman" w:cs="Times New Roman" w:eastAsia="Times New Roman" w:hAnsi="Times New Roman"/>
          <w:sz w:val="20"/>
          <w:szCs w:val="20"/>
          <w:color w:val="38383F"/>
        </w:rPr>
        <w:t>during the</w:t>
      </w:r>
      <w:r>
        <w:rPr>
          <w:rFonts w:ascii="Times New Roman" w:cs="Times New Roman" w:eastAsia="Times New Roman" w:hAnsi="Times New Roman"/>
          <w:sz w:val="20"/>
          <w:szCs w:val="20"/>
          <w:color w:val="494B52"/>
        </w:rPr>
        <w:t xml:space="preserve"> Transition </w:t>
      </w:r>
      <w:r>
        <w:rPr>
          <w:rFonts w:ascii="Times New Roman" w:cs="Times New Roman" w:eastAsia="Times New Roman" w:hAnsi="Times New Roman"/>
          <w:sz w:val="20"/>
          <w:szCs w:val="20"/>
          <w:color w:val="38383F"/>
        </w:rPr>
        <w:t>Period.</w:t>
      </w:r>
    </w:p>
    <w:p>
      <w:pPr>
        <w:spacing w:after="0" w:line="216" w:lineRule="exact"/>
        <w:rPr>
          <w:sz w:val="20"/>
          <w:szCs w:val="20"/>
          <w:color w:val="auto"/>
        </w:rPr>
      </w:pPr>
    </w:p>
    <w:p>
      <w:pPr>
        <w:ind w:left="860" w:right="100" w:firstLine="745"/>
        <w:spacing w:after="0" w:line="246" w:lineRule="auto"/>
        <w:tabs>
          <w:tab w:leader="none" w:pos="2327" w:val="left"/>
        </w:tabs>
        <w:numPr>
          <w:ilvl w:val="1"/>
          <w:numId w:val="72"/>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38383F"/>
        </w:rPr>
        <w:t xml:space="preserve">You will </w:t>
      </w:r>
      <w:r>
        <w:rPr>
          <w:rFonts w:ascii="Times New Roman" w:cs="Times New Roman" w:eastAsia="Times New Roman" w:hAnsi="Times New Roman"/>
          <w:sz w:val="21"/>
          <w:szCs w:val="21"/>
          <w:color w:val="494B52"/>
        </w:rPr>
        <w:t>continue to</w:t>
      </w:r>
      <w:r>
        <w:rPr>
          <w:rFonts w:ascii="Times New Roman" w:cs="Times New Roman" w:eastAsia="Times New Roman" w:hAnsi="Times New Roman"/>
          <w:sz w:val="21"/>
          <w:szCs w:val="21"/>
          <w:color w:val="38383F"/>
        </w:rPr>
        <w:t xml:space="preserve"> receive </w:t>
      </w:r>
      <w:r>
        <w:rPr>
          <w:rFonts w:ascii="Times New Roman" w:cs="Times New Roman" w:eastAsia="Times New Roman" w:hAnsi="Times New Roman"/>
          <w:sz w:val="21"/>
          <w:szCs w:val="21"/>
          <w:color w:val="494B52"/>
        </w:rPr>
        <w:t>your current base</w:t>
      </w:r>
      <w:r>
        <w:rPr>
          <w:rFonts w:ascii="Times New Roman" w:cs="Times New Roman" w:eastAsia="Times New Roman" w:hAnsi="Times New Roman"/>
          <w:sz w:val="21"/>
          <w:szCs w:val="21"/>
          <w:color w:val="38383F"/>
        </w:rPr>
        <w:t xml:space="preserve"> salary and be </w:t>
      </w:r>
      <w:r>
        <w:rPr>
          <w:rFonts w:ascii="Times New Roman" w:cs="Times New Roman" w:eastAsia="Times New Roman" w:hAnsi="Times New Roman"/>
          <w:sz w:val="21"/>
          <w:szCs w:val="21"/>
          <w:color w:val="494B52"/>
        </w:rPr>
        <w:t>e</w:t>
      </w:r>
      <w:r>
        <w:rPr>
          <w:rFonts w:ascii="Times New Roman" w:cs="Times New Roman" w:eastAsia="Times New Roman" w:hAnsi="Times New Roman"/>
          <w:sz w:val="21"/>
          <w:szCs w:val="21"/>
          <w:color w:val="212126"/>
        </w:rPr>
        <w:t>l</w:t>
      </w:r>
      <w:r>
        <w:rPr>
          <w:rFonts w:ascii="Times New Roman" w:cs="Times New Roman" w:eastAsia="Times New Roman" w:hAnsi="Times New Roman"/>
          <w:sz w:val="21"/>
          <w:szCs w:val="21"/>
          <w:color w:val="494B52"/>
        </w:rPr>
        <w:t>igib</w:t>
      </w:r>
      <w:r>
        <w:rPr>
          <w:rFonts w:ascii="Times New Roman" w:cs="Times New Roman" w:eastAsia="Times New Roman" w:hAnsi="Times New Roman"/>
          <w:sz w:val="21"/>
          <w:szCs w:val="21"/>
          <w:color w:val="212126"/>
        </w:rPr>
        <w:t>l</w:t>
      </w:r>
      <w:r>
        <w:rPr>
          <w:rFonts w:ascii="Times New Roman" w:cs="Times New Roman" w:eastAsia="Times New Roman" w:hAnsi="Times New Roman"/>
          <w:sz w:val="21"/>
          <w:szCs w:val="21"/>
          <w:color w:val="494B52"/>
        </w:rPr>
        <w:t>e for</w:t>
      </w:r>
      <w:r>
        <w:rPr>
          <w:rFonts w:ascii="Times New Roman" w:cs="Times New Roman" w:eastAsia="Times New Roman" w:hAnsi="Times New Roman"/>
          <w:sz w:val="21"/>
          <w:szCs w:val="21"/>
          <w:color w:val="38383F"/>
        </w:rPr>
        <w:t xml:space="preserve"> benefits, </w:t>
      </w:r>
      <w:r>
        <w:rPr>
          <w:rFonts w:ascii="Times New Roman" w:cs="Times New Roman" w:eastAsia="Times New Roman" w:hAnsi="Times New Roman"/>
          <w:sz w:val="21"/>
          <w:szCs w:val="21"/>
          <w:color w:val="494B52"/>
        </w:rPr>
        <w:t>subject to</w:t>
      </w:r>
      <w:r>
        <w:rPr>
          <w:rFonts w:ascii="Times New Roman" w:cs="Times New Roman" w:eastAsia="Times New Roman" w:hAnsi="Times New Roman"/>
          <w:sz w:val="21"/>
          <w:szCs w:val="21"/>
          <w:color w:val="38383F"/>
        </w:rPr>
        <w:t xml:space="preserve"> the </w:t>
      </w:r>
      <w:r>
        <w:rPr>
          <w:rFonts w:ascii="Times New Roman" w:cs="Times New Roman" w:eastAsia="Times New Roman" w:hAnsi="Times New Roman"/>
          <w:sz w:val="21"/>
          <w:szCs w:val="21"/>
          <w:color w:val="494B52"/>
        </w:rPr>
        <w:t>terms</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 xml:space="preserve">of any applicable </w:t>
      </w:r>
      <w:r>
        <w:rPr>
          <w:rFonts w:ascii="Times New Roman" w:cs="Times New Roman" w:eastAsia="Times New Roman" w:hAnsi="Times New Roman"/>
          <w:sz w:val="21"/>
          <w:szCs w:val="21"/>
          <w:color w:val="38383F"/>
        </w:rPr>
        <w:t>benefits</w:t>
      </w:r>
      <w:r>
        <w:rPr>
          <w:rFonts w:ascii="Times New Roman" w:cs="Times New Roman" w:eastAsia="Times New Roman" w:hAnsi="Times New Roman"/>
          <w:sz w:val="21"/>
          <w:szCs w:val="21"/>
          <w:color w:val="494B52"/>
        </w:rPr>
        <w:t xml:space="preserve"> plan, </w:t>
      </w:r>
      <w:r>
        <w:rPr>
          <w:rFonts w:ascii="Times New Roman" w:cs="Times New Roman" w:eastAsia="Times New Roman" w:hAnsi="Times New Roman"/>
          <w:sz w:val="21"/>
          <w:szCs w:val="21"/>
          <w:color w:val="38383F"/>
        </w:rPr>
        <w:t>during the</w:t>
      </w:r>
      <w:r>
        <w:rPr>
          <w:rFonts w:ascii="Times New Roman" w:cs="Times New Roman" w:eastAsia="Times New Roman" w:hAnsi="Times New Roman"/>
          <w:sz w:val="21"/>
          <w:szCs w:val="21"/>
          <w:color w:val="494B52"/>
        </w:rPr>
        <w:t xml:space="preserve"> Transi</w:t>
      </w:r>
      <w:r>
        <w:rPr>
          <w:rFonts w:ascii="Times New Roman" w:cs="Times New Roman" w:eastAsia="Times New Roman" w:hAnsi="Times New Roman"/>
          <w:sz w:val="21"/>
          <w:szCs w:val="21"/>
          <w:color w:val="212126"/>
        </w:rPr>
        <w:t>t</w:t>
      </w:r>
      <w:r>
        <w:rPr>
          <w:rFonts w:ascii="Times New Roman" w:cs="Times New Roman" w:eastAsia="Times New Roman" w:hAnsi="Times New Roman"/>
          <w:sz w:val="21"/>
          <w:szCs w:val="21"/>
          <w:color w:val="494B52"/>
        </w:rPr>
        <w:t xml:space="preserve">ion </w:t>
      </w:r>
      <w:r>
        <w:rPr>
          <w:rFonts w:ascii="Times New Roman" w:cs="Times New Roman" w:eastAsia="Times New Roman" w:hAnsi="Times New Roman"/>
          <w:sz w:val="21"/>
          <w:szCs w:val="21"/>
          <w:color w:val="38383F"/>
        </w:rPr>
        <w:t>Period. You</w:t>
      </w:r>
      <w:r>
        <w:rPr>
          <w:rFonts w:ascii="Times New Roman" w:cs="Times New Roman" w:eastAsia="Times New Roman" w:hAnsi="Times New Roman"/>
          <w:sz w:val="21"/>
          <w:szCs w:val="21"/>
          <w:color w:val="494B52"/>
        </w:rPr>
        <w:t xml:space="preserve"> will receive your full 2022 bonus in the amount of $313,000.00 </w:t>
      </w:r>
      <w:r>
        <w:rPr>
          <w:rFonts w:ascii="Times New Roman" w:cs="Times New Roman" w:eastAsia="Times New Roman" w:hAnsi="Times New Roman"/>
          <w:sz w:val="21"/>
          <w:szCs w:val="21"/>
          <w:color w:val="38383F"/>
        </w:rPr>
        <w:t>in accordance with</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bonus language in</w:t>
      </w:r>
      <w:r>
        <w:rPr>
          <w:rFonts w:ascii="Times New Roman" w:cs="Times New Roman" w:eastAsia="Times New Roman" w:hAnsi="Times New Roman"/>
          <w:sz w:val="21"/>
          <w:szCs w:val="21"/>
          <w:color w:val="494B52"/>
        </w:rPr>
        <w:t xml:space="preserve"> Section 6 of the Employment Agreement dated July </w:t>
      </w:r>
      <w:r>
        <w:rPr>
          <w:rFonts w:ascii="Times New Roman" w:cs="Times New Roman" w:eastAsia="Times New Roman" w:hAnsi="Times New Roman"/>
          <w:sz w:val="21"/>
          <w:szCs w:val="21"/>
          <w:color w:val="38383F"/>
        </w:rPr>
        <w:t>19</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94B52"/>
        </w:rPr>
        <w:t xml:space="preserve"> 2021 (the "Employment Agreement") and subsequent April 10, 2022 promotion letter. The bonus, will </w:t>
      </w:r>
      <w:r>
        <w:rPr>
          <w:rFonts w:ascii="Times New Roman" w:cs="Times New Roman" w:eastAsia="Times New Roman" w:hAnsi="Times New Roman"/>
          <w:sz w:val="21"/>
          <w:szCs w:val="21"/>
          <w:color w:val="38383F"/>
        </w:rPr>
        <w:t>be</w:t>
      </w:r>
      <w:r>
        <w:rPr>
          <w:rFonts w:ascii="Times New Roman" w:cs="Times New Roman" w:eastAsia="Times New Roman" w:hAnsi="Times New Roman"/>
          <w:sz w:val="21"/>
          <w:szCs w:val="21"/>
          <w:color w:val="494B52"/>
        </w:rPr>
        <w:t xml:space="preserve"> paid no </w:t>
      </w:r>
      <w:r>
        <w:rPr>
          <w:rFonts w:ascii="Times New Roman" w:cs="Times New Roman" w:eastAsia="Times New Roman" w:hAnsi="Times New Roman"/>
          <w:sz w:val="21"/>
          <w:szCs w:val="21"/>
          <w:color w:val="38383F"/>
        </w:rPr>
        <w:t>later than</w:t>
      </w:r>
      <w:r>
        <w:rPr>
          <w:rFonts w:ascii="Times New Roman" w:cs="Times New Roman" w:eastAsia="Times New Roman" w:hAnsi="Times New Roman"/>
          <w:sz w:val="21"/>
          <w:szCs w:val="21"/>
          <w:color w:val="494B52"/>
        </w:rPr>
        <w:t xml:space="preserve"> March 15</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94B52"/>
        </w:rPr>
        <w:t xml:space="preserve"> 2023. You </w:t>
      </w:r>
      <w:r>
        <w:rPr>
          <w:rFonts w:ascii="Times New Roman" w:cs="Times New Roman" w:eastAsia="Times New Roman" w:hAnsi="Times New Roman"/>
          <w:sz w:val="21"/>
          <w:szCs w:val="21"/>
          <w:color w:val="38383F"/>
        </w:rPr>
        <w:t>will</w:t>
      </w:r>
      <w:r>
        <w:rPr>
          <w:rFonts w:ascii="Times New Roman" w:cs="Times New Roman" w:eastAsia="Times New Roman" w:hAnsi="Times New Roman"/>
          <w:sz w:val="21"/>
          <w:szCs w:val="21"/>
          <w:color w:val="494B52"/>
        </w:rPr>
        <w:t xml:space="preserve"> also </w:t>
      </w:r>
      <w:r>
        <w:rPr>
          <w:rFonts w:ascii="Times New Roman" w:cs="Times New Roman" w:eastAsia="Times New Roman" w:hAnsi="Times New Roman"/>
          <w:sz w:val="21"/>
          <w:szCs w:val="21"/>
          <w:color w:val="38383F"/>
        </w:rPr>
        <w:t>continue</w:t>
      </w:r>
      <w:r>
        <w:rPr>
          <w:rFonts w:ascii="Times New Roman" w:cs="Times New Roman" w:eastAsia="Times New Roman" w:hAnsi="Times New Roman"/>
          <w:sz w:val="21"/>
          <w:szCs w:val="21"/>
          <w:color w:val="494B52"/>
        </w:rPr>
        <w:t xml:space="preserve"> to vest </w:t>
      </w:r>
      <w:r>
        <w:rPr>
          <w:rFonts w:ascii="Times New Roman" w:cs="Times New Roman" w:eastAsia="Times New Roman" w:hAnsi="Times New Roman"/>
          <w:sz w:val="21"/>
          <w:szCs w:val="21"/>
          <w:color w:val="38383F"/>
        </w:rPr>
        <w:t>in</w:t>
      </w:r>
      <w:r>
        <w:rPr>
          <w:rFonts w:ascii="Times New Roman" w:cs="Times New Roman" w:eastAsia="Times New Roman" w:hAnsi="Times New Roman"/>
          <w:sz w:val="21"/>
          <w:szCs w:val="21"/>
          <w:color w:val="494B52"/>
        </w:rPr>
        <w:t xml:space="preserve"> your </w:t>
      </w:r>
      <w:r>
        <w:rPr>
          <w:rFonts w:ascii="Times New Roman" w:cs="Times New Roman" w:eastAsia="Times New Roman" w:hAnsi="Times New Roman"/>
          <w:sz w:val="21"/>
          <w:szCs w:val="21"/>
          <w:color w:val="38383F"/>
        </w:rPr>
        <w:t>outstanding,</w:t>
      </w:r>
      <w:r>
        <w:rPr>
          <w:rFonts w:ascii="Times New Roman" w:cs="Times New Roman" w:eastAsia="Times New Roman" w:hAnsi="Times New Roman"/>
          <w:sz w:val="21"/>
          <w:szCs w:val="21"/>
          <w:color w:val="494B52"/>
        </w:rPr>
        <w:t xml:space="preserve"> unvested equity awar</w:t>
      </w:r>
      <w:r>
        <w:rPr>
          <w:rFonts w:ascii="Times New Roman" w:cs="Times New Roman" w:eastAsia="Times New Roman" w:hAnsi="Times New Roman"/>
          <w:sz w:val="21"/>
          <w:szCs w:val="21"/>
          <w:color w:val="212126"/>
        </w:rPr>
        <w:t>d</w:t>
      </w:r>
      <w:r>
        <w:rPr>
          <w:rFonts w:ascii="Times New Roman" w:cs="Times New Roman" w:eastAsia="Times New Roman" w:hAnsi="Times New Roman"/>
          <w:sz w:val="21"/>
          <w:szCs w:val="21"/>
          <w:color w:val="494B52"/>
        </w:rPr>
        <w:t xml:space="preserve">s </w:t>
      </w:r>
      <w:r>
        <w:rPr>
          <w:rFonts w:ascii="Times New Roman" w:cs="Times New Roman" w:eastAsia="Times New Roman" w:hAnsi="Times New Roman"/>
          <w:sz w:val="21"/>
          <w:szCs w:val="21"/>
          <w:color w:val="38383F"/>
        </w:rPr>
        <w:t>during</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Transition</w:t>
      </w:r>
      <w:r>
        <w:rPr>
          <w:rFonts w:ascii="Times New Roman" w:cs="Times New Roman" w:eastAsia="Times New Roman" w:hAnsi="Times New Roman"/>
          <w:sz w:val="21"/>
          <w:szCs w:val="21"/>
          <w:color w:val="494B52"/>
        </w:rPr>
        <w:t xml:space="preserve"> </w:t>
      </w:r>
      <w:r>
        <w:rPr>
          <w:rFonts w:ascii="Times New Roman" w:cs="Times New Roman" w:eastAsia="Times New Roman" w:hAnsi="Times New Roman"/>
          <w:sz w:val="21"/>
          <w:szCs w:val="21"/>
          <w:color w:val="38383F"/>
        </w:rPr>
        <w:t xml:space="preserve">Period, </w:t>
      </w:r>
      <w:r>
        <w:rPr>
          <w:rFonts w:ascii="Times New Roman" w:cs="Times New Roman" w:eastAsia="Times New Roman" w:hAnsi="Times New Roman"/>
          <w:sz w:val="21"/>
          <w:szCs w:val="21"/>
          <w:color w:val="494B52"/>
        </w:rPr>
        <w:t>subject to the terms of the applicable stock option agreement or restricted stock unit agreement and</w:t>
      </w:r>
      <w:r>
        <w:rPr>
          <w:rFonts w:ascii="Times New Roman" w:cs="Times New Roman" w:eastAsia="Times New Roman" w:hAnsi="Times New Roman"/>
          <w:sz w:val="21"/>
          <w:szCs w:val="21"/>
          <w:color w:val="38383F"/>
        </w:rPr>
        <w:t xml:space="preserve"> equity </w:t>
      </w:r>
      <w:r>
        <w:rPr>
          <w:rFonts w:ascii="Times New Roman" w:cs="Times New Roman" w:eastAsia="Times New Roman" w:hAnsi="Times New Roman"/>
          <w:sz w:val="21"/>
          <w:szCs w:val="21"/>
          <w:color w:val="494B52"/>
        </w:rPr>
        <w:t xml:space="preserve">incentive plan(s) (collectively, the "Equity </w:t>
      </w:r>
      <w:r>
        <w:rPr>
          <w:rFonts w:ascii="Times New Roman" w:cs="Times New Roman" w:eastAsia="Times New Roman" w:hAnsi="Times New Roman"/>
          <w:sz w:val="21"/>
          <w:szCs w:val="21"/>
          <w:color w:val="212126"/>
        </w:rPr>
        <w:t>Docu</w:t>
      </w:r>
      <w:r>
        <w:rPr>
          <w:rFonts w:ascii="Times New Roman" w:cs="Times New Roman" w:eastAsia="Times New Roman" w:hAnsi="Times New Roman"/>
          <w:sz w:val="21"/>
          <w:szCs w:val="21"/>
          <w:color w:val="494B52"/>
        </w:rPr>
        <w:t>ments").</w:t>
      </w:r>
    </w:p>
    <w:p>
      <w:pPr>
        <w:spacing w:after="0" w:line="158" w:lineRule="exact"/>
        <w:rPr>
          <w:rFonts w:ascii="Times New Roman" w:cs="Times New Roman" w:eastAsia="Times New Roman" w:hAnsi="Times New Roman"/>
          <w:sz w:val="21"/>
          <w:szCs w:val="21"/>
          <w:color w:val="505259"/>
        </w:rPr>
      </w:pPr>
    </w:p>
    <w:p>
      <w:pPr>
        <w:ind w:left="880" w:hanging="757"/>
        <w:spacing w:after="0"/>
        <w:tabs>
          <w:tab w:leader="none" w:pos="880" w:val="left"/>
        </w:tabs>
        <w:numPr>
          <w:ilvl w:val="0"/>
          <w:numId w:val="73"/>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2"/>
          <w:szCs w:val="22"/>
          <w:b w:val="1"/>
          <w:bCs w:val="1"/>
          <w:color w:val="38383F"/>
        </w:rPr>
        <w:t xml:space="preserve">Ending </w:t>
      </w:r>
      <w:r>
        <w:rPr>
          <w:rFonts w:ascii="Times New Roman" w:cs="Times New Roman" w:eastAsia="Times New Roman" w:hAnsi="Times New Roman"/>
          <w:sz w:val="22"/>
          <w:szCs w:val="22"/>
          <w:b w:val="1"/>
          <w:bCs w:val="1"/>
          <w:color w:val="212126"/>
        </w:rPr>
        <w:t>of</w:t>
      </w:r>
      <w:r>
        <w:rPr>
          <w:rFonts w:ascii="Times New Roman" w:cs="Times New Roman" w:eastAsia="Times New Roman" w:hAnsi="Times New Roman"/>
          <w:sz w:val="22"/>
          <w:szCs w:val="22"/>
          <w:b w:val="1"/>
          <w:bCs w:val="1"/>
          <w:color w:val="38383F"/>
        </w:rPr>
        <w:t xml:space="preserve"> Employment</w:t>
      </w:r>
    </w:p>
    <w:p>
      <w:pPr>
        <w:spacing w:after="0" w:line="218" w:lineRule="exact"/>
        <w:rPr>
          <w:rFonts w:ascii="Times New Roman" w:cs="Times New Roman" w:eastAsia="Times New Roman" w:hAnsi="Times New Roman"/>
          <w:sz w:val="21"/>
          <w:szCs w:val="21"/>
          <w:b w:val="1"/>
          <w:bCs w:val="1"/>
          <w:color w:val="1F2126"/>
        </w:rPr>
      </w:pPr>
    </w:p>
    <w:p>
      <w:pPr>
        <w:ind w:left="880" w:right="40" w:firstLine="740"/>
        <w:spacing w:after="0" w:line="244" w:lineRule="auto"/>
        <w:tabs>
          <w:tab w:leader="none" w:pos="2346" w:val="left"/>
        </w:tabs>
        <w:numPr>
          <w:ilvl w:val="2"/>
          <w:numId w:val="73"/>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94B52"/>
        </w:rPr>
        <w:t xml:space="preserve">Your </w:t>
      </w:r>
      <w:r>
        <w:rPr>
          <w:rFonts w:ascii="Times New Roman" w:cs="Times New Roman" w:eastAsia="Times New Roman" w:hAnsi="Times New Roman"/>
          <w:sz w:val="21"/>
          <w:szCs w:val="21"/>
          <w:color w:val="38383F"/>
        </w:rPr>
        <w:t>employment with</w:t>
      </w:r>
      <w:r>
        <w:rPr>
          <w:rFonts w:ascii="Times New Roman" w:cs="Times New Roman" w:eastAsia="Times New Roman" w:hAnsi="Times New Roman"/>
          <w:sz w:val="21"/>
          <w:szCs w:val="21"/>
          <w:color w:val="494B52"/>
        </w:rPr>
        <w:t xml:space="preserve"> the Company will end </w:t>
      </w:r>
      <w:r>
        <w:rPr>
          <w:rFonts w:ascii="Times New Roman" w:cs="Times New Roman" w:eastAsia="Times New Roman" w:hAnsi="Times New Roman"/>
          <w:sz w:val="21"/>
          <w:szCs w:val="21"/>
          <w:color w:val="38383F"/>
        </w:rPr>
        <w:t>on</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Date</w:t>
      </w:r>
      <w:r>
        <w:rPr>
          <w:rFonts w:ascii="Times New Roman" w:cs="Times New Roman" w:eastAsia="Times New Roman" w:hAnsi="Times New Roman"/>
          <w:sz w:val="21"/>
          <w:szCs w:val="21"/>
          <w:color w:val="494B52"/>
        </w:rPr>
        <w:t xml:space="preserve"> of Termination</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94B52"/>
        </w:rPr>
        <w:t xml:space="preserve"> which will be no </w:t>
      </w:r>
      <w:r>
        <w:rPr>
          <w:rFonts w:ascii="Times New Roman" w:cs="Times New Roman" w:eastAsia="Times New Roman" w:hAnsi="Times New Roman"/>
          <w:sz w:val="21"/>
          <w:szCs w:val="21"/>
          <w:color w:val="38383F"/>
        </w:rPr>
        <w:t>later</w:t>
      </w:r>
      <w:r>
        <w:rPr>
          <w:rFonts w:ascii="Times New Roman" w:cs="Times New Roman" w:eastAsia="Times New Roman" w:hAnsi="Times New Roman"/>
          <w:sz w:val="21"/>
          <w:szCs w:val="21"/>
          <w:color w:val="494B52"/>
        </w:rPr>
        <w:t xml:space="preserve"> than February 28, 2023. Regardless of whether you enter into this Agreement, </w:t>
      </w:r>
      <w:r>
        <w:rPr>
          <w:rFonts w:ascii="Times New Roman" w:cs="Times New Roman" w:eastAsia="Times New Roman" w:hAnsi="Times New Roman"/>
          <w:sz w:val="21"/>
          <w:szCs w:val="21"/>
          <w:color w:val="38383F"/>
        </w:rPr>
        <w:t>the</w:t>
      </w:r>
      <w:r>
        <w:rPr>
          <w:rFonts w:ascii="Times New Roman" w:cs="Times New Roman" w:eastAsia="Times New Roman" w:hAnsi="Times New Roman"/>
          <w:sz w:val="21"/>
          <w:szCs w:val="21"/>
          <w:color w:val="494B52"/>
        </w:rPr>
        <w:t xml:space="preserve"> Company will provide you with the following "Accrued </w:t>
      </w:r>
      <w:r>
        <w:rPr>
          <w:rFonts w:ascii="Times New Roman" w:cs="Times New Roman" w:eastAsia="Times New Roman" w:hAnsi="Times New Roman"/>
          <w:sz w:val="21"/>
          <w:szCs w:val="21"/>
          <w:color w:val="38383F"/>
        </w:rPr>
        <w:t>Obligations"</w:t>
      </w:r>
      <w:r>
        <w:rPr>
          <w:rFonts w:ascii="Times New Roman" w:cs="Times New Roman" w:eastAsia="Times New Roman" w:hAnsi="Times New Roman"/>
          <w:sz w:val="21"/>
          <w:szCs w:val="21"/>
          <w:color w:val="494B52"/>
        </w:rPr>
        <w:t xml:space="preserve"> </w:t>
      </w:r>
      <w:r>
        <w:rPr>
          <w:rFonts w:ascii="Times New Roman" w:cs="Times New Roman" w:eastAsia="Times New Roman" w:hAnsi="Times New Roman"/>
          <w:sz w:val="21"/>
          <w:szCs w:val="21"/>
          <w:color w:val="212126"/>
        </w:rPr>
        <w:t>in</w:t>
      </w:r>
      <w:r>
        <w:rPr>
          <w:rFonts w:ascii="Times New Roman" w:cs="Times New Roman" w:eastAsia="Times New Roman" w:hAnsi="Times New Roman"/>
          <w:sz w:val="21"/>
          <w:szCs w:val="21"/>
          <w:color w:val="494B52"/>
        </w:rPr>
        <w:t xml:space="preserve"> connection </w:t>
      </w:r>
      <w:r>
        <w:rPr>
          <w:rFonts w:ascii="Times New Roman" w:cs="Times New Roman" w:eastAsia="Times New Roman" w:hAnsi="Times New Roman"/>
          <w:sz w:val="21"/>
          <w:szCs w:val="21"/>
          <w:color w:val="38383F"/>
        </w:rPr>
        <w:t>with</w:t>
      </w:r>
      <w:r>
        <w:rPr>
          <w:rFonts w:ascii="Times New Roman" w:cs="Times New Roman" w:eastAsia="Times New Roman" w:hAnsi="Times New Roman"/>
          <w:sz w:val="21"/>
          <w:szCs w:val="21"/>
          <w:color w:val="494B52"/>
        </w:rPr>
        <w:t xml:space="preserve"> the ending </w:t>
      </w:r>
      <w:r>
        <w:rPr>
          <w:rFonts w:ascii="Times New Roman" w:cs="Times New Roman" w:eastAsia="Times New Roman" w:hAnsi="Times New Roman"/>
          <w:sz w:val="21"/>
          <w:szCs w:val="21"/>
          <w:color w:val="38383F"/>
        </w:rPr>
        <w:t>of</w:t>
      </w:r>
      <w:r>
        <w:rPr>
          <w:rFonts w:ascii="Times New Roman" w:cs="Times New Roman" w:eastAsia="Times New Roman" w:hAnsi="Times New Roman"/>
          <w:sz w:val="21"/>
          <w:szCs w:val="21"/>
          <w:color w:val="494B52"/>
        </w:rPr>
        <w:t xml:space="preserve"> your employment: (i) your base salary </w:t>
      </w:r>
      <w:r>
        <w:rPr>
          <w:rFonts w:ascii="Times New Roman" w:cs="Times New Roman" w:eastAsia="Times New Roman" w:hAnsi="Times New Roman"/>
          <w:sz w:val="21"/>
          <w:szCs w:val="21"/>
          <w:color w:val="38383F"/>
        </w:rPr>
        <w:t>through</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 xml:space="preserve">Date </w:t>
      </w:r>
      <w:r>
        <w:rPr>
          <w:rFonts w:ascii="Times New Roman" w:cs="Times New Roman" w:eastAsia="Times New Roman" w:hAnsi="Times New Roman"/>
          <w:sz w:val="21"/>
          <w:szCs w:val="21"/>
          <w:color w:val="494B52"/>
        </w:rPr>
        <w:t>of Termination</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(ii) an amount equal to the value of your accrued unused paid time off days through the</w:t>
      </w:r>
      <w:r>
        <w:rPr>
          <w:rFonts w:ascii="Times New Roman" w:cs="Times New Roman" w:eastAsia="Times New Roman" w:hAnsi="Times New Roman"/>
          <w:sz w:val="21"/>
          <w:szCs w:val="21"/>
          <w:color w:val="38383F"/>
        </w:rPr>
        <w:t xml:space="preserve"> Date of Termination, </w:t>
      </w:r>
      <w:r>
        <w:rPr>
          <w:rFonts w:ascii="Times New Roman" w:cs="Times New Roman" w:eastAsia="Times New Roman" w:hAnsi="Times New Roman"/>
          <w:sz w:val="21"/>
          <w:szCs w:val="21"/>
          <w:color w:val="494B52"/>
        </w:rPr>
        <w:t>and (iii) the</w:t>
      </w:r>
      <w:r>
        <w:rPr>
          <w:rFonts w:ascii="Times New Roman" w:cs="Times New Roman" w:eastAsia="Times New Roman" w:hAnsi="Times New Roman"/>
          <w:sz w:val="21"/>
          <w:szCs w:val="21"/>
          <w:color w:val="38383F"/>
        </w:rPr>
        <w:t xml:space="preserve"> amount </w:t>
      </w:r>
      <w:r>
        <w:rPr>
          <w:rFonts w:ascii="Times New Roman" w:cs="Times New Roman" w:eastAsia="Times New Roman" w:hAnsi="Times New Roman"/>
          <w:sz w:val="21"/>
          <w:szCs w:val="21"/>
          <w:color w:val="494B52"/>
        </w:rPr>
        <w:t>of any</w:t>
      </w:r>
      <w:r>
        <w:rPr>
          <w:rFonts w:ascii="Times New Roman" w:cs="Times New Roman" w:eastAsia="Times New Roman" w:hAnsi="Times New Roman"/>
          <w:sz w:val="21"/>
          <w:szCs w:val="21"/>
          <w:color w:val="38383F"/>
        </w:rPr>
        <w:t xml:space="preserve"> business expenses properly incurred by </w:t>
      </w:r>
      <w:r>
        <w:rPr>
          <w:rFonts w:ascii="Times New Roman" w:cs="Times New Roman" w:eastAsia="Times New Roman" w:hAnsi="Times New Roman"/>
          <w:sz w:val="21"/>
          <w:szCs w:val="21"/>
          <w:color w:val="494B52"/>
        </w:rPr>
        <w:t>you on</w:t>
      </w:r>
      <w:r>
        <w:rPr>
          <w:rFonts w:ascii="Times New Roman" w:cs="Times New Roman" w:eastAsia="Times New Roman" w:hAnsi="Times New Roman"/>
          <w:sz w:val="21"/>
          <w:szCs w:val="21"/>
          <w:color w:val="38383F"/>
        </w:rPr>
        <w:t xml:space="preserve"> behalf </w:t>
      </w:r>
      <w:r>
        <w:rPr>
          <w:rFonts w:ascii="Times New Roman" w:cs="Times New Roman" w:eastAsia="Times New Roman" w:hAnsi="Times New Roman"/>
          <w:sz w:val="21"/>
          <w:szCs w:val="21"/>
          <w:color w:val="494B52"/>
        </w:rPr>
        <w:t>of</w:t>
      </w:r>
      <w:r>
        <w:rPr>
          <w:rFonts w:ascii="Times New Roman" w:cs="Times New Roman" w:eastAsia="Times New Roman" w:hAnsi="Times New Roman"/>
          <w:sz w:val="21"/>
          <w:szCs w:val="21"/>
          <w:color w:val="38383F"/>
        </w:rPr>
        <w:t xml:space="preserve"> the </w:t>
      </w:r>
      <w:r>
        <w:rPr>
          <w:rFonts w:ascii="Times New Roman" w:cs="Times New Roman" w:eastAsia="Times New Roman" w:hAnsi="Times New Roman"/>
          <w:sz w:val="21"/>
          <w:szCs w:val="21"/>
          <w:color w:val="494B52"/>
        </w:rPr>
        <w:t>Company</w:t>
      </w:r>
      <w:r>
        <w:rPr>
          <w:rFonts w:ascii="Times New Roman" w:cs="Times New Roman" w:eastAsia="Times New Roman" w:hAnsi="Times New Roman"/>
          <w:sz w:val="21"/>
          <w:szCs w:val="21"/>
          <w:color w:val="38383F"/>
        </w:rPr>
        <w:t xml:space="preserve"> prior </w:t>
      </w:r>
      <w:r>
        <w:rPr>
          <w:rFonts w:ascii="Times New Roman" w:cs="Times New Roman" w:eastAsia="Times New Roman" w:hAnsi="Times New Roman"/>
          <w:sz w:val="21"/>
          <w:szCs w:val="21"/>
          <w:color w:val="494B52"/>
        </w:rPr>
        <w:t>to</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 xml:space="preserve">the </w:t>
      </w:r>
      <w:r>
        <w:rPr>
          <w:rFonts w:ascii="Times New Roman" w:cs="Times New Roman" w:eastAsia="Times New Roman" w:hAnsi="Times New Roman"/>
          <w:sz w:val="21"/>
          <w:szCs w:val="21"/>
          <w:color w:val="38383F"/>
        </w:rPr>
        <w:t>Date of Termination</w:t>
      </w:r>
      <w:r>
        <w:rPr>
          <w:rFonts w:ascii="Times New Roman" w:cs="Times New Roman" w:eastAsia="Times New Roman" w:hAnsi="Times New Roman"/>
          <w:sz w:val="21"/>
          <w:szCs w:val="21"/>
          <w:color w:val="494B52"/>
        </w:rPr>
        <w:t xml:space="preserve"> and not yet reimbursed, if any. </w:t>
      </w:r>
      <w:r>
        <w:rPr>
          <w:rFonts w:ascii="Times New Roman" w:cs="Times New Roman" w:eastAsia="Times New Roman" w:hAnsi="Times New Roman"/>
          <w:sz w:val="21"/>
          <w:szCs w:val="21"/>
          <w:color w:val="38383F"/>
        </w:rPr>
        <w:t>You</w:t>
      </w:r>
      <w:r>
        <w:rPr>
          <w:rFonts w:ascii="Times New Roman" w:cs="Times New Roman" w:eastAsia="Times New Roman" w:hAnsi="Times New Roman"/>
          <w:sz w:val="21"/>
          <w:szCs w:val="21"/>
          <w:color w:val="494B52"/>
        </w:rPr>
        <w:t xml:space="preserve"> agree that you will submit your final </w:t>
      </w:r>
      <w:r>
        <w:rPr>
          <w:rFonts w:ascii="Times New Roman" w:cs="Times New Roman" w:eastAsia="Times New Roman" w:hAnsi="Times New Roman"/>
          <w:sz w:val="21"/>
          <w:szCs w:val="21"/>
          <w:color w:val="38383F"/>
        </w:rPr>
        <w:t>documented</w:t>
      </w:r>
      <w:r>
        <w:rPr>
          <w:rFonts w:ascii="Times New Roman" w:cs="Times New Roman" w:eastAsia="Times New Roman" w:hAnsi="Times New Roman"/>
          <w:sz w:val="21"/>
          <w:szCs w:val="21"/>
          <w:color w:val="494B52"/>
        </w:rPr>
        <w:t xml:space="preserve"> expense </w:t>
      </w:r>
      <w:r>
        <w:rPr>
          <w:rFonts w:ascii="Times New Roman" w:cs="Times New Roman" w:eastAsia="Times New Roman" w:hAnsi="Times New Roman"/>
          <w:sz w:val="21"/>
          <w:szCs w:val="21"/>
          <w:color w:val="38383F"/>
        </w:rPr>
        <w:t xml:space="preserve">reimbursement </w:t>
      </w:r>
      <w:r>
        <w:rPr>
          <w:rFonts w:ascii="Times New Roman" w:cs="Times New Roman" w:eastAsia="Times New Roman" w:hAnsi="Times New Roman"/>
          <w:sz w:val="21"/>
          <w:szCs w:val="21"/>
          <w:color w:val="494B52"/>
        </w:rPr>
        <w:t>statement reflecting all unreimbursed business</w:t>
      </w:r>
      <w:r>
        <w:rPr>
          <w:rFonts w:ascii="Times New Roman" w:cs="Times New Roman" w:eastAsia="Times New Roman" w:hAnsi="Times New Roman"/>
          <w:sz w:val="21"/>
          <w:szCs w:val="21"/>
          <w:color w:val="38383F"/>
        </w:rPr>
        <w:t xml:space="preserve"> expenses no later than </w:t>
      </w:r>
      <w:r>
        <w:rPr>
          <w:rFonts w:ascii="Times New Roman" w:cs="Times New Roman" w:eastAsia="Times New Roman" w:hAnsi="Times New Roman"/>
          <w:sz w:val="21"/>
          <w:szCs w:val="21"/>
          <w:color w:val="212126"/>
        </w:rPr>
        <w:t>10</w:t>
      </w:r>
      <w:r>
        <w:rPr>
          <w:rFonts w:ascii="Times New Roman" w:cs="Times New Roman" w:eastAsia="Times New Roman" w:hAnsi="Times New Roman"/>
          <w:sz w:val="21"/>
          <w:szCs w:val="21"/>
          <w:color w:val="38383F"/>
        </w:rPr>
        <w:t xml:space="preserve"> calendar </w:t>
      </w:r>
      <w:r>
        <w:rPr>
          <w:rFonts w:ascii="Times New Roman" w:cs="Times New Roman" w:eastAsia="Times New Roman" w:hAnsi="Times New Roman"/>
          <w:sz w:val="21"/>
          <w:szCs w:val="21"/>
          <w:color w:val="494B52"/>
        </w:rPr>
        <w:t>days after the</w:t>
      </w:r>
      <w:r>
        <w:rPr>
          <w:rFonts w:ascii="Times New Roman" w:cs="Times New Roman" w:eastAsia="Times New Roman" w:hAnsi="Times New Roman"/>
          <w:sz w:val="21"/>
          <w:szCs w:val="21"/>
          <w:color w:val="38383F"/>
        </w:rPr>
        <w:t xml:space="preserve"> Date </w:t>
      </w:r>
      <w:r>
        <w:rPr>
          <w:rFonts w:ascii="Times New Roman" w:cs="Times New Roman" w:eastAsia="Times New Roman" w:hAnsi="Times New Roman"/>
          <w:sz w:val="21"/>
          <w:szCs w:val="21"/>
          <w:color w:val="494B52"/>
        </w:rPr>
        <w:t>of</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 xml:space="preserve">Termination. You will </w:t>
      </w:r>
      <w:r>
        <w:rPr>
          <w:rFonts w:ascii="Times New Roman" w:cs="Times New Roman" w:eastAsia="Times New Roman" w:hAnsi="Times New Roman"/>
          <w:sz w:val="21"/>
          <w:szCs w:val="21"/>
          <w:color w:val="38383F"/>
        </w:rPr>
        <w:t>not</w:t>
      </w:r>
      <w:r>
        <w:rPr>
          <w:rFonts w:ascii="Times New Roman" w:cs="Times New Roman" w:eastAsia="Times New Roman" w:hAnsi="Times New Roman"/>
          <w:sz w:val="21"/>
          <w:szCs w:val="21"/>
          <w:color w:val="494B52"/>
        </w:rPr>
        <w:t xml:space="preserve"> be e</w:t>
      </w:r>
      <w:r>
        <w:rPr>
          <w:rFonts w:ascii="Times New Roman" w:cs="Times New Roman" w:eastAsia="Times New Roman" w:hAnsi="Times New Roman"/>
          <w:sz w:val="21"/>
          <w:szCs w:val="21"/>
          <w:color w:val="212126"/>
        </w:rPr>
        <w:t>l</w:t>
      </w:r>
      <w:r>
        <w:rPr>
          <w:rFonts w:ascii="Times New Roman" w:cs="Times New Roman" w:eastAsia="Times New Roman" w:hAnsi="Times New Roman"/>
          <w:sz w:val="21"/>
          <w:szCs w:val="21"/>
          <w:color w:val="494B52"/>
        </w:rPr>
        <w:t xml:space="preserve">igible for </w:t>
      </w:r>
      <w:r>
        <w:rPr>
          <w:rFonts w:ascii="Times New Roman" w:cs="Times New Roman" w:eastAsia="Times New Roman" w:hAnsi="Times New Roman"/>
          <w:sz w:val="21"/>
          <w:szCs w:val="21"/>
          <w:color w:val="38383F"/>
        </w:rPr>
        <w:t>any</w:t>
      </w:r>
      <w:r>
        <w:rPr>
          <w:rFonts w:ascii="Times New Roman" w:cs="Times New Roman" w:eastAsia="Times New Roman" w:hAnsi="Times New Roman"/>
          <w:sz w:val="21"/>
          <w:szCs w:val="21"/>
          <w:color w:val="494B52"/>
        </w:rPr>
        <w:t xml:space="preserve"> compensation or benefits after the Date of Termination except as set forth in this Agreement. For the avoidance </w:t>
      </w:r>
      <w:r>
        <w:rPr>
          <w:rFonts w:ascii="Times New Roman" w:cs="Times New Roman" w:eastAsia="Times New Roman" w:hAnsi="Times New Roman"/>
          <w:sz w:val="21"/>
          <w:szCs w:val="21"/>
          <w:color w:val="38383F"/>
        </w:rPr>
        <w:t>of</w:t>
      </w:r>
      <w:r>
        <w:rPr>
          <w:rFonts w:ascii="Times New Roman" w:cs="Times New Roman" w:eastAsia="Times New Roman" w:hAnsi="Times New Roman"/>
          <w:sz w:val="21"/>
          <w:szCs w:val="21"/>
          <w:color w:val="494B52"/>
        </w:rPr>
        <w:t xml:space="preserve"> doubt, the Company's </w:t>
      </w:r>
      <w:r>
        <w:rPr>
          <w:rFonts w:ascii="Times New Roman" w:cs="Times New Roman" w:eastAsia="Times New Roman" w:hAnsi="Times New Roman"/>
          <w:sz w:val="21"/>
          <w:szCs w:val="21"/>
          <w:color w:val="38383F"/>
        </w:rPr>
        <w:t>insider trading policy</w:t>
      </w:r>
      <w:r>
        <w:rPr>
          <w:rFonts w:ascii="Times New Roman" w:cs="Times New Roman" w:eastAsia="Times New Roman" w:hAnsi="Times New Roman"/>
          <w:sz w:val="21"/>
          <w:szCs w:val="21"/>
          <w:color w:val="494B52"/>
        </w:rPr>
        <w:t xml:space="preserve"> shall </w:t>
      </w:r>
      <w:r>
        <w:rPr>
          <w:rFonts w:ascii="Times New Roman" w:cs="Times New Roman" w:eastAsia="Times New Roman" w:hAnsi="Times New Roman"/>
          <w:sz w:val="21"/>
          <w:szCs w:val="21"/>
          <w:color w:val="38383F"/>
        </w:rPr>
        <w:t>continue to</w:t>
      </w:r>
      <w:r>
        <w:rPr>
          <w:rFonts w:ascii="Times New Roman" w:cs="Times New Roman" w:eastAsia="Times New Roman" w:hAnsi="Times New Roman"/>
          <w:sz w:val="21"/>
          <w:szCs w:val="21"/>
          <w:color w:val="494B52"/>
        </w:rPr>
        <w:t xml:space="preserve"> be </w:t>
      </w:r>
      <w:r>
        <w:rPr>
          <w:rFonts w:ascii="Times New Roman" w:cs="Times New Roman" w:eastAsia="Times New Roman" w:hAnsi="Times New Roman"/>
          <w:sz w:val="21"/>
          <w:szCs w:val="21"/>
          <w:color w:val="38383F"/>
        </w:rPr>
        <w:t>in</w:t>
      </w:r>
      <w:r>
        <w:rPr>
          <w:rFonts w:ascii="Times New Roman" w:cs="Times New Roman" w:eastAsia="Times New Roman" w:hAnsi="Times New Roman"/>
          <w:sz w:val="21"/>
          <w:szCs w:val="21"/>
          <w:color w:val="494B52"/>
        </w:rPr>
        <w:t xml:space="preserve"> effect </w:t>
      </w:r>
      <w:r>
        <w:rPr>
          <w:rFonts w:ascii="Times New Roman" w:cs="Times New Roman" w:eastAsia="Times New Roman" w:hAnsi="Times New Roman"/>
          <w:sz w:val="21"/>
          <w:szCs w:val="21"/>
          <w:color w:val="38383F"/>
        </w:rPr>
        <w:t xml:space="preserve">during </w:t>
      </w:r>
      <w:r>
        <w:rPr>
          <w:rFonts w:ascii="Times New Roman" w:cs="Times New Roman" w:eastAsia="Times New Roman" w:hAnsi="Times New Roman"/>
          <w:sz w:val="21"/>
          <w:szCs w:val="21"/>
          <w:color w:val="494B52"/>
        </w:rPr>
        <w:t>and after your employment, consistent with the terms</w:t>
      </w:r>
      <w:r>
        <w:rPr>
          <w:rFonts w:ascii="Times New Roman" w:cs="Times New Roman" w:eastAsia="Times New Roman" w:hAnsi="Times New Roman"/>
          <w:sz w:val="21"/>
          <w:szCs w:val="21"/>
          <w:color w:val="38383F"/>
        </w:rPr>
        <w:t xml:space="preserve"> of the </w:t>
      </w:r>
      <w:r>
        <w:rPr>
          <w:rFonts w:ascii="Times New Roman" w:cs="Times New Roman" w:eastAsia="Times New Roman" w:hAnsi="Times New Roman"/>
          <w:sz w:val="21"/>
          <w:szCs w:val="21"/>
          <w:color w:val="494B52"/>
        </w:rPr>
        <w:t>policy.</w:t>
      </w:r>
    </w:p>
    <w:p>
      <w:pPr>
        <w:spacing w:after="0" w:line="177" w:lineRule="exact"/>
        <w:rPr>
          <w:rFonts w:ascii="Times New Roman" w:cs="Times New Roman" w:eastAsia="Times New Roman" w:hAnsi="Times New Roman"/>
          <w:sz w:val="21"/>
          <w:szCs w:val="21"/>
          <w:color w:val="505259"/>
        </w:rPr>
      </w:pPr>
    </w:p>
    <w:p>
      <w:pPr>
        <w:ind w:left="900" w:firstLine="750"/>
        <w:spacing w:after="0" w:line="246" w:lineRule="auto"/>
        <w:tabs>
          <w:tab w:leader="none" w:pos="2365" w:val="left"/>
        </w:tabs>
        <w:numPr>
          <w:ilvl w:val="3"/>
          <w:numId w:val="73"/>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94B52"/>
        </w:rPr>
        <w:t xml:space="preserve">Your eligibility to participate </w:t>
      </w:r>
      <w:r>
        <w:rPr>
          <w:rFonts w:ascii="Times New Roman" w:cs="Times New Roman" w:eastAsia="Times New Roman" w:hAnsi="Times New Roman"/>
          <w:sz w:val="21"/>
          <w:szCs w:val="21"/>
          <w:color w:val="38383F"/>
        </w:rPr>
        <w:t>in</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Company's</w:t>
      </w:r>
      <w:r>
        <w:rPr>
          <w:rFonts w:ascii="Times New Roman" w:cs="Times New Roman" w:eastAsia="Times New Roman" w:hAnsi="Times New Roman"/>
          <w:sz w:val="21"/>
          <w:szCs w:val="21"/>
          <w:color w:val="494B52"/>
        </w:rPr>
        <w:t xml:space="preserve"> group </w:t>
      </w:r>
      <w:r>
        <w:rPr>
          <w:rFonts w:ascii="Times New Roman" w:cs="Times New Roman" w:eastAsia="Times New Roman" w:hAnsi="Times New Roman"/>
          <w:sz w:val="21"/>
          <w:szCs w:val="21"/>
          <w:color w:val="38383F"/>
        </w:rPr>
        <w:t>health plans</w:t>
      </w:r>
      <w:r>
        <w:rPr>
          <w:rFonts w:ascii="Times New Roman" w:cs="Times New Roman" w:eastAsia="Times New Roman" w:hAnsi="Times New Roman"/>
          <w:sz w:val="21"/>
          <w:szCs w:val="21"/>
          <w:color w:val="494B52"/>
        </w:rPr>
        <w:t xml:space="preserve"> ceases on </w:t>
      </w:r>
      <w:r>
        <w:rPr>
          <w:rFonts w:ascii="Times New Roman" w:cs="Times New Roman" w:eastAsia="Times New Roman" w:hAnsi="Times New Roman"/>
          <w:sz w:val="21"/>
          <w:szCs w:val="21"/>
          <w:color w:val="38383F"/>
        </w:rPr>
        <w:t>the last day</w:t>
      </w:r>
      <w:r>
        <w:rPr>
          <w:rFonts w:ascii="Times New Roman" w:cs="Times New Roman" w:eastAsia="Times New Roman" w:hAnsi="Times New Roman"/>
          <w:sz w:val="21"/>
          <w:szCs w:val="21"/>
          <w:color w:val="494B52"/>
        </w:rPr>
        <w:t xml:space="preserve"> of </w:t>
      </w:r>
      <w:r>
        <w:rPr>
          <w:rFonts w:ascii="Times New Roman" w:cs="Times New Roman" w:eastAsia="Times New Roman" w:hAnsi="Times New Roman"/>
          <w:sz w:val="21"/>
          <w:szCs w:val="21"/>
          <w:color w:val="38383F"/>
        </w:rPr>
        <w:t>the</w:t>
      </w:r>
      <w:r>
        <w:rPr>
          <w:rFonts w:ascii="Times New Roman" w:cs="Times New Roman" w:eastAsia="Times New Roman" w:hAnsi="Times New Roman"/>
          <w:sz w:val="21"/>
          <w:szCs w:val="21"/>
          <w:color w:val="494B52"/>
        </w:rPr>
        <w:t xml:space="preserve"> month in which the Date of Terminat</w:t>
      </w:r>
      <w:r>
        <w:rPr>
          <w:rFonts w:ascii="Times New Roman" w:cs="Times New Roman" w:eastAsia="Times New Roman" w:hAnsi="Times New Roman"/>
          <w:sz w:val="21"/>
          <w:szCs w:val="21"/>
          <w:color w:val="212126"/>
        </w:rPr>
        <w:t>i</w:t>
      </w:r>
      <w:r>
        <w:rPr>
          <w:rFonts w:ascii="Times New Roman" w:cs="Times New Roman" w:eastAsia="Times New Roman" w:hAnsi="Times New Roman"/>
          <w:sz w:val="21"/>
          <w:szCs w:val="21"/>
          <w:color w:val="494B52"/>
        </w:rPr>
        <w:t xml:space="preserve">on occurs </w:t>
      </w:r>
      <w:r>
        <w:rPr>
          <w:rFonts w:ascii="Times New Roman" w:cs="Times New Roman" w:eastAsia="Times New Roman" w:hAnsi="Times New Roman"/>
          <w:sz w:val="21"/>
          <w:szCs w:val="21"/>
          <w:color w:val="38383F"/>
        </w:rPr>
        <w:t>in</w:t>
      </w:r>
      <w:r>
        <w:rPr>
          <w:rFonts w:ascii="Times New Roman" w:cs="Times New Roman" w:eastAsia="Times New Roman" w:hAnsi="Times New Roman"/>
          <w:sz w:val="21"/>
          <w:szCs w:val="21"/>
          <w:color w:val="494B52"/>
        </w:rPr>
        <w:t xml:space="preserve"> accordance with the terms and condition</w:t>
      </w:r>
      <w:r>
        <w:rPr>
          <w:rFonts w:ascii="Times New Roman" w:cs="Times New Roman" w:eastAsia="Times New Roman" w:hAnsi="Times New Roman"/>
          <w:sz w:val="21"/>
          <w:szCs w:val="21"/>
          <w:color w:val="6D6E72"/>
        </w:rPr>
        <w:t>s</w:t>
      </w:r>
      <w:r>
        <w:rPr>
          <w:rFonts w:ascii="Times New Roman" w:cs="Times New Roman" w:eastAsia="Times New Roman" w:hAnsi="Times New Roman"/>
          <w:sz w:val="21"/>
          <w:szCs w:val="21"/>
          <w:color w:val="494B52"/>
        </w:rPr>
        <w:t xml:space="preserve"> of </w:t>
      </w:r>
      <w:r>
        <w:rPr>
          <w:rFonts w:ascii="Times New Roman" w:cs="Times New Roman" w:eastAsia="Times New Roman" w:hAnsi="Times New Roman"/>
          <w:sz w:val="21"/>
          <w:szCs w:val="21"/>
          <w:color w:val="38383F"/>
        </w:rPr>
        <w:t>those</w:t>
      </w:r>
      <w:r>
        <w:rPr>
          <w:rFonts w:ascii="Times New Roman" w:cs="Times New Roman" w:eastAsia="Times New Roman" w:hAnsi="Times New Roman"/>
          <w:sz w:val="21"/>
          <w:szCs w:val="21"/>
          <w:color w:val="494B52"/>
        </w:rPr>
        <w:t xml:space="preserve"> plans. You may elect to continue your existing health </w:t>
      </w:r>
      <w:r>
        <w:rPr>
          <w:rFonts w:ascii="Times New Roman" w:cs="Times New Roman" w:eastAsia="Times New Roman" w:hAnsi="Times New Roman"/>
          <w:sz w:val="21"/>
          <w:szCs w:val="21"/>
          <w:color w:val="38383F"/>
        </w:rPr>
        <w:t>plan</w:t>
      </w:r>
      <w:r>
        <w:rPr>
          <w:rFonts w:ascii="Times New Roman" w:cs="Times New Roman" w:eastAsia="Times New Roman" w:hAnsi="Times New Roman"/>
          <w:sz w:val="21"/>
          <w:szCs w:val="21"/>
          <w:color w:val="494B52"/>
        </w:rPr>
        <w:t xml:space="preserve"> benefits under such </w:t>
      </w:r>
      <w:r>
        <w:rPr>
          <w:rFonts w:ascii="Times New Roman" w:cs="Times New Roman" w:eastAsia="Times New Roman" w:hAnsi="Times New Roman"/>
          <w:sz w:val="21"/>
          <w:szCs w:val="21"/>
          <w:color w:val="38383F"/>
        </w:rPr>
        <w:t>plans</w:t>
      </w:r>
      <w:r>
        <w:rPr>
          <w:rFonts w:ascii="Times New Roman" w:cs="Times New Roman" w:eastAsia="Times New Roman" w:hAnsi="Times New Roman"/>
          <w:sz w:val="21"/>
          <w:szCs w:val="21"/>
          <w:color w:val="494B52"/>
        </w:rPr>
        <w:t xml:space="preserve"> in accordance with and subject to the law known </w:t>
      </w:r>
      <w:r>
        <w:rPr>
          <w:rFonts w:ascii="Times New Roman" w:cs="Times New Roman" w:eastAsia="Times New Roman" w:hAnsi="Times New Roman"/>
          <w:sz w:val="21"/>
          <w:szCs w:val="21"/>
          <w:color w:val="38383F"/>
        </w:rPr>
        <w:t>as</w:t>
      </w:r>
      <w:r>
        <w:rPr>
          <w:rFonts w:ascii="Times New Roman" w:cs="Times New Roman" w:eastAsia="Times New Roman" w:hAnsi="Times New Roman"/>
          <w:sz w:val="21"/>
          <w:szCs w:val="21"/>
          <w:color w:val="494B52"/>
        </w:rPr>
        <w:t xml:space="preserve"> </w:t>
      </w:r>
      <w:r>
        <w:rPr>
          <w:rFonts w:ascii="Times New Roman" w:cs="Times New Roman" w:eastAsia="Times New Roman" w:hAnsi="Times New Roman"/>
          <w:sz w:val="21"/>
          <w:szCs w:val="21"/>
          <w:color w:val="38383F"/>
        </w:rPr>
        <w:t xml:space="preserve">COBRA. You </w:t>
      </w:r>
      <w:r>
        <w:rPr>
          <w:rFonts w:ascii="Times New Roman" w:cs="Times New Roman" w:eastAsia="Times New Roman" w:hAnsi="Times New Roman"/>
          <w:sz w:val="21"/>
          <w:szCs w:val="21"/>
          <w:color w:val="494B52"/>
        </w:rPr>
        <w:t>will be provided with information regarding</w:t>
      </w:r>
      <w:r>
        <w:rPr>
          <w:rFonts w:ascii="Times New Roman" w:cs="Times New Roman" w:eastAsia="Times New Roman" w:hAnsi="Times New Roman"/>
          <w:sz w:val="21"/>
          <w:szCs w:val="21"/>
          <w:color w:val="38383F"/>
        </w:rPr>
        <w:t xml:space="preserve"> COBRA under </w:t>
      </w:r>
      <w:r>
        <w:rPr>
          <w:rFonts w:ascii="Times New Roman" w:cs="Times New Roman" w:eastAsia="Times New Roman" w:hAnsi="Times New Roman"/>
          <w:sz w:val="21"/>
          <w:szCs w:val="21"/>
          <w:color w:val="494B52"/>
        </w:rPr>
        <w:t>separate cover</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and COBRA continuation</w:t>
      </w:r>
      <w:r>
        <w:rPr>
          <w:rFonts w:ascii="Times New Roman" w:cs="Times New Roman" w:eastAsia="Times New Roman" w:hAnsi="Times New Roman"/>
          <w:sz w:val="21"/>
          <w:szCs w:val="21"/>
          <w:color w:val="38383F"/>
        </w:rPr>
        <w:t xml:space="preserve"> </w:t>
      </w:r>
      <w:r>
        <w:rPr>
          <w:rFonts w:ascii="Times New Roman" w:cs="Times New Roman" w:eastAsia="Times New Roman" w:hAnsi="Times New Roman"/>
          <w:sz w:val="21"/>
          <w:szCs w:val="21"/>
          <w:color w:val="494B52"/>
        </w:rPr>
        <w:t>coverage will be at your own cost</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94B52"/>
        </w:rPr>
        <w:t xml:space="preserve"> subject to Section 4(b) below if you satisfy the Condi</w:t>
      </w:r>
      <w:r>
        <w:rPr>
          <w:rFonts w:ascii="Times New Roman" w:cs="Times New Roman" w:eastAsia="Times New Roman" w:hAnsi="Times New Roman"/>
          <w:sz w:val="21"/>
          <w:szCs w:val="21"/>
          <w:color w:val="212126"/>
        </w:rPr>
        <w:t>tion</w:t>
      </w:r>
      <w:r>
        <w:rPr>
          <w:rFonts w:ascii="Times New Roman" w:cs="Times New Roman" w:eastAsia="Times New Roman" w:hAnsi="Times New Roman"/>
          <w:sz w:val="21"/>
          <w:szCs w:val="21"/>
          <w:color w:val="494B52"/>
        </w:rPr>
        <w:t>s. Your eligibility to participa</w:t>
      </w:r>
      <w:r>
        <w:rPr>
          <w:rFonts w:ascii="Times New Roman" w:cs="Times New Roman" w:eastAsia="Times New Roman" w:hAnsi="Times New Roman"/>
          <w:sz w:val="21"/>
          <w:szCs w:val="21"/>
          <w:color w:val="212126"/>
        </w:rPr>
        <w:t>t</w:t>
      </w:r>
      <w:r>
        <w:rPr>
          <w:rFonts w:ascii="Times New Roman" w:cs="Times New Roman" w:eastAsia="Times New Roman" w:hAnsi="Times New Roman"/>
          <w:sz w:val="21"/>
          <w:szCs w:val="21"/>
          <w:color w:val="494B52"/>
        </w:rPr>
        <w:t xml:space="preserve">e </w:t>
      </w:r>
      <w:r>
        <w:rPr>
          <w:rFonts w:ascii="Times New Roman" w:cs="Times New Roman" w:eastAsia="Times New Roman" w:hAnsi="Times New Roman"/>
          <w:sz w:val="21"/>
          <w:szCs w:val="21"/>
          <w:color w:val="38383F"/>
        </w:rPr>
        <w:t>in</w:t>
      </w:r>
      <w:r>
        <w:rPr>
          <w:rFonts w:ascii="Times New Roman" w:cs="Times New Roman" w:eastAsia="Times New Roman" w:hAnsi="Times New Roman"/>
          <w:sz w:val="21"/>
          <w:szCs w:val="21"/>
          <w:color w:val="494B52"/>
        </w:rPr>
        <w:t xml:space="preserve"> the </w:t>
      </w:r>
      <w:r>
        <w:rPr>
          <w:rFonts w:ascii="Times New Roman" w:cs="Times New Roman" w:eastAsia="Times New Roman" w:hAnsi="Times New Roman"/>
          <w:sz w:val="21"/>
          <w:szCs w:val="21"/>
          <w:color w:val="38383F"/>
        </w:rPr>
        <w:t>Company's other</w:t>
      </w:r>
      <w:r>
        <w:rPr>
          <w:rFonts w:ascii="Times New Roman" w:cs="Times New Roman" w:eastAsia="Times New Roman" w:hAnsi="Times New Roman"/>
          <w:sz w:val="21"/>
          <w:szCs w:val="21"/>
          <w:color w:val="494B52"/>
        </w:rPr>
        <w:t xml:space="preserve"> employee </w:t>
      </w:r>
      <w:r>
        <w:rPr>
          <w:rFonts w:ascii="Times New Roman" w:cs="Times New Roman" w:eastAsia="Times New Roman" w:hAnsi="Times New Roman"/>
          <w:sz w:val="21"/>
          <w:szCs w:val="21"/>
          <w:color w:val="38383F"/>
        </w:rPr>
        <w:t>benefit</w:t>
      </w:r>
      <w:r>
        <w:rPr>
          <w:rFonts w:ascii="Times New Roman" w:cs="Times New Roman" w:eastAsia="Times New Roman" w:hAnsi="Times New Roman"/>
          <w:sz w:val="21"/>
          <w:szCs w:val="21"/>
          <w:color w:val="494B52"/>
        </w:rPr>
        <w:t xml:space="preserve"> plans and programs </w:t>
      </w:r>
      <w:r>
        <w:rPr>
          <w:rFonts w:ascii="Times New Roman" w:cs="Times New Roman" w:eastAsia="Times New Roman" w:hAnsi="Times New Roman"/>
          <w:sz w:val="21"/>
          <w:szCs w:val="21"/>
          <w:color w:val="38383F"/>
        </w:rPr>
        <w:t>ceases</w:t>
      </w:r>
      <w:r>
        <w:rPr>
          <w:rFonts w:ascii="Times New Roman" w:cs="Times New Roman" w:eastAsia="Times New Roman" w:hAnsi="Times New Roman"/>
          <w:sz w:val="21"/>
          <w:szCs w:val="21"/>
          <w:color w:val="494B52"/>
        </w:rPr>
        <w:t xml:space="preserve"> on the Date of </w:t>
      </w:r>
      <w:r>
        <w:rPr>
          <w:rFonts w:ascii="Times New Roman" w:cs="Times New Roman" w:eastAsia="Times New Roman" w:hAnsi="Times New Roman"/>
          <w:sz w:val="21"/>
          <w:szCs w:val="21"/>
          <w:color w:val="38383F"/>
        </w:rPr>
        <w:t>Termination in</w:t>
      </w:r>
      <w:r>
        <w:rPr>
          <w:rFonts w:ascii="Times New Roman" w:cs="Times New Roman" w:eastAsia="Times New Roman" w:hAnsi="Times New Roman"/>
          <w:sz w:val="21"/>
          <w:szCs w:val="21"/>
          <w:color w:val="494B52"/>
        </w:rPr>
        <w:t xml:space="preserve"> accordance with the terms and conditions of each of those benefit plans and programs.</w:t>
      </w:r>
    </w:p>
    <w:p>
      <w:pPr>
        <w:spacing w:after="0" w:line="184" w:lineRule="exact"/>
        <w:rPr>
          <w:rFonts w:ascii="Times New Roman" w:cs="Times New Roman" w:eastAsia="Times New Roman" w:hAnsi="Times New Roman"/>
          <w:sz w:val="21"/>
          <w:szCs w:val="21"/>
          <w:color w:val="505259"/>
        </w:rPr>
      </w:pPr>
    </w:p>
    <w:p>
      <w:pPr>
        <w:ind w:left="900" w:right="220" w:firstLine="750"/>
        <w:spacing w:after="0" w:line="255" w:lineRule="auto"/>
        <w:tabs>
          <w:tab w:leader="none" w:pos="2355" w:val="left"/>
        </w:tabs>
        <w:numPr>
          <w:ilvl w:val="3"/>
          <w:numId w:val="73"/>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94B52"/>
        </w:rPr>
        <w:t xml:space="preserve">Consistent with the </w:t>
      </w:r>
      <w:r>
        <w:rPr>
          <w:rFonts w:ascii="Times New Roman" w:cs="Times New Roman" w:eastAsia="Times New Roman" w:hAnsi="Times New Roman"/>
          <w:sz w:val="21"/>
          <w:szCs w:val="21"/>
          <w:color w:val="38383F"/>
        </w:rPr>
        <w:t>Equity</w:t>
      </w:r>
      <w:r>
        <w:rPr>
          <w:rFonts w:ascii="Times New Roman" w:cs="Times New Roman" w:eastAsia="Times New Roman" w:hAnsi="Times New Roman"/>
          <w:sz w:val="21"/>
          <w:szCs w:val="21"/>
          <w:color w:val="494B52"/>
        </w:rPr>
        <w:t xml:space="preserve"> Documents, you will cease vesting in your </w:t>
      </w:r>
      <w:r>
        <w:rPr>
          <w:rFonts w:ascii="Times New Roman" w:cs="Times New Roman" w:eastAsia="Times New Roman" w:hAnsi="Times New Roman"/>
          <w:sz w:val="21"/>
          <w:szCs w:val="21"/>
          <w:color w:val="38383F"/>
        </w:rPr>
        <w:t>outstanding,</w:t>
      </w:r>
      <w:r>
        <w:rPr>
          <w:rFonts w:ascii="Times New Roman" w:cs="Times New Roman" w:eastAsia="Times New Roman" w:hAnsi="Times New Roman"/>
          <w:sz w:val="21"/>
          <w:szCs w:val="21"/>
          <w:color w:val="494B52"/>
        </w:rPr>
        <w:t xml:space="preserve"> unvested equity awards on the </w:t>
      </w:r>
      <w:r>
        <w:rPr>
          <w:rFonts w:ascii="Times New Roman" w:cs="Times New Roman" w:eastAsia="Times New Roman" w:hAnsi="Times New Roman"/>
          <w:sz w:val="21"/>
          <w:szCs w:val="21"/>
          <w:color w:val="38383F"/>
        </w:rPr>
        <w:t>Date</w:t>
      </w:r>
      <w:r>
        <w:rPr>
          <w:rFonts w:ascii="Times New Roman" w:cs="Times New Roman" w:eastAsia="Times New Roman" w:hAnsi="Times New Roman"/>
          <w:sz w:val="21"/>
          <w:szCs w:val="21"/>
          <w:color w:val="494B52"/>
        </w:rPr>
        <w:t xml:space="preserve"> of </w:t>
      </w:r>
      <w:r>
        <w:rPr>
          <w:rFonts w:ascii="Times New Roman" w:cs="Times New Roman" w:eastAsia="Times New Roman" w:hAnsi="Times New Roman"/>
          <w:sz w:val="21"/>
          <w:szCs w:val="21"/>
          <w:color w:val="38383F"/>
        </w:rPr>
        <w:t>Termination</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94B52"/>
        </w:rPr>
        <w:t xml:space="preserve"> subject to Section 4(c) below </w:t>
      </w:r>
      <w:r>
        <w:rPr>
          <w:rFonts w:ascii="Times New Roman" w:cs="Times New Roman" w:eastAsia="Times New Roman" w:hAnsi="Times New Roman"/>
          <w:sz w:val="21"/>
          <w:szCs w:val="21"/>
          <w:color w:val="38383F"/>
        </w:rPr>
        <w:t>if</w:t>
      </w:r>
      <w:r>
        <w:rPr>
          <w:rFonts w:ascii="Times New Roman" w:cs="Times New Roman" w:eastAsia="Times New Roman" w:hAnsi="Times New Roman"/>
          <w:sz w:val="21"/>
          <w:szCs w:val="21"/>
          <w:color w:val="494B52"/>
        </w:rPr>
        <w:t xml:space="preserve"> you satisfy the Conditions. Any vested stock </w:t>
      </w:r>
      <w:r>
        <w:rPr>
          <w:rFonts w:ascii="Times New Roman" w:cs="Times New Roman" w:eastAsia="Times New Roman" w:hAnsi="Times New Roman"/>
          <w:sz w:val="21"/>
          <w:szCs w:val="21"/>
          <w:color w:val="38383F"/>
        </w:rPr>
        <w:t xml:space="preserve">options must be </w:t>
      </w:r>
      <w:r>
        <w:rPr>
          <w:rFonts w:ascii="Times New Roman" w:cs="Times New Roman" w:eastAsia="Times New Roman" w:hAnsi="Times New Roman"/>
          <w:sz w:val="21"/>
          <w:szCs w:val="21"/>
          <w:color w:val="494B52"/>
        </w:rPr>
        <w:t>exercised</w:t>
      </w:r>
      <w:r>
        <w:rPr>
          <w:rFonts w:ascii="Times New Roman" w:cs="Times New Roman" w:eastAsia="Times New Roman" w:hAnsi="Times New Roman"/>
          <w:sz w:val="21"/>
          <w:szCs w:val="21"/>
          <w:color w:val="38383F"/>
        </w:rPr>
        <w:t xml:space="preserve"> within the </w:t>
      </w:r>
      <w:r>
        <w:rPr>
          <w:rFonts w:ascii="Times New Roman" w:cs="Times New Roman" w:eastAsia="Times New Roman" w:hAnsi="Times New Roman"/>
          <w:sz w:val="21"/>
          <w:szCs w:val="21"/>
          <w:color w:val="494B52"/>
        </w:rPr>
        <w:t>time</w:t>
      </w:r>
      <w:r>
        <w:rPr>
          <w:rFonts w:ascii="Times New Roman" w:cs="Times New Roman" w:eastAsia="Times New Roman" w:hAnsi="Times New Roman"/>
          <w:sz w:val="21"/>
          <w:szCs w:val="21"/>
          <w:color w:val="38383F"/>
        </w:rPr>
        <w:t xml:space="preserve"> period </w:t>
      </w:r>
      <w:r>
        <w:rPr>
          <w:rFonts w:ascii="Times New Roman" w:cs="Times New Roman" w:eastAsia="Times New Roman" w:hAnsi="Times New Roman"/>
          <w:sz w:val="21"/>
          <w:szCs w:val="21"/>
          <w:color w:val="494B52"/>
        </w:rPr>
        <w:t>set forth in</w:t>
      </w:r>
      <w:r>
        <w:rPr>
          <w:rFonts w:ascii="Times New Roman" w:cs="Times New Roman" w:eastAsia="Times New Roman" w:hAnsi="Times New Roman"/>
          <w:sz w:val="21"/>
          <w:szCs w:val="21"/>
          <w:color w:val="38383F"/>
        </w:rPr>
        <w:t xml:space="preserve"> the </w:t>
      </w:r>
      <w:r>
        <w:rPr>
          <w:rFonts w:ascii="Times New Roman" w:cs="Times New Roman" w:eastAsia="Times New Roman" w:hAnsi="Times New Roman"/>
          <w:sz w:val="21"/>
          <w:szCs w:val="21"/>
          <w:color w:val="494B52"/>
        </w:rPr>
        <w:t>Equity</w:t>
      </w:r>
      <w:r>
        <w:rPr>
          <w:rFonts w:ascii="Times New Roman" w:cs="Times New Roman" w:eastAsia="Times New Roman" w:hAnsi="Times New Roman"/>
          <w:sz w:val="21"/>
          <w:szCs w:val="21"/>
          <w:color w:val="38383F"/>
        </w:rPr>
        <w:t xml:space="preserve"> Documents.</w:t>
      </w: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2</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40" w:right="77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88900</wp:posOffset>
            </wp:positionV>
            <wp:extent cx="2846070" cy="5911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2846070" cy="591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860" w:right="320" w:firstLine="745"/>
        <w:spacing w:after="0" w:line="251" w:lineRule="auto"/>
        <w:tabs>
          <w:tab w:leader="none" w:pos="2307" w:val="left"/>
        </w:tabs>
        <w:numPr>
          <w:ilvl w:val="2"/>
          <w:numId w:val="74"/>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3B3B42"/>
        </w:rPr>
        <w:t xml:space="preserve">You </w:t>
      </w:r>
      <w:r>
        <w:rPr>
          <w:rFonts w:ascii="Times New Roman" w:cs="Times New Roman" w:eastAsia="Times New Roman" w:hAnsi="Times New Roman"/>
          <w:sz w:val="21"/>
          <w:szCs w:val="21"/>
          <w:color w:val="4D4D54"/>
        </w:rPr>
        <w:t>will be</w:t>
      </w:r>
      <w:r>
        <w:rPr>
          <w:rFonts w:ascii="Times New Roman" w:cs="Times New Roman" w:eastAsia="Times New Roman" w:hAnsi="Times New Roman"/>
          <w:sz w:val="21"/>
          <w:szCs w:val="21"/>
          <w:color w:val="3B3B42"/>
        </w:rPr>
        <w:t xml:space="preserve"> deemed </w:t>
      </w:r>
      <w:r>
        <w:rPr>
          <w:rFonts w:ascii="Times New Roman" w:cs="Times New Roman" w:eastAsia="Times New Roman" w:hAnsi="Times New Roman"/>
          <w:sz w:val="21"/>
          <w:szCs w:val="21"/>
          <w:color w:val="4D4D54"/>
        </w:rPr>
        <w:t>to have resigned from</w:t>
      </w:r>
      <w:r>
        <w:rPr>
          <w:rFonts w:ascii="Times New Roman" w:cs="Times New Roman" w:eastAsia="Times New Roman" w:hAnsi="Times New Roman"/>
          <w:sz w:val="21"/>
          <w:szCs w:val="21"/>
          <w:color w:val="3B3B42"/>
        </w:rPr>
        <w:t xml:space="preserve"> all </w:t>
      </w:r>
      <w:r>
        <w:rPr>
          <w:rFonts w:ascii="Times New Roman" w:cs="Times New Roman" w:eastAsia="Times New Roman" w:hAnsi="Times New Roman"/>
          <w:sz w:val="21"/>
          <w:szCs w:val="21"/>
          <w:color w:val="4D4D54"/>
        </w:rPr>
        <w:t>officer,</w:t>
      </w:r>
      <w:r>
        <w:rPr>
          <w:rFonts w:ascii="Times New Roman" w:cs="Times New Roman" w:eastAsia="Times New Roman" w:hAnsi="Times New Roman"/>
          <w:sz w:val="21"/>
          <w:szCs w:val="21"/>
          <w:color w:val="3B3B42"/>
        </w:rPr>
        <w:t xml:space="preserve"> trustee and </w:t>
      </w:r>
      <w:r>
        <w:rPr>
          <w:rFonts w:ascii="Times New Roman" w:cs="Times New Roman" w:eastAsia="Times New Roman" w:hAnsi="Times New Roman"/>
          <w:sz w:val="21"/>
          <w:szCs w:val="21"/>
          <w:color w:val="4D4D54"/>
        </w:rPr>
        <w:t>board member positions that you</w:t>
      </w:r>
      <w:r>
        <w:rPr>
          <w:rFonts w:ascii="Times New Roman" w:cs="Times New Roman" w:eastAsia="Times New Roman" w:hAnsi="Times New Roman"/>
          <w:sz w:val="21"/>
          <w:szCs w:val="21"/>
          <w:color w:val="3B3B42"/>
        </w:rPr>
        <w:t xml:space="preserve"> hold </w:t>
      </w:r>
      <w:r>
        <w:rPr>
          <w:rFonts w:ascii="Times New Roman" w:cs="Times New Roman" w:eastAsia="Times New Roman" w:hAnsi="Times New Roman"/>
          <w:sz w:val="21"/>
          <w:szCs w:val="21"/>
          <w:color w:val="4D4D54"/>
        </w:rPr>
        <w:t>with the Company</w:t>
      </w:r>
      <w:r>
        <w:rPr>
          <w:rFonts w:ascii="Times New Roman" w:cs="Times New Roman" w:eastAsia="Times New Roman" w:hAnsi="Times New Roman"/>
          <w:sz w:val="21"/>
          <w:szCs w:val="21"/>
          <w:color w:val="3B3B42"/>
        </w:rPr>
        <w:t xml:space="preserve"> or </w:t>
      </w:r>
      <w:r>
        <w:rPr>
          <w:rFonts w:ascii="Times New Roman" w:cs="Times New Roman" w:eastAsia="Times New Roman" w:hAnsi="Times New Roman"/>
          <w:sz w:val="21"/>
          <w:szCs w:val="21"/>
          <w:color w:val="4D4D54"/>
        </w:rPr>
        <w:t>any of its</w:t>
      </w:r>
      <w:r>
        <w:rPr>
          <w:rFonts w:ascii="Times New Roman" w:cs="Times New Roman" w:eastAsia="Times New Roman" w:hAnsi="Times New Roman"/>
          <w:sz w:val="21"/>
          <w:szCs w:val="21"/>
          <w:color w:val="3B3B42"/>
        </w:rPr>
        <w:t xml:space="preserve"> respective </w:t>
      </w:r>
      <w:r>
        <w:rPr>
          <w:rFonts w:ascii="Times New Roman" w:cs="Times New Roman" w:eastAsia="Times New Roman" w:hAnsi="Times New Roman"/>
          <w:sz w:val="21"/>
          <w:szCs w:val="21"/>
          <w:color w:val="4D4D54"/>
        </w:rPr>
        <w:t>subsidiaries</w:t>
      </w:r>
      <w:r>
        <w:rPr>
          <w:rFonts w:ascii="Times New Roman" w:cs="Times New Roman" w:eastAsia="Times New Roman" w:hAnsi="Times New Roman"/>
          <w:sz w:val="21"/>
          <w:szCs w:val="21"/>
          <w:color w:val="3B3B42"/>
        </w:rPr>
        <w:t xml:space="preserve"> and affiliates as of December 7</w:t>
      </w:r>
      <w:r>
        <w:rPr>
          <w:rFonts w:ascii="Times New Roman" w:cs="Times New Roman" w:eastAsia="Times New Roman" w:hAnsi="Times New Roman"/>
          <w:sz w:val="21"/>
          <w:szCs w:val="21"/>
          <w:color w:val="62646B"/>
        </w:rPr>
        <w:t>,</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2022. You</w:t>
      </w:r>
      <w:r>
        <w:rPr>
          <w:rFonts w:ascii="Times New Roman" w:cs="Times New Roman" w:eastAsia="Times New Roman" w:hAnsi="Times New Roman"/>
          <w:sz w:val="21"/>
          <w:szCs w:val="21"/>
          <w:color w:val="3B3B42"/>
        </w:rPr>
        <w:t xml:space="preserve"> agree to execute </w:t>
      </w:r>
      <w:r>
        <w:rPr>
          <w:rFonts w:ascii="Times New Roman" w:cs="Times New Roman" w:eastAsia="Times New Roman" w:hAnsi="Times New Roman"/>
          <w:sz w:val="21"/>
          <w:szCs w:val="21"/>
          <w:color w:val="4D4D54"/>
        </w:rPr>
        <w:t>any</w:t>
      </w:r>
      <w:r>
        <w:rPr>
          <w:rFonts w:ascii="Times New Roman" w:cs="Times New Roman" w:eastAsia="Times New Roman" w:hAnsi="Times New Roman"/>
          <w:sz w:val="21"/>
          <w:szCs w:val="21"/>
          <w:color w:val="3B3B42"/>
        </w:rPr>
        <w:t xml:space="preserve"> documents </w:t>
      </w:r>
      <w:r>
        <w:rPr>
          <w:rFonts w:ascii="Times New Roman" w:cs="Times New Roman" w:eastAsia="Times New Roman" w:hAnsi="Times New Roman"/>
          <w:sz w:val="21"/>
          <w:szCs w:val="21"/>
          <w:color w:val="212128"/>
        </w:rPr>
        <w:t>r</w:t>
      </w:r>
      <w:r>
        <w:rPr>
          <w:rFonts w:ascii="Times New Roman" w:cs="Times New Roman" w:eastAsia="Times New Roman" w:hAnsi="Times New Roman"/>
          <w:sz w:val="21"/>
          <w:szCs w:val="21"/>
          <w:color w:val="4D4D54"/>
        </w:rPr>
        <w:t>equested</w:t>
      </w:r>
      <w:r>
        <w:rPr>
          <w:rFonts w:ascii="Times New Roman" w:cs="Times New Roman" w:eastAsia="Times New Roman" w:hAnsi="Times New Roman"/>
          <w:sz w:val="21"/>
          <w:szCs w:val="21"/>
          <w:color w:val="3B3B42"/>
        </w:rPr>
        <w:t xml:space="preserve"> by </w:t>
      </w:r>
      <w:r>
        <w:rPr>
          <w:rFonts w:ascii="Times New Roman" w:cs="Times New Roman" w:eastAsia="Times New Roman" w:hAnsi="Times New Roman"/>
          <w:sz w:val="21"/>
          <w:szCs w:val="21"/>
          <w:color w:val="4D4D54"/>
        </w:rPr>
        <w:t>the Company</w:t>
      </w:r>
      <w:r>
        <w:rPr>
          <w:rFonts w:ascii="Times New Roman" w:cs="Times New Roman" w:eastAsia="Times New Roman" w:hAnsi="Times New Roman"/>
          <w:sz w:val="21"/>
          <w:szCs w:val="21"/>
          <w:color w:val="3B3B42"/>
        </w:rPr>
        <w:t xml:space="preserve"> or </w:t>
      </w:r>
      <w:r>
        <w:rPr>
          <w:rFonts w:ascii="Times New Roman" w:cs="Times New Roman" w:eastAsia="Times New Roman" w:hAnsi="Times New Roman"/>
          <w:sz w:val="21"/>
          <w:szCs w:val="21"/>
          <w:color w:val="4D4D54"/>
        </w:rPr>
        <w:t>any</w:t>
      </w:r>
      <w:r>
        <w:rPr>
          <w:rFonts w:ascii="Times New Roman" w:cs="Times New Roman" w:eastAsia="Times New Roman" w:hAnsi="Times New Roman"/>
          <w:sz w:val="21"/>
          <w:szCs w:val="21"/>
          <w:color w:val="3B3B42"/>
        </w:rPr>
        <w:t xml:space="preserve"> of </w:t>
      </w:r>
      <w:r>
        <w:rPr>
          <w:rFonts w:ascii="Times New Roman" w:cs="Times New Roman" w:eastAsia="Times New Roman" w:hAnsi="Times New Roman"/>
          <w:sz w:val="21"/>
          <w:szCs w:val="21"/>
          <w:color w:val="4D4D54"/>
        </w:rPr>
        <w:t>its respective subsidiaries</w:t>
      </w:r>
      <w:r>
        <w:rPr>
          <w:rFonts w:ascii="Times New Roman" w:cs="Times New Roman" w:eastAsia="Times New Roman" w:hAnsi="Times New Roman"/>
          <w:sz w:val="21"/>
          <w:szCs w:val="21"/>
          <w:color w:val="3B3B42"/>
        </w:rPr>
        <w:t xml:space="preserve"> and </w:t>
      </w:r>
      <w:r>
        <w:rPr>
          <w:rFonts w:ascii="Times New Roman" w:cs="Times New Roman" w:eastAsia="Times New Roman" w:hAnsi="Times New Roman"/>
          <w:sz w:val="21"/>
          <w:szCs w:val="21"/>
          <w:color w:val="4D4D54"/>
        </w:rPr>
        <w:t>affiliates</w:t>
      </w:r>
      <w:r>
        <w:rPr>
          <w:rFonts w:ascii="Times New Roman" w:cs="Times New Roman" w:eastAsia="Times New Roman" w:hAnsi="Times New Roman"/>
          <w:sz w:val="21"/>
          <w:szCs w:val="21"/>
          <w:color w:val="3B3B42"/>
        </w:rPr>
        <w:t xml:space="preserve"> nece</w:t>
      </w:r>
      <w:r>
        <w:rPr>
          <w:rFonts w:ascii="Times New Roman" w:cs="Times New Roman" w:eastAsia="Times New Roman" w:hAnsi="Times New Roman"/>
          <w:sz w:val="21"/>
          <w:szCs w:val="21"/>
          <w:color w:val="62646B"/>
        </w:rPr>
        <w:t>ssary</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to</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 xml:space="preserve">effectuate such </w:t>
      </w:r>
      <w:r>
        <w:rPr>
          <w:rFonts w:ascii="Times New Roman" w:cs="Times New Roman" w:eastAsia="Times New Roman" w:hAnsi="Times New Roman"/>
          <w:sz w:val="21"/>
          <w:szCs w:val="21"/>
          <w:color w:val="3B3B42"/>
        </w:rPr>
        <w:t>resignat</w:t>
      </w:r>
      <w:r>
        <w:rPr>
          <w:rFonts w:ascii="Times New Roman" w:cs="Times New Roman" w:eastAsia="Times New Roman" w:hAnsi="Times New Roman"/>
          <w:sz w:val="21"/>
          <w:szCs w:val="21"/>
          <w:color w:val="212128"/>
        </w:rPr>
        <w:t>i</w:t>
      </w:r>
      <w:r>
        <w:rPr>
          <w:rFonts w:ascii="Times New Roman" w:cs="Times New Roman" w:eastAsia="Times New Roman" w:hAnsi="Times New Roman"/>
          <w:sz w:val="21"/>
          <w:szCs w:val="21"/>
          <w:color w:val="3B3B42"/>
        </w:rPr>
        <w:t>ons.</w:t>
      </w:r>
    </w:p>
    <w:p>
      <w:pPr>
        <w:spacing w:after="0" w:line="191" w:lineRule="exact"/>
        <w:rPr>
          <w:rFonts w:ascii="Times New Roman" w:cs="Times New Roman" w:eastAsia="Times New Roman" w:hAnsi="Times New Roman"/>
          <w:sz w:val="21"/>
          <w:szCs w:val="21"/>
          <w:color w:val="505259"/>
        </w:rPr>
      </w:pPr>
    </w:p>
    <w:p>
      <w:pPr>
        <w:ind w:left="880" w:right="20" w:firstLine="741"/>
        <w:spacing w:after="0" w:line="248" w:lineRule="auto"/>
        <w:tabs>
          <w:tab w:leader="none" w:pos="2349" w:val="left"/>
        </w:tabs>
        <w:numPr>
          <w:ilvl w:val="2"/>
          <w:numId w:val="74"/>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3B3B42"/>
        </w:rPr>
        <w:t>You agr</w:t>
      </w:r>
      <w:r>
        <w:rPr>
          <w:rFonts w:ascii="Times New Roman" w:cs="Times New Roman" w:eastAsia="Times New Roman" w:hAnsi="Times New Roman"/>
          <w:sz w:val="21"/>
          <w:szCs w:val="21"/>
          <w:color w:val="62646B"/>
        </w:rPr>
        <w:t>ee</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that</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62646B"/>
        </w:rPr>
        <w:t>you</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will promptly</w:t>
      </w:r>
      <w:r>
        <w:rPr>
          <w:rFonts w:ascii="Times New Roman" w:cs="Times New Roman" w:eastAsia="Times New Roman" w:hAnsi="Times New Roman"/>
          <w:sz w:val="21"/>
          <w:szCs w:val="21"/>
          <w:color w:val="3B3B42"/>
        </w:rPr>
        <w:t xml:space="preserve"> inform </w:t>
      </w:r>
      <w:r>
        <w:rPr>
          <w:rFonts w:ascii="Times New Roman" w:cs="Times New Roman" w:eastAsia="Times New Roman" w:hAnsi="Times New Roman"/>
          <w:sz w:val="21"/>
          <w:szCs w:val="21"/>
          <w:color w:val="4D4D54"/>
        </w:rPr>
        <w:t>the Company of the commencement of any</w:t>
      </w:r>
      <w:r>
        <w:rPr>
          <w:rFonts w:ascii="Times New Roman" w:cs="Times New Roman" w:eastAsia="Times New Roman" w:hAnsi="Times New Roman"/>
          <w:sz w:val="21"/>
          <w:szCs w:val="21"/>
          <w:color w:val="3B3B42"/>
        </w:rPr>
        <w:t xml:space="preserve"> new </w:t>
      </w:r>
      <w:r>
        <w:rPr>
          <w:rFonts w:ascii="Times New Roman" w:cs="Times New Roman" w:eastAsia="Times New Roman" w:hAnsi="Times New Roman"/>
          <w:sz w:val="21"/>
          <w:szCs w:val="21"/>
          <w:color w:val="4D4D54"/>
        </w:rPr>
        <w:t>empl</w:t>
      </w:r>
      <w:r>
        <w:rPr>
          <w:rFonts w:ascii="Times New Roman" w:cs="Times New Roman" w:eastAsia="Times New Roman" w:hAnsi="Times New Roman"/>
          <w:sz w:val="21"/>
          <w:szCs w:val="21"/>
          <w:color w:val="212128"/>
        </w:rPr>
        <w:t>o</w:t>
      </w:r>
      <w:r>
        <w:rPr>
          <w:rFonts w:ascii="Times New Roman" w:cs="Times New Roman" w:eastAsia="Times New Roman" w:hAnsi="Times New Roman"/>
          <w:sz w:val="21"/>
          <w:szCs w:val="21"/>
          <w:color w:val="3B3B42"/>
        </w:rPr>
        <w:t>yme</w:t>
      </w:r>
      <w:r>
        <w:rPr>
          <w:rFonts w:ascii="Times New Roman" w:cs="Times New Roman" w:eastAsia="Times New Roman" w:hAnsi="Times New Roman"/>
          <w:sz w:val="21"/>
          <w:szCs w:val="21"/>
          <w:color w:val="212128"/>
        </w:rPr>
        <w:t>n</w:t>
      </w:r>
      <w:r>
        <w:rPr>
          <w:rFonts w:ascii="Times New Roman" w:cs="Times New Roman" w:eastAsia="Times New Roman" w:hAnsi="Times New Roman"/>
          <w:sz w:val="21"/>
          <w:szCs w:val="21"/>
          <w:color w:val="3B3B42"/>
        </w:rPr>
        <w:t xml:space="preserve">t </w:t>
      </w:r>
      <w:r>
        <w:rPr>
          <w:rFonts w:ascii="Times New Roman" w:cs="Times New Roman" w:eastAsia="Times New Roman" w:hAnsi="Times New Roman"/>
          <w:sz w:val="21"/>
          <w:szCs w:val="21"/>
          <w:color w:val="212128"/>
        </w:rPr>
        <w:t>p</w:t>
      </w:r>
      <w:r>
        <w:rPr>
          <w:rFonts w:ascii="Times New Roman" w:cs="Times New Roman" w:eastAsia="Times New Roman" w:hAnsi="Times New Roman"/>
          <w:sz w:val="21"/>
          <w:szCs w:val="21"/>
          <w:color w:val="3B3B42"/>
        </w:rPr>
        <w:t>rior to February 28, 2023</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4D4D54"/>
        </w:rPr>
        <w:t>and</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3B3B42"/>
        </w:rPr>
        <w:t>that your</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4D4D54"/>
        </w:rPr>
        <w:t>employment with the Company, and the Transition Period, will</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3B3B42"/>
        </w:rPr>
        <w:t>end</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4D4D54"/>
        </w:rPr>
        <w:t>on the</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3B3B42"/>
        </w:rPr>
        <w:t>date</w:t>
      </w:r>
      <w:r>
        <w:rPr>
          <w:rFonts w:ascii="Times New Roman" w:cs="Times New Roman" w:eastAsia="Times New Roman" w:hAnsi="Times New Roman"/>
          <w:sz w:val="21"/>
          <w:szCs w:val="21"/>
          <w:color w:val="212128"/>
        </w:rPr>
        <w:t xml:space="preserve"> </w:t>
      </w:r>
      <w:r>
        <w:rPr>
          <w:rFonts w:ascii="Times New Roman" w:cs="Times New Roman" w:eastAsia="Times New Roman" w:hAnsi="Times New Roman"/>
          <w:sz w:val="21"/>
          <w:szCs w:val="21"/>
          <w:color w:val="4D4D54"/>
        </w:rPr>
        <w:t xml:space="preserve">immediately preceding the commencement </w:t>
      </w:r>
      <w:r>
        <w:rPr>
          <w:rFonts w:ascii="Times New Roman" w:cs="Times New Roman" w:eastAsia="Times New Roman" w:hAnsi="Times New Roman"/>
          <w:sz w:val="21"/>
          <w:szCs w:val="21"/>
          <w:color w:val="3B3B42"/>
        </w:rPr>
        <w:t>of</w:t>
      </w:r>
      <w:r>
        <w:rPr>
          <w:rFonts w:ascii="Times New Roman" w:cs="Times New Roman" w:eastAsia="Times New Roman" w:hAnsi="Times New Roman"/>
          <w:sz w:val="21"/>
          <w:szCs w:val="21"/>
          <w:color w:val="4D4D54"/>
        </w:rPr>
        <w:t xml:space="preserve"> your </w:t>
      </w:r>
      <w:r>
        <w:rPr>
          <w:rFonts w:ascii="Times New Roman" w:cs="Times New Roman" w:eastAsia="Times New Roman" w:hAnsi="Times New Roman"/>
          <w:sz w:val="21"/>
          <w:szCs w:val="21"/>
          <w:color w:val="3B3B42"/>
        </w:rPr>
        <w:t>new</w:t>
      </w:r>
      <w:r>
        <w:rPr>
          <w:rFonts w:ascii="Times New Roman" w:cs="Times New Roman" w:eastAsia="Times New Roman" w:hAnsi="Times New Roman"/>
          <w:sz w:val="21"/>
          <w:szCs w:val="21"/>
          <w:color w:val="4D4D54"/>
        </w:rPr>
        <w:t xml:space="preserve"> employment. </w:t>
      </w:r>
      <w:r>
        <w:rPr>
          <w:rFonts w:ascii="Times New Roman" w:cs="Times New Roman" w:eastAsia="Times New Roman" w:hAnsi="Times New Roman"/>
          <w:sz w:val="21"/>
          <w:szCs w:val="21"/>
          <w:color w:val="3B3B42"/>
        </w:rPr>
        <w:t>However, if the</w:t>
      </w:r>
      <w:r>
        <w:rPr>
          <w:rFonts w:ascii="Times New Roman" w:cs="Times New Roman" w:eastAsia="Times New Roman" w:hAnsi="Times New Roman"/>
          <w:sz w:val="21"/>
          <w:szCs w:val="21"/>
          <w:color w:val="4D4D54"/>
        </w:rPr>
        <w:t xml:space="preserve"> CEO approves of your departure </w:t>
      </w:r>
      <w:r>
        <w:rPr>
          <w:rFonts w:ascii="Times New Roman" w:cs="Times New Roman" w:eastAsia="Times New Roman" w:hAnsi="Times New Roman"/>
          <w:sz w:val="21"/>
          <w:szCs w:val="21"/>
          <w:color w:val="3B3B42"/>
        </w:rPr>
        <w:t xml:space="preserve">prior </w:t>
      </w:r>
      <w:r>
        <w:rPr>
          <w:rFonts w:ascii="Times New Roman" w:cs="Times New Roman" w:eastAsia="Times New Roman" w:hAnsi="Times New Roman"/>
          <w:sz w:val="21"/>
          <w:szCs w:val="21"/>
          <w:color w:val="4D4D54"/>
        </w:rPr>
        <w:t>to</w:t>
      </w:r>
      <w:r>
        <w:rPr>
          <w:rFonts w:ascii="Times New Roman" w:cs="Times New Roman" w:eastAsia="Times New Roman" w:hAnsi="Times New Roman"/>
          <w:sz w:val="21"/>
          <w:szCs w:val="21"/>
          <w:color w:val="3B3B42"/>
        </w:rPr>
        <w:t xml:space="preserve"> February 28, 2023 to commence </w:t>
      </w:r>
      <w:r>
        <w:rPr>
          <w:rFonts w:ascii="Times New Roman" w:cs="Times New Roman" w:eastAsia="Times New Roman" w:hAnsi="Times New Roman"/>
          <w:sz w:val="21"/>
          <w:szCs w:val="21"/>
          <w:color w:val="4D4D54"/>
        </w:rPr>
        <w:t>new</w:t>
      </w:r>
      <w:r>
        <w:rPr>
          <w:rFonts w:ascii="Times New Roman" w:cs="Times New Roman" w:eastAsia="Times New Roman" w:hAnsi="Times New Roman"/>
          <w:sz w:val="21"/>
          <w:szCs w:val="21"/>
          <w:color w:val="3B3B42"/>
        </w:rPr>
        <w:t xml:space="preserve"> employment. </w:t>
      </w:r>
      <w:r>
        <w:rPr>
          <w:rFonts w:ascii="Times New Roman" w:cs="Times New Roman" w:eastAsia="Times New Roman" w:hAnsi="Times New Roman"/>
          <w:sz w:val="21"/>
          <w:szCs w:val="21"/>
          <w:color w:val="4D4D54"/>
        </w:rPr>
        <w:t>you will</w:t>
      </w:r>
      <w:r>
        <w:rPr>
          <w:rFonts w:ascii="Times New Roman" w:cs="Times New Roman" w:eastAsia="Times New Roman" w:hAnsi="Times New Roman"/>
          <w:sz w:val="21"/>
          <w:szCs w:val="21"/>
          <w:color w:val="3B3B42"/>
        </w:rPr>
        <w:t xml:space="preserve"> be </w:t>
      </w:r>
      <w:r>
        <w:rPr>
          <w:rFonts w:ascii="Times New Roman" w:cs="Times New Roman" w:eastAsia="Times New Roman" w:hAnsi="Times New Roman"/>
          <w:sz w:val="21"/>
          <w:szCs w:val="21"/>
          <w:color w:val="4D4D54"/>
        </w:rPr>
        <w:t>paid</w:t>
      </w:r>
      <w:r>
        <w:rPr>
          <w:rFonts w:ascii="Times New Roman" w:cs="Times New Roman" w:eastAsia="Times New Roman" w:hAnsi="Times New Roman"/>
          <w:sz w:val="21"/>
          <w:szCs w:val="21"/>
          <w:color w:val="3B3B42"/>
        </w:rPr>
        <w:t xml:space="preserve"> through February 28, 2023 and, </w:t>
      </w:r>
      <w:r>
        <w:rPr>
          <w:rFonts w:ascii="Times New Roman" w:cs="Times New Roman" w:eastAsia="Times New Roman" w:hAnsi="Times New Roman"/>
          <w:sz w:val="21"/>
          <w:szCs w:val="21"/>
          <w:color w:val="4D4D54"/>
        </w:rPr>
        <w:t>if</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62646B"/>
        </w:rPr>
        <w:t>y</w:t>
      </w:r>
      <w:r>
        <w:rPr>
          <w:rFonts w:ascii="Times New Roman" w:cs="Times New Roman" w:eastAsia="Times New Roman" w:hAnsi="Times New Roman"/>
          <w:sz w:val="21"/>
          <w:szCs w:val="21"/>
          <w:color w:val="3B3B42"/>
        </w:rPr>
        <w:t xml:space="preserve">ou </w:t>
      </w:r>
      <w:r>
        <w:rPr>
          <w:rFonts w:ascii="Times New Roman" w:cs="Times New Roman" w:eastAsia="Times New Roman" w:hAnsi="Times New Roman"/>
          <w:sz w:val="21"/>
          <w:szCs w:val="21"/>
          <w:color w:val="62646B"/>
        </w:rPr>
        <w:t>sat</w:t>
      </w:r>
      <w:r>
        <w:rPr>
          <w:rFonts w:ascii="Times New Roman" w:cs="Times New Roman" w:eastAsia="Times New Roman" w:hAnsi="Times New Roman"/>
          <w:sz w:val="21"/>
          <w:szCs w:val="21"/>
          <w:color w:val="3B3B42"/>
        </w:rPr>
        <w:t>isfy</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the Conditions, you will also be</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entitled</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to the Severance</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Benefits.</w:t>
      </w:r>
    </w:p>
    <w:p>
      <w:pPr>
        <w:spacing w:after="0" w:line="144" w:lineRule="exact"/>
        <w:rPr>
          <w:rFonts w:ascii="Times New Roman" w:cs="Times New Roman" w:eastAsia="Times New Roman" w:hAnsi="Times New Roman"/>
          <w:sz w:val="21"/>
          <w:szCs w:val="21"/>
          <w:color w:val="505259"/>
        </w:rPr>
      </w:pPr>
    </w:p>
    <w:p>
      <w:pPr>
        <w:ind w:left="860" w:hanging="708"/>
        <w:spacing w:after="0" w:line="253" w:lineRule="auto"/>
        <w:tabs>
          <w:tab w:leader="none" w:pos="860" w:val="left"/>
        </w:tabs>
        <w:numPr>
          <w:ilvl w:val="0"/>
          <w:numId w:val="75"/>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2"/>
          <w:szCs w:val="22"/>
          <w:b w:val="1"/>
          <w:bCs w:val="1"/>
          <w:color w:val="3B3B42"/>
        </w:rPr>
        <w:t>C</w:t>
      </w:r>
      <w:r>
        <w:rPr>
          <w:rFonts w:ascii="Times New Roman" w:cs="Times New Roman" w:eastAsia="Times New Roman" w:hAnsi="Times New Roman"/>
          <w:sz w:val="22"/>
          <w:szCs w:val="22"/>
          <w:b w:val="1"/>
          <w:bCs w:val="1"/>
          <w:color w:val="212128"/>
        </w:rPr>
        <w:t>onditi</w:t>
      </w:r>
      <w:r>
        <w:rPr>
          <w:rFonts w:ascii="Times New Roman" w:cs="Times New Roman" w:eastAsia="Times New Roman" w:hAnsi="Times New Roman"/>
          <w:sz w:val="22"/>
          <w:szCs w:val="22"/>
          <w:b w:val="1"/>
          <w:bCs w:val="1"/>
          <w:color w:val="3B3B42"/>
        </w:rPr>
        <w:t>o</w:t>
      </w:r>
      <w:r>
        <w:rPr>
          <w:rFonts w:ascii="Times New Roman" w:cs="Times New Roman" w:eastAsia="Times New Roman" w:hAnsi="Times New Roman"/>
          <w:sz w:val="22"/>
          <w:szCs w:val="22"/>
          <w:b w:val="1"/>
          <w:bCs w:val="1"/>
          <w:color w:val="212128"/>
        </w:rPr>
        <w:t>ns</w:t>
      </w:r>
      <w:r>
        <w:rPr>
          <w:rFonts w:ascii="Times New Roman" w:cs="Times New Roman" w:eastAsia="Times New Roman" w:hAnsi="Times New Roman"/>
          <w:sz w:val="22"/>
          <w:szCs w:val="22"/>
          <w:b w:val="1"/>
          <w:bCs w:val="1"/>
          <w:color w:val="3B3B42"/>
        </w:rPr>
        <w:t xml:space="preserve"> for Se</w:t>
      </w:r>
      <w:r>
        <w:rPr>
          <w:rFonts w:ascii="Times New Roman" w:cs="Times New Roman" w:eastAsia="Times New Roman" w:hAnsi="Times New Roman"/>
          <w:sz w:val="22"/>
          <w:szCs w:val="22"/>
          <w:b w:val="1"/>
          <w:bCs w:val="1"/>
          <w:color w:val="212128"/>
        </w:rPr>
        <w:t>ve</w:t>
      </w:r>
      <w:r>
        <w:rPr>
          <w:rFonts w:ascii="Times New Roman" w:cs="Times New Roman" w:eastAsia="Times New Roman" w:hAnsi="Times New Roman"/>
          <w:sz w:val="22"/>
          <w:szCs w:val="22"/>
          <w:b w:val="1"/>
          <w:bCs w:val="1"/>
          <w:color w:val="3B3B42"/>
        </w:rPr>
        <w:t>ranc</w:t>
      </w:r>
      <w:r>
        <w:rPr>
          <w:rFonts w:ascii="Times New Roman" w:cs="Times New Roman" w:eastAsia="Times New Roman" w:hAnsi="Times New Roman"/>
          <w:sz w:val="22"/>
          <w:szCs w:val="22"/>
          <w:b w:val="1"/>
          <w:bCs w:val="1"/>
          <w:color w:val="212128"/>
        </w:rPr>
        <w:t>e B</w:t>
      </w:r>
      <w:r>
        <w:rPr>
          <w:rFonts w:ascii="Times New Roman" w:cs="Times New Roman" w:eastAsia="Times New Roman" w:hAnsi="Times New Roman"/>
          <w:sz w:val="22"/>
          <w:szCs w:val="22"/>
          <w:b w:val="1"/>
          <w:bCs w:val="1"/>
          <w:color w:val="3B3B42"/>
        </w:rPr>
        <w:t>e</w:t>
      </w:r>
      <w:r>
        <w:rPr>
          <w:rFonts w:ascii="Times New Roman" w:cs="Times New Roman" w:eastAsia="Times New Roman" w:hAnsi="Times New Roman"/>
          <w:sz w:val="22"/>
          <w:szCs w:val="22"/>
          <w:b w:val="1"/>
          <w:bCs w:val="1"/>
          <w:color w:val="212128"/>
        </w:rPr>
        <w:t>n</w:t>
      </w:r>
      <w:r>
        <w:rPr>
          <w:rFonts w:ascii="Times New Roman" w:cs="Times New Roman" w:eastAsia="Times New Roman" w:hAnsi="Times New Roman"/>
          <w:sz w:val="22"/>
          <w:szCs w:val="22"/>
          <w:b w:val="1"/>
          <w:bCs w:val="1"/>
          <w:color w:val="3B3B42"/>
        </w:rPr>
        <w:t>e</w:t>
      </w:r>
      <w:r>
        <w:rPr>
          <w:rFonts w:ascii="Times New Roman" w:cs="Times New Roman" w:eastAsia="Times New Roman" w:hAnsi="Times New Roman"/>
          <w:sz w:val="22"/>
          <w:szCs w:val="22"/>
          <w:b w:val="1"/>
          <w:bCs w:val="1"/>
          <w:color w:val="212128"/>
        </w:rPr>
        <w:t>fi</w:t>
      </w:r>
      <w:r>
        <w:rPr>
          <w:rFonts w:ascii="Times New Roman" w:cs="Times New Roman" w:eastAsia="Times New Roman" w:hAnsi="Times New Roman"/>
          <w:sz w:val="22"/>
          <w:szCs w:val="22"/>
          <w:b w:val="1"/>
          <w:bCs w:val="1"/>
          <w:color w:val="3B3B42"/>
        </w:rPr>
        <w:t xml:space="preserve">ts. </w:t>
      </w:r>
      <w:r>
        <w:rPr>
          <w:rFonts w:ascii="Times New Roman" w:cs="Times New Roman" w:eastAsia="Times New Roman" w:hAnsi="Times New Roman"/>
          <w:sz w:val="20"/>
          <w:szCs w:val="20"/>
          <w:color w:val="3B3B42"/>
        </w:rPr>
        <w:t>To</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4D4D54"/>
        </w:rPr>
        <w:t>receive</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3B3B42"/>
        </w:rPr>
        <w:t>the</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4D4D54"/>
        </w:rPr>
        <w:t>Severance</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3B3B42"/>
        </w:rPr>
        <w:t>Benefits</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4D4D54"/>
        </w:rPr>
        <w:t>set forth in Section 4</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3B3B42"/>
        </w:rPr>
        <w:t>below</w:t>
      </w:r>
      <w:r>
        <w:rPr>
          <w:rFonts w:ascii="Times New Roman" w:cs="Times New Roman" w:eastAsia="Times New Roman" w:hAnsi="Times New Roman"/>
          <w:sz w:val="20"/>
          <w:szCs w:val="20"/>
          <w:color w:val="62646B"/>
        </w:rPr>
        <w:t>,</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4D4D54"/>
        </w:rPr>
        <w:t>you must (i) enter</w:t>
      </w:r>
      <w:r>
        <w:rPr>
          <w:rFonts w:ascii="Times New Roman" w:cs="Times New Roman" w:eastAsia="Times New Roman" w:hAnsi="Times New Roman"/>
          <w:sz w:val="22"/>
          <w:szCs w:val="22"/>
          <w:b w:val="1"/>
          <w:bCs w:val="1"/>
          <w:color w:val="3B3B42"/>
        </w:rPr>
        <w:t xml:space="preserve"> </w:t>
      </w:r>
      <w:r>
        <w:rPr>
          <w:rFonts w:ascii="Times New Roman" w:cs="Times New Roman" w:eastAsia="Times New Roman" w:hAnsi="Times New Roman"/>
          <w:sz w:val="20"/>
          <w:szCs w:val="20"/>
          <w:color w:val="4D4D54"/>
        </w:rPr>
        <w:t xml:space="preserve">into and comply with this </w:t>
      </w:r>
      <w:r>
        <w:rPr>
          <w:rFonts w:ascii="Times New Roman" w:cs="Times New Roman" w:eastAsia="Times New Roman" w:hAnsi="Times New Roman"/>
          <w:sz w:val="20"/>
          <w:szCs w:val="20"/>
          <w:color w:val="3B3B42"/>
        </w:rPr>
        <w:t>Agreement,</w:t>
      </w:r>
      <w:r>
        <w:rPr>
          <w:rFonts w:ascii="Times New Roman" w:cs="Times New Roman" w:eastAsia="Times New Roman" w:hAnsi="Times New Roman"/>
          <w:sz w:val="20"/>
          <w:szCs w:val="20"/>
          <w:color w:val="4D4D54"/>
        </w:rPr>
        <w:t xml:space="preserve"> (ii) </w:t>
      </w:r>
      <w:r>
        <w:rPr>
          <w:rFonts w:ascii="Times New Roman" w:cs="Times New Roman" w:eastAsia="Times New Roman" w:hAnsi="Times New Roman"/>
          <w:sz w:val="20"/>
          <w:szCs w:val="20"/>
          <w:color w:val="3B3B42"/>
        </w:rPr>
        <w:t>not be terminated by the Company</w:t>
      </w:r>
      <w:r>
        <w:rPr>
          <w:rFonts w:ascii="Times New Roman" w:cs="Times New Roman" w:eastAsia="Times New Roman" w:hAnsi="Times New Roman"/>
          <w:sz w:val="20"/>
          <w:szCs w:val="20"/>
          <w:color w:val="4D4D54"/>
        </w:rPr>
        <w:t xml:space="preserve"> for Cause, (iii) not </w:t>
      </w:r>
      <w:r>
        <w:rPr>
          <w:rFonts w:ascii="Times New Roman" w:cs="Times New Roman" w:eastAsia="Times New Roman" w:hAnsi="Times New Roman"/>
          <w:sz w:val="20"/>
          <w:szCs w:val="20"/>
          <w:color w:val="3B3B42"/>
        </w:rPr>
        <w:t>resign</w:t>
      </w:r>
      <w:r>
        <w:rPr>
          <w:rFonts w:ascii="Times New Roman" w:cs="Times New Roman" w:eastAsia="Times New Roman" w:hAnsi="Times New Roman"/>
          <w:sz w:val="20"/>
          <w:szCs w:val="20"/>
          <w:color w:val="4D4D54"/>
        </w:rPr>
        <w:t xml:space="preserve"> from your emp</w:t>
      </w:r>
      <w:r>
        <w:rPr>
          <w:rFonts w:ascii="Times New Roman" w:cs="Times New Roman" w:eastAsia="Times New Roman" w:hAnsi="Times New Roman"/>
          <w:sz w:val="20"/>
          <w:szCs w:val="20"/>
          <w:color w:val="212128"/>
        </w:rPr>
        <w:t>l</w:t>
      </w:r>
      <w:r>
        <w:rPr>
          <w:rFonts w:ascii="Times New Roman" w:cs="Times New Roman" w:eastAsia="Times New Roman" w:hAnsi="Times New Roman"/>
          <w:sz w:val="20"/>
          <w:szCs w:val="20"/>
          <w:color w:val="3B3B42"/>
        </w:rPr>
        <w:t>oyment without the</w:t>
      </w:r>
      <w:r>
        <w:rPr>
          <w:rFonts w:ascii="Times New Roman" w:cs="Times New Roman" w:eastAsia="Times New Roman" w:hAnsi="Times New Roman"/>
          <w:sz w:val="20"/>
          <w:szCs w:val="20"/>
          <w:color w:val="4D4D54"/>
        </w:rPr>
        <w:t xml:space="preserve"> prior written approval of the Company's </w:t>
      </w:r>
      <w:r>
        <w:rPr>
          <w:rFonts w:ascii="Times New Roman" w:cs="Times New Roman" w:eastAsia="Times New Roman" w:hAnsi="Times New Roman"/>
          <w:sz w:val="20"/>
          <w:szCs w:val="20"/>
          <w:color w:val="3B3B42"/>
        </w:rPr>
        <w:t>Chief</w:t>
      </w:r>
      <w:r>
        <w:rPr>
          <w:rFonts w:ascii="Times New Roman" w:cs="Times New Roman" w:eastAsia="Times New Roman" w:hAnsi="Times New Roman"/>
          <w:sz w:val="20"/>
          <w:szCs w:val="20"/>
          <w:color w:val="4D4D54"/>
        </w:rPr>
        <w:t xml:space="preserve"> Executive </w:t>
      </w:r>
      <w:r>
        <w:rPr>
          <w:rFonts w:ascii="Times New Roman" w:cs="Times New Roman" w:eastAsia="Times New Roman" w:hAnsi="Times New Roman"/>
          <w:sz w:val="20"/>
          <w:szCs w:val="20"/>
          <w:color w:val="3B3B42"/>
        </w:rPr>
        <w:t>Officer</w:t>
      </w:r>
      <w:r>
        <w:rPr>
          <w:rFonts w:ascii="Times New Roman" w:cs="Times New Roman" w:eastAsia="Times New Roman" w:hAnsi="Times New Roman"/>
          <w:sz w:val="20"/>
          <w:szCs w:val="20"/>
          <w:color w:val="4D4D54"/>
        </w:rPr>
        <w:t xml:space="preserve"> ("CEO") and (iv) enter </w:t>
      </w:r>
      <w:r>
        <w:rPr>
          <w:rFonts w:ascii="Times New Roman" w:cs="Times New Roman" w:eastAsia="Times New Roman" w:hAnsi="Times New Roman"/>
          <w:sz w:val="20"/>
          <w:szCs w:val="20"/>
          <w:color w:val="3B3B42"/>
        </w:rPr>
        <w:t>into</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3B3B42"/>
        </w:rPr>
        <w:t xml:space="preserve">and </w:t>
      </w:r>
      <w:r>
        <w:rPr>
          <w:rFonts w:ascii="Times New Roman" w:cs="Times New Roman" w:eastAsia="Times New Roman" w:hAnsi="Times New Roman"/>
          <w:sz w:val="20"/>
          <w:szCs w:val="20"/>
          <w:color w:val="4D4D54"/>
        </w:rPr>
        <w:t>not</w:t>
      </w:r>
      <w:r>
        <w:rPr>
          <w:rFonts w:ascii="Times New Roman" w:cs="Times New Roman" w:eastAsia="Times New Roman" w:hAnsi="Times New Roman"/>
          <w:sz w:val="20"/>
          <w:szCs w:val="20"/>
          <w:color w:val="3B3B42"/>
        </w:rPr>
        <w:t xml:space="preserve"> </w:t>
      </w:r>
      <w:r>
        <w:rPr>
          <w:rFonts w:ascii="Times New Roman" w:cs="Times New Roman" w:eastAsia="Times New Roman" w:hAnsi="Times New Roman"/>
          <w:sz w:val="20"/>
          <w:szCs w:val="20"/>
          <w:color w:val="212128"/>
        </w:rPr>
        <w:t>r</w:t>
      </w:r>
      <w:r>
        <w:rPr>
          <w:rFonts w:ascii="Times New Roman" w:cs="Times New Roman" w:eastAsia="Times New Roman" w:hAnsi="Times New Roman"/>
          <w:sz w:val="20"/>
          <w:szCs w:val="20"/>
          <w:color w:val="3B3B42"/>
        </w:rPr>
        <w:t>evoke the cert</w:t>
      </w:r>
      <w:r>
        <w:rPr>
          <w:rFonts w:ascii="Times New Roman" w:cs="Times New Roman" w:eastAsia="Times New Roman" w:hAnsi="Times New Roman"/>
          <w:sz w:val="20"/>
          <w:szCs w:val="20"/>
          <w:color w:val="212128"/>
        </w:rPr>
        <w:t>i</w:t>
      </w:r>
      <w:r>
        <w:rPr>
          <w:rFonts w:ascii="Times New Roman" w:cs="Times New Roman" w:eastAsia="Times New Roman" w:hAnsi="Times New Roman"/>
          <w:sz w:val="20"/>
          <w:szCs w:val="20"/>
          <w:color w:val="4D4D54"/>
        </w:rPr>
        <w:t>ficate</w:t>
      </w:r>
      <w:r>
        <w:rPr>
          <w:rFonts w:ascii="Times New Roman" w:cs="Times New Roman" w:eastAsia="Times New Roman" w:hAnsi="Times New Roman"/>
          <w:sz w:val="20"/>
          <w:szCs w:val="20"/>
          <w:color w:val="3B3B42"/>
        </w:rPr>
        <w:t xml:space="preserve"> attached hereto as </w:t>
      </w:r>
      <w:r>
        <w:rPr>
          <w:rFonts w:ascii="Times New Roman" w:cs="Times New Roman" w:eastAsia="Times New Roman" w:hAnsi="Times New Roman"/>
          <w:sz w:val="20"/>
          <w:szCs w:val="20"/>
          <w:color w:val="62646B"/>
        </w:rPr>
        <w:t>Ex</w:t>
      </w:r>
      <w:r>
        <w:rPr>
          <w:rFonts w:ascii="Times New Roman" w:cs="Times New Roman" w:eastAsia="Times New Roman" w:hAnsi="Times New Roman"/>
          <w:sz w:val="20"/>
          <w:szCs w:val="20"/>
          <w:color w:val="3B3B42"/>
        </w:rPr>
        <w:t xml:space="preserve">hibit A, which updates the </w:t>
      </w:r>
      <w:r>
        <w:rPr>
          <w:rFonts w:ascii="Times New Roman" w:cs="Times New Roman" w:eastAsia="Times New Roman" w:hAnsi="Times New Roman"/>
          <w:sz w:val="20"/>
          <w:szCs w:val="20"/>
          <w:color w:val="4D4D54"/>
        </w:rPr>
        <w:t>release of claims</w:t>
      </w:r>
      <w:r>
        <w:rPr>
          <w:rFonts w:ascii="Times New Roman" w:cs="Times New Roman" w:eastAsia="Times New Roman" w:hAnsi="Times New Roman"/>
          <w:sz w:val="20"/>
          <w:szCs w:val="20"/>
          <w:color w:val="3B3B42"/>
        </w:rPr>
        <w:t xml:space="preserve"> in Section 5 </w:t>
      </w:r>
      <w:r>
        <w:rPr>
          <w:rFonts w:ascii="Times New Roman" w:cs="Times New Roman" w:eastAsia="Times New Roman" w:hAnsi="Times New Roman"/>
          <w:sz w:val="20"/>
          <w:szCs w:val="20"/>
          <w:color w:val="4D4D54"/>
        </w:rPr>
        <w:t>of this</w:t>
      </w:r>
      <w:r>
        <w:rPr>
          <w:rFonts w:ascii="Times New Roman" w:cs="Times New Roman" w:eastAsia="Times New Roman" w:hAnsi="Times New Roman"/>
          <w:sz w:val="20"/>
          <w:szCs w:val="20"/>
          <w:color w:val="3B3B42"/>
        </w:rPr>
        <w:t xml:space="preserve"> </w:t>
      </w:r>
      <w:r>
        <w:rPr>
          <w:rFonts w:ascii="Times New Roman" w:cs="Times New Roman" w:eastAsia="Times New Roman" w:hAnsi="Times New Roman"/>
          <w:sz w:val="20"/>
          <w:szCs w:val="20"/>
          <w:color w:val="4D4D54"/>
        </w:rPr>
        <w:t xml:space="preserve">Agreement and adds </w:t>
      </w:r>
      <w:r>
        <w:rPr>
          <w:rFonts w:ascii="Times New Roman" w:cs="Times New Roman" w:eastAsia="Times New Roman" w:hAnsi="Times New Roman"/>
          <w:sz w:val="20"/>
          <w:szCs w:val="20"/>
          <w:color w:val="3B3B42"/>
        </w:rPr>
        <w:t>a</w:t>
      </w:r>
      <w:r>
        <w:rPr>
          <w:rFonts w:ascii="Times New Roman" w:cs="Times New Roman" w:eastAsia="Times New Roman" w:hAnsi="Times New Roman"/>
          <w:sz w:val="20"/>
          <w:szCs w:val="20"/>
          <w:color w:val="4D4D54"/>
        </w:rPr>
        <w:t xml:space="preserve"> release under the Age Discrimination in Employment Act </w:t>
      </w:r>
      <w:r>
        <w:rPr>
          <w:rFonts w:ascii="Times New Roman" w:cs="Times New Roman" w:eastAsia="Times New Roman" w:hAnsi="Times New Roman"/>
          <w:sz w:val="20"/>
          <w:szCs w:val="20"/>
          <w:color w:val="3B3B42"/>
        </w:rPr>
        <w:t>(th</w:t>
      </w:r>
      <w:r>
        <w:rPr>
          <w:rFonts w:ascii="Times New Roman" w:cs="Times New Roman" w:eastAsia="Times New Roman" w:hAnsi="Times New Roman"/>
          <w:sz w:val="20"/>
          <w:szCs w:val="20"/>
          <w:color w:val="62646B"/>
        </w:rPr>
        <w:t>e "Cert</w:t>
      </w:r>
      <w:r>
        <w:rPr>
          <w:rFonts w:ascii="Times New Roman" w:cs="Times New Roman" w:eastAsia="Times New Roman" w:hAnsi="Times New Roman"/>
          <w:sz w:val="20"/>
          <w:szCs w:val="20"/>
          <w:color w:val="3B3B42"/>
        </w:rPr>
        <w:t>ificate</w:t>
      </w:r>
      <w:r>
        <w:rPr>
          <w:rFonts w:ascii="Times New Roman" w:cs="Times New Roman" w:eastAsia="Times New Roman" w:hAnsi="Times New Roman"/>
          <w:sz w:val="20"/>
          <w:szCs w:val="20"/>
          <w:color w:val="62646B"/>
        </w:rPr>
        <w:t>")</w:t>
      </w:r>
      <w:r>
        <w:rPr>
          <w:rFonts w:ascii="Times New Roman" w:cs="Times New Roman" w:eastAsia="Times New Roman" w:hAnsi="Times New Roman"/>
          <w:sz w:val="20"/>
          <w:szCs w:val="20"/>
          <w:color w:val="4D4D54"/>
        </w:rPr>
        <w:t xml:space="preserve"> within the timeframe set </w:t>
      </w:r>
      <w:r>
        <w:rPr>
          <w:rFonts w:ascii="Times New Roman" w:cs="Times New Roman" w:eastAsia="Times New Roman" w:hAnsi="Times New Roman"/>
          <w:sz w:val="20"/>
          <w:szCs w:val="20"/>
          <w:color w:val="3B3B42"/>
        </w:rPr>
        <w:t>forth</w:t>
      </w:r>
      <w:r>
        <w:rPr>
          <w:rFonts w:ascii="Times New Roman" w:cs="Times New Roman" w:eastAsia="Times New Roman" w:hAnsi="Times New Roman"/>
          <w:sz w:val="20"/>
          <w:szCs w:val="20"/>
          <w:color w:val="4D4D54"/>
        </w:rPr>
        <w:t xml:space="preserve"> therein. For the </w:t>
      </w:r>
      <w:r>
        <w:rPr>
          <w:rFonts w:ascii="Times New Roman" w:cs="Times New Roman" w:eastAsia="Times New Roman" w:hAnsi="Times New Roman"/>
          <w:sz w:val="20"/>
          <w:szCs w:val="20"/>
          <w:color w:val="3B3B42"/>
        </w:rPr>
        <w:t>avoidance of doubt, if</w:t>
      </w:r>
      <w:r>
        <w:rPr>
          <w:rFonts w:ascii="Times New Roman" w:cs="Times New Roman" w:eastAsia="Times New Roman" w:hAnsi="Times New Roman"/>
          <w:sz w:val="20"/>
          <w:szCs w:val="20"/>
          <w:color w:val="4D4D54"/>
        </w:rPr>
        <w:t xml:space="preserve"> the </w:t>
      </w:r>
      <w:r>
        <w:rPr>
          <w:rFonts w:ascii="Times New Roman" w:cs="Times New Roman" w:eastAsia="Times New Roman" w:hAnsi="Times New Roman"/>
          <w:sz w:val="20"/>
          <w:szCs w:val="20"/>
          <w:color w:val="3B3B42"/>
        </w:rPr>
        <w:t>Company</w:t>
      </w:r>
      <w:r>
        <w:rPr>
          <w:rFonts w:ascii="Times New Roman" w:cs="Times New Roman" w:eastAsia="Times New Roman" w:hAnsi="Times New Roman"/>
          <w:sz w:val="20"/>
          <w:szCs w:val="20"/>
          <w:color w:val="4D4D54"/>
        </w:rPr>
        <w:t xml:space="preserve"> terminates your employment for </w:t>
      </w:r>
      <w:r>
        <w:rPr>
          <w:rFonts w:ascii="Times New Roman" w:cs="Times New Roman" w:eastAsia="Times New Roman" w:hAnsi="Times New Roman"/>
          <w:sz w:val="20"/>
          <w:szCs w:val="20"/>
          <w:color w:val="3B3B42"/>
        </w:rPr>
        <w:t>Cause</w:t>
      </w:r>
      <w:r>
        <w:rPr>
          <w:rFonts w:ascii="Times New Roman" w:cs="Times New Roman" w:eastAsia="Times New Roman" w:hAnsi="Times New Roman"/>
          <w:sz w:val="20"/>
          <w:szCs w:val="20"/>
          <w:color w:val="62646B"/>
        </w:rPr>
        <w:t>,</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3B3B42"/>
        </w:rPr>
        <w:t>or if</w:t>
      </w:r>
      <w:r>
        <w:rPr>
          <w:rFonts w:ascii="Times New Roman" w:cs="Times New Roman" w:eastAsia="Times New Roman" w:hAnsi="Times New Roman"/>
          <w:sz w:val="20"/>
          <w:szCs w:val="20"/>
          <w:color w:val="4D4D54"/>
        </w:rPr>
        <w:t xml:space="preserve"> you </w:t>
      </w:r>
      <w:r>
        <w:rPr>
          <w:rFonts w:ascii="Times New Roman" w:cs="Times New Roman" w:eastAsia="Times New Roman" w:hAnsi="Times New Roman"/>
          <w:sz w:val="20"/>
          <w:szCs w:val="20"/>
          <w:color w:val="3B3B42"/>
        </w:rPr>
        <w:t>fail</w:t>
      </w:r>
      <w:r>
        <w:rPr>
          <w:rFonts w:ascii="Times New Roman" w:cs="Times New Roman" w:eastAsia="Times New Roman" w:hAnsi="Times New Roman"/>
          <w:sz w:val="20"/>
          <w:szCs w:val="20"/>
          <w:color w:val="4D4D54"/>
        </w:rPr>
        <w:t xml:space="preserve"> to satisfy any of the Conditions</w:t>
      </w:r>
      <w:r>
        <w:rPr>
          <w:rFonts w:ascii="Times New Roman" w:cs="Times New Roman" w:eastAsia="Times New Roman" w:hAnsi="Times New Roman"/>
          <w:sz w:val="20"/>
          <w:szCs w:val="20"/>
          <w:color w:val="77797E"/>
        </w:rPr>
        <w:t>,</w:t>
      </w:r>
      <w:r>
        <w:rPr>
          <w:rFonts w:ascii="Times New Roman" w:cs="Times New Roman" w:eastAsia="Times New Roman" w:hAnsi="Times New Roman"/>
          <w:sz w:val="20"/>
          <w:szCs w:val="20"/>
          <w:color w:val="4D4D54"/>
        </w:rPr>
        <w:t xml:space="preserve"> </w:t>
      </w:r>
      <w:r>
        <w:rPr>
          <w:rFonts w:ascii="Times New Roman" w:cs="Times New Roman" w:eastAsia="Times New Roman" w:hAnsi="Times New Roman"/>
          <w:sz w:val="20"/>
          <w:szCs w:val="20"/>
          <w:color w:val="62646B"/>
        </w:rPr>
        <w:t>your employment</w:t>
      </w:r>
      <w:r>
        <w:rPr>
          <w:rFonts w:ascii="Times New Roman" w:cs="Times New Roman" w:eastAsia="Times New Roman" w:hAnsi="Times New Roman"/>
          <w:sz w:val="20"/>
          <w:szCs w:val="20"/>
          <w:color w:val="4D4D54"/>
        </w:rPr>
        <w:t xml:space="preserve"> will end and you will be entitled to the </w:t>
      </w:r>
      <w:r>
        <w:rPr>
          <w:rFonts w:ascii="Times New Roman" w:cs="Times New Roman" w:eastAsia="Times New Roman" w:hAnsi="Times New Roman"/>
          <w:sz w:val="20"/>
          <w:szCs w:val="20"/>
          <w:color w:val="3B3B42"/>
        </w:rPr>
        <w:t>Accrued</w:t>
      </w:r>
      <w:r>
        <w:rPr>
          <w:rFonts w:ascii="Times New Roman" w:cs="Times New Roman" w:eastAsia="Times New Roman" w:hAnsi="Times New Roman"/>
          <w:sz w:val="20"/>
          <w:szCs w:val="20"/>
          <w:color w:val="4D4D54"/>
        </w:rPr>
        <w:t xml:space="preserve"> Obligations </w:t>
      </w:r>
      <w:r>
        <w:rPr>
          <w:rFonts w:ascii="Times New Roman" w:cs="Times New Roman" w:eastAsia="Times New Roman" w:hAnsi="Times New Roman"/>
          <w:sz w:val="20"/>
          <w:szCs w:val="20"/>
          <w:color w:val="3B3B42"/>
        </w:rPr>
        <w:t xml:space="preserve">but </w:t>
      </w:r>
      <w:r>
        <w:rPr>
          <w:rFonts w:ascii="Times New Roman" w:cs="Times New Roman" w:eastAsia="Times New Roman" w:hAnsi="Times New Roman"/>
          <w:sz w:val="20"/>
          <w:szCs w:val="20"/>
          <w:color w:val="4D4D54"/>
        </w:rPr>
        <w:t>w</w:t>
      </w:r>
      <w:r>
        <w:rPr>
          <w:rFonts w:ascii="Times New Roman" w:cs="Times New Roman" w:eastAsia="Times New Roman" w:hAnsi="Times New Roman"/>
          <w:sz w:val="20"/>
          <w:szCs w:val="20"/>
          <w:color w:val="212128"/>
        </w:rPr>
        <w:t>i</w:t>
      </w:r>
      <w:r>
        <w:rPr>
          <w:rFonts w:ascii="Times New Roman" w:cs="Times New Roman" w:eastAsia="Times New Roman" w:hAnsi="Times New Roman"/>
          <w:sz w:val="20"/>
          <w:szCs w:val="20"/>
          <w:color w:val="3B3B42"/>
        </w:rPr>
        <w:t xml:space="preserve">ll not be </w:t>
      </w:r>
      <w:r>
        <w:rPr>
          <w:rFonts w:ascii="Times New Roman" w:cs="Times New Roman" w:eastAsia="Times New Roman" w:hAnsi="Times New Roman"/>
          <w:sz w:val="20"/>
          <w:szCs w:val="20"/>
          <w:color w:val="4D4D54"/>
        </w:rPr>
        <w:t>entitled to the Seve</w:t>
      </w:r>
      <w:r>
        <w:rPr>
          <w:rFonts w:ascii="Times New Roman" w:cs="Times New Roman" w:eastAsia="Times New Roman" w:hAnsi="Times New Roman"/>
          <w:sz w:val="20"/>
          <w:szCs w:val="20"/>
          <w:color w:val="212128"/>
        </w:rPr>
        <w:t>r</w:t>
      </w:r>
      <w:r>
        <w:rPr>
          <w:rFonts w:ascii="Times New Roman" w:cs="Times New Roman" w:eastAsia="Times New Roman" w:hAnsi="Times New Roman"/>
          <w:sz w:val="20"/>
          <w:szCs w:val="20"/>
          <w:color w:val="3B3B42"/>
        </w:rPr>
        <w:t xml:space="preserve">ance Benefits set </w:t>
      </w:r>
      <w:r>
        <w:rPr>
          <w:rFonts w:ascii="Times New Roman" w:cs="Times New Roman" w:eastAsia="Times New Roman" w:hAnsi="Times New Roman"/>
          <w:sz w:val="20"/>
          <w:szCs w:val="20"/>
          <w:color w:val="4D4D54"/>
        </w:rPr>
        <w:t>forth in Sect</w:t>
      </w:r>
      <w:r>
        <w:rPr>
          <w:rFonts w:ascii="Times New Roman" w:cs="Times New Roman" w:eastAsia="Times New Roman" w:hAnsi="Times New Roman"/>
          <w:sz w:val="20"/>
          <w:szCs w:val="20"/>
          <w:color w:val="212128"/>
        </w:rPr>
        <w:t>i</w:t>
      </w:r>
      <w:r>
        <w:rPr>
          <w:rFonts w:ascii="Times New Roman" w:cs="Times New Roman" w:eastAsia="Times New Roman" w:hAnsi="Times New Roman"/>
          <w:sz w:val="20"/>
          <w:szCs w:val="20"/>
          <w:color w:val="3B3B42"/>
        </w:rPr>
        <w:t xml:space="preserve">on 4 </w:t>
      </w:r>
      <w:r>
        <w:rPr>
          <w:rFonts w:ascii="Times New Roman" w:cs="Times New Roman" w:eastAsia="Times New Roman" w:hAnsi="Times New Roman"/>
          <w:sz w:val="20"/>
          <w:szCs w:val="20"/>
          <w:color w:val="4D4D54"/>
        </w:rPr>
        <w:t>or any other post-employment compensation or</w:t>
      </w:r>
      <w:r>
        <w:rPr>
          <w:rFonts w:ascii="Times New Roman" w:cs="Times New Roman" w:eastAsia="Times New Roman" w:hAnsi="Times New Roman"/>
          <w:sz w:val="20"/>
          <w:szCs w:val="20"/>
          <w:color w:val="3B3B42"/>
        </w:rPr>
        <w:t xml:space="preserve"> benefits </w:t>
      </w:r>
      <w:r>
        <w:rPr>
          <w:rFonts w:ascii="Times New Roman" w:cs="Times New Roman" w:eastAsia="Times New Roman" w:hAnsi="Times New Roman"/>
          <w:sz w:val="20"/>
          <w:szCs w:val="20"/>
          <w:color w:val="4D4D54"/>
        </w:rPr>
        <w:t>from</w:t>
      </w:r>
      <w:r>
        <w:rPr>
          <w:rFonts w:ascii="Times New Roman" w:cs="Times New Roman" w:eastAsia="Times New Roman" w:hAnsi="Times New Roman"/>
          <w:sz w:val="20"/>
          <w:szCs w:val="20"/>
          <w:color w:val="3B3B42"/>
        </w:rPr>
        <w:t xml:space="preserve"> the </w:t>
      </w:r>
      <w:r>
        <w:rPr>
          <w:rFonts w:ascii="Times New Roman" w:cs="Times New Roman" w:eastAsia="Times New Roman" w:hAnsi="Times New Roman"/>
          <w:sz w:val="20"/>
          <w:szCs w:val="20"/>
          <w:color w:val="4D4D54"/>
        </w:rPr>
        <w:t>Company.</w:t>
      </w:r>
    </w:p>
    <w:p>
      <w:pPr>
        <w:spacing w:after="0" w:line="200" w:lineRule="exact"/>
        <w:rPr>
          <w:rFonts w:ascii="Times New Roman" w:cs="Times New Roman" w:eastAsia="Times New Roman" w:hAnsi="Times New Roman"/>
          <w:sz w:val="21"/>
          <w:szCs w:val="21"/>
          <w:b w:val="1"/>
          <w:bCs w:val="1"/>
          <w:color w:val="1F2126"/>
        </w:rPr>
      </w:pPr>
    </w:p>
    <w:p>
      <w:pPr>
        <w:spacing w:after="0" w:line="201" w:lineRule="exact"/>
        <w:rPr>
          <w:rFonts w:ascii="Times New Roman" w:cs="Times New Roman" w:eastAsia="Times New Roman" w:hAnsi="Times New Roman"/>
          <w:sz w:val="21"/>
          <w:szCs w:val="21"/>
          <w:b w:val="1"/>
          <w:bCs w:val="1"/>
          <w:color w:val="1F2126"/>
        </w:rPr>
      </w:pPr>
    </w:p>
    <w:p>
      <w:pPr>
        <w:ind w:left="900" w:hanging="733"/>
        <w:spacing w:after="0"/>
        <w:tabs>
          <w:tab w:leader="none" w:pos="900" w:val="left"/>
        </w:tabs>
        <w:numPr>
          <w:ilvl w:val="1"/>
          <w:numId w:val="75"/>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2"/>
          <w:szCs w:val="22"/>
          <w:b w:val="1"/>
          <w:bCs w:val="1"/>
          <w:color w:val="212128"/>
        </w:rPr>
        <w:t>Severanc</w:t>
      </w:r>
      <w:r>
        <w:rPr>
          <w:rFonts w:ascii="Times New Roman" w:cs="Times New Roman" w:eastAsia="Times New Roman" w:hAnsi="Times New Roman"/>
          <w:sz w:val="22"/>
          <w:szCs w:val="22"/>
          <w:b w:val="1"/>
          <w:bCs w:val="1"/>
          <w:color w:val="3B3B42"/>
        </w:rPr>
        <w:t>e</w:t>
      </w:r>
      <w:r>
        <w:rPr>
          <w:rFonts w:ascii="Times New Roman" w:cs="Times New Roman" w:eastAsia="Times New Roman" w:hAnsi="Times New Roman"/>
          <w:sz w:val="22"/>
          <w:szCs w:val="22"/>
          <w:b w:val="1"/>
          <w:bCs w:val="1"/>
          <w:color w:val="212128"/>
        </w:rPr>
        <w:t xml:space="preserve"> Benefits</w:t>
      </w:r>
      <w:r>
        <w:rPr>
          <w:rFonts w:ascii="Times New Roman" w:cs="Times New Roman" w:eastAsia="Times New Roman" w:hAnsi="Times New Roman"/>
          <w:sz w:val="22"/>
          <w:szCs w:val="22"/>
          <w:b w:val="1"/>
          <w:bCs w:val="1"/>
          <w:color w:val="4D4D54"/>
        </w:rPr>
        <w:t>.</w:t>
      </w:r>
      <w:r>
        <w:rPr>
          <w:rFonts w:ascii="Times New Roman" w:cs="Times New Roman" w:eastAsia="Times New Roman" w:hAnsi="Times New Roman"/>
          <w:sz w:val="22"/>
          <w:szCs w:val="22"/>
          <w:b w:val="1"/>
          <w:bCs w:val="1"/>
          <w:color w:val="212128"/>
        </w:rPr>
        <w:t xml:space="preserve"> </w:t>
      </w:r>
      <w:r>
        <w:rPr>
          <w:rFonts w:ascii="Times New Roman" w:cs="Times New Roman" w:eastAsia="Times New Roman" w:hAnsi="Times New Roman"/>
          <w:sz w:val="20"/>
          <w:szCs w:val="20"/>
          <w:color w:val="3B3B42"/>
        </w:rPr>
        <w:t>If</w:t>
      </w:r>
      <w:r>
        <w:rPr>
          <w:rFonts w:ascii="Times New Roman" w:cs="Times New Roman" w:eastAsia="Times New Roman" w:hAnsi="Times New Roman"/>
          <w:sz w:val="22"/>
          <w:szCs w:val="22"/>
          <w:b w:val="1"/>
          <w:bCs w:val="1"/>
          <w:color w:val="212128"/>
        </w:rPr>
        <w:t xml:space="preserve"> </w:t>
      </w:r>
      <w:r>
        <w:rPr>
          <w:rFonts w:ascii="Times New Roman" w:cs="Times New Roman" w:eastAsia="Times New Roman" w:hAnsi="Times New Roman"/>
          <w:sz w:val="20"/>
          <w:szCs w:val="20"/>
          <w:color w:val="4D4D54"/>
        </w:rPr>
        <w:t>you satisfy the</w:t>
      </w:r>
      <w:r>
        <w:rPr>
          <w:rFonts w:ascii="Times New Roman" w:cs="Times New Roman" w:eastAsia="Times New Roman" w:hAnsi="Times New Roman"/>
          <w:sz w:val="22"/>
          <w:szCs w:val="22"/>
          <w:b w:val="1"/>
          <w:bCs w:val="1"/>
          <w:color w:val="212128"/>
        </w:rPr>
        <w:t xml:space="preserve"> </w:t>
      </w:r>
      <w:r>
        <w:rPr>
          <w:rFonts w:ascii="Times New Roman" w:cs="Times New Roman" w:eastAsia="Times New Roman" w:hAnsi="Times New Roman"/>
          <w:sz w:val="20"/>
          <w:szCs w:val="20"/>
          <w:color w:val="3B3B42"/>
        </w:rPr>
        <w:t>Conditions, then:</w:t>
      </w:r>
    </w:p>
    <w:p>
      <w:pPr>
        <w:spacing w:after="0" w:line="231" w:lineRule="exact"/>
        <w:rPr>
          <w:rFonts w:ascii="Times New Roman" w:cs="Times New Roman" w:eastAsia="Times New Roman" w:hAnsi="Times New Roman"/>
          <w:sz w:val="21"/>
          <w:szCs w:val="21"/>
          <w:b w:val="1"/>
          <w:bCs w:val="1"/>
          <w:color w:val="1F2126"/>
        </w:rPr>
      </w:pPr>
    </w:p>
    <w:p>
      <w:pPr>
        <w:ind w:left="900" w:right="440" w:firstLine="750"/>
        <w:spacing w:after="0" w:line="270" w:lineRule="auto"/>
        <w:tabs>
          <w:tab w:leader="none" w:pos="2347" w:val="left"/>
        </w:tabs>
        <w:numPr>
          <w:ilvl w:val="3"/>
          <w:numId w:val="75"/>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D4D54"/>
        </w:rPr>
        <w:t xml:space="preserve">the Company shall continue </w:t>
      </w:r>
      <w:r>
        <w:rPr>
          <w:rFonts w:ascii="Times New Roman" w:cs="Times New Roman" w:eastAsia="Times New Roman" w:hAnsi="Times New Roman"/>
          <w:sz w:val="21"/>
          <w:szCs w:val="21"/>
          <w:color w:val="3B3B42"/>
        </w:rPr>
        <w:t>to</w:t>
      </w:r>
      <w:r>
        <w:rPr>
          <w:rFonts w:ascii="Times New Roman" w:cs="Times New Roman" w:eastAsia="Times New Roman" w:hAnsi="Times New Roman"/>
          <w:sz w:val="21"/>
          <w:szCs w:val="21"/>
          <w:color w:val="4D4D54"/>
        </w:rPr>
        <w:t xml:space="preserve"> pay you your current </w:t>
      </w:r>
      <w:r>
        <w:rPr>
          <w:rFonts w:ascii="Times New Roman" w:cs="Times New Roman" w:eastAsia="Times New Roman" w:hAnsi="Times New Roman"/>
          <w:sz w:val="21"/>
          <w:szCs w:val="21"/>
          <w:color w:val="3B3B42"/>
        </w:rPr>
        <w:t>base</w:t>
      </w:r>
      <w:r>
        <w:rPr>
          <w:rFonts w:ascii="Times New Roman" w:cs="Times New Roman" w:eastAsia="Times New Roman" w:hAnsi="Times New Roman"/>
          <w:sz w:val="21"/>
          <w:szCs w:val="21"/>
          <w:color w:val="4D4D54"/>
        </w:rPr>
        <w:t xml:space="preserve"> salary for </w:t>
      </w:r>
      <w:r>
        <w:rPr>
          <w:rFonts w:ascii="Times New Roman" w:cs="Times New Roman" w:eastAsia="Times New Roman" w:hAnsi="Times New Roman"/>
          <w:sz w:val="21"/>
          <w:szCs w:val="21"/>
          <w:color w:val="3B3B42"/>
        </w:rPr>
        <w:t>the</w:t>
      </w:r>
      <w:r>
        <w:rPr>
          <w:rFonts w:ascii="Times New Roman" w:cs="Times New Roman" w:eastAsia="Times New Roman" w:hAnsi="Times New Roman"/>
          <w:sz w:val="21"/>
          <w:szCs w:val="21"/>
          <w:color w:val="4D4D54"/>
        </w:rPr>
        <w:t xml:space="preserve"> twelve </w:t>
      </w:r>
      <w:r>
        <w:rPr>
          <w:rFonts w:ascii="Times New Roman" w:cs="Times New Roman" w:eastAsia="Times New Roman" w:hAnsi="Times New Roman"/>
          <w:sz w:val="21"/>
          <w:szCs w:val="21"/>
          <w:color w:val="3B3B42"/>
        </w:rPr>
        <w:t>(12) month period</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3B3B42"/>
        </w:rPr>
        <w:t xml:space="preserve">following </w:t>
      </w:r>
      <w:r>
        <w:rPr>
          <w:rFonts w:ascii="Times New Roman" w:cs="Times New Roman" w:eastAsia="Times New Roman" w:hAnsi="Times New Roman"/>
          <w:sz w:val="21"/>
          <w:szCs w:val="21"/>
          <w:color w:val="4D4D54"/>
        </w:rPr>
        <w:t>the</w:t>
      </w:r>
      <w:r>
        <w:rPr>
          <w:rFonts w:ascii="Times New Roman" w:cs="Times New Roman" w:eastAsia="Times New Roman" w:hAnsi="Times New Roman"/>
          <w:sz w:val="21"/>
          <w:szCs w:val="21"/>
          <w:color w:val="3B3B42"/>
        </w:rPr>
        <w:t xml:space="preserve"> Date </w:t>
      </w:r>
      <w:r>
        <w:rPr>
          <w:rFonts w:ascii="Times New Roman" w:cs="Times New Roman" w:eastAsia="Times New Roman" w:hAnsi="Times New Roman"/>
          <w:sz w:val="21"/>
          <w:szCs w:val="21"/>
          <w:color w:val="4D4D54"/>
        </w:rPr>
        <w:t>of Termination (the</w:t>
      </w:r>
      <w:r>
        <w:rPr>
          <w:rFonts w:ascii="Times New Roman" w:cs="Times New Roman" w:eastAsia="Times New Roman" w:hAnsi="Times New Roman"/>
          <w:sz w:val="21"/>
          <w:szCs w:val="21"/>
          <w:color w:val="3B3B42"/>
        </w:rPr>
        <w:t xml:space="preserve"> "Salary </w:t>
      </w:r>
      <w:r>
        <w:rPr>
          <w:rFonts w:ascii="Times New Roman" w:cs="Times New Roman" w:eastAsia="Times New Roman" w:hAnsi="Times New Roman"/>
          <w:sz w:val="21"/>
          <w:szCs w:val="21"/>
          <w:color w:val="4D4D54"/>
        </w:rPr>
        <w:t>Continuation</w:t>
      </w:r>
      <w:r>
        <w:rPr>
          <w:rFonts w:ascii="Times New Roman" w:cs="Times New Roman" w:eastAsia="Times New Roman" w:hAnsi="Times New Roman"/>
          <w:sz w:val="21"/>
          <w:szCs w:val="21"/>
          <w:color w:val="3B3B42"/>
        </w:rPr>
        <w:t xml:space="preserve"> Period"); </w:t>
      </w:r>
      <w:r>
        <w:rPr>
          <w:rFonts w:ascii="Times New Roman" w:cs="Times New Roman" w:eastAsia="Times New Roman" w:hAnsi="Times New Roman"/>
          <w:sz w:val="21"/>
          <w:szCs w:val="21"/>
          <w:color w:val="4D4D54"/>
        </w:rPr>
        <w:t>and</w:t>
      </w:r>
    </w:p>
    <w:p>
      <w:pPr>
        <w:spacing w:after="0" w:line="172" w:lineRule="exact"/>
        <w:rPr>
          <w:rFonts w:ascii="Times New Roman" w:cs="Times New Roman" w:eastAsia="Times New Roman" w:hAnsi="Times New Roman"/>
          <w:sz w:val="21"/>
          <w:szCs w:val="21"/>
          <w:color w:val="505259"/>
        </w:rPr>
      </w:pPr>
    </w:p>
    <w:p>
      <w:pPr>
        <w:ind w:left="920" w:right="60" w:firstLine="730"/>
        <w:spacing w:after="0" w:line="248" w:lineRule="auto"/>
        <w:tabs>
          <w:tab w:leader="none" w:pos="2368" w:val="left"/>
        </w:tabs>
        <w:numPr>
          <w:ilvl w:val="3"/>
          <w:numId w:val="75"/>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3B3B42"/>
        </w:rPr>
        <w:t>i</w:t>
      </w:r>
      <w:r>
        <w:rPr>
          <w:rFonts w:ascii="Times New Roman" w:cs="Times New Roman" w:eastAsia="Times New Roman" w:hAnsi="Times New Roman"/>
          <w:sz w:val="21"/>
          <w:szCs w:val="21"/>
          <w:color w:val="62646B"/>
        </w:rPr>
        <w:t>f</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D4D54"/>
        </w:rPr>
        <w:t>you elect</w:t>
      </w:r>
      <w:r>
        <w:rPr>
          <w:rFonts w:ascii="Times New Roman" w:cs="Times New Roman" w:eastAsia="Times New Roman" w:hAnsi="Times New Roman"/>
          <w:sz w:val="21"/>
          <w:szCs w:val="21"/>
          <w:color w:val="3B3B42"/>
        </w:rPr>
        <w:t xml:space="preserve"> and </w:t>
      </w:r>
      <w:r>
        <w:rPr>
          <w:rFonts w:ascii="Times New Roman" w:cs="Times New Roman" w:eastAsia="Times New Roman" w:hAnsi="Times New Roman"/>
          <w:sz w:val="21"/>
          <w:szCs w:val="21"/>
          <w:color w:val="4D4D54"/>
        </w:rPr>
        <w:t>remain eligible for COBRA continuation coverage, the Company shall continue your</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62646B"/>
        </w:rPr>
        <w:t>gro</w:t>
      </w:r>
      <w:r>
        <w:rPr>
          <w:rFonts w:ascii="Times New Roman" w:cs="Times New Roman" w:eastAsia="Times New Roman" w:hAnsi="Times New Roman"/>
          <w:sz w:val="21"/>
          <w:szCs w:val="21"/>
          <w:color w:val="3B3B42"/>
        </w:rPr>
        <w:t>up</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health</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plan benefits to</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the</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extent</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authorized</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by</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and</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consistent</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with CO</w:t>
      </w:r>
      <w:r>
        <w:rPr>
          <w:rFonts w:ascii="Times New Roman" w:cs="Times New Roman" w:eastAsia="Times New Roman" w:hAnsi="Times New Roman"/>
          <w:sz w:val="21"/>
          <w:szCs w:val="21"/>
          <w:color w:val="212128"/>
        </w:rPr>
        <w:t>B</w:t>
      </w:r>
      <w:r>
        <w:rPr>
          <w:rFonts w:ascii="Times New Roman" w:cs="Times New Roman" w:eastAsia="Times New Roman" w:hAnsi="Times New Roman"/>
          <w:sz w:val="21"/>
          <w:szCs w:val="21"/>
          <w:color w:val="3B3B42"/>
        </w:rPr>
        <w:t>RA</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w</w:t>
      </w:r>
      <w:r>
        <w:rPr>
          <w:rFonts w:ascii="Times New Roman" w:cs="Times New Roman" w:eastAsia="Times New Roman" w:hAnsi="Times New Roman"/>
          <w:sz w:val="21"/>
          <w:szCs w:val="21"/>
          <w:color w:val="212128"/>
        </w:rPr>
        <w:t>i</w:t>
      </w:r>
      <w:r>
        <w:rPr>
          <w:rFonts w:ascii="Times New Roman" w:cs="Times New Roman" w:eastAsia="Times New Roman" w:hAnsi="Times New Roman"/>
          <w:sz w:val="21"/>
          <w:szCs w:val="21"/>
          <w:color w:val="3B3B42"/>
        </w:rPr>
        <w:t>th</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the</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cost</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4D4D54"/>
        </w:rPr>
        <w:t>of</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the regular</w:t>
      </w:r>
      <w:r>
        <w:rPr>
          <w:rFonts w:ascii="Times New Roman" w:cs="Times New Roman" w:eastAsia="Times New Roman" w:hAnsi="Times New Roman"/>
          <w:sz w:val="21"/>
          <w:szCs w:val="21"/>
          <w:color w:val="62646B"/>
        </w:rPr>
        <w:t xml:space="preserve"> </w:t>
      </w:r>
      <w:r>
        <w:rPr>
          <w:rFonts w:ascii="Times New Roman" w:cs="Times New Roman" w:eastAsia="Times New Roman" w:hAnsi="Times New Roman"/>
          <w:sz w:val="21"/>
          <w:szCs w:val="21"/>
          <w:color w:val="3B3B42"/>
        </w:rPr>
        <w:t xml:space="preserve">premium for </w:t>
      </w:r>
      <w:r>
        <w:rPr>
          <w:rFonts w:ascii="Times New Roman" w:cs="Times New Roman" w:eastAsia="Times New Roman" w:hAnsi="Times New Roman"/>
          <w:sz w:val="21"/>
          <w:szCs w:val="21"/>
          <w:color w:val="4D4D54"/>
        </w:rPr>
        <w:t>such</w:t>
      </w:r>
      <w:r>
        <w:rPr>
          <w:rFonts w:ascii="Times New Roman" w:cs="Times New Roman" w:eastAsia="Times New Roman" w:hAnsi="Times New Roman"/>
          <w:sz w:val="21"/>
          <w:szCs w:val="21"/>
          <w:color w:val="3B3B42"/>
        </w:rPr>
        <w:t xml:space="preserve"> benefits </w:t>
      </w:r>
      <w:r>
        <w:rPr>
          <w:rFonts w:ascii="Times New Roman" w:cs="Times New Roman" w:eastAsia="Times New Roman" w:hAnsi="Times New Roman"/>
          <w:sz w:val="21"/>
          <w:szCs w:val="21"/>
          <w:color w:val="4D4D54"/>
        </w:rPr>
        <w:t>shared in the same relative proportion by the Company and you as in effect on</w:t>
      </w:r>
      <w:r>
        <w:rPr>
          <w:rFonts w:ascii="Times New Roman" w:cs="Times New Roman" w:eastAsia="Times New Roman" w:hAnsi="Times New Roman"/>
          <w:sz w:val="21"/>
          <w:szCs w:val="21"/>
          <w:color w:val="3B3B42"/>
        </w:rPr>
        <w:t xml:space="preserve"> the </w:t>
      </w:r>
      <w:r>
        <w:rPr>
          <w:rFonts w:ascii="Times New Roman" w:cs="Times New Roman" w:eastAsia="Times New Roman" w:hAnsi="Times New Roman"/>
          <w:sz w:val="21"/>
          <w:szCs w:val="21"/>
          <w:color w:val="4D4D54"/>
        </w:rPr>
        <w:t>Date</w:t>
      </w:r>
      <w:r>
        <w:rPr>
          <w:rFonts w:ascii="Times New Roman" w:cs="Times New Roman" w:eastAsia="Times New Roman" w:hAnsi="Times New Roman"/>
          <w:sz w:val="21"/>
          <w:szCs w:val="21"/>
          <w:color w:val="3B3B42"/>
        </w:rPr>
        <w:t xml:space="preserve"> of </w:t>
      </w:r>
      <w:r>
        <w:rPr>
          <w:rFonts w:ascii="Times New Roman" w:cs="Times New Roman" w:eastAsia="Times New Roman" w:hAnsi="Times New Roman"/>
          <w:sz w:val="21"/>
          <w:szCs w:val="21"/>
          <w:color w:val="4D4D54"/>
        </w:rPr>
        <w:t xml:space="preserve">Termination </w:t>
      </w:r>
      <w:r>
        <w:rPr>
          <w:rFonts w:ascii="Times New Roman" w:cs="Times New Roman" w:eastAsia="Times New Roman" w:hAnsi="Times New Roman"/>
          <w:sz w:val="21"/>
          <w:szCs w:val="21"/>
          <w:color w:val="3B3B42"/>
        </w:rPr>
        <w:t>until</w:t>
      </w:r>
      <w:r>
        <w:rPr>
          <w:rFonts w:ascii="Times New Roman" w:cs="Times New Roman" w:eastAsia="Times New Roman" w:hAnsi="Times New Roman"/>
          <w:sz w:val="21"/>
          <w:szCs w:val="21"/>
          <w:color w:val="4D4D54"/>
        </w:rPr>
        <w:t xml:space="preserve"> the </w:t>
      </w:r>
      <w:r>
        <w:rPr>
          <w:rFonts w:ascii="Times New Roman" w:cs="Times New Roman" w:eastAsia="Times New Roman" w:hAnsi="Times New Roman"/>
          <w:sz w:val="21"/>
          <w:szCs w:val="21"/>
          <w:color w:val="3B3B42"/>
        </w:rPr>
        <w:t>earlier</w:t>
      </w:r>
      <w:r>
        <w:rPr>
          <w:rFonts w:ascii="Times New Roman" w:cs="Times New Roman" w:eastAsia="Times New Roman" w:hAnsi="Times New Roman"/>
          <w:sz w:val="21"/>
          <w:szCs w:val="21"/>
          <w:color w:val="4D4D54"/>
        </w:rPr>
        <w:t xml:space="preserve"> of: (i) </w:t>
      </w:r>
      <w:r>
        <w:rPr>
          <w:rFonts w:ascii="Times New Roman" w:cs="Times New Roman" w:eastAsia="Times New Roman" w:hAnsi="Times New Roman"/>
          <w:sz w:val="21"/>
          <w:szCs w:val="21"/>
          <w:color w:val="3B3B42"/>
        </w:rPr>
        <w:t>the</w:t>
      </w:r>
      <w:r>
        <w:rPr>
          <w:rFonts w:ascii="Times New Roman" w:cs="Times New Roman" w:eastAsia="Times New Roman" w:hAnsi="Times New Roman"/>
          <w:sz w:val="21"/>
          <w:szCs w:val="21"/>
          <w:color w:val="4D4D54"/>
        </w:rPr>
        <w:t xml:space="preserve"> end </w:t>
      </w:r>
      <w:r>
        <w:rPr>
          <w:rFonts w:ascii="Times New Roman" w:cs="Times New Roman" w:eastAsia="Times New Roman" w:hAnsi="Times New Roman"/>
          <w:sz w:val="21"/>
          <w:szCs w:val="21"/>
          <w:color w:val="3B3B42"/>
        </w:rPr>
        <w:t>of</w:t>
      </w:r>
      <w:r>
        <w:rPr>
          <w:rFonts w:ascii="Times New Roman" w:cs="Times New Roman" w:eastAsia="Times New Roman" w:hAnsi="Times New Roman"/>
          <w:sz w:val="21"/>
          <w:szCs w:val="21"/>
          <w:color w:val="4D4D54"/>
        </w:rPr>
        <w:t xml:space="preserve"> the </w:t>
      </w:r>
      <w:r>
        <w:rPr>
          <w:rFonts w:ascii="Times New Roman" w:cs="Times New Roman" w:eastAsia="Times New Roman" w:hAnsi="Times New Roman"/>
          <w:sz w:val="21"/>
          <w:szCs w:val="21"/>
          <w:color w:val="3B3B42"/>
        </w:rPr>
        <w:t>Salary Continuation</w:t>
      </w:r>
      <w:r>
        <w:rPr>
          <w:rFonts w:ascii="Times New Roman" w:cs="Times New Roman" w:eastAsia="Times New Roman" w:hAnsi="Times New Roman"/>
          <w:sz w:val="21"/>
          <w:szCs w:val="21"/>
          <w:color w:val="4D4D54"/>
        </w:rPr>
        <w:t xml:space="preserve"> </w:t>
      </w:r>
      <w:r>
        <w:rPr>
          <w:rFonts w:ascii="Times New Roman" w:cs="Times New Roman" w:eastAsia="Times New Roman" w:hAnsi="Times New Roman"/>
          <w:sz w:val="21"/>
          <w:szCs w:val="21"/>
          <w:color w:val="212128"/>
        </w:rPr>
        <w:t>P</w:t>
      </w:r>
      <w:r>
        <w:rPr>
          <w:rFonts w:ascii="Times New Roman" w:cs="Times New Roman" w:eastAsia="Times New Roman" w:hAnsi="Times New Roman"/>
          <w:sz w:val="21"/>
          <w:szCs w:val="21"/>
          <w:color w:val="3B3B42"/>
        </w:rPr>
        <w:t>eriod, and</w:t>
      </w:r>
      <w:r>
        <w:rPr>
          <w:rFonts w:ascii="Times New Roman" w:cs="Times New Roman" w:eastAsia="Times New Roman" w:hAnsi="Times New Roman"/>
          <w:sz w:val="21"/>
          <w:szCs w:val="21"/>
          <w:color w:val="4D4D54"/>
        </w:rPr>
        <w:t xml:space="preserve"> (ii) </w:t>
      </w:r>
      <w:r>
        <w:rPr>
          <w:rFonts w:ascii="Times New Roman" w:cs="Times New Roman" w:eastAsia="Times New Roman" w:hAnsi="Times New Roman"/>
          <w:sz w:val="21"/>
          <w:szCs w:val="21"/>
          <w:color w:val="212128"/>
        </w:rPr>
        <w:t>t</w:t>
      </w:r>
      <w:r>
        <w:rPr>
          <w:rFonts w:ascii="Times New Roman" w:cs="Times New Roman" w:eastAsia="Times New Roman" w:hAnsi="Times New Roman"/>
          <w:sz w:val="21"/>
          <w:szCs w:val="21"/>
          <w:color w:val="3B3B42"/>
        </w:rPr>
        <w:t>he date that</w:t>
      </w:r>
      <w:r>
        <w:rPr>
          <w:rFonts w:ascii="Times New Roman" w:cs="Times New Roman" w:eastAsia="Times New Roman" w:hAnsi="Times New Roman"/>
          <w:sz w:val="21"/>
          <w:szCs w:val="21"/>
          <w:color w:val="4D4D54"/>
        </w:rPr>
        <w:t xml:space="preserve"> you </w:t>
      </w:r>
      <w:r>
        <w:rPr>
          <w:rFonts w:ascii="Times New Roman" w:cs="Times New Roman" w:eastAsia="Times New Roman" w:hAnsi="Times New Roman"/>
          <w:sz w:val="21"/>
          <w:szCs w:val="21"/>
          <w:color w:val="3B3B42"/>
        </w:rPr>
        <w:t>become eligible</w:t>
      </w:r>
      <w:r>
        <w:rPr>
          <w:rFonts w:ascii="Times New Roman" w:cs="Times New Roman" w:eastAsia="Times New Roman" w:hAnsi="Times New Roman"/>
          <w:sz w:val="21"/>
          <w:szCs w:val="21"/>
          <w:color w:val="4D4D54"/>
        </w:rPr>
        <w:t xml:space="preserve"> for </w:t>
      </w:r>
      <w:r>
        <w:rPr>
          <w:rFonts w:ascii="Times New Roman" w:cs="Times New Roman" w:eastAsia="Times New Roman" w:hAnsi="Times New Roman"/>
          <w:sz w:val="21"/>
          <w:szCs w:val="21"/>
          <w:color w:val="3B3B42"/>
        </w:rPr>
        <w:t>health benefits</w:t>
      </w:r>
      <w:r>
        <w:rPr>
          <w:rFonts w:ascii="Times New Roman" w:cs="Times New Roman" w:eastAsia="Times New Roman" w:hAnsi="Times New Roman"/>
          <w:sz w:val="21"/>
          <w:szCs w:val="21"/>
          <w:color w:val="4D4D54"/>
        </w:rPr>
        <w:t xml:space="preserve"> through </w:t>
      </w:r>
      <w:r>
        <w:rPr>
          <w:rFonts w:ascii="Times New Roman" w:cs="Times New Roman" w:eastAsia="Times New Roman" w:hAnsi="Times New Roman"/>
          <w:sz w:val="21"/>
          <w:szCs w:val="21"/>
          <w:color w:val="3B3B42"/>
        </w:rPr>
        <w:t>another</w:t>
      </w:r>
      <w:r>
        <w:rPr>
          <w:rFonts w:ascii="Times New Roman" w:cs="Times New Roman" w:eastAsia="Times New Roman" w:hAnsi="Times New Roman"/>
          <w:sz w:val="21"/>
          <w:szCs w:val="21"/>
          <w:color w:val="4D4D54"/>
        </w:rPr>
        <w:t xml:space="preserve"> employer or </w:t>
      </w:r>
      <w:r>
        <w:rPr>
          <w:rFonts w:ascii="Times New Roman" w:cs="Times New Roman" w:eastAsia="Times New Roman" w:hAnsi="Times New Roman"/>
          <w:sz w:val="21"/>
          <w:szCs w:val="21"/>
          <w:color w:val="3B3B42"/>
        </w:rPr>
        <w:t>otherwise</w:t>
      </w:r>
      <w:r>
        <w:rPr>
          <w:rFonts w:ascii="Times New Roman" w:cs="Times New Roman" w:eastAsia="Times New Roman" w:hAnsi="Times New Roman"/>
          <w:sz w:val="21"/>
          <w:szCs w:val="21"/>
          <w:color w:val="4D4D54"/>
        </w:rPr>
        <w:t xml:space="preserve"> become ineligible for COBRA; and</w:t>
      </w:r>
    </w:p>
    <w:p>
      <w:pPr>
        <w:spacing w:after="0" w:line="169" w:lineRule="exact"/>
        <w:rPr>
          <w:rFonts w:ascii="Times New Roman" w:cs="Times New Roman" w:eastAsia="Times New Roman" w:hAnsi="Times New Roman"/>
          <w:sz w:val="21"/>
          <w:szCs w:val="21"/>
          <w:color w:val="505259"/>
        </w:rPr>
      </w:pPr>
    </w:p>
    <w:p>
      <w:pPr>
        <w:jc w:val="both"/>
        <w:ind w:left="940" w:right="180" w:firstLine="725"/>
        <w:spacing w:after="0" w:line="251" w:lineRule="auto"/>
        <w:tabs>
          <w:tab w:leader="none" w:pos="2389" w:val="left"/>
        </w:tabs>
        <w:numPr>
          <w:ilvl w:val="4"/>
          <w:numId w:val="75"/>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D4D54"/>
        </w:rPr>
        <w:t xml:space="preserve">the portion </w:t>
      </w:r>
      <w:r>
        <w:rPr>
          <w:rFonts w:ascii="Times New Roman" w:cs="Times New Roman" w:eastAsia="Times New Roman" w:hAnsi="Times New Roman"/>
          <w:sz w:val="21"/>
          <w:szCs w:val="21"/>
          <w:color w:val="3B3B42"/>
        </w:rPr>
        <w:t>of</w:t>
      </w:r>
      <w:r>
        <w:rPr>
          <w:rFonts w:ascii="Times New Roman" w:cs="Times New Roman" w:eastAsia="Times New Roman" w:hAnsi="Times New Roman"/>
          <w:sz w:val="21"/>
          <w:szCs w:val="21"/>
          <w:color w:val="4D4D54"/>
        </w:rPr>
        <w:t xml:space="preserve"> your outstanding stock opt</w:t>
      </w:r>
      <w:r>
        <w:rPr>
          <w:rFonts w:ascii="Times New Roman" w:cs="Times New Roman" w:eastAsia="Times New Roman" w:hAnsi="Times New Roman"/>
          <w:sz w:val="21"/>
          <w:szCs w:val="21"/>
          <w:color w:val="212128"/>
        </w:rPr>
        <w:t>i</w:t>
      </w:r>
      <w:r>
        <w:rPr>
          <w:rFonts w:ascii="Times New Roman" w:cs="Times New Roman" w:eastAsia="Times New Roman" w:hAnsi="Times New Roman"/>
          <w:sz w:val="21"/>
          <w:szCs w:val="21"/>
          <w:color w:val="3B3B42"/>
        </w:rPr>
        <w:t>on</w:t>
      </w:r>
      <w:r>
        <w:rPr>
          <w:rFonts w:ascii="Times New Roman" w:cs="Times New Roman" w:eastAsia="Times New Roman" w:hAnsi="Times New Roman"/>
          <w:sz w:val="21"/>
          <w:szCs w:val="21"/>
          <w:color w:val="62646B"/>
        </w:rPr>
        <w:t>s,</w:t>
      </w:r>
      <w:r>
        <w:rPr>
          <w:rFonts w:ascii="Times New Roman" w:cs="Times New Roman" w:eastAsia="Times New Roman" w:hAnsi="Times New Roman"/>
          <w:sz w:val="21"/>
          <w:szCs w:val="21"/>
          <w:color w:val="4D4D54"/>
        </w:rPr>
        <w:t xml:space="preserve"> restricted stock units or other equity incentive awards (in each case, only to the </w:t>
      </w:r>
      <w:r>
        <w:rPr>
          <w:rFonts w:ascii="Times New Roman" w:cs="Times New Roman" w:eastAsia="Times New Roman" w:hAnsi="Times New Roman"/>
          <w:sz w:val="21"/>
          <w:szCs w:val="21"/>
          <w:color w:val="3B3B42"/>
        </w:rPr>
        <w:t>extent</w:t>
      </w:r>
      <w:r>
        <w:rPr>
          <w:rFonts w:ascii="Times New Roman" w:cs="Times New Roman" w:eastAsia="Times New Roman" w:hAnsi="Times New Roman"/>
          <w:sz w:val="21"/>
          <w:szCs w:val="21"/>
          <w:color w:val="4D4D54"/>
        </w:rPr>
        <w:t xml:space="preserve"> subject </w:t>
      </w:r>
      <w:r>
        <w:rPr>
          <w:rFonts w:ascii="Times New Roman" w:cs="Times New Roman" w:eastAsia="Times New Roman" w:hAnsi="Times New Roman"/>
          <w:sz w:val="21"/>
          <w:szCs w:val="21"/>
          <w:color w:val="3B3B42"/>
        </w:rPr>
        <w:t>to t</w:t>
      </w:r>
      <w:r>
        <w:rPr>
          <w:rFonts w:ascii="Times New Roman" w:cs="Times New Roman" w:eastAsia="Times New Roman" w:hAnsi="Times New Roman"/>
          <w:sz w:val="21"/>
          <w:szCs w:val="21"/>
          <w:color w:val="212128"/>
        </w:rPr>
        <w:t>i</w:t>
      </w:r>
      <w:r>
        <w:rPr>
          <w:rFonts w:ascii="Times New Roman" w:cs="Times New Roman" w:eastAsia="Times New Roman" w:hAnsi="Times New Roman"/>
          <w:sz w:val="21"/>
          <w:szCs w:val="21"/>
          <w:color w:val="4D4D54"/>
        </w:rPr>
        <w:t xml:space="preserve">me-based vesting) that </w:t>
      </w:r>
      <w:r>
        <w:rPr>
          <w:rFonts w:ascii="Times New Roman" w:cs="Times New Roman" w:eastAsia="Times New Roman" w:hAnsi="Times New Roman"/>
          <w:sz w:val="21"/>
          <w:szCs w:val="21"/>
          <w:color w:val="3B3B42"/>
        </w:rPr>
        <w:t>would have</w:t>
      </w:r>
      <w:r>
        <w:rPr>
          <w:rFonts w:ascii="Times New Roman" w:cs="Times New Roman" w:eastAsia="Times New Roman" w:hAnsi="Times New Roman"/>
          <w:sz w:val="21"/>
          <w:szCs w:val="21"/>
          <w:color w:val="4D4D54"/>
        </w:rPr>
        <w:t xml:space="preserve"> vested </w:t>
      </w:r>
      <w:r>
        <w:rPr>
          <w:rFonts w:ascii="Times New Roman" w:cs="Times New Roman" w:eastAsia="Times New Roman" w:hAnsi="Times New Roman"/>
          <w:sz w:val="21"/>
          <w:szCs w:val="21"/>
          <w:color w:val="3B3B42"/>
        </w:rPr>
        <w:t>in</w:t>
      </w:r>
      <w:r>
        <w:rPr>
          <w:rFonts w:ascii="Times New Roman" w:cs="Times New Roman" w:eastAsia="Times New Roman" w:hAnsi="Times New Roman"/>
          <w:sz w:val="21"/>
          <w:szCs w:val="21"/>
          <w:color w:val="4D4D54"/>
        </w:rPr>
        <w:t xml:space="preserve"> the six (6) </w:t>
      </w:r>
      <w:r>
        <w:rPr>
          <w:rFonts w:ascii="Times New Roman" w:cs="Times New Roman" w:eastAsia="Times New Roman" w:hAnsi="Times New Roman"/>
          <w:sz w:val="21"/>
          <w:szCs w:val="21"/>
          <w:color w:val="3B3B42"/>
        </w:rPr>
        <w:t>months</w:t>
      </w:r>
      <w:r>
        <w:rPr>
          <w:rFonts w:ascii="Times New Roman" w:cs="Times New Roman" w:eastAsia="Times New Roman" w:hAnsi="Times New Roman"/>
          <w:sz w:val="21"/>
          <w:szCs w:val="21"/>
          <w:color w:val="4D4D54"/>
        </w:rPr>
        <w:t xml:space="preserve"> following the </w:t>
      </w:r>
      <w:r>
        <w:rPr>
          <w:rFonts w:ascii="Times New Roman" w:cs="Times New Roman" w:eastAsia="Times New Roman" w:hAnsi="Times New Roman"/>
          <w:sz w:val="21"/>
          <w:szCs w:val="21"/>
          <w:color w:val="3B3B42"/>
        </w:rPr>
        <w:t>Date</w:t>
      </w:r>
      <w:r>
        <w:rPr>
          <w:rFonts w:ascii="Times New Roman" w:cs="Times New Roman" w:eastAsia="Times New Roman" w:hAnsi="Times New Roman"/>
          <w:sz w:val="21"/>
          <w:szCs w:val="21"/>
          <w:color w:val="4D4D54"/>
        </w:rPr>
        <w:t xml:space="preserve"> of Termination will immediately accelerate and become fully </w:t>
      </w:r>
      <w:r>
        <w:rPr>
          <w:rFonts w:ascii="Times New Roman" w:cs="Times New Roman" w:eastAsia="Times New Roman" w:hAnsi="Times New Roman"/>
          <w:sz w:val="21"/>
          <w:szCs w:val="21"/>
          <w:color w:val="62646B"/>
        </w:rPr>
        <w:t>exe</w:t>
      </w:r>
      <w:r>
        <w:rPr>
          <w:rFonts w:ascii="Times New Roman" w:cs="Times New Roman" w:eastAsia="Times New Roman" w:hAnsi="Times New Roman"/>
          <w:sz w:val="21"/>
          <w:szCs w:val="21"/>
          <w:color w:val="3B3B42"/>
        </w:rPr>
        <w:t>rcisable</w:t>
      </w:r>
      <w:r>
        <w:rPr>
          <w:rFonts w:ascii="Times New Roman" w:cs="Times New Roman" w:eastAsia="Times New Roman" w:hAnsi="Times New Roman"/>
          <w:sz w:val="21"/>
          <w:szCs w:val="21"/>
          <w:color w:val="4D4D54"/>
        </w:rPr>
        <w:t xml:space="preserve"> or nonforfeitable as </w:t>
      </w:r>
      <w:r>
        <w:rPr>
          <w:rFonts w:ascii="Times New Roman" w:cs="Times New Roman" w:eastAsia="Times New Roman" w:hAnsi="Times New Roman"/>
          <w:sz w:val="21"/>
          <w:szCs w:val="21"/>
          <w:color w:val="3B3B42"/>
        </w:rPr>
        <w:t>of</w:t>
      </w:r>
      <w:r>
        <w:rPr>
          <w:rFonts w:ascii="Times New Roman" w:cs="Times New Roman" w:eastAsia="Times New Roman" w:hAnsi="Times New Roman"/>
          <w:sz w:val="21"/>
          <w:szCs w:val="21"/>
          <w:color w:val="4D4D54"/>
        </w:rPr>
        <w:t xml:space="preserve"> the </w:t>
      </w:r>
      <w:r>
        <w:rPr>
          <w:rFonts w:ascii="Times New Roman" w:cs="Times New Roman" w:eastAsia="Times New Roman" w:hAnsi="Times New Roman"/>
          <w:sz w:val="21"/>
          <w:szCs w:val="21"/>
          <w:color w:val="3B3B42"/>
        </w:rPr>
        <w:t>later of</w:t>
      </w:r>
      <w:r>
        <w:rPr>
          <w:rFonts w:ascii="Times New Roman" w:cs="Times New Roman" w:eastAsia="Times New Roman" w:hAnsi="Times New Roman"/>
          <w:sz w:val="21"/>
          <w:szCs w:val="21"/>
          <w:color w:val="4D4D54"/>
        </w:rPr>
        <w:t xml:space="preserve"> the </w:t>
      </w:r>
      <w:r>
        <w:rPr>
          <w:rFonts w:ascii="Times New Roman" w:cs="Times New Roman" w:eastAsia="Times New Roman" w:hAnsi="Times New Roman"/>
          <w:sz w:val="21"/>
          <w:szCs w:val="21"/>
          <w:color w:val="3B3B42"/>
        </w:rPr>
        <w:t>Date of Termination and the effective date of this Agreement. The</w:t>
      </w:r>
      <w:r>
        <w:rPr>
          <w:rFonts w:ascii="Times New Roman" w:cs="Times New Roman" w:eastAsia="Times New Roman" w:hAnsi="Times New Roman"/>
          <w:sz w:val="21"/>
          <w:szCs w:val="21"/>
          <w:color w:val="4D4D54"/>
        </w:rPr>
        <w:t xml:space="preserve"> forfeiture </w:t>
      </w:r>
      <w:r>
        <w:rPr>
          <w:rFonts w:ascii="Times New Roman" w:cs="Times New Roman" w:eastAsia="Times New Roman" w:hAnsi="Times New Roman"/>
          <w:sz w:val="21"/>
          <w:szCs w:val="21"/>
          <w:color w:val="3B3B42"/>
        </w:rPr>
        <w:t>of</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3</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88900</wp:posOffset>
            </wp:positionV>
            <wp:extent cx="2871470" cy="5740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2871470" cy="5740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920" w:right="280"/>
        <w:spacing w:after="0" w:line="270" w:lineRule="auto"/>
        <w:rPr>
          <w:sz w:val="20"/>
          <w:szCs w:val="20"/>
          <w:color w:val="auto"/>
        </w:rPr>
      </w:pPr>
      <w:r>
        <w:rPr>
          <w:rFonts w:ascii="Times New Roman" w:cs="Times New Roman" w:eastAsia="Times New Roman" w:hAnsi="Times New Roman"/>
          <w:sz w:val="21"/>
          <w:szCs w:val="21"/>
          <w:color w:val="42444B"/>
        </w:rPr>
        <w:t xml:space="preserve">any unvested equity </w:t>
      </w:r>
      <w:r>
        <w:rPr>
          <w:rFonts w:ascii="Times New Roman" w:cs="Times New Roman" w:eastAsia="Times New Roman" w:hAnsi="Times New Roman"/>
          <w:sz w:val="21"/>
          <w:szCs w:val="21"/>
          <w:color w:val="2B2D33"/>
        </w:rPr>
        <w:t>that i</w:t>
      </w:r>
      <w:r>
        <w:rPr>
          <w:rFonts w:ascii="Times New Roman" w:cs="Times New Roman" w:eastAsia="Times New Roman" w:hAnsi="Times New Roman"/>
          <w:sz w:val="21"/>
          <w:szCs w:val="21"/>
          <w:color w:val="54565D"/>
        </w:rPr>
        <w:t>s</w:t>
      </w:r>
      <w:r>
        <w:rPr>
          <w:rFonts w:ascii="Times New Roman" w:cs="Times New Roman" w:eastAsia="Times New Roman" w:hAnsi="Times New Roman"/>
          <w:sz w:val="21"/>
          <w:szCs w:val="21"/>
          <w:color w:val="42444B"/>
        </w:rPr>
        <w:t xml:space="preserve"> subject to acceleration will be delayed to the extent </w:t>
      </w:r>
      <w:r>
        <w:rPr>
          <w:rFonts w:ascii="Times New Roman" w:cs="Times New Roman" w:eastAsia="Times New Roman" w:hAnsi="Times New Roman"/>
          <w:sz w:val="21"/>
          <w:szCs w:val="21"/>
          <w:color w:val="2B2D33"/>
        </w:rPr>
        <w:t>nece</w:t>
      </w:r>
      <w:r>
        <w:rPr>
          <w:rFonts w:ascii="Times New Roman" w:cs="Times New Roman" w:eastAsia="Times New Roman" w:hAnsi="Times New Roman"/>
          <w:sz w:val="21"/>
          <w:szCs w:val="21"/>
          <w:color w:val="54565D"/>
        </w:rPr>
        <w:t>ssary</w:t>
      </w:r>
      <w:r>
        <w:rPr>
          <w:rFonts w:ascii="Times New Roman" w:cs="Times New Roman" w:eastAsia="Times New Roman" w:hAnsi="Times New Roman"/>
          <w:sz w:val="21"/>
          <w:szCs w:val="21"/>
          <w:color w:val="42444B"/>
        </w:rPr>
        <w:t xml:space="preserve"> to effectuate this provision and will not occur if the </w:t>
      </w:r>
      <w:r>
        <w:rPr>
          <w:rFonts w:ascii="Times New Roman" w:cs="Times New Roman" w:eastAsia="Times New Roman" w:hAnsi="Times New Roman"/>
          <w:sz w:val="21"/>
          <w:szCs w:val="21"/>
          <w:color w:val="54565D"/>
        </w:rPr>
        <w:t>acceleration</w:t>
      </w:r>
      <w:r>
        <w:rPr>
          <w:rFonts w:ascii="Times New Roman" w:cs="Times New Roman" w:eastAsia="Times New Roman" w:hAnsi="Times New Roman"/>
          <w:sz w:val="21"/>
          <w:szCs w:val="21"/>
          <w:color w:val="42444B"/>
        </w:rPr>
        <w:t xml:space="preserve"> pursuant to this provision occurs.</w:t>
      </w:r>
    </w:p>
    <w:p>
      <w:pPr>
        <w:spacing w:after="0" w:line="159" w:lineRule="exact"/>
        <w:rPr>
          <w:sz w:val="20"/>
          <w:szCs w:val="20"/>
          <w:color w:val="auto"/>
        </w:rPr>
      </w:pPr>
    </w:p>
    <w:p>
      <w:pPr>
        <w:ind w:left="880" w:right="280" w:hanging="8"/>
        <w:spacing w:after="0" w:line="250" w:lineRule="auto"/>
        <w:rPr>
          <w:sz w:val="20"/>
          <w:szCs w:val="20"/>
          <w:color w:val="auto"/>
        </w:rPr>
      </w:pPr>
      <w:r>
        <w:rPr>
          <w:rFonts w:ascii="Times New Roman" w:cs="Times New Roman" w:eastAsia="Times New Roman" w:hAnsi="Times New Roman"/>
          <w:sz w:val="21"/>
          <w:szCs w:val="21"/>
          <w:color w:val="42444B"/>
        </w:rPr>
        <w:t xml:space="preserve">The amounts payable </w:t>
      </w:r>
      <w:r>
        <w:rPr>
          <w:rFonts w:ascii="Times New Roman" w:cs="Times New Roman" w:eastAsia="Times New Roman" w:hAnsi="Times New Roman"/>
          <w:sz w:val="21"/>
          <w:szCs w:val="21"/>
          <w:color w:val="2B2D33"/>
        </w:rPr>
        <w:t>under thi</w:t>
      </w:r>
      <w:r>
        <w:rPr>
          <w:rFonts w:ascii="Times New Roman" w:cs="Times New Roman" w:eastAsia="Times New Roman" w:hAnsi="Times New Roman"/>
          <w:sz w:val="21"/>
          <w:szCs w:val="21"/>
          <w:color w:val="54565D"/>
        </w:rPr>
        <w:t>s</w:t>
      </w:r>
      <w:r>
        <w:rPr>
          <w:rFonts w:ascii="Times New Roman" w:cs="Times New Roman" w:eastAsia="Times New Roman" w:hAnsi="Times New Roman"/>
          <w:sz w:val="21"/>
          <w:szCs w:val="21"/>
          <w:color w:val="42444B"/>
        </w:rPr>
        <w:t xml:space="preserve"> Section 4 shall be paid out in substantially equal installments </w:t>
      </w:r>
      <w:r>
        <w:rPr>
          <w:rFonts w:ascii="Times New Roman" w:cs="Times New Roman" w:eastAsia="Times New Roman" w:hAnsi="Times New Roman"/>
          <w:sz w:val="21"/>
          <w:szCs w:val="21"/>
          <w:color w:val="2B2D33"/>
        </w:rPr>
        <w:t>in</w:t>
      </w:r>
      <w:r>
        <w:rPr>
          <w:rFonts w:ascii="Times New Roman" w:cs="Times New Roman" w:eastAsia="Times New Roman" w:hAnsi="Times New Roman"/>
          <w:sz w:val="21"/>
          <w:szCs w:val="21"/>
          <w:color w:val="42444B"/>
        </w:rPr>
        <w:t xml:space="preserve"> accordance with the Company</w:t>
      </w:r>
      <w:r>
        <w:rPr>
          <w:rFonts w:ascii="Times New Roman" w:cs="Times New Roman" w:eastAsia="Times New Roman" w:hAnsi="Times New Roman"/>
          <w:sz w:val="21"/>
          <w:szCs w:val="21"/>
          <w:color w:val="696B72"/>
        </w:rPr>
        <w:t>'s</w:t>
      </w:r>
      <w:r>
        <w:rPr>
          <w:rFonts w:ascii="Times New Roman" w:cs="Times New Roman" w:eastAsia="Times New Roman" w:hAnsi="Times New Roman"/>
          <w:sz w:val="21"/>
          <w:szCs w:val="21"/>
          <w:color w:val="42444B"/>
        </w:rPr>
        <w:t xml:space="preserve"> payroll practice over </w:t>
      </w:r>
      <w:r>
        <w:rPr>
          <w:rFonts w:ascii="Times New Roman" w:cs="Times New Roman" w:eastAsia="Times New Roman" w:hAnsi="Times New Roman"/>
          <w:sz w:val="21"/>
          <w:szCs w:val="21"/>
          <w:color w:val="2B2D33"/>
        </w:rPr>
        <w:t>the</w:t>
      </w:r>
      <w:r>
        <w:rPr>
          <w:rFonts w:ascii="Times New Roman" w:cs="Times New Roman" w:eastAsia="Times New Roman" w:hAnsi="Times New Roman"/>
          <w:sz w:val="21"/>
          <w:szCs w:val="21"/>
          <w:color w:val="42444B"/>
        </w:rPr>
        <w:t xml:space="preserve"> Salary </w:t>
      </w:r>
      <w:r>
        <w:rPr>
          <w:rFonts w:ascii="Times New Roman" w:cs="Times New Roman" w:eastAsia="Times New Roman" w:hAnsi="Times New Roman"/>
          <w:sz w:val="21"/>
          <w:szCs w:val="21"/>
          <w:color w:val="54565D"/>
        </w:rPr>
        <w:t>Conti</w:t>
      </w:r>
      <w:r>
        <w:rPr>
          <w:rFonts w:ascii="Times New Roman" w:cs="Times New Roman" w:eastAsia="Times New Roman" w:hAnsi="Times New Roman"/>
          <w:sz w:val="21"/>
          <w:szCs w:val="21"/>
          <w:color w:val="2B2D33"/>
        </w:rPr>
        <w:t>nua</w:t>
      </w:r>
      <w:r>
        <w:rPr>
          <w:rFonts w:ascii="Times New Roman" w:cs="Times New Roman" w:eastAsia="Times New Roman" w:hAnsi="Times New Roman"/>
          <w:sz w:val="21"/>
          <w:szCs w:val="21"/>
          <w:color w:val="54565D"/>
        </w:rPr>
        <w:t>tion</w:t>
      </w:r>
      <w:r>
        <w:rPr>
          <w:rFonts w:ascii="Times New Roman" w:cs="Times New Roman" w:eastAsia="Times New Roman" w:hAnsi="Times New Roman"/>
          <w:sz w:val="21"/>
          <w:szCs w:val="21"/>
          <w:color w:val="42444B"/>
        </w:rPr>
        <w:t xml:space="preserve"> Period commencing on </w:t>
      </w:r>
      <w:r>
        <w:rPr>
          <w:rFonts w:ascii="Times New Roman" w:cs="Times New Roman" w:eastAsia="Times New Roman" w:hAnsi="Times New Roman"/>
          <w:sz w:val="21"/>
          <w:szCs w:val="21"/>
          <w:color w:val="54565D"/>
        </w:rPr>
        <w:t>the</w:t>
      </w:r>
      <w:r>
        <w:rPr>
          <w:rFonts w:ascii="Times New Roman" w:cs="Times New Roman" w:eastAsia="Times New Roman" w:hAnsi="Times New Roman"/>
          <w:sz w:val="21"/>
          <w:szCs w:val="21"/>
          <w:color w:val="42444B"/>
        </w:rPr>
        <w:t xml:space="preserve"> Company's first practicable payroll date following the </w:t>
      </w:r>
      <w:r>
        <w:rPr>
          <w:rFonts w:ascii="Times New Roman" w:cs="Times New Roman" w:eastAsia="Times New Roman" w:hAnsi="Times New Roman"/>
          <w:sz w:val="21"/>
          <w:szCs w:val="21"/>
          <w:color w:val="2B2D33"/>
        </w:rPr>
        <w:t>Date of</w:t>
      </w:r>
      <w:r>
        <w:rPr>
          <w:rFonts w:ascii="Times New Roman" w:cs="Times New Roman" w:eastAsia="Times New Roman" w:hAnsi="Times New Roman"/>
          <w:sz w:val="21"/>
          <w:szCs w:val="21"/>
          <w:color w:val="42444B"/>
        </w:rPr>
        <w:t xml:space="preserve"> Termination; provided that </w:t>
      </w:r>
      <w:r>
        <w:rPr>
          <w:rFonts w:ascii="Times New Roman" w:cs="Times New Roman" w:eastAsia="Times New Roman" w:hAnsi="Times New Roman"/>
          <w:sz w:val="21"/>
          <w:szCs w:val="21"/>
          <w:color w:val="2B2D33"/>
        </w:rPr>
        <w:t>the initial</w:t>
      </w:r>
      <w:r>
        <w:rPr>
          <w:rFonts w:ascii="Times New Roman" w:cs="Times New Roman" w:eastAsia="Times New Roman" w:hAnsi="Times New Roman"/>
          <w:sz w:val="21"/>
          <w:szCs w:val="21"/>
          <w:color w:val="42444B"/>
        </w:rPr>
        <w:t xml:space="preserve"> payment </w:t>
      </w:r>
      <w:r>
        <w:rPr>
          <w:rFonts w:ascii="Times New Roman" w:cs="Times New Roman" w:eastAsia="Times New Roman" w:hAnsi="Times New Roman"/>
          <w:sz w:val="21"/>
          <w:szCs w:val="21"/>
          <w:color w:val="54565D"/>
        </w:rPr>
        <w:t>shall include a</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42444B"/>
        </w:rPr>
        <w:t>catch</w:t>
      </w:r>
      <w:r>
        <w:rPr>
          <w:rFonts w:ascii="Times New Roman" w:cs="Times New Roman" w:eastAsia="Times New Roman" w:hAnsi="Times New Roman"/>
          <w:sz w:val="21"/>
          <w:szCs w:val="21"/>
          <w:color w:val="16161C"/>
        </w:rPr>
        <w:t>-</w:t>
      </w:r>
      <w:r>
        <w:rPr>
          <w:rFonts w:ascii="Times New Roman" w:cs="Times New Roman" w:eastAsia="Times New Roman" w:hAnsi="Times New Roman"/>
          <w:sz w:val="21"/>
          <w:szCs w:val="21"/>
          <w:color w:val="42444B"/>
        </w:rPr>
        <w:t xml:space="preserve">up payment </w:t>
      </w:r>
      <w:r>
        <w:rPr>
          <w:rFonts w:ascii="Times New Roman" w:cs="Times New Roman" w:eastAsia="Times New Roman" w:hAnsi="Times New Roman"/>
          <w:sz w:val="21"/>
          <w:szCs w:val="21"/>
          <w:color w:val="54565D"/>
        </w:rPr>
        <w:t>to</w:t>
      </w:r>
      <w:r>
        <w:rPr>
          <w:rFonts w:ascii="Times New Roman" w:cs="Times New Roman" w:eastAsia="Times New Roman" w:hAnsi="Times New Roman"/>
          <w:sz w:val="21"/>
          <w:szCs w:val="21"/>
          <w:color w:val="42444B"/>
        </w:rPr>
        <w:t xml:space="preserve"> cover amounts retroactive to </w:t>
      </w:r>
      <w:r>
        <w:rPr>
          <w:rFonts w:ascii="Times New Roman" w:cs="Times New Roman" w:eastAsia="Times New Roman" w:hAnsi="Times New Roman"/>
          <w:sz w:val="21"/>
          <w:szCs w:val="21"/>
          <w:color w:val="54565D"/>
        </w:rPr>
        <w:t>the</w:t>
      </w:r>
      <w:r>
        <w:rPr>
          <w:rFonts w:ascii="Times New Roman" w:cs="Times New Roman" w:eastAsia="Times New Roman" w:hAnsi="Times New Roman"/>
          <w:sz w:val="21"/>
          <w:szCs w:val="21"/>
          <w:color w:val="42444B"/>
        </w:rPr>
        <w:t xml:space="preserve"> day immediately </w:t>
      </w:r>
      <w:r>
        <w:rPr>
          <w:rFonts w:ascii="Times New Roman" w:cs="Times New Roman" w:eastAsia="Times New Roman" w:hAnsi="Times New Roman"/>
          <w:sz w:val="21"/>
          <w:szCs w:val="21"/>
          <w:color w:val="54565D"/>
        </w:rPr>
        <w:t>following the</w:t>
      </w:r>
      <w:r>
        <w:rPr>
          <w:rFonts w:ascii="Times New Roman" w:cs="Times New Roman" w:eastAsia="Times New Roman" w:hAnsi="Times New Roman"/>
          <w:sz w:val="21"/>
          <w:szCs w:val="21"/>
          <w:color w:val="42444B"/>
        </w:rPr>
        <w:t xml:space="preserve"> </w:t>
      </w:r>
      <w:r>
        <w:rPr>
          <w:rFonts w:ascii="Times New Roman" w:cs="Times New Roman" w:eastAsia="Times New Roman" w:hAnsi="Times New Roman"/>
          <w:sz w:val="21"/>
          <w:szCs w:val="21"/>
          <w:color w:val="2B2D33"/>
        </w:rPr>
        <w:t>Da</w:t>
      </w:r>
      <w:r>
        <w:rPr>
          <w:rFonts w:ascii="Times New Roman" w:cs="Times New Roman" w:eastAsia="Times New Roman" w:hAnsi="Times New Roman"/>
          <w:sz w:val="21"/>
          <w:szCs w:val="21"/>
          <w:color w:val="54565D"/>
        </w:rPr>
        <w:t>te</w:t>
      </w:r>
      <w:r>
        <w:rPr>
          <w:rFonts w:ascii="Times New Roman" w:cs="Times New Roman" w:eastAsia="Times New Roman" w:hAnsi="Times New Roman"/>
          <w:sz w:val="21"/>
          <w:szCs w:val="21"/>
          <w:color w:val="42444B"/>
        </w:rPr>
        <w:t xml:space="preserve"> of Termination.</w:t>
      </w:r>
    </w:p>
    <w:p>
      <w:pPr>
        <w:spacing w:after="0" w:line="178" w:lineRule="exact"/>
        <w:rPr>
          <w:sz w:val="20"/>
          <w:szCs w:val="20"/>
          <w:color w:val="auto"/>
        </w:rPr>
      </w:pPr>
    </w:p>
    <w:p>
      <w:pPr>
        <w:ind w:left="860" w:hanging="722"/>
        <w:spacing w:after="0" w:line="253" w:lineRule="auto"/>
        <w:tabs>
          <w:tab w:leader="none" w:pos="860" w:val="left"/>
        </w:tabs>
        <w:numPr>
          <w:ilvl w:val="0"/>
          <w:numId w:val="76"/>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2"/>
          <w:szCs w:val="22"/>
          <w:b w:val="1"/>
          <w:bCs w:val="1"/>
          <w:color w:val="2B2D33"/>
        </w:rPr>
        <w:t xml:space="preserve">Release of All </w:t>
      </w:r>
      <w:r>
        <w:rPr>
          <w:rFonts w:ascii="Times New Roman" w:cs="Times New Roman" w:eastAsia="Times New Roman" w:hAnsi="Times New Roman"/>
          <w:sz w:val="22"/>
          <w:szCs w:val="22"/>
          <w:b w:val="1"/>
          <w:bCs w:val="1"/>
          <w:color w:val="42444B"/>
        </w:rPr>
        <w:t>C</w:t>
      </w:r>
      <w:r>
        <w:rPr>
          <w:rFonts w:ascii="Times New Roman" w:cs="Times New Roman" w:eastAsia="Times New Roman" w:hAnsi="Times New Roman"/>
          <w:sz w:val="22"/>
          <w:szCs w:val="22"/>
          <w:b w:val="1"/>
          <w:bCs w:val="1"/>
          <w:color w:val="16161C"/>
        </w:rPr>
        <w:t>laim</w:t>
      </w:r>
      <w:r>
        <w:rPr>
          <w:rFonts w:ascii="Times New Roman" w:cs="Times New Roman" w:eastAsia="Times New Roman" w:hAnsi="Times New Roman"/>
          <w:sz w:val="22"/>
          <w:szCs w:val="22"/>
          <w:b w:val="1"/>
          <w:bCs w:val="1"/>
          <w:color w:val="42444B"/>
        </w:rPr>
        <w:t>s.</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42444B"/>
        </w:rPr>
        <w:t>You,</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54565D"/>
        </w:rPr>
        <w:t>on your own</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42444B"/>
        </w:rPr>
        <w:t>behalf and on behalf of</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54565D"/>
        </w:rPr>
        <w:t>your heirs,</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42444B"/>
        </w:rPr>
        <w:t>executors, administrators, attorneys and</w:t>
      </w:r>
      <w:r>
        <w:rPr>
          <w:rFonts w:ascii="Times New Roman" w:cs="Times New Roman" w:eastAsia="Times New Roman" w:hAnsi="Times New Roman"/>
          <w:sz w:val="22"/>
          <w:szCs w:val="22"/>
          <w:b w:val="1"/>
          <w:bCs w:val="1"/>
          <w:color w:val="2B2D33"/>
        </w:rPr>
        <w:t xml:space="preserve"> </w:t>
      </w:r>
      <w:r>
        <w:rPr>
          <w:rFonts w:ascii="Times New Roman" w:cs="Times New Roman" w:eastAsia="Times New Roman" w:hAnsi="Times New Roman"/>
          <w:sz w:val="20"/>
          <w:szCs w:val="20"/>
          <w:color w:val="42444B"/>
        </w:rPr>
        <w:t xml:space="preserve">assigns, hereby unconditionally and irrevocably </w:t>
      </w:r>
      <w:r>
        <w:rPr>
          <w:rFonts w:ascii="Times New Roman" w:cs="Times New Roman" w:eastAsia="Times New Roman" w:hAnsi="Times New Roman"/>
          <w:sz w:val="20"/>
          <w:szCs w:val="20"/>
          <w:color w:val="2B2D33"/>
        </w:rPr>
        <w:t>relea</w:t>
      </w:r>
      <w:r>
        <w:rPr>
          <w:rFonts w:ascii="Times New Roman" w:cs="Times New Roman" w:eastAsia="Times New Roman" w:hAnsi="Times New Roman"/>
          <w:sz w:val="20"/>
          <w:szCs w:val="20"/>
          <w:color w:val="54565D"/>
        </w:rPr>
        <w:t>se,</w:t>
      </w:r>
      <w:r>
        <w:rPr>
          <w:rFonts w:ascii="Times New Roman" w:cs="Times New Roman" w:eastAsia="Times New Roman" w:hAnsi="Times New Roman"/>
          <w:sz w:val="20"/>
          <w:szCs w:val="20"/>
          <w:color w:val="42444B"/>
        </w:rPr>
        <w:t xml:space="preserve"> waive and forever discharge </w:t>
      </w:r>
      <w:r>
        <w:rPr>
          <w:rFonts w:ascii="Times New Roman" w:cs="Times New Roman" w:eastAsia="Times New Roman" w:hAnsi="Times New Roman"/>
          <w:sz w:val="20"/>
          <w:szCs w:val="20"/>
          <w:color w:val="54565D"/>
        </w:rPr>
        <w:t>Amarin Corporation</w:t>
      </w:r>
      <w:r>
        <w:rPr>
          <w:rFonts w:ascii="Times New Roman" w:cs="Times New Roman" w:eastAsia="Times New Roman" w:hAnsi="Times New Roman"/>
          <w:sz w:val="20"/>
          <w:szCs w:val="20"/>
          <w:color w:val="42444B"/>
        </w:rPr>
        <w:t xml:space="preserve"> plc</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Amarin Pharma, Inc. </w:t>
      </w:r>
      <w:r>
        <w:rPr>
          <w:rFonts w:ascii="Times New Roman" w:cs="Times New Roman" w:eastAsia="Times New Roman" w:hAnsi="Times New Roman"/>
          <w:sz w:val="20"/>
          <w:szCs w:val="20"/>
          <w:color w:val="54565D"/>
        </w:rPr>
        <w:t>and</w:t>
      </w:r>
      <w:r>
        <w:rPr>
          <w:rFonts w:ascii="Times New Roman" w:cs="Times New Roman" w:eastAsia="Times New Roman" w:hAnsi="Times New Roman"/>
          <w:sz w:val="20"/>
          <w:szCs w:val="20"/>
          <w:color w:val="42444B"/>
        </w:rPr>
        <w:t xml:space="preserve"> each of their respective </w:t>
      </w:r>
      <w:r>
        <w:rPr>
          <w:rFonts w:ascii="Times New Roman" w:cs="Times New Roman" w:eastAsia="Times New Roman" w:hAnsi="Times New Roman"/>
          <w:sz w:val="20"/>
          <w:szCs w:val="20"/>
          <w:color w:val="54565D"/>
        </w:rPr>
        <w:t>affiliates,</w:t>
      </w:r>
      <w:r>
        <w:rPr>
          <w:rFonts w:ascii="Times New Roman" w:cs="Times New Roman" w:eastAsia="Times New Roman" w:hAnsi="Times New Roman"/>
          <w:sz w:val="20"/>
          <w:szCs w:val="20"/>
          <w:color w:val="42444B"/>
        </w:rPr>
        <w:t xml:space="preserve"> parents, successors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and predecessors, and </w:t>
      </w:r>
      <w:r>
        <w:rPr>
          <w:rFonts w:ascii="Times New Roman" w:cs="Times New Roman" w:eastAsia="Times New Roman" w:hAnsi="Times New Roman"/>
          <w:sz w:val="20"/>
          <w:szCs w:val="20"/>
          <w:color w:val="54565D"/>
        </w:rPr>
        <w:t>the</w:t>
      </w:r>
      <w:r>
        <w:rPr>
          <w:rFonts w:ascii="Times New Roman" w:cs="Times New Roman" w:eastAsia="Times New Roman" w:hAnsi="Times New Roman"/>
          <w:sz w:val="20"/>
          <w:szCs w:val="20"/>
          <w:color w:val="42444B"/>
        </w:rPr>
        <w:t xml:space="preserve"> subsidiaries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directors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owners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members, shareholders, officers, agents, and employees </w:t>
      </w:r>
      <w:r>
        <w:rPr>
          <w:rFonts w:ascii="Times New Roman" w:cs="Times New Roman" w:eastAsia="Times New Roman" w:hAnsi="Times New Roman"/>
          <w:sz w:val="20"/>
          <w:szCs w:val="20"/>
          <w:color w:val="54565D"/>
        </w:rPr>
        <w:t>of</w:t>
      </w:r>
      <w:r>
        <w:rPr>
          <w:rFonts w:ascii="Times New Roman" w:cs="Times New Roman" w:eastAsia="Times New Roman" w:hAnsi="Times New Roman"/>
          <w:sz w:val="20"/>
          <w:szCs w:val="20"/>
          <w:color w:val="42444B"/>
        </w:rPr>
        <w:t xml:space="preserve"> Amarin Corporation plc, Amarin </w:t>
      </w:r>
      <w:r>
        <w:rPr>
          <w:rFonts w:ascii="Times New Roman" w:cs="Times New Roman" w:eastAsia="Times New Roman" w:hAnsi="Times New Roman"/>
          <w:sz w:val="20"/>
          <w:szCs w:val="20"/>
          <w:color w:val="2B2D33"/>
        </w:rPr>
        <w:t>Pharm</w:t>
      </w:r>
      <w:r>
        <w:rPr>
          <w:rFonts w:ascii="Times New Roman" w:cs="Times New Roman" w:eastAsia="Times New Roman" w:hAnsi="Times New Roman"/>
          <w:sz w:val="20"/>
          <w:szCs w:val="20"/>
          <w:color w:val="54565D"/>
        </w:rPr>
        <w:t>a,</w:t>
      </w:r>
      <w:r>
        <w:rPr>
          <w:rFonts w:ascii="Times New Roman" w:cs="Times New Roman" w:eastAsia="Times New Roman" w:hAnsi="Times New Roman"/>
          <w:sz w:val="20"/>
          <w:szCs w:val="20"/>
          <w:color w:val="42444B"/>
        </w:rPr>
        <w:t xml:space="preserve"> Inc. </w:t>
      </w:r>
      <w:r>
        <w:rPr>
          <w:rFonts w:ascii="Times New Roman" w:cs="Times New Roman" w:eastAsia="Times New Roman" w:hAnsi="Times New Roman"/>
          <w:sz w:val="20"/>
          <w:szCs w:val="20"/>
          <w:color w:val="54565D"/>
        </w:rPr>
        <w:t>and</w:t>
      </w:r>
      <w:r>
        <w:rPr>
          <w:rFonts w:ascii="Times New Roman" w:cs="Times New Roman" w:eastAsia="Times New Roman" w:hAnsi="Times New Roman"/>
          <w:sz w:val="20"/>
          <w:szCs w:val="20"/>
          <w:color w:val="42444B"/>
        </w:rPr>
        <w:t xml:space="preserve"> th</w:t>
      </w:r>
      <w:r>
        <w:rPr>
          <w:rFonts w:ascii="Times New Roman" w:cs="Times New Roman" w:eastAsia="Times New Roman" w:hAnsi="Times New Roman"/>
          <w:sz w:val="20"/>
          <w:szCs w:val="20"/>
          <w:color w:val="696B72"/>
        </w:rPr>
        <w:t>e</w:t>
      </w:r>
      <w:r>
        <w:rPr>
          <w:rFonts w:ascii="Times New Roman" w:cs="Times New Roman" w:eastAsia="Times New Roman" w:hAnsi="Times New Roman"/>
          <w:sz w:val="20"/>
          <w:szCs w:val="20"/>
          <w:color w:val="42444B"/>
        </w:rPr>
        <w:t xml:space="preserve">ir respective </w:t>
      </w:r>
      <w:r>
        <w:rPr>
          <w:rFonts w:ascii="Times New Roman" w:cs="Times New Roman" w:eastAsia="Times New Roman" w:hAnsi="Times New Roman"/>
          <w:sz w:val="20"/>
          <w:szCs w:val="20"/>
          <w:color w:val="54565D"/>
        </w:rPr>
        <w:t>affiliates,</w:t>
      </w:r>
      <w:r>
        <w:rPr>
          <w:rFonts w:ascii="Times New Roman" w:cs="Times New Roman" w:eastAsia="Times New Roman" w:hAnsi="Times New Roman"/>
          <w:sz w:val="20"/>
          <w:szCs w:val="20"/>
          <w:color w:val="42444B"/>
        </w:rPr>
        <w:t xml:space="preserve"> parents, </w:t>
      </w:r>
      <w:r>
        <w:rPr>
          <w:rFonts w:ascii="Times New Roman" w:cs="Times New Roman" w:eastAsia="Times New Roman" w:hAnsi="Times New Roman"/>
          <w:sz w:val="20"/>
          <w:szCs w:val="20"/>
          <w:color w:val="54565D"/>
        </w:rPr>
        <w:t>successo</w:t>
      </w:r>
      <w:r>
        <w:rPr>
          <w:rFonts w:ascii="Times New Roman" w:cs="Times New Roman" w:eastAsia="Times New Roman" w:hAnsi="Times New Roman"/>
          <w:sz w:val="20"/>
          <w:szCs w:val="20"/>
          <w:color w:val="2B2D33"/>
        </w:rPr>
        <w:t>r</w:t>
      </w:r>
      <w:r>
        <w:rPr>
          <w:rFonts w:ascii="Times New Roman" w:cs="Times New Roman" w:eastAsia="Times New Roman" w:hAnsi="Times New Roman"/>
          <w:sz w:val="20"/>
          <w:szCs w:val="20"/>
          <w:color w:val="54565D"/>
        </w:rPr>
        <w:t>s,</w:t>
      </w:r>
      <w:r>
        <w:rPr>
          <w:rFonts w:ascii="Times New Roman" w:cs="Times New Roman" w:eastAsia="Times New Roman" w:hAnsi="Times New Roman"/>
          <w:sz w:val="20"/>
          <w:szCs w:val="20"/>
          <w:color w:val="42444B"/>
        </w:rPr>
        <w:t xml:space="preserve"> predecessors, and subsidiaries </w:t>
      </w:r>
      <w:r>
        <w:rPr>
          <w:rFonts w:ascii="Times New Roman" w:cs="Times New Roman" w:eastAsia="Times New Roman" w:hAnsi="Times New Roman"/>
          <w:sz w:val="20"/>
          <w:szCs w:val="20"/>
          <w:color w:val="54565D"/>
        </w:rPr>
        <w:t>(co</w:t>
      </w:r>
      <w:r>
        <w:rPr>
          <w:rFonts w:ascii="Times New Roman" w:cs="Times New Roman" w:eastAsia="Times New Roman" w:hAnsi="Times New Roman"/>
          <w:sz w:val="20"/>
          <w:szCs w:val="20"/>
          <w:color w:val="2B2D33"/>
        </w:rPr>
        <w:t>llectively,</w:t>
      </w:r>
      <w:r>
        <w:rPr>
          <w:rFonts w:ascii="Times New Roman" w:cs="Times New Roman" w:eastAsia="Times New Roman" w:hAnsi="Times New Roman"/>
          <w:sz w:val="20"/>
          <w:szCs w:val="20"/>
          <w:color w:val="42444B"/>
        </w:rPr>
        <w:t xml:space="preserve"> all </w:t>
      </w:r>
      <w:r>
        <w:rPr>
          <w:rFonts w:ascii="Times New Roman" w:cs="Times New Roman" w:eastAsia="Times New Roman" w:hAnsi="Times New Roman"/>
          <w:sz w:val="20"/>
          <w:szCs w:val="20"/>
          <w:color w:val="2B2D33"/>
        </w:rPr>
        <w:t>of the</w:t>
      </w:r>
      <w:r>
        <w:rPr>
          <w:rFonts w:ascii="Times New Roman" w:cs="Times New Roman" w:eastAsia="Times New Roman" w:hAnsi="Times New Roman"/>
          <w:sz w:val="20"/>
          <w:szCs w:val="20"/>
          <w:color w:val="42444B"/>
        </w:rPr>
        <w:t xml:space="preserve"> foregoing are referred to as the </w:t>
      </w:r>
      <w:r>
        <w:rPr>
          <w:rFonts w:ascii="Times New Roman" w:cs="Times New Roman" w:eastAsia="Times New Roman" w:hAnsi="Times New Roman"/>
          <w:sz w:val="20"/>
          <w:szCs w:val="20"/>
          <w:color w:val="54565D"/>
        </w:rPr>
        <w:t>"Re</w:t>
      </w:r>
      <w:r>
        <w:rPr>
          <w:rFonts w:ascii="Times New Roman" w:cs="Times New Roman" w:eastAsia="Times New Roman" w:hAnsi="Times New Roman"/>
          <w:sz w:val="20"/>
          <w:szCs w:val="20"/>
          <w:color w:val="2B2D33"/>
        </w:rPr>
        <w:t>leas</w:t>
      </w:r>
      <w:r>
        <w:rPr>
          <w:rFonts w:ascii="Times New Roman" w:cs="Times New Roman" w:eastAsia="Times New Roman" w:hAnsi="Times New Roman"/>
          <w:sz w:val="20"/>
          <w:szCs w:val="20"/>
          <w:color w:val="54565D"/>
        </w:rPr>
        <w:t>ees"),</w:t>
      </w:r>
      <w:r>
        <w:rPr>
          <w:rFonts w:ascii="Times New Roman" w:cs="Times New Roman" w:eastAsia="Times New Roman" w:hAnsi="Times New Roman"/>
          <w:sz w:val="20"/>
          <w:szCs w:val="20"/>
          <w:color w:val="42444B"/>
        </w:rPr>
        <w:t xml:space="preserve"> from any </w:t>
      </w:r>
      <w:r>
        <w:rPr>
          <w:rFonts w:ascii="Times New Roman" w:cs="Times New Roman" w:eastAsia="Times New Roman" w:hAnsi="Times New Roman"/>
          <w:sz w:val="20"/>
          <w:szCs w:val="20"/>
          <w:color w:val="54565D"/>
        </w:rPr>
        <w:t>and</w:t>
      </w:r>
      <w:r>
        <w:rPr>
          <w:rFonts w:ascii="Times New Roman" w:cs="Times New Roman" w:eastAsia="Times New Roman" w:hAnsi="Times New Roman"/>
          <w:sz w:val="20"/>
          <w:szCs w:val="20"/>
          <w:color w:val="42444B"/>
        </w:rPr>
        <w:t xml:space="preserve"> all </w:t>
      </w:r>
      <w:r>
        <w:rPr>
          <w:rFonts w:ascii="Times New Roman" w:cs="Times New Roman" w:eastAsia="Times New Roman" w:hAnsi="Times New Roman"/>
          <w:sz w:val="20"/>
          <w:szCs w:val="20"/>
          <w:color w:val="54565D"/>
        </w:rPr>
        <w:t>causes of</w:t>
      </w:r>
      <w:r>
        <w:rPr>
          <w:rFonts w:ascii="Times New Roman" w:cs="Times New Roman" w:eastAsia="Times New Roman" w:hAnsi="Times New Roman"/>
          <w:sz w:val="20"/>
          <w:szCs w:val="20"/>
          <w:color w:val="42444B"/>
        </w:rPr>
        <w:t xml:space="preserve"> action, claims and damages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including </w:t>
      </w:r>
      <w:r>
        <w:rPr>
          <w:rFonts w:ascii="Times New Roman" w:cs="Times New Roman" w:eastAsia="Times New Roman" w:hAnsi="Times New Roman"/>
          <w:sz w:val="20"/>
          <w:szCs w:val="20"/>
          <w:color w:val="54565D"/>
        </w:rPr>
        <w:t>attorneys' fees,</w:t>
      </w:r>
      <w:r>
        <w:rPr>
          <w:rFonts w:ascii="Times New Roman" w:cs="Times New Roman" w:eastAsia="Times New Roman" w:hAnsi="Times New Roman"/>
          <w:sz w:val="20"/>
          <w:szCs w:val="20"/>
          <w:color w:val="42444B"/>
        </w:rPr>
        <w:t xml:space="preserve"> whether known or unknown, foreseen or unforeseen, presently </w:t>
      </w:r>
      <w:r>
        <w:rPr>
          <w:rFonts w:ascii="Times New Roman" w:cs="Times New Roman" w:eastAsia="Times New Roman" w:hAnsi="Times New Roman"/>
          <w:sz w:val="20"/>
          <w:szCs w:val="20"/>
          <w:color w:val="54565D"/>
        </w:rPr>
        <w:t>asserted</w:t>
      </w:r>
      <w:r>
        <w:rPr>
          <w:rFonts w:ascii="Times New Roman" w:cs="Times New Roman" w:eastAsia="Times New Roman" w:hAnsi="Times New Roman"/>
          <w:sz w:val="20"/>
          <w:szCs w:val="20"/>
          <w:color w:val="42444B"/>
        </w:rPr>
        <w:t xml:space="preserve"> or otherwise arising through the date </w:t>
      </w:r>
      <w:r>
        <w:rPr>
          <w:rFonts w:ascii="Times New Roman" w:cs="Times New Roman" w:eastAsia="Times New Roman" w:hAnsi="Times New Roman"/>
          <w:sz w:val="20"/>
          <w:szCs w:val="20"/>
          <w:color w:val="54565D"/>
        </w:rPr>
        <w:t>on</w:t>
      </w:r>
      <w:r>
        <w:rPr>
          <w:rFonts w:ascii="Times New Roman" w:cs="Times New Roman" w:eastAsia="Times New Roman" w:hAnsi="Times New Roman"/>
          <w:sz w:val="20"/>
          <w:szCs w:val="20"/>
          <w:color w:val="42444B"/>
        </w:rPr>
        <w:t xml:space="preserve"> which you </w:t>
      </w:r>
      <w:r>
        <w:rPr>
          <w:rFonts w:ascii="Times New Roman" w:cs="Times New Roman" w:eastAsia="Times New Roman" w:hAnsi="Times New Roman"/>
          <w:sz w:val="20"/>
          <w:szCs w:val="20"/>
          <w:color w:val="54565D"/>
        </w:rPr>
        <w:t>sign</w:t>
      </w:r>
      <w:r>
        <w:rPr>
          <w:rFonts w:ascii="Times New Roman" w:cs="Times New Roman" w:eastAsia="Times New Roman" w:hAnsi="Times New Roman"/>
          <w:sz w:val="20"/>
          <w:szCs w:val="20"/>
          <w:color w:val="42444B"/>
        </w:rPr>
        <w:t xml:space="preserve"> this Agreement. This release includes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but is not </w:t>
      </w:r>
      <w:r>
        <w:rPr>
          <w:rFonts w:ascii="Times New Roman" w:cs="Times New Roman" w:eastAsia="Times New Roman" w:hAnsi="Times New Roman"/>
          <w:sz w:val="20"/>
          <w:szCs w:val="20"/>
          <w:color w:val="2B2D33"/>
        </w:rPr>
        <w:t>limit</w:t>
      </w:r>
      <w:r>
        <w:rPr>
          <w:rFonts w:ascii="Times New Roman" w:cs="Times New Roman" w:eastAsia="Times New Roman" w:hAnsi="Times New Roman"/>
          <w:sz w:val="20"/>
          <w:szCs w:val="20"/>
          <w:color w:val="54565D"/>
        </w:rPr>
        <w:t>ed to, any</w:t>
      </w:r>
      <w:r>
        <w:rPr>
          <w:rFonts w:ascii="Times New Roman" w:cs="Times New Roman" w:eastAsia="Times New Roman" w:hAnsi="Times New Roman"/>
          <w:sz w:val="20"/>
          <w:szCs w:val="20"/>
          <w:color w:val="42444B"/>
        </w:rPr>
        <w:t xml:space="preserve"> claim or </w:t>
      </w:r>
      <w:r>
        <w:rPr>
          <w:rFonts w:ascii="Times New Roman" w:cs="Times New Roman" w:eastAsia="Times New Roman" w:hAnsi="Times New Roman"/>
          <w:sz w:val="20"/>
          <w:szCs w:val="20"/>
          <w:color w:val="54565D"/>
        </w:rPr>
        <w:t>entitlement to salary,</w:t>
      </w:r>
      <w:r>
        <w:rPr>
          <w:rFonts w:ascii="Times New Roman" w:cs="Times New Roman" w:eastAsia="Times New Roman" w:hAnsi="Times New Roman"/>
          <w:sz w:val="20"/>
          <w:szCs w:val="20"/>
          <w:color w:val="42444B"/>
        </w:rPr>
        <w:t xml:space="preserve"> bonuses, </w:t>
      </w:r>
      <w:r>
        <w:rPr>
          <w:rFonts w:ascii="Times New Roman" w:cs="Times New Roman" w:eastAsia="Times New Roman" w:hAnsi="Times New Roman"/>
          <w:sz w:val="20"/>
          <w:szCs w:val="20"/>
          <w:color w:val="54565D"/>
        </w:rPr>
        <w:t>any</w:t>
      </w:r>
      <w:r>
        <w:rPr>
          <w:rFonts w:ascii="Times New Roman" w:cs="Times New Roman" w:eastAsia="Times New Roman" w:hAnsi="Times New Roman"/>
          <w:sz w:val="20"/>
          <w:szCs w:val="20"/>
          <w:color w:val="42444B"/>
        </w:rPr>
        <w:t xml:space="preserve"> other payments, benefits or damages arising under any </w:t>
      </w:r>
      <w:r>
        <w:rPr>
          <w:rFonts w:ascii="Times New Roman" w:cs="Times New Roman" w:eastAsia="Times New Roman" w:hAnsi="Times New Roman"/>
          <w:sz w:val="20"/>
          <w:szCs w:val="20"/>
          <w:color w:val="54565D"/>
        </w:rPr>
        <w:t>federal</w:t>
      </w:r>
      <w:r>
        <w:rPr>
          <w:rFonts w:ascii="Times New Roman" w:cs="Times New Roman" w:eastAsia="Times New Roman" w:hAnsi="Times New Roman"/>
          <w:sz w:val="20"/>
          <w:szCs w:val="20"/>
          <w:color w:val="42444B"/>
        </w:rPr>
        <w:t xml:space="preserve"> law (including, but not limited to, Title VII of the </w:t>
      </w:r>
      <w:r>
        <w:rPr>
          <w:rFonts w:ascii="Times New Roman" w:cs="Times New Roman" w:eastAsia="Times New Roman" w:hAnsi="Times New Roman"/>
          <w:sz w:val="20"/>
          <w:szCs w:val="20"/>
          <w:color w:val="54565D"/>
        </w:rPr>
        <w:t>Civil</w:t>
      </w:r>
      <w:r>
        <w:rPr>
          <w:rFonts w:ascii="Times New Roman" w:cs="Times New Roman" w:eastAsia="Times New Roman" w:hAnsi="Times New Roman"/>
          <w:sz w:val="20"/>
          <w:szCs w:val="20"/>
          <w:color w:val="42444B"/>
        </w:rPr>
        <w:t xml:space="preserve"> Rights Act </w:t>
      </w:r>
      <w:r>
        <w:rPr>
          <w:rFonts w:ascii="Times New Roman" w:cs="Times New Roman" w:eastAsia="Times New Roman" w:hAnsi="Times New Roman"/>
          <w:sz w:val="20"/>
          <w:szCs w:val="20"/>
          <w:color w:val="54565D"/>
        </w:rPr>
        <w:t>of</w:t>
      </w:r>
      <w:r>
        <w:rPr>
          <w:rFonts w:ascii="Times New Roman" w:cs="Times New Roman" w:eastAsia="Times New Roman" w:hAnsi="Times New Roman"/>
          <w:sz w:val="20"/>
          <w:szCs w:val="20"/>
          <w:color w:val="42444B"/>
        </w:rPr>
        <w:t xml:space="preserve"> </w:t>
      </w:r>
      <w:r>
        <w:rPr>
          <w:rFonts w:ascii="Times New Roman" w:cs="Times New Roman" w:eastAsia="Times New Roman" w:hAnsi="Times New Roman"/>
          <w:sz w:val="20"/>
          <w:szCs w:val="20"/>
          <w:color w:val="16161C"/>
        </w:rPr>
        <w:t>1</w:t>
      </w:r>
      <w:r>
        <w:rPr>
          <w:rFonts w:ascii="Times New Roman" w:cs="Times New Roman" w:eastAsia="Times New Roman" w:hAnsi="Times New Roman"/>
          <w:sz w:val="20"/>
          <w:szCs w:val="20"/>
          <w:color w:val="42444B"/>
        </w:rPr>
        <w:t>964</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the </w:t>
      </w:r>
      <w:r>
        <w:rPr>
          <w:rFonts w:ascii="Times New Roman" w:cs="Times New Roman" w:eastAsia="Times New Roman" w:hAnsi="Times New Roman"/>
          <w:sz w:val="20"/>
          <w:szCs w:val="20"/>
          <w:color w:val="54565D"/>
        </w:rPr>
        <w:t>Employee</w:t>
      </w:r>
      <w:r>
        <w:rPr>
          <w:rFonts w:ascii="Times New Roman" w:cs="Times New Roman" w:eastAsia="Times New Roman" w:hAnsi="Times New Roman"/>
          <w:sz w:val="20"/>
          <w:szCs w:val="20"/>
          <w:color w:val="42444B"/>
        </w:rPr>
        <w:t xml:space="preserve"> Retirement </w:t>
      </w:r>
      <w:r>
        <w:rPr>
          <w:rFonts w:ascii="Times New Roman" w:cs="Times New Roman" w:eastAsia="Times New Roman" w:hAnsi="Times New Roman"/>
          <w:sz w:val="20"/>
          <w:szCs w:val="20"/>
          <w:color w:val="54565D"/>
        </w:rPr>
        <w:t>Income</w:t>
      </w:r>
      <w:r>
        <w:rPr>
          <w:rFonts w:ascii="Times New Roman" w:cs="Times New Roman" w:eastAsia="Times New Roman" w:hAnsi="Times New Roman"/>
          <w:sz w:val="20"/>
          <w:szCs w:val="20"/>
          <w:color w:val="42444B"/>
        </w:rPr>
        <w:t xml:space="preserve"> Security Act of </w:t>
      </w:r>
      <w:r>
        <w:rPr>
          <w:rFonts w:ascii="Times New Roman" w:cs="Times New Roman" w:eastAsia="Times New Roman" w:hAnsi="Times New Roman"/>
          <w:sz w:val="20"/>
          <w:szCs w:val="20"/>
          <w:color w:val="2B2D33"/>
        </w:rPr>
        <w:t>1974</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the </w:t>
      </w:r>
      <w:r>
        <w:rPr>
          <w:rFonts w:ascii="Times New Roman" w:cs="Times New Roman" w:eastAsia="Times New Roman" w:hAnsi="Times New Roman"/>
          <w:sz w:val="20"/>
          <w:szCs w:val="20"/>
          <w:color w:val="54565D"/>
        </w:rPr>
        <w:t>Americans</w:t>
      </w:r>
      <w:r>
        <w:rPr>
          <w:rFonts w:ascii="Times New Roman" w:cs="Times New Roman" w:eastAsia="Times New Roman" w:hAnsi="Times New Roman"/>
          <w:sz w:val="20"/>
          <w:szCs w:val="20"/>
          <w:color w:val="42444B"/>
        </w:rPr>
        <w:t xml:space="preserve"> with Disabilities </w:t>
      </w:r>
      <w:r>
        <w:rPr>
          <w:rFonts w:ascii="Times New Roman" w:cs="Times New Roman" w:eastAsia="Times New Roman" w:hAnsi="Times New Roman"/>
          <w:sz w:val="20"/>
          <w:szCs w:val="20"/>
          <w:color w:val="54565D"/>
        </w:rPr>
        <w:t>Act,</w:t>
      </w:r>
      <w:r>
        <w:rPr>
          <w:rFonts w:ascii="Times New Roman" w:cs="Times New Roman" w:eastAsia="Times New Roman" w:hAnsi="Times New Roman"/>
          <w:sz w:val="20"/>
          <w:szCs w:val="20"/>
          <w:color w:val="42444B"/>
        </w:rPr>
        <w:t xml:space="preserve"> </w:t>
      </w:r>
      <w:r>
        <w:rPr>
          <w:rFonts w:ascii="Times New Roman" w:cs="Times New Roman" w:eastAsia="Times New Roman" w:hAnsi="Times New Roman"/>
          <w:sz w:val="20"/>
          <w:szCs w:val="20"/>
          <w:color w:val="54565D"/>
        </w:rPr>
        <w:t xml:space="preserve">Executive </w:t>
      </w:r>
      <w:r>
        <w:rPr>
          <w:rFonts w:ascii="Times New Roman" w:cs="Times New Roman" w:eastAsia="Times New Roman" w:hAnsi="Times New Roman"/>
          <w:sz w:val="20"/>
          <w:szCs w:val="20"/>
          <w:color w:val="42444B"/>
        </w:rPr>
        <w:t>Order 11246, the Family and Medical Leave Act ("FMLA")</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and the Worker Adjustment and</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2B2D33"/>
        </w:rPr>
        <w:t>Retrainin</w:t>
      </w:r>
      <w:r>
        <w:rPr>
          <w:rFonts w:ascii="Times New Roman" w:cs="Times New Roman" w:eastAsia="Times New Roman" w:hAnsi="Times New Roman"/>
          <w:sz w:val="20"/>
          <w:szCs w:val="20"/>
          <w:color w:val="54565D"/>
        </w:rPr>
        <w:t xml:space="preserve">g Notification </w:t>
      </w:r>
      <w:r>
        <w:rPr>
          <w:rFonts w:ascii="Times New Roman" w:cs="Times New Roman" w:eastAsia="Times New Roman" w:hAnsi="Times New Roman"/>
          <w:sz w:val="20"/>
          <w:szCs w:val="20"/>
          <w:color w:val="42444B"/>
        </w:rPr>
        <w:t>Act ("WARN")</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each as amended and any</w:t>
      </w:r>
      <w:r>
        <w:rPr>
          <w:rFonts w:ascii="Times New Roman" w:cs="Times New Roman" w:eastAsia="Times New Roman" w:hAnsi="Times New Roman"/>
          <w:sz w:val="20"/>
          <w:szCs w:val="20"/>
          <w:color w:val="54565D"/>
        </w:rPr>
        <w:t xml:space="preserve"> other </w:t>
      </w:r>
      <w:r>
        <w:rPr>
          <w:rFonts w:ascii="Times New Roman" w:cs="Times New Roman" w:eastAsia="Times New Roman" w:hAnsi="Times New Roman"/>
          <w:sz w:val="20"/>
          <w:szCs w:val="20"/>
          <w:color w:val="42444B"/>
        </w:rPr>
        <w:t>federal,</w:t>
      </w:r>
      <w:r>
        <w:rPr>
          <w:rFonts w:ascii="Times New Roman" w:cs="Times New Roman" w:eastAsia="Times New Roman" w:hAnsi="Times New Roman"/>
          <w:sz w:val="20"/>
          <w:szCs w:val="20"/>
          <w:color w:val="54565D"/>
        </w:rPr>
        <w:t xml:space="preserve"> state, </w:t>
      </w:r>
      <w:r>
        <w:rPr>
          <w:rFonts w:ascii="Times New Roman" w:cs="Times New Roman" w:eastAsia="Times New Roman" w:hAnsi="Times New Roman"/>
          <w:sz w:val="20"/>
          <w:szCs w:val="20"/>
          <w:color w:val="42444B"/>
        </w:rPr>
        <w:t>local or foreign</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2B2D33"/>
        </w:rPr>
        <w:t>law</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relating to notice</w:t>
      </w:r>
      <w:r>
        <w:rPr>
          <w:rFonts w:ascii="Times New Roman" w:cs="Times New Roman" w:eastAsia="Times New Roman" w:hAnsi="Times New Roman"/>
          <w:sz w:val="20"/>
          <w:szCs w:val="20"/>
          <w:color w:val="54565D"/>
        </w:rPr>
        <w:t xml:space="preserve"> of </w:t>
      </w:r>
      <w:r>
        <w:rPr>
          <w:rFonts w:ascii="Times New Roman" w:cs="Times New Roman" w:eastAsia="Times New Roman" w:hAnsi="Times New Roman"/>
          <w:sz w:val="20"/>
          <w:szCs w:val="20"/>
          <w:color w:val="42444B"/>
        </w:rPr>
        <w:t xml:space="preserve">employment termination or to </w:t>
      </w:r>
      <w:r>
        <w:rPr>
          <w:rFonts w:ascii="Times New Roman" w:cs="Times New Roman" w:eastAsia="Times New Roman" w:hAnsi="Times New Roman"/>
          <w:sz w:val="20"/>
          <w:szCs w:val="20"/>
          <w:color w:val="54565D"/>
        </w:rPr>
        <w:t>seve</w:t>
      </w:r>
      <w:r>
        <w:rPr>
          <w:rFonts w:ascii="Times New Roman" w:cs="Times New Roman" w:eastAsia="Times New Roman" w:hAnsi="Times New Roman"/>
          <w:sz w:val="20"/>
          <w:szCs w:val="20"/>
          <w:color w:val="2B2D33"/>
        </w:rPr>
        <w:t>ranc</w:t>
      </w:r>
      <w:r>
        <w:rPr>
          <w:rFonts w:ascii="Times New Roman" w:cs="Times New Roman" w:eastAsia="Times New Roman" w:hAnsi="Times New Roman"/>
          <w:sz w:val="20"/>
          <w:szCs w:val="20"/>
          <w:color w:val="54565D"/>
        </w:rPr>
        <w:t>e</w:t>
      </w:r>
      <w:r>
        <w:rPr>
          <w:rFonts w:ascii="Times New Roman" w:cs="Times New Roman" w:eastAsia="Times New Roman" w:hAnsi="Times New Roman"/>
          <w:sz w:val="20"/>
          <w:szCs w:val="20"/>
          <w:color w:val="42444B"/>
        </w:rPr>
        <w:t xml:space="preserve"> pay, (including, without </w:t>
      </w:r>
      <w:r>
        <w:rPr>
          <w:rFonts w:ascii="Times New Roman" w:cs="Times New Roman" w:eastAsia="Times New Roman" w:hAnsi="Times New Roman"/>
          <w:sz w:val="20"/>
          <w:szCs w:val="20"/>
          <w:color w:val="2B2D33"/>
        </w:rPr>
        <w:t>limitation</w:t>
      </w:r>
      <w:r>
        <w:rPr>
          <w:rFonts w:ascii="Times New Roman" w:cs="Times New Roman" w:eastAsia="Times New Roman" w:hAnsi="Times New Roman"/>
          <w:sz w:val="20"/>
          <w:szCs w:val="20"/>
          <w:color w:val="54565D"/>
        </w:rPr>
        <w:t>,</w:t>
      </w:r>
      <w:r>
        <w:rPr>
          <w:rFonts w:ascii="Times New Roman" w:cs="Times New Roman" w:eastAsia="Times New Roman" w:hAnsi="Times New Roman"/>
          <w:sz w:val="20"/>
          <w:szCs w:val="20"/>
          <w:color w:val="42444B"/>
        </w:rPr>
        <w:t xml:space="preserve"> any claim under N.J. Rev. </w:t>
      </w:r>
      <w:r>
        <w:rPr>
          <w:rFonts w:ascii="Times New Roman" w:cs="Times New Roman" w:eastAsia="Times New Roman" w:hAnsi="Times New Roman"/>
          <w:sz w:val="20"/>
          <w:szCs w:val="20"/>
          <w:color w:val="54565D"/>
        </w:rPr>
        <w:t>Stat 34:21</w:t>
      </w:r>
      <w:r>
        <w:rPr>
          <w:rFonts w:ascii="Times New Roman" w:cs="Times New Roman" w:eastAsia="Times New Roman" w:hAnsi="Times New Roman"/>
          <w:sz w:val="20"/>
          <w:szCs w:val="20"/>
          <w:color w:val="2B2D33"/>
        </w:rPr>
        <w:t>-2</w:t>
      </w:r>
      <w:r>
        <w:rPr>
          <w:rFonts w:ascii="Times New Roman" w:cs="Times New Roman" w:eastAsia="Times New Roman" w:hAnsi="Times New Roman"/>
          <w:sz w:val="20"/>
          <w:szCs w:val="20"/>
          <w:color w:val="54565D"/>
        </w:rPr>
        <w:t>.2a.</w:t>
      </w:r>
      <w:r>
        <w:rPr>
          <w:rFonts w:ascii="Times New Roman" w:cs="Times New Roman" w:eastAsia="Times New Roman" w:hAnsi="Times New Roman"/>
          <w:sz w:val="20"/>
          <w:szCs w:val="20"/>
          <w:color w:val="42444B"/>
        </w:rPr>
        <w:t xml:space="preserve"> </w:t>
      </w:r>
      <w:r>
        <w:rPr>
          <w:rFonts w:ascii="Times New Roman" w:cs="Times New Roman" w:eastAsia="Times New Roman" w:hAnsi="Times New Roman"/>
          <w:sz w:val="20"/>
          <w:szCs w:val="20"/>
          <w:color w:val="54565D"/>
        </w:rPr>
        <w:t xml:space="preserve">et seq. </w:t>
      </w:r>
      <w:r>
        <w:rPr>
          <w:rFonts w:ascii="Times New Roman" w:cs="Times New Roman" w:eastAsia="Times New Roman" w:hAnsi="Times New Roman"/>
          <w:sz w:val="20"/>
          <w:szCs w:val="20"/>
          <w:color w:val="42444B"/>
        </w:rPr>
        <w:t>and any other</w:t>
      </w:r>
      <w:r>
        <w:rPr>
          <w:rFonts w:ascii="Times New Roman" w:cs="Times New Roman" w:eastAsia="Times New Roman" w:hAnsi="Times New Roman"/>
          <w:sz w:val="20"/>
          <w:szCs w:val="20"/>
          <w:color w:val="54565D"/>
        </w:rPr>
        <w:t xml:space="preserve"> sta</w:t>
      </w:r>
      <w:r>
        <w:rPr>
          <w:rFonts w:ascii="Times New Roman" w:cs="Times New Roman" w:eastAsia="Times New Roman" w:hAnsi="Times New Roman"/>
          <w:sz w:val="20"/>
          <w:szCs w:val="20"/>
          <w:color w:val="2B2D33"/>
        </w:rPr>
        <w:t>te</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mini-WARN laws); any claim</w:t>
      </w:r>
      <w:r>
        <w:rPr>
          <w:rFonts w:ascii="Times New Roman" w:cs="Times New Roman" w:eastAsia="Times New Roman" w:hAnsi="Times New Roman"/>
          <w:sz w:val="20"/>
          <w:szCs w:val="20"/>
          <w:color w:val="54565D"/>
        </w:rPr>
        <w:t xml:space="preserve"> arising under </w:t>
      </w:r>
      <w:r>
        <w:rPr>
          <w:rFonts w:ascii="Times New Roman" w:cs="Times New Roman" w:eastAsia="Times New Roman" w:hAnsi="Times New Roman"/>
          <w:sz w:val="20"/>
          <w:szCs w:val="20"/>
          <w:color w:val="42444B"/>
        </w:rPr>
        <w:t>any</w:t>
      </w:r>
      <w:r>
        <w:rPr>
          <w:rFonts w:ascii="Times New Roman" w:cs="Times New Roman" w:eastAsia="Times New Roman" w:hAnsi="Times New Roman"/>
          <w:sz w:val="20"/>
          <w:szCs w:val="20"/>
          <w:color w:val="54565D"/>
        </w:rPr>
        <w:t xml:space="preserve"> state or </w:t>
      </w:r>
      <w:r>
        <w:rPr>
          <w:rFonts w:ascii="Times New Roman" w:cs="Times New Roman" w:eastAsia="Times New Roman" w:hAnsi="Times New Roman"/>
          <w:sz w:val="20"/>
          <w:szCs w:val="20"/>
          <w:color w:val="42444B"/>
        </w:rPr>
        <w:t>local</w:t>
      </w:r>
      <w:r>
        <w:rPr>
          <w:rFonts w:ascii="Times New Roman" w:cs="Times New Roman" w:eastAsia="Times New Roman" w:hAnsi="Times New Roman"/>
          <w:sz w:val="20"/>
          <w:szCs w:val="20"/>
          <w:color w:val="54565D"/>
        </w:rPr>
        <w:t xml:space="preserve"> laws, </w:t>
      </w:r>
      <w:r>
        <w:rPr>
          <w:rFonts w:ascii="Times New Roman" w:cs="Times New Roman" w:eastAsia="Times New Roman" w:hAnsi="Times New Roman"/>
          <w:sz w:val="20"/>
          <w:szCs w:val="20"/>
          <w:color w:val="42444B"/>
        </w:rPr>
        <w:t>ordinances or</w:t>
      </w:r>
      <w:r>
        <w:rPr>
          <w:rFonts w:ascii="Times New Roman" w:cs="Times New Roman" w:eastAsia="Times New Roman" w:hAnsi="Times New Roman"/>
          <w:sz w:val="20"/>
          <w:szCs w:val="20"/>
          <w:color w:val="54565D"/>
        </w:rPr>
        <w:t xml:space="preserve"> regulations </w:t>
      </w:r>
      <w:r>
        <w:rPr>
          <w:rFonts w:ascii="Times New Roman" w:cs="Times New Roman" w:eastAsia="Times New Roman" w:hAnsi="Times New Roman"/>
          <w:sz w:val="20"/>
          <w:szCs w:val="20"/>
          <w:color w:val="42444B"/>
        </w:rPr>
        <w:t>(including, but not limited to</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the New Jersey </w:t>
      </w:r>
      <w:r>
        <w:rPr>
          <w:rFonts w:ascii="Times New Roman" w:cs="Times New Roman" w:eastAsia="Times New Roman" w:hAnsi="Times New Roman"/>
          <w:sz w:val="20"/>
          <w:szCs w:val="20"/>
          <w:color w:val="2B2D33"/>
        </w:rPr>
        <w:t>Law</w:t>
      </w:r>
      <w:r>
        <w:rPr>
          <w:rFonts w:ascii="Times New Roman" w:cs="Times New Roman" w:eastAsia="Times New Roman" w:hAnsi="Times New Roman"/>
          <w:sz w:val="20"/>
          <w:szCs w:val="20"/>
          <w:color w:val="42444B"/>
        </w:rPr>
        <w:t xml:space="preserve"> Against </w:t>
      </w:r>
      <w:r>
        <w:rPr>
          <w:rFonts w:ascii="Times New Roman" w:cs="Times New Roman" w:eastAsia="Times New Roman" w:hAnsi="Times New Roman"/>
          <w:sz w:val="20"/>
          <w:szCs w:val="20"/>
          <w:color w:val="2B2D33"/>
        </w:rPr>
        <w:t>Discrimination</w:t>
      </w:r>
      <w:r>
        <w:rPr>
          <w:rFonts w:ascii="Times New Roman" w:cs="Times New Roman" w:eastAsia="Times New Roman" w:hAnsi="Times New Roman"/>
          <w:sz w:val="20"/>
          <w:szCs w:val="20"/>
          <w:color w:val="54565D"/>
        </w:rPr>
        <w:t>,</w:t>
      </w:r>
      <w:r>
        <w:rPr>
          <w:rFonts w:ascii="Times New Roman" w:cs="Times New Roman" w:eastAsia="Times New Roman" w:hAnsi="Times New Roman"/>
          <w:sz w:val="20"/>
          <w:szCs w:val="20"/>
          <w:color w:val="42444B"/>
        </w:rPr>
        <w:t xml:space="preserve"> the </w:t>
      </w:r>
      <w:r>
        <w:rPr>
          <w:rFonts w:ascii="Times New Roman" w:cs="Times New Roman" w:eastAsia="Times New Roman" w:hAnsi="Times New Roman"/>
          <w:sz w:val="20"/>
          <w:szCs w:val="20"/>
          <w:color w:val="54565D"/>
        </w:rPr>
        <w:t>New</w:t>
      </w:r>
      <w:r>
        <w:rPr>
          <w:rFonts w:ascii="Times New Roman" w:cs="Times New Roman" w:eastAsia="Times New Roman" w:hAnsi="Times New Roman"/>
          <w:sz w:val="20"/>
          <w:szCs w:val="20"/>
          <w:color w:val="42444B"/>
        </w:rPr>
        <w:t xml:space="preserve"> </w:t>
      </w:r>
      <w:r>
        <w:rPr>
          <w:rFonts w:ascii="Times New Roman" w:cs="Times New Roman" w:eastAsia="Times New Roman" w:hAnsi="Times New Roman"/>
          <w:sz w:val="20"/>
          <w:szCs w:val="20"/>
          <w:color w:val="2B2D33"/>
        </w:rPr>
        <w:t>Jer</w:t>
      </w:r>
      <w:r>
        <w:rPr>
          <w:rFonts w:ascii="Times New Roman" w:cs="Times New Roman" w:eastAsia="Times New Roman" w:hAnsi="Times New Roman"/>
          <w:sz w:val="20"/>
          <w:szCs w:val="20"/>
          <w:color w:val="54565D"/>
        </w:rPr>
        <w:t>sey</w:t>
      </w:r>
      <w:r>
        <w:rPr>
          <w:rFonts w:ascii="Times New Roman" w:cs="Times New Roman" w:eastAsia="Times New Roman" w:hAnsi="Times New Roman"/>
          <w:sz w:val="20"/>
          <w:szCs w:val="20"/>
          <w:color w:val="42444B"/>
        </w:rPr>
        <w:t xml:space="preserve"> Family </w:t>
      </w:r>
      <w:r>
        <w:rPr>
          <w:rFonts w:ascii="Times New Roman" w:cs="Times New Roman" w:eastAsia="Times New Roman" w:hAnsi="Times New Roman"/>
          <w:sz w:val="20"/>
          <w:szCs w:val="20"/>
          <w:color w:val="2B2D33"/>
        </w:rPr>
        <w:t>Le</w:t>
      </w:r>
      <w:r>
        <w:rPr>
          <w:rFonts w:ascii="Times New Roman" w:cs="Times New Roman" w:eastAsia="Times New Roman" w:hAnsi="Times New Roman"/>
          <w:sz w:val="20"/>
          <w:szCs w:val="20"/>
          <w:color w:val="54565D"/>
        </w:rPr>
        <w:t>ave</w:t>
      </w:r>
      <w:r>
        <w:rPr>
          <w:rFonts w:ascii="Times New Roman" w:cs="Times New Roman" w:eastAsia="Times New Roman" w:hAnsi="Times New Roman"/>
          <w:sz w:val="20"/>
          <w:szCs w:val="20"/>
          <w:color w:val="42444B"/>
        </w:rPr>
        <w:t xml:space="preserve"> Act</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and any </w:t>
      </w:r>
      <w:r>
        <w:rPr>
          <w:rFonts w:ascii="Times New Roman" w:cs="Times New Roman" w:eastAsia="Times New Roman" w:hAnsi="Times New Roman"/>
          <w:sz w:val="20"/>
          <w:szCs w:val="20"/>
          <w:color w:val="54565D"/>
        </w:rPr>
        <w:t xml:space="preserve">state or local </w:t>
      </w:r>
      <w:r>
        <w:rPr>
          <w:rFonts w:ascii="Times New Roman" w:cs="Times New Roman" w:eastAsia="Times New Roman" w:hAnsi="Times New Roman"/>
          <w:sz w:val="20"/>
          <w:szCs w:val="20"/>
          <w:color w:val="42444B"/>
        </w:rPr>
        <w:t>laws</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54565D"/>
        </w:rPr>
        <w:t xml:space="preserve"> ordinances or regulations </w:t>
      </w:r>
      <w:r>
        <w:rPr>
          <w:rFonts w:ascii="Times New Roman" w:cs="Times New Roman" w:eastAsia="Times New Roman" w:hAnsi="Times New Roman"/>
          <w:sz w:val="20"/>
          <w:szCs w:val="20"/>
          <w:color w:val="42444B"/>
        </w:rPr>
        <w:t>requiring that</w:t>
      </w:r>
      <w:r>
        <w:rPr>
          <w:rFonts w:ascii="Times New Roman" w:cs="Times New Roman" w:eastAsia="Times New Roman" w:hAnsi="Times New Roman"/>
          <w:sz w:val="20"/>
          <w:szCs w:val="20"/>
          <w:color w:val="54565D"/>
        </w:rPr>
        <w:t xml:space="preserve"> advance </w:t>
      </w:r>
      <w:r>
        <w:rPr>
          <w:rFonts w:ascii="Times New Roman" w:cs="Times New Roman" w:eastAsia="Times New Roman" w:hAnsi="Times New Roman"/>
          <w:sz w:val="20"/>
          <w:szCs w:val="20"/>
          <w:color w:val="42444B"/>
        </w:rPr>
        <w:t>notice be</w:t>
      </w:r>
      <w:r>
        <w:rPr>
          <w:rFonts w:ascii="Times New Roman" w:cs="Times New Roman" w:eastAsia="Times New Roman" w:hAnsi="Times New Roman"/>
          <w:sz w:val="20"/>
          <w:szCs w:val="20"/>
          <w:color w:val="54565D"/>
        </w:rPr>
        <w:t xml:space="preserve"> given </w:t>
      </w:r>
      <w:r>
        <w:rPr>
          <w:rFonts w:ascii="Times New Roman" w:cs="Times New Roman" w:eastAsia="Times New Roman" w:hAnsi="Times New Roman"/>
          <w:sz w:val="20"/>
          <w:szCs w:val="20"/>
          <w:color w:val="42444B"/>
        </w:rPr>
        <w:t>of certain workforce reductions);</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 xml:space="preserve">and </w:t>
      </w:r>
      <w:r>
        <w:rPr>
          <w:rFonts w:ascii="Times New Roman" w:cs="Times New Roman" w:eastAsia="Times New Roman" w:hAnsi="Times New Roman"/>
          <w:sz w:val="20"/>
          <w:szCs w:val="20"/>
          <w:color w:val="54565D"/>
        </w:rPr>
        <w:t>any</w:t>
      </w:r>
      <w:r>
        <w:rPr>
          <w:rFonts w:ascii="Times New Roman" w:cs="Times New Roman" w:eastAsia="Times New Roman" w:hAnsi="Times New Roman"/>
          <w:sz w:val="20"/>
          <w:szCs w:val="20"/>
          <w:color w:val="42444B"/>
        </w:rPr>
        <w:t xml:space="preserve"> claim arising under any common </w:t>
      </w:r>
      <w:r>
        <w:rPr>
          <w:rFonts w:ascii="Times New Roman" w:cs="Times New Roman" w:eastAsia="Times New Roman" w:hAnsi="Times New Roman"/>
          <w:sz w:val="20"/>
          <w:szCs w:val="20"/>
          <w:color w:val="2B2D33"/>
        </w:rPr>
        <w:t>law</w:t>
      </w:r>
      <w:r>
        <w:rPr>
          <w:rFonts w:ascii="Times New Roman" w:cs="Times New Roman" w:eastAsia="Times New Roman" w:hAnsi="Times New Roman"/>
          <w:sz w:val="20"/>
          <w:szCs w:val="20"/>
          <w:color w:val="42444B"/>
        </w:rPr>
        <w:t xml:space="preserve"> principle </w:t>
      </w:r>
      <w:r>
        <w:rPr>
          <w:rFonts w:ascii="Times New Roman" w:cs="Times New Roman" w:eastAsia="Times New Roman" w:hAnsi="Times New Roman"/>
          <w:sz w:val="20"/>
          <w:szCs w:val="20"/>
          <w:color w:val="54565D"/>
        </w:rPr>
        <w:t>or</w:t>
      </w:r>
      <w:r>
        <w:rPr>
          <w:rFonts w:ascii="Times New Roman" w:cs="Times New Roman" w:eastAsia="Times New Roman" w:hAnsi="Times New Roman"/>
          <w:sz w:val="20"/>
          <w:szCs w:val="20"/>
          <w:color w:val="42444B"/>
        </w:rPr>
        <w:t xml:space="preserve"> public policy</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including, but not limited to</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42444B"/>
        </w:rPr>
        <w:t xml:space="preserve"> </w:t>
      </w:r>
      <w:r>
        <w:rPr>
          <w:rFonts w:ascii="Times New Roman" w:cs="Times New Roman" w:eastAsia="Times New Roman" w:hAnsi="Times New Roman"/>
          <w:sz w:val="20"/>
          <w:szCs w:val="20"/>
          <w:color w:val="54565D"/>
        </w:rPr>
        <w:t>all</w:t>
      </w:r>
      <w:r>
        <w:rPr>
          <w:rFonts w:ascii="Times New Roman" w:cs="Times New Roman" w:eastAsia="Times New Roman" w:hAnsi="Times New Roman"/>
          <w:sz w:val="20"/>
          <w:szCs w:val="20"/>
          <w:color w:val="42444B"/>
        </w:rPr>
        <w:t xml:space="preserve"> suits in tort </w:t>
      </w:r>
      <w:r>
        <w:rPr>
          <w:rFonts w:ascii="Times New Roman" w:cs="Times New Roman" w:eastAsia="Times New Roman" w:hAnsi="Times New Roman"/>
          <w:sz w:val="20"/>
          <w:szCs w:val="20"/>
          <w:color w:val="54565D"/>
        </w:rPr>
        <w:t>or</w:t>
      </w:r>
      <w:r>
        <w:rPr>
          <w:rFonts w:ascii="Times New Roman" w:cs="Times New Roman" w:eastAsia="Times New Roman" w:hAnsi="Times New Roman"/>
          <w:sz w:val="20"/>
          <w:szCs w:val="20"/>
          <w:color w:val="42444B"/>
        </w:rPr>
        <w:t xml:space="preserve"> contract, </w:t>
      </w:r>
      <w:r>
        <w:rPr>
          <w:rFonts w:ascii="Times New Roman" w:cs="Times New Roman" w:eastAsia="Times New Roman" w:hAnsi="Times New Roman"/>
          <w:sz w:val="20"/>
          <w:szCs w:val="20"/>
          <w:color w:val="54565D"/>
        </w:rPr>
        <w:t>suc</w:t>
      </w:r>
      <w:r>
        <w:rPr>
          <w:rFonts w:ascii="Times New Roman" w:cs="Times New Roman" w:eastAsia="Times New Roman" w:hAnsi="Times New Roman"/>
          <w:sz w:val="20"/>
          <w:szCs w:val="20"/>
          <w:color w:val="2B2D33"/>
        </w:rPr>
        <w:t>h</w:t>
      </w:r>
      <w:r>
        <w:rPr>
          <w:rFonts w:ascii="Times New Roman" w:cs="Times New Roman" w:eastAsia="Times New Roman" w:hAnsi="Times New Roman"/>
          <w:sz w:val="20"/>
          <w:szCs w:val="20"/>
          <w:color w:val="42444B"/>
        </w:rPr>
        <w:t xml:space="preserve"> as wrongful </w:t>
      </w:r>
      <w:r>
        <w:rPr>
          <w:rFonts w:ascii="Times New Roman" w:cs="Times New Roman" w:eastAsia="Times New Roman" w:hAnsi="Times New Roman"/>
          <w:sz w:val="20"/>
          <w:szCs w:val="20"/>
          <w:color w:val="54565D"/>
        </w:rPr>
        <w:t>termination,</w:t>
      </w:r>
      <w:r>
        <w:rPr>
          <w:rFonts w:ascii="Times New Roman" w:cs="Times New Roman" w:eastAsia="Times New Roman" w:hAnsi="Times New Roman"/>
          <w:sz w:val="20"/>
          <w:szCs w:val="20"/>
          <w:color w:val="42444B"/>
        </w:rPr>
        <w:t xml:space="preserve"> defamation, emotional distress, invasion of privacy or loss of consortium; </w:t>
      </w:r>
      <w:r>
        <w:rPr>
          <w:rFonts w:ascii="Times New Roman" w:cs="Times New Roman" w:eastAsia="Times New Roman" w:hAnsi="Times New Roman"/>
          <w:sz w:val="20"/>
          <w:szCs w:val="20"/>
          <w:color w:val="2B2D33"/>
        </w:rPr>
        <w:t xml:space="preserve">provided, </w:t>
      </w:r>
      <w:r>
        <w:rPr>
          <w:rFonts w:ascii="Times New Roman" w:cs="Times New Roman" w:eastAsia="Times New Roman" w:hAnsi="Times New Roman"/>
          <w:sz w:val="20"/>
          <w:szCs w:val="20"/>
          <w:color w:val="42444B"/>
        </w:rPr>
        <w:t>however</w:t>
      </w:r>
      <w:r>
        <w:rPr>
          <w:rFonts w:ascii="Times New Roman" w:cs="Times New Roman" w:eastAsia="Times New Roman" w:hAnsi="Times New Roman"/>
          <w:sz w:val="20"/>
          <w:szCs w:val="20"/>
          <w:color w:val="696B72"/>
        </w:rPr>
        <w:t>,</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42444B"/>
        </w:rPr>
        <w:t>that this</w:t>
      </w:r>
      <w:r>
        <w:rPr>
          <w:rFonts w:ascii="Times New Roman" w:cs="Times New Roman" w:eastAsia="Times New Roman" w:hAnsi="Times New Roman"/>
          <w:sz w:val="20"/>
          <w:szCs w:val="20"/>
          <w:color w:val="2B2D33"/>
        </w:rPr>
        <w:t xml:space="preserve"> rele</w:t>
      </w:r>
      <w:r>
        <w:rPr>
          <w:rFonts w:ascii="Times New Roman" w:cs="Times New Roman" w:eastAsia="Times New Roman" w:hAnsi="Times New Roman"/>
          <w:sz w:val="20"/>
          <w:szCs w:val="20"/>
          <w:color w:val="54565D"/>
        </w:rPr>
        <w:t>ase</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42444B"/>
        </w:rPr>
        <w:t>shall not apply to</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54565D"/>
        </w:rPr>
        <w:t>(a)</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42444B"/>
        </w:rPr>
        <w:t>claims to enforce</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54565D"/>
        </w:rPr>
        <w:t>your</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42444B"/>
        </w:rPr>
        <w:t>rights under this</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54565D"/>
        </w:rPr>
        <w:t>Agreement; (b) claims</w:t>
      </w:r>
      <w:r>
        <w:rPr>
          <w:rFonts w:ascii="Times New Roman" w:cs="Times New Roman" w:eastAsia="Times New Roman" w:hAnsi="Times New Roman"/>
          <w:sz w:val="20"/>
          <w:szCs w:val="20"/>
          <w:color w:val="2B2D33"/>
        </w:rPr>
        <w:t xml:space="preserve"> </w:t>
      </w:r>
      <w:r>
        <w:rPr>
          <w:rFonts w:ascii="Times New Roman" w:cs="Times New Roman" w:eastAsia="Times New Roman" w:hAnsi="Times New Roman"/>
          <w:sz w:val="20"/>
          <w:szCs w:val="20"/>
          <w:color w:val="54565D"/>
        </w:rPr>
        <w:t xml:space="preserve">for vested </w:t>
      </w:r>
      <w:r>
        <w:rPr>
          <w:rFonts w:ascii="Times New Roman" w:cs="Times New Roman" w:eastAsia="Times New Roman" w:hAnsi="Times New Roman"/>
          <w:sz w:val="20"/>
          <w:szCs w:val="20"/>
          <w:color w:val="42444B"/>
        </w:rPr>
        <w:t>benefits pursuant</w:t>
      </w:r>
      <w:r>
        <w:rPr>
          <w:rFonts w:ascii="Times New Roman" w:cs="Times New Roman" w:eastAsia="Times New Roman" w:hAnsi="Times New Roman"/>
          <w:sz w:val="20"/>
          <w:szCs w:val="20"/>
          <w:color w:val="54565D"/>
        </w:rPr>
        <w:t xml:space="preserve"> to ERISA; (c) </w:t>
      </w:r>
      <w:r>
        <w:rPr>
          <w:rFonts w:ascii="Times New Roman" w:cs="Times New Roman" w:eastAsia="Times New Roman" w:hAnsi="Times New Roman"/>
          <w:sz w:val="20"/>
          <w:szCs w:val="20"/>
          <w:color w:val="42444B"/>
        </w:rPr>
        <w:t>claims with respect to</w:t>
      </w:r>
      <w:r>
        <w:rPr>
          <w:rFonts w:ascii="Times New Roman" w:cs="Times New Roman" w:eastAsia="Times New Roman" w:hAnsi="Times New Roman"/>
          <w:sz w:val="20"/>
          <w:szCs w:val="20"/>
          <w:color w:val="54565D"/>
        </w:rPr>
        <w:t xml:space="preserve"> your </w:t>
      </w:r>
      <w:r>
        <w:rPr>
          <w:rFonts w:ascii="Times New Roman" w:cs="Times New Roman" w:eastAsia="Times New Roman" w:hAnsi="Times New Roman"/>
          <w:sz w:val="20"/>
          <w:szCs w:val="20"/>
          <w:color w:val="42444B"/>
        </w:rPr>
        <w:t>vested equity</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2B2D33"/>
        </w:rPr>
        <w:t>ri</w:t>
      </w:r>
      <w:r>
        <w:rPr>
          <w:rFonts w:ascii="Times New Roman" w:cs="Times New Roman" w:eastAsia="Times New Roman" w:hAnsi="Times New Roman"/>
          <w:sz w:val="20"/>
          <w:szCs w:val="20"/>
          <w:color w:val="54565D"/>
        </w:rPr>
        <w:t xml:space="preserve">ghts </w:t>
      </w:r>
      <w:r>
        <w:rPr>
          <w:rFonts w:ascii="Times New Roman" w:cs="Times New Roman" w:eastAsia="Times New Roman" w:hAnsi="Times New Roman"/>
          <w:sz w:val="20"/>
          <w:szCs w:val="20"/>
          <w:color w:val="42444B"/>
        </w:rPr>
        <w:t>as of the</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2B2D33"/>
        </w:rPr>
        <w:t>Date</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of</w:t>
      </w:r>
      <w:r>
        <w:rPr>
          <w:rFonts w:ascii="Times New Roman" w:cs="Times New Roman" w:eastAsia="Times New Roman" w:hAnsi="Times New Roman"/>
          <w:sz w:val="20"/>
          <w:szCs w:val="20"/>
          <w:color w:val="54565D"/>
        </w:rPr>
        <w:t xml:space="preserve"> </w:t>
      </w:r>
      <w:r>
        <w:rPr>
          <w:rFonts w:ascii="Times New Roman" w:cs="Times New Roman" w:eastAsia="Times New Roman" w:hAnsi="Times New Roman"/>
          <w:sz w:val="20"/>
          <w:szCs w:val="20"/>
          <w:color w:val="42444B"/>
        </w:rPr>
        <w:t xml:space="preserve">Termination; (d) claims to enforce the Company's obligation to indemnify you to the </w:t>
      </w:r>
      <w:r>
        <w:rPr>
          <w:rFonts w:ascii="Times New Roman" w:cs="Times New Roman" w:eastAsia="Times New Roman" w:hAnsi="Times New Roman"/>
          <w:sz w:val="20"/>
          <w:szCs w:val="20"/>
          <w:color w:val="54565D"/>
        </w:rPr>
        <w:t>extent such</w:t>
      </w:r>
      <w:r>
        <w:rPr>
          <w:rFonts w:ascii="Times New Roman" w:cs="Times New Roman" w:eastAsia="Times New Roman" w:hAnsi="Times New Roman"/>
          <w:sz w:val="20"/>
          <w:szCs w:val="20"/>
          <w:color w:val="42444B"/>
        </w:rPr>
        <w:t xml:space="preserve"> indemnification </w:t>
      </w:r>
      <w:r>
        <w:rPr>
          <w:rFonts w:ascii="Times New Roman" w:cs="Times New Roman" w:eastAsia="Times New Roman" w:hAnsi="Times New Roman"/>
          <w:sz w:val="20"/>
          <w:szCs w:val="20"/>
          <w:color w:val="54565D"/>
        </w:rPr>
        <w:t xml:space="preserve">obligations exist; </w:t>
      </w:r>
      <w:r>
        <w:rPr>
          <w:rFonts w:ascii="Times New Roman" w:cs="Times New Roman" w:eastAsia="Times New Roman" w:hAnsi="Times New Roman"/>
          <w:sz w:val="20"/>
          <w:szCs w:val="20"/>
          <w:color w:val="42444B"/>
        </w:rPr>
        <w:t>and</w:t>
      </w:r>
      <w:r>
        <w:rPr>
          <w:rFonts w:ascii="Times New Roman" w:cs="Times New Roman" w:eastAsia="Times New Roman" w:hAnsi="Times New Roman"/>
          <w:sz w:val="20"/>
          <w:szCs w:val="20"/>
          <w:color w:val="54565D"/>
        </w:rPr>
        <w:t xml:space="preserve"> (e) claims </w:t>
      </w:r>
      <w:r>
        <w:rPr>
          <w:rFonts w:ascii="Times New Roman" w:cs="Times New Roman" w:eastAsia="Times New Roman" w:hAnsi="Times New Roman"/>
          <w:sz w:val="20"/>
          <w:szCs w:val="20"/>
          <w:color w:val="42444B"/>
        </w:rPr>
        <w:t>or</w:t>
      </w:r>
      <w:r>
        <w:rPr>
          <w:rFonts w:ascii="Times New Roman" w:cs="Times New Roman" w:eastAsia="Times New Roman" w:hAnsi="Times New Roman"/>
          <w:sz w:val="20"/>
          <w:szCs w:val="20"/>
          <w:color w:val="54565D"/>
        </w:rPr>
        <w:t xml:space="preserve"> administrative charges </w:t>
      </w:r>
      <w:r>
        <w:rPr>
          <w:rFonts w:ascii="Times New Roman" w:cs="Times New Roman" w:eastAsia="Times New Roman" w:hAnsi="Times New Roman"/>
          <w:sz w:val="20"/>
          <w:szCs w:val="20"/>
          <w:color w:val="42444B"/>
        </w:rPr>
        <w:t>which legally</w:t>
      </w:r>
      <w:r>
        <w:rPr>
          <w:rFonts w:ascii="Times New Roman" w:cs="Times New Roman" w:eastAsia="Times New Roman" w:hAnsi="Times New Roman"/>
          <w:sz w:val="20"/>
          <w:szCs w:val="20"/>
          <w:color w:val="54565D"/>
        </w:rPr>
        <w:t xml:space="preserve"> may </w:t>
      </w:r>
      <w:r>
        <w:rPr>
          <w:rFonts w:ascii="Times New Roman" w:cs="Times New Roman" w:eastAsia="Times New Roman" w:hAnsi="Times New Roman"/>
          <w:sz w:val="20"/>
          <w:szCs w:val="20"/>
          <w:color w:val="42444B"/>
        </w:rPr>
        <w:t>not be waived.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4</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440" w:right="7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1734185</wp:posOffset>
            </wp:positionH>
            <wp:positionV relativeFrom="page">
              <wp:posOffset>88900</wp:posOffset>
            </wp:positionV>
            <wp:extent cx="2837180" cy="5829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2837180" cy="58293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60" w:right="80" w:firstLine="15"/>
        <w:spacing w:after="0" w:line="246" w:lineRule="auto"/>
        <w:rPr>
          <w:sz w:val="20"/>
          <w:szCs w:val="20"/>
          <w:color w:val="auto"/>
        </w:rPr>
      </w:pPr>
      <w:r>
        <w:rPr>
          <w:rFonts w:ascii="Times New Roman" w:cs="Times New Roman" w:eastAsia="Times New Roman" w:hAnsi="Times New Roman"/>
          <w:sz w:val="21"/>
          <w:szCs w:val="21"/>
          <w:color w:val="44464D"/>
        </w:rPr>
        <w:t xml:space="preserve">You are waiving, however, any right to monetary recovery or individual relief </w:t>
      </w:r>
      <w:r>
        <w:rPr>
          <w:rFonts w:ascii="Times New Roman" w:cs="Times New Roman" w:eastAsia="Times New Roman" w:hAnsi="Times New Roman"/>
          <w:sz w:val="21"/>
          <w:szCs w:val="21"/>
          <w:color w:val="31333A"/>
        </w:rPr>
        <w:t>should</w:t>
      </w:r>
      <w:r>
        <w:rPr>
          <w:rFonts w:ascii="Times New Roman" w:cs="Times New Roman" w:eastAsia="Times New Roman" w:hAnsi="Times New Roman"/>
          <w:sz w:val="21"/>
          <w:szCs w:val="21"/>
          <w:color w:val="44464D"/>
        </w:rPr>
        <w:t xml:space="preserve"> any </w:t>
      </w:r>
      <w:r>
        <w:rPr>
          <w:rFonts w:ascii="Times New Roman" w:cs="Times New Roman" w:eastAsia="Times New Roman" w:hAnsi="Times New Roman"/>
          <w:sz w:val="21"/>
          <w:szCs w:val="21"/>
          <w:color w:val="575960"/>
        </w:rPr>
        <w:t>federal,</w:t>
      </w:r>
      <w:r>
        <w:rPr>
          <w:rFonts w:ascii="Times New Roman" w:cs="Times New Roman" w:eastAsia="Times New Roman" w:hAnsi="Times New Roman"/>
          <w:sz w:val="21"/>
          <w:szCs w:val="21"/>
          <w:color w:val="44464D"/>
        </w:rPr>
        <w:t xml:space="preserve"> state or local agency (including the Equal Employment </w:t>
      </w:r>
      <w:r>
        <w:rPr>
          <w:rFonts w:ascii="Times New Roman" w:cs="Times New Roman" w:eastAsia="Times New Roman" w:hAnsi="Times New Roman"/>
          <w:sz w:val="21"/>
          <w:szCs w:val="21"/>
          <w:color w:val="31333A"/>
        </w:rPr>
        <w:t>Opportunity</w:t>
      </w:r>
      <w:r>
        <w:rPr>
          <w:rFonts w:ascii="Times New Roman" w:cs="Times New Roman" w:eastAsia="Times New Roman" w:hAnsi="Times New Roman"/>
          <w:sz w:val="21"/>
          <w:szCs w:val="21"/>
          <w:color w:val="44464D"/>
        </w:rPr>
        <w:t xml:space="preserve"> Commission) pursue any claim on </w:t>
      </w:r>
      <w:r>
        <w:rPr>
          <w:rFonts w:ascii="Times New Roman" w:cs="Times New Roman" w:eastAsia="Times New Roman" w:hAnsi="Times New Roman"/>
          <w:sz w:val="21"/>
          <w:szCs w:val="21"/>
          <w:color w:val="575960"/>
        </w:rPr>
        <w:t>your</w:t>
      </w:r>
      <w:r>
        <w:rPr>
          <w:rFonts w:ascii="Times New Roman" w:cs="Times New Roman" w:eastAsia="Times New Roman" w:hAnsi="Times New Roman"/>
          <w:sz w:val="21"/>
          <w:szCs w:val="21"/>
          <w:color w:val="44464D"/>
        </w:rPr>
        <w:t xml:space="preserve"> behalf arising out of or </w:t>
      </w:r>
      <w:r>
        <w:rPr>
          <w:rFonts w:ascii="Times New Roman" w:cs="Times New Roman" w:eastAsia="Times New Roman" w:hAnsi="Times New Roman"/>
          <w:sz w:val="21"/>
          <w:szCs w:val="21"/>
          <w:color w:val="31333A"/>
        </w:rPr>
        <w:t>rela</w:t>
      </w:r>
      <w:r>
        <w:rPr>
          <w:rFonts w:ascii="Times New Roman" w:cs="Times New Roman" w:eastAsia="Times New Roman" w:hAnsi="Times New Roman"/>
          <w:sz w:val="21"/>
          <w:szCs w:val="21"/>
          <w:color w:val="575960"/>
        </w:rPr>
        <w:t>te</w:t>
      </w:r>
      <w:r>
        <w:rPr>
          <w:rFonts w:ascii="Times New Roman" w:cs="Times New Roman" w:eastAsia="Times New Roman" w:hAnsi="Times New Roman"/>
          <w:sz w:val="21"/>
          <w:szCs w:val="21"/>
          <w:color w:val="31333A"/>
        </w:rPr>
        <w:t>d</w:t>
      </w:r>
      <w:r>
        <w:rPr>
          <w:rFonts w:ascii="Times New Roman" w:cs="Times New Roman" w:eastAsia="Times New Roman" w:hAnsi="Times New Roman"/>
          <w:sz w:val="21"/>
          <w:szCs w:val="21"/>
          <w:color w:val="44464D"/>
        </w:rPr>
        <w:t xml:space="preserve"> to your employment with and/or </w:t>
      </w:r>
      <w:r>
        <w:rPr>
          <w:rFonts w:ascii="Times New Roman" w:cs="Times New Roman" w:eastAsia="Times New Roman" w:hAnsi="Times New Roman"/>
          <w:sz w:val="21"/>
          <w:szCs w:val="21"/>
          <w:color w:val="575960"/>
        </w:rPr>
        <w:t>separation</w:t>
      </w:r>
      <w:r>
        <w:rPr>
          <w:rFonts w:ascii="Times New Roman" w:cs="Times New Roman" w:eastAsia="Times New Roman" w:hAnsi="Times New Roman"/>
          <w:sz w:val="21"/>
          <w:szCs w:val="21"/>
          <w:color w:val="44464D"/>
        </w:rPr>
        <w:t xml:space="preserve"> </w:t>
      </w:r>
      <w:r>
        <w:rPr>
          <w:rFonts w:ascii="Times New Roman" w:cs="Times New Roman" w:eastAsia="Times New Roman" w:hAnsi="Times New Roman"/>
          <w:sz w:val="21"/>
          <w:szCs w:val="21"/>
          <w:color w:val="31333A"/>
        </w:rPr>
        <w:t>from</w:t>
      </w:r>
      <w:r>
        <w:rPr>
          <w:rFonts w:ascii="Times New Roman" w:cs="Times New Roman" w:eastAsia="Times New Roman" w:hAnsi="Times New Roman"/>
          <w:sz w:val="21"/>
          <w:szCs w:val="21"/>
          <w:color w:val="44464D"/>
        </w:rPr>
        <w:t xml:space="preserve"> employmen</w:t>
      </w:r>
      <w:r>
        <w:rPr>
          <w:rFonts w:ascii="Times New Roman" w:cs="Times New Roman" w:eastAsia="Times New Roman" w:hAnsi="Times New Roman"/>
          <w:sz w:val="21"/>
          <w:szCs w:val="21"/>
          <w:color w:val="1F1F26"/>
        </w:rPr>
        <w:t>t</w:t>
      </w:r>
      <w:r>
        <w:rPr>
          <w:rFonts w:ascii="Times New Roman" w:cs="Times New Roman" w:eastAsia="Times New Roman" w:hAnsi="Times New Roman"/>
          <w:sz w:val="21"/>
          <w:szCs w:val="21"/>
          <w:color w:val="44464D"/>
        </w:rPr>
        <w:t xml:space="preserve"> with </w:t>
      </w:r>
      <w:r>
        <w:rPr>
          <w:rFonts w:ascii="Times New Roman" w:cs="Times New Roman" w:eastAsia="Times New Roman" w:hAnsi="Times New Roman"/>
          <w:sz w:val="21"/>
          <w:szCs w:val="21"/>
          <w:color w:val="31333A"/>
        </w:rPr>
        <w:t>the</w:t>
      </w:r>
      <w:r>
        <w:rPr>
          <w:rFonts w:ascii="Times New Roman" w:cs="Times New Roman" w:eastAsia="Times New Roman" w:hAnsi="Times New Roman"/>
          <w:sz w:val="21"/>
          <w:szCs w:val="21"/>
          <w:color w:val="44464D"/>
        </w:rPr>
        <w:t xml:space="preserve"> Company; provided that nothing in this Agreement </w:t>
      </w:r>
      <w:r>
        <w:rPr>
          <w:rFonts w:ascii="Times New Roman" w:cs="Times New Roman" w:eastAsia="Times New Roman" w:hAnsi="Times New Roman"/>
          <w:sz w:val="21"/>
          <w:szCs w:val="21"/>
          <w:color w:val="31333A"/>
        </w:rPr>
        <w:t>limi</w:t>
      </w:r>
      <w:r>
        <w:rPr>
          <w:rFonts w:ascii="Times New Roman" w:cs="Times New Roman" w:eastAsia="Times New Roman" w:hAnsi="Times New Roman"/>
          <w:sz w:val="21"/>
          <w:szCs w:val="21"/>
          <w:color w:val="575960"/>
        </w:rPr>
        <w:t>ts</w:t>
      </w:r>
      <w:r>
        <w:rPr>
          <w:rFonts w:ascii="Times New Roman" w:cs="Times New Roman" w:eastAsia="Times New Roman" w:hAnsi="Times New Roman"/>
          <w:sz w:val="21"/>
          <w:szCs w:val="21"/>
          <w:color w:val="44464D"/>
        </w:rPr>
        <w:t xml:space="preserve"> any </w:t>
      </w:r>
      <w:r>
        <w:rPr>
          <w:rFonts w:ascii="Times New Roman" w:cs="Times New Roman" w:eastAsia="Times New Roman" w:hAnsi="Times New Roman"/>
          <w:sz w:val="21"/>
          <w:szCs w:val="21"/>
          <w:color w:val="31333A"/>
        </w:rPr>
        <w:t>ri</w:t>
      </w:r>
      <w:r>
        <w:rPr>
          <w:rFonts w:ascii="Times New Roman" w:cs="Times New Roman" w:eastAsia="Times New Roman" w:hAnsi="Times New Roman"/>
          <w:sz w:val="21"/>
          <w:szCs w:val="21"/>
          <w:color w:val="575960"/>
        </w:rPr>
        <w:t>ght</w:t>
      </w:r>
      <w:r>
        <w:rPr>
          <w:rFonts w:ascii="Times New Roman" w:cs="Times New Roman" w:eastAsia="Times New Roman" w:hAnsi="Times New Roman"/>
          <w:sz w:val="21"/>
          <w:szCs w:val="21"/>
          <w:color w:val="44464D"/>
        </w:rPr>
        <w:t xml:space="preserve"> you may have to receive a whistleblower award </w:t>
      </w:r>
      <w:r>
        <w:rPr>
          <w:rFonts w:ascii="Times New Roman" w:cs="Times New Roman" w:eastAsia="Times New Roman" w:hAnsi="Times New Roman"/>
          <w:sz w:val="21"/>
          <w:szCs w:val="21"/>
          <w:color w:val="575960"/>
        </w:rPr>
        <w:t>or</w:t>
      </w:r>
      <w:r>
        <w:rPr>
          <w:rFonts w:ascii="Times New Roman" w:cs="Times New Roman" w:eastAsia="Times New Roman" w:hAnsi="Times New Roman"/>
          <w:sz w:val="21"/>
          <w:szCs w:val="21"/>
          <w:color w:val="44464D"/>
        </w:rPr>
        <w:t xml:space="preserve"> bounty for information provided to the Securitie</w:t>
      </w:r>
      <w:r>
        <w:rPr>
          <w:rFonts w:ascii="Times New Roman" w:cs="Times New Roman" w:eastAsia="Times New Roman" w:hAnsi="Times New Roman"/>
          <w:sz w:val="21"/>
          <w:szCs w:val="21"/>
          <w:color w:val="696B72"/>
        </w:rPr>
        <w:t>s</w:t>
      </w:r>
      <w:r>
        <w:rPr>
          <w:rFonts w:ascii="Times New Roman" w:cs="Times New Roman" w:eastAsia="Times New Roman" w:hAnsi="Times New Roman"/>
          <w:sz w:val="21"/>
          <w:szCs w:val="21"/>
          <w:color w:val="44464D"/>
        </w:rPr>
        <w:t xml:space="preserve"> and Exchange Commission.</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44464D"/>
        </w:rPr>
        <w:t xml:space="preserve">You represent that you have not </w:t>
      </w:r>
      <w:r>
        <w:rPr>
          <w:rFonts w:ascii="Times New Roman" w:cs="Times New Roman" w:eastAsia="Times New Roman" w:hAnsi="Times New Roman"/>
          <w:sz w:val="21"/>
          <w:szCs w:val="21"/>
          <w:color w:val="575960"/>
        </w:rPr>
        <w:t>ass</w:t>
      </w:r>
      <w:r>
        <w:rPr>
          <w:rFonts w:ascii="Times New Roman" w:cs="Times New Roman" w:eastAsia="Times New Roman" w:hAnsi="Times New Roman"/>
          <w:sz w:val="21"/>
          <w:szCs w:val="21"/>
          <w:color w:val="31333A"/>
        </w:rPr>
        <w:t>igned</w:t>
      </w:r>
      <w:r>
        <w:rPr>
          <w:rFonts w:ascii="Times New Roman" w:cs="Times New Roman" w:eastAsia="Times New Roman" w:hAnsi="Times New Roman"/>
          <w:sz w:val="21"/>
          <w:szCs w:val="21"/>
          <w:color w:val="44464D"/>
        </w:rPr>
        <w:t xml:space="preserve"> any claim to any third party.</w:t>
      </w:r>
    </w:p>
    <w:p>
      <w:pPr>
        <w:spacing w:after="0" w:line="178" w:lineRule="exact"/>
        <w:rPr>
          <w:sz w:val="20"/>
          <w:szCs w:val="20"/>
          <w:color w:val="auto"/>
        </w:rPr>
      </w:pPr>
    </w:p>
    <w:p>
      <w:pPr>
        <w:ind w:left="860" w:hanging="722"/>
        <w:spacing w:after="0" w:line="245" w:lineRule="auto"/>
        <w:tabs>
          <w:tab w:leader="none" w:pos="860" w:val="left"/>
        </w:tabs>
        <w:numPr>
          <w:ilvl w:val="0"/>
          <w:numId w:val="77"/>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F1F26"/>
        </w:rPr>
        <w:t xml:space="preserve">Return of </w:t>
      </w:r>
      <w:r>
        <w:rPr>
          <w:rFonts w:ascii="Times New Roman" w:cs="Times New Roman" w:eastAsia="Times New Roman" w:hAnsi="Times New Roman"/>
          <w:sz w:val="21"/>
          <w:szCs w:val="21"/>
          <w:b w:val="1"/>
          <w:bCs w:val="1"/>
          <w:color w:val="31333A"/>
        </w:rPr>
        <w:t>Company Property.</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On or prior to</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575960"/>
        </w:rPr>
        <w:t>the</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1F1F26"/>
        </w:rPr>
        <w:t>D</w:t>
      </w:r>
      <w:r>
        <w:rPr>
          <w:rFonts w:ascii="Times New Roman" w:cs="Times New Roman" w:eastAsia="Times New Roman" w:hAnsi="Times New Roman"/>
          <w:sz w:val="21"/>
          <w:szCs w:val="21"/>
          <w:color w:val="44464D"/>
        </w:rPr>
        <w:t>ate</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575960"/>
        </w:rPr>
        <w:t>of Termination (and sooner</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if requested</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31333A"/>
        </w:rPr>
        <w:t>by</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the Company), you</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 xml:space="preserve">agree to return to the Company, without </w:t>
      </w:r>
      <w:r>
        <w:rPr>
          <w:rFonts w:ascii="Times New Roman" w:cs="Times New Roman" w:eastAsia="Times New Roman" w:hAnsi="Times New Roman"/>
          <w:sz w:val="21"/>
          <w:szCs w:val="21"/>
          <w:color w:val="31333A"/>
        </w:rPr>
        <w:t>copying</w:t>
      </w:r>
      <w:r>
        <w:rPr>
          <w:rFonts w:ascii="Times New Roman" w:cs="Times New Roman" w:eastAsia="Times New Roman" w:hAnsi="Times New Roman"/>
          <w:sz w:val="21"/>
          <w:szCs w:val="21"/>
          <w:color w:val="575960"/>
        </w:rPr>
        <w:t>,</w:t>
      </w:r>
      <w:r>
        <w:rPr>
          <w:rFonts w:ascii="Times New Roman" w:cs="Times New Roman" w:eastAsia="Times New Roman" w:hAnsi="Times New Roman"/>
          <w:sz w:val="21"/>
          <w:szCs w:val="21"/>
          <w:color w:val="44464D"/>
        </w:rPr>
        <w:t xml:space="preserve"> transferring, modifying </w:t>
      </w:r>
      <w:r>
        <w:rPr>
          <w:rFonts w:ascii="Times New Roman" w:cs="Times New Roman" w:eastAsia="Times New Roman" w:hAnsi="Times New Roman"/>
          <w:sz w:val="21"/>
          <w:szCs w:val="21"/>
          <w:color w:val="575960"/>
        </w:rPr>
        <w:t>or</w:t>
      </w:r>
      <w:r>
        <w:rPr>
          <w:rFonts w:ascii="Times New Roman" w:cs="Times New Roman" w:eastAsia="Times New Roman" w:hAnsi="Times New Roman"/>
          <w:sz w:val="21"/>
          <w:szCs w:val="21"/>
          <w:color w:val="44464D"/>
        </w:rPr>
        <w:t xml:space="preserve"> deleting any </w:t>
      </w:r>
      <w:r>
        <w:rPr>
          <w:rFonts w:ascii="Times New Roman" w:cs="Times New Roman" w:eastAsia="Times New Roman" w:hAnsi="Times New Roman"/>
          <w:sz w:val="21"/>
          <w:szCs w:val="21"/>
          <w:color w:val="575960"/>
        </w:rPr>
        <w:t>of</w:t>
      </w:r>
      <w:r>
        <w:rPr>
          <w:rFonts w:ascii="Times New Roman" w:cs="Times New Roman" w:eastAsia="Times New Roman" w:hAnsi="Times New Roman"/>
          <w:sz w:val="21"/>
          <w:szCs w:val="21"/>
          <w:color w:val="44464D"/>
        </w:rPr>
        <w:t xml:space="preserve"> the Company's confidentia</w:t>
      </w:r>
      <w:r>
        <w:rPr>
          <w:rFonts w:ascii="Times New Roman" w:cs="Times New Roman" w:eastAsia="Times New Roman" w:hAnsi="Times New Roman"/>
          <w:sz w:val="21"/>
          <w:szCs w:val="21"/>
          <w:color w:val="1F1F26"/>
        </w:rPr>
        <w:t>l</w:t>
      </w:r>
      <w:r>
        <w:rPr>
          <w:rFonts w:ascii="Times New Roman" w:cs="Times New Roman" w:eastAsia="Times New Roman" w:hAnsi="Times New Roman"/>
          <w:sz w:val="21"/>
          <w:szCs w:val="21"/>
          <w:color w:val="44464D"/>
        </w:rPr>
        <w:t xml:space="preserve"> </w:t>
      </w:r>
      <w:r>
        <w:rPr>
          <w:rFonts w:ascii="Times New Roman" w:cs="Times New Roman" w:eastAsia="Times New Roman" w:hAnsi="Times New Roman"/>
          <w:sz w:val="21"/>
          <w:szCs w:val="21"/>
          <w:color w:val="31333A"/>
        </w:rPr>
        <w:t>information</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all hard copy and</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575960"/>
        </w:rPr>
        <w:t>electronic</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documents (and all copies thereof) and other Company property that you have</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 xml:space="preserve">had in your possession at any time, including, </w:t>
      </w:r>
      <w:r>
        <w:rPr>
          <w:rFonts w:ascii="Times New Roman" w:cs="Times New Roman" w:eastAsia="Times New Roman" w:hAnsi="Times New Roman"/>
          <w:sz w:val="21"/>
          <w:szCs w:val="21"/>
          <w:color w:val="31333A"/>
        </w:rPr>
        <w:t>but</w:t>
      </w:r>
      <w:r>
        <w:rPr>
          <w:rFonts w:ascii="Times New Roman" w:cs="Times New Roman" w:eastAsia="Times New Roman" w:hAnsi="Times New Roman"/>
          <w:sz w:val="21"/>
          <w:szCs w:val="21"/>
          <w:color w:val="44464D"/>
        </w:rPr>
        <w:t xml:space="preserve"> not </w:t>
      </w:r>
      <w:r>
        <w:rPr>
          <w:rFonts w:ascii="Times New Roman" w:cs="Times New Roman" w:eastAsia="Times New Roman" w:hAnsi="Times New Roman"/>
          <w:sz w:val="21"/>
          <w:szCs w:val="21"/>
          <w:color w:val="31333A"/>
        </w:rPr>
        <w:t>limited</w:t>
      </w:r>
      <w:r>
        <w:rPr>
          <w:rFonts w:ascii="Times New Roman" w:cs="Times New Roman" w:eastAsia="Times New Roman" w:hAnsi="Times New Roman"/>
          <w:sz w:val="21"/>
          <w:szCs w:val="21"/>
          <w:color w:val="44464D"/>
        </w:rPr>
        <w:t xml:space="preserve"> to, files, notes</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drawings</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w:t>
      </w:r>
      <w:r>
        <w:rPr>
          <w:rFonts w:ascii="Times New Roman" w:cs="Times New Roman" w:eastAsia="Times New Roman" w:hAnsi="Times New Roman"/>
          <w:sz w:val="21"/>
          <w:szCs w:val="21"/>
          <w:color w:val="31333A"/>
        </w:rPr>
        <w:t>record</w:t>
      </w:r>
      <w:r>
        <w:rPr>
          <w:rFonts w:ascii="Times New Roman" w:cs="Times New Roman" w:eastAsia="Times New Roman" w:hAnsi="Times New Roman"/>
          <w:sz w:val="21"/>
          <w:szCs w:val="21"/>
          <w:color w:val="575960"/>
        </w:rPr>
        <w:t>s,</w:t>
      </w:r>
      <w:r>
        <w:rPr>
          <w:rFonts w:ascii="Times New Roman" w:cs="Times New Roman" w:eastAsia="Times New Roman" w:hAnsi="Times New Roman"/>
          <w:sz w:val="21"/>
          <w:szCs w:val="21"/>
          <w:color w:val="44464D"/>
        </w:rPr>
        <w:t xml:space="preserve"> business plans and forecasts, financial information</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specifications</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w:t>
      </w:r>
      <w:r>
        <w:rPr>
          <w:rFonts w:ascii="Times New Roman" w:cs="Times New Roman" w:eastAsia="Times New Roman" w:hAnsi="Times New Roman"/>
          <w:sz w:val="21"/>
          <w:szCs w:val="21"/>
          <w:color w:val="575960"/>
        </w:rPr>
        <w:t>computer-recorded</w:t>
      </w:r>
      <w:r>
        <w:rPr>
          <w:rFonts w:ascii="Times New Roman" w:cs="Times New Roman" w:eastAsia="Times New Roman" w:hAnsi="Times New Roman"/>
          <w:sz w:val="21"/>
          <w:szCs w:val="21"/>
          <w:color w:val="44464D"/>
        </w:rPr>
        <w:t xml:space="preserve"> information </w:t>
      </w:r>
      <w:r>
        <w:rPr>
          <w:rFonts w:ascii="Times New Roman" w:cs="Times New Roman" w:eastAsia="Times New Roman" w:hAnsi="Times New Roman"/>
          <w:sz w:val="21"/>
          <w:szCs w:val="21"/>
          <w:color w:val="575960"/>
        </w:rPr>
        <w:t>(including email),</w:t>
      </w:r>
      <w:r>
        <w:rPr>
          <w:rFonts w:ascii="Times New Roman" w:cs="Times New Roman" w:eastAsia="Times New Roman" w:hAnsi="Times New Roman"/>
          <w:sz w:val="21"/>
          <w:szCs w:val="21"/>
          <w:color w:val="44464D"/>
        </w:rPr>
        <w:t xml:space="preserve"> tangible property (laptop computer, iPad, cell phone, PDA, etc</w:t>
      </w:r>
      <w:r>
        <w:rPr>
          <w:rFonts w:ascii="Times New Roman" w:cs="Times New Roman" w:eastAsia="Times New Roman" w:hAnsi="Times New Roman"/>
          <w:sz w:val="21"/>
          <w:szCs w:val="21"/>
          <w:color w:val="1F1F26"/>
        </w:rPr>
        <w:t>.</w:t>
      </w:r>
      <w:r>
        <w:rPr>
          <w:rFonts w:ascii="Times New Roman" w:cs="Times New Roman" w:eastAsia="Times New Roman" w:hAnsi="Times New Roman"/>
          <w:sz w:val="21"/>
          <w:szCs w:val="21"/>
          <w:color w:val="44464D"/>
        </w:rPr>
        <w:t xml:space="preserve">), credit cards, entry cards, identification </w:t>
      </w:r>
      <w:r>
        <w:rPr>
          <w:rFonts w:ascii="Times New Roman" w:cs="Times New Roman" w:eastAsia="Times New Roman" w:hAnsi="Times New Roman"/>
          <w:sz w:val="21"/>
          <w:szCs w:val="21"/>
          <w:color w:val="31333A"/>
        </w:rPr>
        <w:t>badg</w:t>
      </w:r>
      <w:r>
        <w:rPr>
          <w:rFonts w:ascii="Times New Roman" w:cs="Times New Roman" w:eastAsia="Times New Roman" w:hAnsi="Times New Roman"/>
          <w:sz w:val="21"/>
          <w:szCs w:val="21"/>
          <w:color w:val="575960"/>
        </w:rPr>
        <w:t>es</w:t>
      </w:r>
      <w:r>
        <w:rPr>
          <w:rFonts w:ascii="Times New Roman" w:cs="Times New Roman" w:eastAsia="Times New Roman" w:hAnsi="Times New Roman"/>
          <w:sz w:val="21"/>
          <w:szCs w:val="21"/>
          <w:color w:val="44464D"/>
        </w:rPr>
        <w:t xml:space="preserve"> and keys; and</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any materials of any kind that contain or embody any proprietary or confidential information of the Company </w:t>
      </w:r>
      <w:r>
        <w:rPr>
          <w:rFonts w:ascii="Times New Roman" w:cs="Times New Roman" w:eastAsia="Times New Roman" w:hAnsi="Times New Roman"/>
          <w:sz w:val="21"/>
          <w:szCs w:val="21"/>
          <w:color w:val="575960"/>
        </w:rPr>
        <w:t>(and a</w:t>
      </w:r>
      <w:r>
        <w:rPr>
          <w:rFonts w:ascii="Times New Roman" w:cs="Times New Roman" w:eastAsia="Times New Roman" w:hAnsi="Times New Roman"/>
          <w:sz w:val="21"/>
          <w:szCs w:val="21"/>
          <w:color w:val="31333A"/>
        </w:rPr>
        <w:t>ll</w:t>
      </w:r>
      <w:r>
        <w:rPr>
          <w:rFonts w:ascii="Times New Roman" w:cs="Times New Roman" w:eastAsia="Times New Roman" w:hAnsi="Times New Roman"/>
          <w:sz w:val="21"/>
          <w:szCs w:val="21"/>
          <w:color w:val="44464D"/>
        </w:rPr>
        <w:t xml:space="preserve"> reproductions thereof). After returning all </w:t>
      </w:r>
      <w:r>
        <w:rPr>
          <w:rFonts w:ascii="Times New Roman" w:cs="Times New Roman" w:eastAsia="Times New Roman" w:hAnsi="Times New Roman"/>
          <w:sz w:val="21"/>
          <w:szCs w:val="21"/>
          <w:color w:val="575960"/>
        </w:rPr>
        <w:t>such</w:t>
      </w:r>
      <w:r>
        <w:rPr>
          <w:rFonts w:ascii="Times New Roman" w:cs="Times New Roman" w:eastAsia="Times New Roman" w:hAnsi="Times New Roman"/>
          <w:sz w:val="21"/>
          <w:szCs w:val="21"/>
          <w:color w:val="44464D"/>
        </w:rPr>
        <w:t xml:space="preserve"> Company property to the </w:t>
      </w:r>
      <w:r>
        <w:rPr>
          <w:rFonts w:ascii="Times New Roman" w:cs="Times New Roman" w:eastAsia="Times New Roman" w:hAnsi="Times New Roman"/>
          <w:sz w:val="21"/>
          <w:szCs w:val="21"/>
          <w:color w:val="31333A"/>
        </w:rPr>
        <w:t>Company,</w:t>
      </w:r>
      <w:r>
        <w:rPr>
          <w:rFonts w:ascii="Times New Roman" w:cs="Times New Roman" w:eastAsia="Times New Roman" w:hAnsi="Times New Roman"/>
          <w:sz w:val="21"/>
          <w:szCs w:val="21"/>
          <w:color w:val="44464D"/>
        </w:rPr>
        <w:t xml:space="preserve"> you must delete </w:t>
      </w:r>
      <w:r>
        <w:rPr>
          <w:rFonts w:ascii="Times New Roman" w:cs="Times New Roman" w:eastAsia="Times New Roman" w:hAnsi="Times New Roman"/>
          <w:sz w:val="21"/>
          <w:szCs w:val="21"/>
          <w:color w:val="31333A"/>
        </w:rPr>
        <w:t>and</w:t>
      </w:r>
      <w:r>
        <w:rPr>
          <w:rFonts w:ascii="Times New Roman" w:cs="Times New Roman" w:eastAsia="Times New Roman" w:hAnsi="Times New Roman"/>
          <w:sz w:val="21"/>
          <w:szCs w:val="21"/>
          <w:color w:val="44464D"/>
        </w:rPr>
        <w:t xml:space="preserve"> finally purge any duplicates of files or documents that </w:t>
      </w:r>
      <w:r>
        <w:rPr>
          <w:rFonts w:ascii="Times New Roman" w:cs="Times New Roman" w:eastAsia="Times New Roman" w:hAnsi="Times New Roman"/>
          <w:sz w:val="21"/>
          <w:szCs w:val="21"/>
          <w:color w:val="31333A"/>
        </w:rPr>
        <w:t>may</w:t>
      </w:r>
      <w:r>
        <w:rPr>
          <w:rFonts w:ascii="Times New Roman" w:cs="Times New Roman" w:eastAsia="Times New Roman" w:hAnsi="Times New Roman"/>
          <w:sz w:val="21"/>
          <w:szCs w:val="21"/>
          <w:color w:val="44464D"/>
        </w:rPr>
        <w:t xml:space="preserve"> contain Company information from any non-Company computer or other device </w:t>
      </w:r>
      <w:r>
        <w:rPr>
          <w:rFonts w:ascii="Times New Roman" w:cs="Times New Roman" w:eastAsia="Times New Roman" w:hAnsi="Times New Roman"/>
          <w:sz w:val="21"/>
          <w:szCs w:val="21"/>
          <w:color w:val="575960"/>
        </w:rPr>
        <w:t>that</w:t>
      </w:r>
      <w:r>
        <w:rPr>
          <w:rFonts w:ascii="Times New Roman" w:cs="Times New Roman" w:eastAsia="Times New Roman" w:hAnsi="Times New Roman"/>
          <w:sz w:val="21"/>
          <w:szCs w:val="21"/>
          <w:color w:val="44464D"/>
        </w:rPr>
        <w:t xml:space="preserve"> remains </w:t>
      </w:r>
      <w:r>
        <w:rPr>
          <w:rFonts w:ascii="Times New Roman" w:cs="Times New Roman" w:eastAsia="Times New Roman" w:hAnsi="Times New Roman"/>
          <w:sz w:val="21"/>
          <w:szCs w:val="21"/>
          <w:color w:val="575960"/>
        </w:rPr>
        <w:t>your</w:t>
      </w:r>
      <w:r>
        <w:rPr>
          <w:rFonts w:ascii="Times New Roman" w:cs="Times New Roman" w:eastAsia="Times New Roman" w:hAnsi="Times New Roman"/>
          <w:sz w:val="21"/>
          <w:szCs w:val="21"/>
          <w:color w:val="44464D"/>
        </w:rPr>
        <w:t xml:space="preserve"> property after the </w:t>
      </w:r>
      <w:r>
        <w:rPr>
          <w:rFonts w:ascii="Times New Roman" w:cs="Times New Roman" w:eastAsia="Times New Roman" w:hAnsi="Times New Roman"/>
          <w:sz w:val="21"/>
          <w:szCs w:val="21"/>
          <w:color w:val="31333A"/>
        </w:rPr>
        <w:t>Dat</w:t>
      </w:r>
      <w:r>
        <w:rPr>
          <w:rFonts w:ascii="Times New Roman" w:cs="Times New Roman" w:eastAsia="Times New Roman" w:hAnsi="Times New Roman"/>
          <w:sz w:val="21"/>
          <w:szCs w:val="21"/>
          <w:color w:val="575960"/>
        </w:rPr>
        <w:t>e of</w:t>
      </w:r>
      <w:r>
        <w:rPr>
          <w:rFonts w:ascii="Times New Roman" w:cs="Times New Roman" w:eastAsia="Times New Roman" w:hAnsi="Times New Roman"/>
          <w:sz w:val="21"/>
          <w:szCs w:val="21"/>
          <w:color w:val="44464D"/>
        </w:rPr>
        <w:t xml:space="preserve"> Termination. </w:t>
      </w:r>
      <w:r>
        <w:rPr>
          <w:rFonts w:ascii="Times New Roman" w:cs="Times New Roman" w:eastAsia="Times New Roman" w:hAnsi="Times New Roman"/>
          <w:sz w:val="22"/>
          <w:szCs w:val="22"/>
          <w:color w:val="44464D"/>
        </w:rPr>
        <w:t>If</w:t>
      </w:r>
      <w:r>
        <w:rPr>
          <w:rFonts w:ascii="Times New Roman" w:cs="Times New Roman" w:eastAsia="Times New Roman" w:hAnsi="Times New Roman"/>
          <w:sz w:val="21"/>
          <w:szCs w:val="21"/>
          <w:color w:val="44464D"/>
        </w:rPr>
        <w:t xml:space="preserve"> you discover after </w:t>
      </w:r>
      <w:r>
        <w:rPr>
          <w:rFonts w:ascii="Times New Roman" w:cs="Times New Roman" w:eastAsia="Times New Roman" w:hAnsi="Times New Roman"/>
          <w:sz w:val="21"/>
          <w:szCs w:val="21"/>
          <w:color w:val="31333A"/>
        </w:rPr>
        <w:t>the</w:t>
      </w:r>
      <w:r>
        <w:rPr>
          <w:rFonts w:ascii="Times New Roman" w:cs="Times New Roman" w:eastAsia="Times New Roman" w:hAnsi="Times New Roman"/>
          <w:sz w:val="21"/>
          <w:szCs w:val="21"/>
          <w:color w:val="44464D"/>
        </w:rPr>
        <w:t xml:space="preserve"> Date </w:t>
      </w:r>
      <w:r>
        <w:rPr>
          <w:rFonts w:ascii="Times New Roman" w:cs="Times New Roman" w:eastAsia="Times New Roman" w:hAnsi="Times New Roman"/>
          <w:sz w:val="21"/>
          <w:szCs w:val="21"/>
          <w:color w:val="31333A"/>
        </w:rPr>
        <w:t>of</w:t>
      </w:r>
      <w:r>
        <w:rPr>
          <w:rFonts w:ascii="Times New Roman" w:cs="Times New Roman" w:eastAsia="Times New Roman" w:hAnsi="Times New Roman"/>
          <w:sz w:val="21"/>
          <w:szCs w:val="21"/>
          <w:color w:val="44464D"/>
        </w:rPr>
        <w:t xml:space="preserve"> Termination that you </w:t>
      </w:r>
      <w:r>
        <w:rPr>
          <w:rFonts w:ascii="Times New Roman" w:cs="Times New Roman" w:eastAsia="Times New Roman" w:hAnsi="Times New Roman"/>
          <w:sz w:val="21"/>
          <w:szCs w:val="21"/>
          <w:color w:val="31333A"/>
        </w:rPr>
        <w:t xml:space="preserve">have </w:t>
      </w:r>
      <w:r>
        <w:rPr>
          <w:rFonts w:ascii="Times New Roman" w:cs="Times New Roman" w:eastAsia="Times New Roman" w:hAnsi="Times New Roman"/>
          <w:sz w:val="21"/>
          <w:szCs w:val="21"/>
          <w:color w:val="44464D"/>
        </w:rPr>
        <w:t>retained any Company proprietary or confidential information</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you agree, immediately</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575960"/>
        </w:rPr>
        <w:t>upon</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discovery</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44464D"/>
        </w:rPr>
        <w:t>to</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575960"/>
        </w:rPr>
        <w:t>contact</w:t>
      </w:r>
      <w:r>
        <w:rPr>
          <w:rFonts w:ascii="Times New Roman" w:cs="Times New Roman" w:eastAsia="Times New Roman" w:hAnsi="Times New Roman"/>
          <w:sz w:val="21"/>
          <w:szCs w:val="21"/>
          <w:color w:val="31333A"/>
        </w:rPr>
        <w:t xml:space="preserve"> </w:t>
      </w:r>
      <w:r>
        <w:rPr>
          <w:rFonts w:ascii="Times New Roman" w:cs="Times New Roman" w:eastAsia="Times New Roman" w:hAnsi="Times New Roman"/>
          <w:sz w:val="21"/>
          <w:szCs w:val="21"/>
          <w:color w:val="575960"/>
        </w:rPr>
        <w:t xml:space="preserve">the Company </w:t>
      </w:r>
      <w:r>
        <w:rPr>
          <w:rFonts w:ascii="Times New Roman" w:cs="Times New Roman" w:eastAsia="Times New Roman" w:hAnsi="Times New Roman"/>
          <w:sz w:val="21"/>
          <w:szCs w:val="21"/>
          <w:color w:val="44464D"/>
        </w:rPr>
        <w:t>and</w:t>
      </w:r>
      <w:r>
        <w:rPr>
          <w:rFonts w:ascii="Times New Roman" w:cs="Times New Roman" w:eastAsia="Times New Roman" w:hAnsi="Times New Roman"/>
          <w:sz w:val="21"/>
          <w:szCs w:val="21"/>
          <w:color w:val="575960"/>
        </w:rPr>
        <w:t xml:space="preserve"> make </w:t>
      </w:r>
      <w:r>
        <w:rPr>
          <w:rFonts w:ascii="Times New Roman" w:cs="Times New Roman" w:eastAsia="Times New Roman" w:hAnsi="Times New Roman"/>
          <w:sz w:val="21"/>
          <w:szCs w:val="21"/>
          <w:color w:val="44464D"/>
        </w:rPr>
        <w:t>arrangements for</w:t>
      </w:r>
      <w:r>
        <w:rPr>
          <w:rFonts w:ascii="Times New Roman" w:cs="Times New Roman" w:eastAsia="Times New Roman" w:hAnsi="Times New Roman"/>
          <w:sz w:val="21"/>
          <w:szCs w:val="21"/>
          <w:color w:val="575960"/>
        </w:rPr>
        <w:t xml:space="preserve"> returning </w:t>
      </w:r>
      <w:r>
        <w:rPr>
          <w:rFonts w:ascii="Times New Roman" w:cs="Times New Roman" w:eastAsia="Times New Roman" w:hAnsi="Times New Roman"/>
          <w:sz w:val="21"/>
          <w:szCs w:val="21"/>
          <w:color w:val="44464D"/>
        </w:rPr>
        <w:t>the information.</w:t>
      </w:r>
    </w:p>
    <w:p>
      <w:pPr>
        <w:spacing w:after="0" w:line="189" w:lineRule="exact"/>
        <w:rPr>
          <w:rFonts w:ascii="Times New Roman" w:cs="Times New Roman" w:eastAsia="Times New Roman" w:hAnsi="Times New Roman"/>
          <w:sz w:val="21"/>
          <w:szCs w:val="21"/>
          <w:b w:val="1"/>
          <w:bCs w:val="1"/>
          <w:color w:val="1F2126"/>
        </w:rPr>
      </w:pPr>
    </w:p>
    <w:p>
      <w:pPr>
        <w:ind w:left="920" w:hanging="738"/>
        <w:spacing w:after="0"/>
        <w:tabs>
          <w:tab w:leader="none" w:pos="920" w:val="left"/>
        </w:tabs>
        <w:numPr>
          <w:ilvl w:val="1"/>
          <w:numId w:val="77"/>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F1F26"/>
        </w:rPr>
        <w:t xml:space="preserve">Restrictive </w:t>
      </w:r>
      <w:r>
        <w:rPr>
          <w:rFonts w:ascii="Times New Roman" w:cs="Times New Roman" w:eastAsia="Times New Roman" w:hAnsi="Times New Roman"/>
          <w:sz w:val="21"/>
          <w:szCs w:val="21"/>
          <w:b w:val="1"/>
          <w:bCs w:val="1"/>
          <w:color w:val="44464D"/>
        </w:rPr>
        <w:t>Co</w:t>
      </w:r>
      <w:r>
        <w:rPr>
          <w:rFonts w:ascii="Times New Roman" w:cs="Times New Roman" w:eastAsia="Times New Roman" w:hAnsi="Times New Roman"/>
          <w:sz w:val="21"/>
          <w:szCs w:val="21"/>
          <w:b w:val="1"/>
          <w:bCs w:val="1"/>
          <w:color w:val="1F1F26"/>
        </w:rPr>
        <w:t>venant</w:t>
      </w:r>
      <w:r>
        <w:rPr>
          <w:rFonts w:ascii="Times New Roman" w:cs="Times New Roman" w:eastAsia="Times New Roman" w:hAnsi="Times New Roman"/>
          <w:sz w:val="21"/>
          <w:szCs w:val="21"/>
          <w:b w:val="1"/>
          <w:bCs w:val="1"/>
          <w:color w:val="44464D"/>
        </w:rPr>
        <w:t>s</w:t>
      </w:r>
      <w:r>
        <w:rPr>
          <w:rFonts w:ascii="Times New Roman" w:cs="Times New Roman" w:eastAsia="Times New Roman" w:hAnsi="Times New Roman"/>
          <w:sz w:val="21"/>
          <w:szCs w:val="21"/>
          <w:b w:val="1"/>
          <w:bCs w:val="1"/>
          <w:color w:val="1F1F26"/>
        </w:rPr>
        <w:t xml:space="preserve"> and </w:t>
      </w:r>
      <w:r>
        <w:rPr>
          <w:rFonts w:ascii="Times New Roman" w:cs="Times New Roman" w:eastAsia="Times New Roman" w:hAnsi="Times New Roman"/>
          <w:sz w:val="21"/>
          <w:szCs w:val="21"/>
          <w:b w:val="1"/>
          <w:bCs w:val="1"/>
          <w:color w:val="31333A"/>
        </w:rPr>
        <w:t>Continuing</w:t>
      </w:r>
      <w:r>
        <w:rPr>
          <w:rFonts w:ascii="Times New Roman" w:cs="Times New Roman" w:eastAsia="Times New Roman" w:hAnsi="Times New Roman"/>
          <w:sz w:val="21"/>
          <w:szCs w:val="21"/>
          <w:b w:val="1"/>
          <w:bCs w:val="1"/>
          <w:color w:val="1F1F26"/>
        </w:rPr>
        <w:t xml:space="preserve"> Obligations.</w:t>
      </w:r>
    </w:p>
    <w:p>
      <w:pPr>
        <w:spacing w:after="0" w:line="244" w:lineRule="exact"/>
        <w:rPr>
          <w:rFonts w:ascii="Times New Roman" w:cs="Times New Roman" w:eastAsia="Times New Roman" w:hAnsi="Times New Roman"/>
          <w:sz w:val="21"/>
          <w:szCs w:val="21"/>
          <w:b w:val="1"/>
          <w:bCs w:val="1"/>
          <w:color w:val="1F2126"/>
        </w:rPr>
      </w:pPr>
    </w:p>
    <w:p>
      <w:pPr>
        <w:ind w:left="920" w:right="100" w:firstLine="746"/>
        <w:spacing w:after="0" w:line="245" w:lineRule="auto"/>
        <w:tabs>
          <w:tab w:leader="none" w:pos="2386" w:val="left"/>
        </w:tabs>
        <w:numPr>
          <w:ilvl w:val="2"/>
          <w:numId w:val="77"/>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1F1F26"/>
        </w:rPr>
        <w:t>Restric</w:t>
      </w:r>
      <w:r>
        <w:rPr>
          <w:rFonts w:ascii="Times New Roman" w:cs="Times New Roman" w:eastAsia="Times New Roman" w:hAnsi="Times New Roman"/>
          <w:sz w:val="21"/>
          <w:szCs w:val="21"/>
          <w:b w:val="1"/>
          <w:bCs w:val="1"/>
          <w:color w:val="44464D"/>
        </w:rPr>
        <w:t>t</w:t>
      </w:r>
      <w:r>
        <w:rPr>
          <w:rFonts w:ascii="Times New Roman" w:cs="Times New Roman" w:eastAsia="Times New Roman" w:hAnsi="Times New Roman"/>
          <w:sz w:val="21"/>
          <w:szCs w:val="21"/>
          <w:b w:val="1"/>
          <w:bCs w:val="1"/>
          <w:color w:val="1F1F26"/>
        </w:rPr>
        <w:t xml:space="preserve">ive </w:t>
      </w:r>
      <w:r>
        <w:rPr>
          <w:rFonts w:ascii="Times New Roman" w:cs="Times New Roman" w:eastAsia="Times New Roman" w:hAnsi="Times New Roman"/>
          <w:sz w:val="21"/>
          <w:szCs w:val="21"/>
          <w:b w:val="1"/>
          <w:bCs w:val="1"/>
          <w:color w:val="31333A"/>
        </w:rPr>
        <w:t>Covenants</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b w:val="1"/>
          <w:bCs w:val="1"/>
          <w:color w:val="44464D"/>
        </w:rPr>
        <w:t>Ag</w:t>
      </w:r>
      <w:r>
        <w:rPr>
          <w:rFonts w:ascii="Times New Roman" w:cs="Times New Roman" w:eastAsia="Times New Roman" w:hAnsi="Times New Roman"/>
          <w:sz w:val="21"/>
          <w:szCs w:val="21"/>
          <w:b w:val="1"/>
          <w:bCs w:val="1"/>
          <w:color w:val="1F1F26"/>
        </w:rPr>
        <w:t xml:space="preserve">reement. </w:t>
      </w:r>
      <w:r>
        <w:rPr>
          <w:rFonts w:ascii="Times New Roman" w:cs="Times New Roman" w:eastAsia="Times New Roman" w:hAnsi="Times New Roman"/>
          <w:sz w:val="21"/>
          <w:szCs w:val="21"/>
          <w:color w:val="44464D"/>
        </w:rPr>
        <w:t>You</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575960"/>
        </w:rPr>
        <w:t>acknowledge</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your continuing obligations under your</w:t>
      </w:r>
      <w:r>
        <w:rPr>
          <w:rFonts w:ascii="Times New Roman" w:cs="Times New Roman" w:eastAsia="Times New Roman" w:hAnsi="Times New Roman"/>
          <w:sz w:val="21"/>
          <w:szCs w:val="21"/>
          <w:b w:val="1"/>
          <w:bCs w:val="1"/>
          <w:color w:val="1F1F26"/>
        </w:rPr>
        <w:t xml:space="preserve"> </w:t>
      </w:r>
      <w:r>
        <w:rPr>
          <w:rFonts w:ascii="Times New Roman" w:cs="Times New Roman" w:eastAsia="Times New Roman" w:hAnsi="Times New Roman"/>
          <w:sz w:val="21"/>
          <w:szCs w:val="21"/>
          <w:color w:val="44464D"/>
        </w:rPr>
        <w:t>Nondisclosure</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Developments and Noncompetition Agreement </w:t>
      </w:r>
      <w:r>
        <w:rPr>
          <w:rFonts w:ascii="Times New Roman" w:cs="Times New Roman" w:eastAsia="Times New Roman" w:hAnsi="Times New Roman"/>
          <w:sz w:val="21"/>
          <w:szCs w:val="21"/>
          <w:color w:val="575960"/>
        </w:rPr>
        <w:t>(the "Restrictive</w:t>
      </w:r>
      <w:r>
        <w:rPr>
          <w:rFonts w:ascii="Times New Roman" w:cs="Times New Roman" w:eastAsia="Times New Roman" w:hAnsi="Times New Roman"/>
          <w:sz w:val="21"/>
          <w:szCs w:val="21"/>
          <w:color w:val="44464D"/>
        </w:rPr>
        <w:t xml:space="preserve"> Covenants Agreement</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44464D"/>
        </w:rPr>
        <w:t xml:space="preserve"> </w:t>
      </w:r>
      <w:r>
        <w:rPr>
          <w:rFonts w:ascii="Times New Roman" w:cs="Times New Roman" w:eastAsia="Times New Roman" w:hAnsi="Times New Roman"/>
          <w:sz w:val="21"/>
          <w:szCs w:val="21"/>
          <w:color w:val="575960"/>
        </w:rPr>
        <w:t>which,</w:t>
      </w:r>
      <w:r>
        <w:rPr>
          <w:rFonts w:ascii="Times New Roman" w:cs="Times New Roman" w:eastAsia="Times New Roman" w:hAnsi="Times New Roman"/>
          <w:sz w:val="21"/>
          <w:szCs w:val="21"/>
          <w:color w:val="44464D"/>
        </w:rPr>
        <w:t xml:space="preserve"> among </w:t>
      </w:r>
      <w:r>
        <w:rPr>
          <w:rFonts w:ascii="Times New Roman" w:cs="Times New Roman" w:eastAsia="Times New Roman" w:hAnsi="Times New Roman"/>
          <w:sz w:val="21"/>
          <w:szCs w:val="21"/>
          <w:color w:val="575960"/>
        </w:rPr>
        <w:t>other</w:t>
      </w:r>
      <w:r>
        <w:rPr>
          <w:rFonts w:ascii="Times New Roman" w:cs="Times New Roman" w:eastAsia="Times New Roman" w:hAnsi="Times New Roman"/>
          <w:sz w:val="21"/>
          <w:szCs w:val="21"/>
          <w:color w:val="44464D"/>
        </w:rPr>
        <w:t xml:space="preserve"> things prohibits disclosure of any confidential or proprietary information of the Company; provided, however, </w:t>
      </w:r>
      <w:r>
        <w:rPr>
          <w:rFonts w:ascii="Times New Roman" w:cs="Times New Roman" w:eastAsia="Times New Roman" w:hAnsi="Times New Roman"/>
          <w:sz w:val="21"/>
          <w:szCs w:val="21"/>
          <w:color w:val="31333A"/>
        </w:rPr>
        <w:t>that</w:t>
      </w:r>
      <w:r>
        <w:rPr>
          <w:rFonts w:ascii="Times New Roman" w:cs="Times New Roman" w:eastAsia="Times New Roman" w:hAnsi="Times New Roman"/>
          <w:sz w:val="21"/>
          <w:szCs w:val="21"/>
          <w:color w:val="44464D"/>
        </w:rPr>
        <w:t xml:space="preserve"> that the Company will not enforce the noncompetit</w:t>
      </w:r>
      <w:r>
        <w:rPr>
          <w:rFonts w:ascii="Times New Roman" w:cs="Times New Roman" w:eastAsia="Times New Roman" w:hAnsi="Times New Roman"/>
          <w:sz w:val="21"/>
          <w:szCs w:val="21"/>
          <w:color w:val="1F1F26"/>
        </w:rPr>
        <w:t>i</w:t>
      </w:r>
      <w:r>
        <w:rPr>
          <w:rFonts w:ascii="Times New Roman" w:cs="Times New Roman" w:eastAsia="Times New Roman" w:hAnsi="Times New Roman"/>
          <w:sz w:val="21"/>
          <w:szCs w:val="21"/>
          <w:color w:val="44464D"/>
        </w:rPr>
        <w:t xml:space="preserve">on provision contained in </w:t>
      </w:r>
      <w:r>
        <w:rPr>
          <w:rFonts w:ascii="Times New Roman" w:cs="Times New Roman" w:eastAsia="Times New Roman" w:hAnsi="Times New Roman"/>
          <w:sz w:val="21"/>
          <w:szCs w:val="21"/>
          <w:color w:val="31333A"/>
        </w:rPr>
        <w:t>the</w:t>
      </w:r>
      <w:r>
        <w:rPr>
          <w:rFonts w:ascii="Times New Roman" w:cs="Times New Roman" w:eastAsia="Times New Roman" w:hAnsi="Times New Roman"/>
          <w:sz w:val="21"/>
          <w:szCs w:val="21"/>
          <w:color w:val="44464D"/>
        </w:rPr>
        <w:t xml:space="preserve"> Restrictive Covenants </w:t>
      </w:r>
      <w:r>
        <w:rPr>
          <w:rFonts w:ascii="Times New Roman" w:cs="Times New Roman" w:eastAsia="Times New Roman" w:hAnsi="Times New Roman"/>
          <w:sz w:val="21"/>
          <w:szCs w:val="21"/>
          <w:color w:val="575960"/>
        </w:rPr>
        <w:t xml:space="preserve">Agreement </w:t>
      </w:r>
      <w:r>
        <w:rPr>
          <w:rFonts w:ascii="Times New Roman" w:cs="Times New Roman" w:eastAsia="Times New Roman" w:hAnsi="Times New Roman"/>
          <w:sz w:val="21"/>
          <w:szCs w:val="21"/>
          <w:color w:val="44464D"/>
        </w:rPr>
        <w:t>in a way that would prevent you from practicing law. The remaining terms of the</w:t>
      </w:r>
      <w:r>
        <w:rPr>
          <w:rFonts w:ascii="Times New Roman" w:cs="Times New Roman" w:eastAsia="Times New Roman" w:hAnsi="Times New Roman"/>
          <w:sz w:val="21"/>
          <w:szCs w:val="21"/>
          <w:color w:val="575960"/>
        </w:rPr>
        <w:t xml:space="preserve"> </w:t>
      </w:r>
      <w:r>
        <w:rPr>
          <w:rFonts w:ascii="Times New Roman" w:cs="Times New Roman" w:eastAsia="Times New Roman" w:hAnsi="Times New Roman"/>
          <w:sz w:val="21"/>
          <w:szCs w:val="21"/>
          <w:color w:val="31333A"/>
        </w:rPr>
        <w:t>Restric</w:t>
      </w:r>
      <w:r>
        <w:rPr>
          <w:rFonts w:ascii="Times New Roman" w:cs="Times New Roman" w:eastAsia="Times New Roman" w:hAnsi="Times New Roman"/>
          <w:sz w:val="21"/>
          <w:szCs w:val="21"/>
          <w:color w:val="575960"/>
        </w:rPr>
        <w:t xml:space="preserve">tive </w:t>
      </w:r>
      <w:r>
        <w:rPr>
          <w:rFonts w:ascii="Times New Roman" w:cs="Times New Roman" w:eastAsia="Times New Roman" w:hAnsi="Times New Roman"/>
          <w:sz w:val="21"/>
          <w:szCs w:val="21"/>
          <w:color w:val="44464D"/>
        </w:rPr>
        <w:t>Covenants</w:t>
      </w:r>
      <w:r>
        <w:rPr>
          <w:rFonts w:ascii="Times New Roman" w:cs="Times New Roman" w:eastAsia="Times New Roman" w:hAnsi="Times New Roman"/>
          <w:sz w:val="21"/>
          <w:szCs w:val="21"/>
          <w:color w:val="575960"/>
        </w:rPr>
        <w:t xml:space="preserve"> </w:t>
      </w:r>
      <w:r>
        <w:rPr>
          <w:rFonts w:ascii="Times New Roman" w:cs="Times New Roman" w:eastAsia="Times New Roman" w:hAnsi="Times New Roman"/>
          <w:sz w:val="21"/>
          <w:szCs w:val="21"/>
          <w:color w:val="44464D"/>
        </w:rPr>
        <w:t xml:space="preserve">Agreement </w:t>
      </w:r>
      <w:r>
        <w:rPr>
          <w:rFonts w:ascii="Times New Roman" w:cs="Times New Roman" w:eastAsia="Times New Roman" w:hAnsi="Times New Roman"/>
          <w:sz w:val="21"/>
          <w:szCs w:val="21"/>
          <w:color w:val="31333A"/>
        </w:rPr>
        <w:t>are</w:t>
      </w:r>
      <w:r>
        <w:rPr>
          <w:rFonts w:ascii="Times New Roman" w:cs="Times New Roman" w:eastAsia="Times New Roman" w:hAnsi="Times New Roman"/>
          <w:sz w:val="21"/>
          <w:szCs w:val="21"/>
          <w:color w:val="44464D"/>
        </w:rPr>
        <w:t xml:space="preserve"> incorporated </w:t>
      </w:r>
      <w:r>
        <w:rPr>
          <w:rFonts w:ascii="Times New Roman" w:cs="Times New Roman" w:eastAsia="Times New Roman" w:hAnsi="Times New Roman"/>
          <w:sz w:val="21"/>
          <w:szCs w:val="21"/>
          <w:color w:val="31333A"/>
        </w:rPr>
        <w:t>by</w:t>
      </w:r>
      <w:r>
        <w:rPr>
          <w:rFonts w:ascii="Times New Roman" w:cs="Times New Roman" w:eastAsia="Times New Roman" w:hAnsi="Times New Roman"/>
          <w:sz w:val="21"/>
          <w:szCs w:val="21"/>
          <w:color w:val="44464D"/>
        </w:rPr>
        <w:t xml:space="preserve"> reference as </w:t>
      </w:r>
      <w:r>
        <w:rPr>
          <w:rFonts w:ascii="Times New Roman" w:cs="Times New Roman" w:eastAsia="Times New Roman" w:hAnsi="Times New Roman"/>
          <w:sz w:val="21"/>
          <w:szCs w:val="21"/>
          <w:color w:val="31333A"/>
        </w:rPr>
        <w:t>material</w:t>
      </w:r>
      <w:r>
        <w:rPr>
          <w:rFonts w:ascii="Times New Roman" w:cs="Times New Roman" w:eastAsia="Times New Roman" w:hAnsi="Times New Roman"/>
          <w:sz w:val="21"/>
          <w:szCs w:val="21"/>
          <w:color w:val="44464D"/>
        </w:rPr>
        <w:t xml:space="preserve"> terms of this Agreement (the Restrictive Covenants </w:t>
      </w:r>
      <w:r>
        <w:rPr>
          <w:rFonts w:ascii="Times New Roman" w:cs="Times New Roman" w:eastAsia="Times New Roman" w:hAnsi="Times New Roman"/>
          <w:sz w:val="21"/>
          <w:szCs w:val="21"/>
          <w:color w:val="31333A"/>
        </w:rPr>
        <w:t>Ag</w:t>
      </w:r>
      <w:r>
        <w:rPr>
          <w:rFonts w:ascii="Times New Roman" w:cs="Times New Roman" w:eastAsia="Times New Roman" w:hAnsi="Times New Roman"/>
          <w:sz w:val="21"/>
          <w:szCs w:val="21"/>
          <w:color w:val="575960"/>
        </w:rPr>
        <w:t>ree</w:t>
      </w:r>
      <w:r>
        <w:rPr>
          <w:rFonts w:ascii="Times New Roman" w:cs="Times New Roman" w:eastAsia="Times New Roman" w:hAnsi="Times New Roman"/>
          <w:sz w:val="21"/>
          <w:szCs w:val="21"/>
          <w:color w:val="31333A"/>
        </w:rPr>
        <w:t>ment</w:t>
      </w:r>
      <w:r>
        <w:rPr>
          <w:rFonts w:ascii="Times New Roman" w:cs="Times New Roman" w:eastAsia="Times New Roman" w:hAnsi="Times New Roman"/>
          <w:sz w:val="21"/>
          <w:szCs w:val="21"/>
          <w:color w:val="44464D"/>
        </w:rPr>
        <w:t xml:space="preserve"> together with Sections 6, 7(a) through </w:t>
      </w:r>
      <w:r>
        <w:rPr>
          <w:rFonts w:ascii="Times New Roman" w:cs="Times New Roman" w:eastAsia="Times New Roman" w:hAnsi="Times New Roman"/>
          <w:sz w:val="21"/>
          <w:szCs w:val="21"/>
          <w:color w:val="575960"/>
        </w:rPr>
        <w:t>(c)(</w:t>
      </w:r>
      <w:r>
        <w:rPr>
          <w:rFonts w:ascii="Times New Roman" w:cs="Times New Roman" w:eastAsia="Times New Roman" w:hAnsi="Times New Roman"/>
          <w:sz w:val="21"/>
          <w:szCs w:val="21"/>
          <w:color w:val="31333A"/>
        </w:rPr>
        <w:t>i</w:t>
      </w:r>
      <w:r>
        <w:rPr>
          <w:rFonts w:ascii="Times New Roman" w:cs="Times New Roman" w:eastAsia="Times New Roman" w:hAnsi="Times New Roman"/>
          <w:sz w:val="21"/>
          <w:szCs w:val="21"/>
          <w:color w:val="575960"/>
        </w:rPr>
        <w:t>) and</w:t>
      </w:r>
      <w:r>
        <w:rPr>
          <w:rFonts w:ascii="Times New Roman" w:cs="Times New Roman" w:eastAsia="Times New Roman" w:hAnsi="Times New Roman"/>
          <w:sz w:val="21"/>
          <w:szCs w:val="21"/>
          <w:color w:val="44464D"/>
        </w:rPr>
        <w:t xml:space="preserve"> 8 of this Agreement </w:t>
      </w:r>
      <w:r>
        <w:rPr>
          <w:rFonts w:ascii="Times New Roman" w:cs="Times New Roman" w:eastAsia="Times New Roman" w:hAnsi="Times New Roman"/>
          <w:sz w:val="21"/>
          <w:szCs w:val="21"/>
          <w:color w:val="575960"/>
        </w:rPr>
        <w:t>shall</w:t>
      </w:r>
      <w:r>
        <w:rPr>
          <w:rFonts w:ascii="Times New Roman" w:cs="Times New Roman" w:eastAsia="Times New Roman" w:hAnsi="Times New Roman"/>
          <w:sz w:val="21"/>
          <w:szCs w:val="21"/>
          <w:color w:val="44464D"/>
        </w:rPr>
        <w:t xml:space="preserve"> be referred to </w:t>
      </w:r>
      <w:r>
        <w:rPr>
          <w:rFonts w:ascii="Times New Roman" w:cs="Times New Roman" w:eastAsia="Times New Roman" w:hAnsi="Times New Roman"/>
          <w:sz w:val="21"/>
          <w:szCs w:val="21"/>
          <w:color w:val="31333A"/>
        </w:rPr>
        <w:t>h</w:t>
      </w:r>
      <w:r>
        <w:rPr>
          <w:rFonts w:ascii="Times New Roman" w:cs="Times New Roman" w:eastAsia="Times New Roman" w:hAnsi="Times New Roman"/>
          <w:sz w:val="21"/>
          <w:szCs w:val="21"/>
          <w:color w:val="575960"/>
        </w:rPr>
        <w:t>erein as</w:t>
      </w:r>
      <w:r>
        <w:rPr>
          <w:rFonts w:ascii="Times New Roman" w:cs="Times New Roman" w:eastAsia="Times New Roman" w:hAnsi="Times New Roman"/>
          <w:sz w:val="21"/>
          <w:szCs w:val="21"/>
          <w:color w:val="44464D"/>
        </w:rPr>
        <w:t xml:space="preserve"> the "Continuing Obligations").</w:t>
      </w:r>
    </w:p>
    <w:p>
      <w:pPr>
        <w:spacing w:after="0" w:line="187" w:lineRule="exact"/>
        <w:rPr>
          <w:rFonts w:ascii="Times New Roman" w:cs="Times New Roman" w:eastAsia="Times New Roman" w:hAnsi="Times New Roman"/>
          <w:sz w:val="21"/>
          <w:szCs w:val="21"/>
          <w:color w:val="505259"/>
        </w:rPr>
      </w:pPr>
    </w:p>
    <w:p>
      <w:pPr>
        <w:ind w:left="940" w:right="180" w:firstLine="740"/>
        <w:spacing w:after="0" w:line="249" w:lineRule="auto"/>
        <w:tabs>
          <w:tab w:leader="none" w:pos="2397" w:val="left"/>
        </w:tabs>
        <w:numPr>
          <w:ilvl w:val="3"/>
          <w:numId w:val="77"/>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44464D"/>
        </w:rPr>
        <w:t>C</w:t>
      </w:r>
      <w:r>
        <w:rPr>
          <w:rFonts w:ascii="Times New Roman" w:cs="Times New Roman" w:eastAsia="Times New Roman" w:hAnsi="Times New Roman"/>
          <w:sz w:val="21"/>
          <w:szCs w:val="21"/>
          <w:b w:val="1"/>
          <w:bCs w:val="1"/>
          <w:color w:val="1F1F26"/>
        </w:rPr>
        <w:t>ooperation</w:t>
      </w:r>
      <w:r>
        <w:rPr>
          <w:rFonts w:ascii="Times New Roman" w:cs="Times New Roman" w:eastAsia="Times New Roman" w:hAnsi="Times New Roman"/>
          <w:sz w:val="21"/>
          <w:szCs w:val="21"/>
          <w:b w:val="1"/>
          <w:bCs w:val="1"/>
          <w:color w:val="44464D"/>
        </w:rPr>
        <w:t xml:space="preserve">. </w:t>
      </w:r>
      <w:r>
        <w:rPr>
          <w:rFonts w:ascii="Times New Roman" w:cs="Times New Roman" w:eastAsia="Times New Roman" w:hAnsi="Times New Roman"/>
          <w:sz w:val="21"/>
          <w:szCs w:val="21"/>
          <w:color w:val="44464D"/>
        </w:rPr>
        <w:t>You agree to cooperate reasonably with the</w:t>
      </w:r>
      <w:r>
        <w:rPr>
          <w:rFonts w:ascii="Times New Roman" w:cs="Times New Roman" w:eastAsia="Times New Roman" w:hAnsi="Times New Roman"/>
          <w:sz w:val="21"/>
          <w:szCs w:val="21"/>
          <w:b w:val="1"/>
          <w:bCs w:val="1"/>
          <w:color w:val="44464D"/>
        </w:rPr>
        <w:t xml:space="preserve"> </w:t>
      </w:r>
      <w:r>
        <w:rPr>
          <w:rFonts w:ascii="Times New Roman" w:cs="Times New Roman" w:eastAsia="Times New Roman" w:hAnsi="Times New Roman"/>
          <w:sz w:val="21"/>
          <w:szCs w:val="21"/>
          <w:color w:val="575960"/>
        </w:rPr>
        <w:t>Company</w:t>
      </w:r>
      <w:r>
        <w:rPr>
          <w:rFonts w:ascii="Times New Roman" w:cs="Times New Roman" w:eastAsia="Times New Roman" w:hAnsi="Times New Roman"/>
          <w:sz w:val="21"/>
          <w:szCs w:val="21"/>
          <w:b w:val="1"/>
          <w:bCs w:val="1"/>
          <w:color w:val="44464D"/>
        </w:rPr>
        <w:t xml:space="preserve"> </w:t>
      </w:r>
      <w:r>
        <w:rPr>
          <w:rFonts w:ascii="Times New Roman" w:cs="Times New Roman" w:eastAsia="Times New Roman" w:hAnsi="Times New Roman"/>
          <w:sz w:val="21"/>
          <w:szCs w:val="21"/>
          <w:color w:val="44464D"/>
        </w:rPr>
        <w:t>(including its outside counsel)</w:t>
      </w:r>
      <w:r>
        <w:rPr>
          <w:rFonts w:ascii="Times New Roman" w:cs="Times New Roman" w:eastAsia="Times New Roman" w:hAnsi="Times New Roman"/>
          <w:sz w:val="21"/>
          <w:szCs w:val="21"/>
          <w:b w:val="1"/>
          <w:bCs w:val="1"/>
          <w:color w:val="44464D"/>
        </w:rPr>
        <w:t xml:space="preserve"> </w:t>
      </w:r>
      <w:r>
        <w:rPr>
          <w:rFonts w:ascii="Times New Roman" w:cs="Times New Roman" w:eastAsia="Times New Roman" w:hAnsi="Times New Roman"/>
          <w:sz w:val="21"/>
          <w:szCs w:val="21"/>
          <w:color w:val="575960"/>
        </w:rPr>
        <w:t xml:space="preserve">in </w:t>
      </w:r>
      <w:r>
        <w:rPr>
          <w:rFonts w:ascii="Times New Roman" w:cs="Times New Roman" w:eastAsia="Times New Roman" w:hAnsi="Times New Roman"/>
          <w:sz w:val="21"/>
          <w:szCs w:val="21"/>
          <w:color w:val="44464D"/>
        </w:rPr>
        <w:t>connection with (</w:t>
      </w:r>
      <w:r>
        <w:rPr>
          <w:rFonts w:ascii="Times New Roman" w:cs="Times New Roman" w:eastAsia="Times New Roman" w:hAnsi="Times New Roman"/>
          <w:sz w:val="21"/>
          <w:szCs w:val="21"/>
          <w:color w:val="1F1F26"/>
        </w:rPr>
        <w:t>i</w:t>
      </w:r>
      <w:r>
        <w:rPr>
          <w:rFonts w:ascii="Times New Roman" w:cs="Times New Roman" w:eastAsia="Times New Roman" w:hAnsi="Times New Roman"/>
          <w:sz w:val="21"/>
          <w:szCs w:val="21"/>
          <w:color w:val="44464D"/>
        </w:rPr>
        <w:t>) the contemplation, prosecut</w:t>
      </w:r>
      <w:r>
        <w:rPr>
          <w:rFonts w:ascii="Times New Roman" w:cs="Times New Roman" w:eastAsia="Times New Roman" w:hAnsi="Times New Roman"/>
          <w:sz w:val="21"/>
          <w:szCs w:val="21"/>
          <w:color w:val="1F1F26"/>
        </w:rPr>
        <w:t>i</w:t>
      </w:r>
      <w:r>
        <w:rPr>
          <w:rFonts w:ascii="Times New Roman" w:cs="Times New Roman" w:eastAsia="Times New Roman" w:hAnsi="Times New Roman"/>
          <w:sz w:val="21"/>
          <w:szCs w:val="21"/>
          <w:color w:val="44464D"/>
        </w:rPr>
        <w:t>on and defense of all phases of existing</w:t>
      </w:r>
      <w:r>
        <w:rPr>
          <w:rFonts w:ascii="Times New Roman" w:cs="Times New Roman" w:eastAsia="Times New Roman" w:hAnsi="Times New Roman"/>
          <w:sz w:val="21"/>
          <w:szCs w:val="21"/>
          <w:color w:val="696B72"/>
        </w:rPr>
        <w:t>,</w:t>
      </w:r>
      <w:r>
        <w:rPr>
          <w:rFonts w:ascii="Times New Roman" w:cs="Times New Roman" w:eastAsia="Times New Roman" w:hAnsi="Times New Roman"/>
          <w:sz w:val="21"/>
          <w:szCs w:val="21"/>
          <w:color w:val="575960"/>
        </w:rPr>
        <w:t xml:space="preserve"> </w:t>
      </w:r>
      <w:r>
        <w:rPr>
          <w:rFonts w:ascii="Times New Roman" w:cs="Times New Roman" w:eastAsia="Times New Roman" w:hAnsi="Times New Roman"/>
          <w:sz w:val="21"/>
          <w:szCs w:val="21"/>
          <w:color w:val="44464D"/>
        </w:rPr>
        <w:t>past and future litigation</w:t>
      </w:r>
      <w:r>
        <w:rPr>
          <w:rFonts w:ascii="Times New Roman" w:cs="Times New Roman" w:eastAsia="Times New Roman" w:hAnsi="Times New Roman"/>
          <w:sz w:val="21"/>
          <w:szCs w:val="21"/>
          <w:color w:val="575960"/>
        </w:rPr>
        <w:t xml:space="preserve"> </w:t>
      </w:r>
      <w:r>
        <w:rPr>
          <w:rFonts w:ascii="Times New Roman" w:cs="Times New Roman" w:eastAsia="Times New Roman" w:hAnsi="Times New Roman"/>
          <w:sz w:val="21"/>
          <w:szCs w:val="21"/>
          <w:color w:val="44464D"/>
        </w:rPr>
        <w:t xml:space="preserve">about which the Company reasonably believes </w:t>
      </w:r>
      <w:r>
        <w:rPr>
          <w:rFonts w:ascii="Times New Roman" w:cs="Times New Roman" w:eastAsia="Times New Roman" w:hAnsi="Times New Roman"/>
          <w:sz w:val="21"/>
          <w:szCs w:val="21"/>
          <w:color w:val="575960"/>
        </w:rPr>
        <w:t>you</w:t>
      </w:r>
      <w:r>
        <w:rPr>
          <w:rFonts w:ascii="Times New Roman" w:cs="Times New Roman" w:eastAsia="Times New Roman" w:hAnsi="Times New Roman"/>
          <w:sz w:val="21"/>
          <w:szCs w:val="21"/>
          <w:color w:val="44464D"/>
        </w:rPr>
        <w:t xml:space="preserve"> may have know</w:t>
      </w:r>
      <w:r>
        <w:rPr>
          <w:rFonts w:ascii="Times New Roman" w:cs="Times New Roman" w:eastAsia="Times New Roman" w:hAnsi="Times New Roman"/>
          <w:sz w:val="21"/>
          <w:szCs w:val="21"/>
          <w:color w:val="1F1F26"/>
        </w:rPr>
        <w:t>l</w:t>
      </w:r>
      <w:r>
        <w:rPr>
          <w:rFonts w:ascii="Times New Roman" w:cs="Times New Roman" w:eastAsia="Times New Roman" w:hAnsi="Times New Roman"/>
          <w:sz w:val="21"/>
          <w:szCs w:val="21"/>
          <w:color w:val="44464D"/>
        </w:rPr>
        <w:t xml:space="preserve">edge or information; </w:t>
      </w:r>
      <w:r>
        <w:rPr>
          <w:rFonts w:ascii="Times New Roman" w:cs="Times New Roman" w:eastAsia="Times New Roman" w:hAnsi="Times New Roman"/>
          <w:sz w:val="21"/>
          <w:szCs w:val="21"/>
          <w:color w:val="575960"/>
        </w:rPr>
        <w:t>(ii)</w:t>
      </w:r>
      <w:r>
        <w:rPr>
          <w:rFonts w:ascii="Times New Roman" w:cs="Times New Roman" w:eastAsia="Times New Roman" w:hAnsi="Times New Roman"/>
          <w:sz w:val="21"/>
          <w:szCs w:val="21"/>
          <w:color w:val="44464D"/>
        </w:rPr>
        <w:t xml:space="preserve"> internal </w:t>
      </w:r>
      <w:r>
        <w:rPr>
          <w:rFonts w:ascii="Times New Roman" w:cs="Times New Roman" w:eastAsia="Times New Roman" w:hAnsi="Times New Roman"/>
          <w:sz w:val="21"/>
          <w:szCs w:val="21"/>
          <w:color w:val="575960"/>
        </w:rPr>
        <w:t>or</w:t>
      </w:r>
      <w:r>
        <w:rPr>
          <w:rFonts w:ascii="Times New Roman" w:cs="Times New Roman" w:eastAsia="Times New Roman" w:hAnsi="Times New Roman"/>
          <w:sz w:val="21"/>
          <w:szCs w:val="21"/>
          <w:color w:val="44464D"/>
        </w:rPr>
        <w:t xml:space="preserve"> external investigations related to matters that occurred during your employment and about which </w:t>
      </w:r>
      <w:r>
        <w:rPr>
          <w:rFonts w:ascii="Times New Roman" w:cs="Times New Roman" w:eastAsia="Times New Roman" w:hAnsi="Times New Roman"/>
          <w:sz w:val="21"/>
          <w:szCs w:val="21"/>
          <w:color w:val="31333A"/>
        </w:rPr>
        <w:t>the</w:t>
      </w:r>
      <w:r>
        <w:rPr>
          <w:rFonts w:ascii="Times New Roman" w:cs="Times New Roman" w:eastAsia="Times New Roman" w:hAnsi="Times New Roman"/>
          <w:sz w:val="21"/>
          <w:szCs w:val="21"/>
          <w:color w:val="44464D"/>
        </w:rPr>
        <w:t xml:space="preserve"> Company reasonably believes that you have relevant </w:t>
      </w:r>
      <w:r>
        <w:rPr>
          <w:rFonts w:ascii="Times New Roman" w:cs="Times New Roman" w:eastAsia="Times New Roman" w:hAnsi="Times New Roman"/>
          <w:sz w:val="21"/>
          <w:szCs w:val="21"/>
          <w:color w:val="31333A"/>
        </w:rPr>
        <w:t>information</w:t>
      </w:r>
      <w:r>
        <w:rPr>
          <w:rFonts w:ascii="Times New Roman" w:cs="Times New Roman" w:eastAsia="Times New Roman" w:hAnsi="Times New Roman"/>
          <w:sz w:val="21"/>
          <w:szCs w:val="21"/>
          <w:color w:val="44464D"/>
        </w:rPr>
        <w:t xml:space="preserve"> and </w:t>
      </w:r>
      <w:r>
        <w:rPr>
          <w:rFonts w:ascii="Arial" w:cs="Arial" w:eastAsia="Arial" w:hAnsi="Arial"/>
          <w:sz w:val="21"/>
          <w:szCs w:val="21"/>
          <w:color w:val="575960"/>
        </w:rPr>
        <w:t>(iii)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5</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137" w:name="page138"/>
    <w:bookmarkEnd w:id="137"/>
    <w:p>
      <w:pPr>
        <w:jc w:val="center"/>
        <w:ind w:right="-359"/>
        <w:spacing w:after="0"/>
        <w:rPr>
          <w:sz w:val="20"/>
          <w:szCs w:val="20"/>
          <w:color w:val="auto"/>
        </w:rPr>
      </w:pPr>
      <w:r>
        <w:rPr>
          <w:rFonts w:ascii="Arial" w:cs="Arial" w:eastAsia="Arial" w:hAnsi="Arial"/>
          <w:sz w:val="17"/>
          <w:szCs w:val="17"/>
          <w:color w:val="44464D"/>
        </w:rPr>
        <w:t>5</w:t>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44464D"/>
        </w:rPr>
        <w:t>ACTIVE/120151144.l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161925</wp:posOffset>
            </wp:positionV>
            <wp:extent cx="2871470" cy="5740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28714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0" w:right="20" w:firstLine="6"/>
        <w:spacing w:after="0" w:line="247" w:lineRule="auto"/>
        <w:rPr>
          <w:sz w:val="20"/>
          <w:szCs w:val="20"/>
          <w:color w:val="auto"/>
        </w:rPr>
      </w:pPr>
      <w:r>
        <w:rPr>
          <w:rFonts w:ascii="Times New Roman" w:cs="Times New Roman" w:eastAsia="Times New Roman" w:hAnsi="Times New Roman"/>
          <w:sz w:val="21"/>
          <w:szCs w:val="21"/>
          <w:color w:val="44444B"/>
        </w:rPr>
        <w:t xml:space="preserve">transitioning </w:t>
      </w:r>
      <w:r>
        <w:rPr>
          <w:rFonts w:ascii="Times New Roman" w:cs="Times New Roman" w:eastAsia="Times New Roman" w:hAnsi="Times New Roman"/>
          <w:sz w:val="21"/>
          <w:szCs w:val="21"/>
          <w:color w:val="54565D"/>
        </w:rPr>
        <w:t>your</w:t>
      </w:r>
      <w:r>
        <w:rPr>
          <w:rFonts w:ascii="Times New Roman" w:cs="Times New Roman" w:eastAsia="Times New Roman" w:hAnsi="Times New Roman"/>
          <w:sz w:val="21"/>
          <w:szCs w:val="21"/>
          <w:color w:val="44444B"/>
        </w:rPr>
        <w:t xml:space="preserve"> duties </w:t>
      </w:r>
      <w:r>
        <w:rPr>
          <w:rFonts w:ascii="Times New Roman" w:cs="Times New Roman" w:eastAsia="Times New Roman" w:hAnsi="Times New Roman"/>
          <w:sz w:val="21"/>
          <w:szCs w:val="21"/>
          <w:color w:val="54565D"/>
        </w:rPr>
        <w:t>(together "Cooperation</w:t>
      </w:r>
      <w:r>
        <w:rPr>
          <w:rFonts w:ascii="Times New Roman" w:cs="Times New Roman" w:eastAsia="Times New Roman" w:hAnsi="Times New Roman"/>
          <w:sz w:val="21"/>
          <w:szCs w:val="21"/>
          <w:color w:val="44444B"/>
        </w:rPr>
        <w:t xml:space="preserve"> Services"). You further </w:t>
      </w:r>
      <w:r>
        <w:rPr>
          <w:rFonts w:ascii="Times New Roman" w:cs="Times New Roman" w:eastAsia="Times New Roman" w:hAnsi="Times New Roman"/>
          <w:sz w:val="21"/>
          <w:szCs w:val="21"/>
          <w:color w:val="54565D"/>
        </w:rPr>
        <w:t>agree</w:t>
      </w:r>
      <w:r>
        <w:rPr>
          <w:rFonts w:ascii="Times New Roman" w:cs="Times New Roman" w:eastAsia="Times New Roman" w:hAnsi="Times New Roman"/>
          <w:sz w:val="21"/>
          <w:szCs w:val="21"/>
          <w:color w:val="44444B"/>
        </w:rPr>
        <w:t xml:space="preserve"> to make yourself available to provide </w:t>
      </w:r>
      <w:r>
        <w:rPr>
          <w:rFonts w:ascii="Times New Roman" w:cs="Times New Roman" w:eastAsia="Times New Roman" w:hAnsi="Times New Roman"/>
          <w:sz w:val="21"/>
          <w:szCs w:val="21"/>
          <w:color w:val="54565D"/>
        </w:rPr>
        <w:t xml:space="preserve">Cooperation Services </w:t>
      </w:r>
      <w:r>
        <w:rPr>
          <w:rFonts w:ascii="Times New Roman" w:cs="Times New Roman" w:eastAsia="Times New Roman" w:hAnsi="Times New Roman"/>
          <w:sz w:val="21"/>
          <w:szCs w:val="21"/>
          <w:color w:val="44444B"/>
        </w:rPr>
        <w:t>at mutually convenient times. The Company shall</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2B2D34"/>
        </w:rPr>
        <w:t>not</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utilize this section to</w:t>
      </w:r>
      <w:r>
        <w:rPr>
          <w:rFonts w:ascii="Times New Roman" w:cs="Times New Roman" w:eastAsia="Times New Roman" w:hAnsi="Times New Roman"/>
          <w:sz w:val="21"/>
          <w:szCs w:val="21"/>
          <w:color w:val="54565D"/>
        </w:rPr>
        <w:t xml:space="preserve"> require </w:t>
      </w:r>
      <w:r>
        <w:rPr>
          <w:rFonts w:ascii="Times New Roman" w:cs="Times New Roman" w:eastAsia="Times New Roman" w:hAnsi="Times New Roman"/>
          <w:sz w:val="21"/>
          <w:szCs w:val="21"/>
          <w:color w:val="44444B"/>
        </w:rPr>
        <w:t>you to</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2B2D34"/>
        </w:rPr>
        <w:t>make</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 xml:space="preserve">yourself </w:t>
      </w:r>
      <w:r>
        <w:rPr>
          <w:rFonts w:ascii="Times New Roman" w:cs="Times New Roman" w:eastAsia="Times New Roman" w:hAnsi="Times New Roman"/>
          <w:sz w:val="21"/>
          <w:szCs w:val="21"/>
          <w:color w:val="2B2D34"/>
        </w:rPr>
        <w:t>available to</w:t>
      </w:r>
      <w:r>
        <w:rPr>
          <w:rFonts w:ascii="Times New Roman" w:cs="Times New Roman" w:eastAsia="Times New Roman" w:hAnsi="Times New Roman"/>
          <w:sz w:val="21"/>
          <w:szCs w:val="21"/>
          <w:color w:val="44444B"/>
        </w:rPr>
        <w:t xml:space="preserve"> an extent that would unreasonably </w:t>
      </w:r>
      <w:r>
        <w:rPr>
          <w:rFonts w:ascii="Times New Roman" w:cs="Times New Roman" w:eastAsia="Times New Roman" w:hAnsi="Times New Roman"/>
          <w:sz w:val="21"/>
          <w:szCs w:val="21"/>
          <w:color w:val="2B2D34"/>
        </w:rPr>
        <w:t>interfere</w:t>
      </w:r>
      <w:r>
        <w:rPr>
          <w:rFonts w:ascii="Times New Roman" w:cs="Times New Roman" w:eastAsia="Times New Roman" w:hAnsi="Times New Roman"/>
          <w:sz w:val="21"/>
          <w:szCs w:val="21"/>
          <w:color w:val="44444B"/>
        </w:rPr>
        <w:t xml:space="preserve"> with full-time </w:t>
      </w:r>
      <w:r>
        <w:rPr>
          <w:rFonts w:ascii="Times New Roman" w:cs="Times New Roman" w:eastAsia="Times New Roman" w:hAnsi="Times New Roman"/>
          <w:sz w:val="21"/>
          <w:szCs w:val="21"/>
          <w:color w:val="54565D"/>
        </w:rPr>
        <w:t>em</w:t>
      </w:r>
      <w:r>
        <w:rPr>
          <w:rFonts w:ascii="Times New Roman" w:cs="Times New Roman" w:eastAsia="Times New Roman" w:hAnsi="Times New Roman"/>
          <w:sz w:val="21"/>
          <w:szCs w:val="21"/>
          <w:color w:val="2B2D34"/>
        </w:rPr>
        <w:t>ployment</w:t>
      </w:r>
      <w:r>
        <w:rPr>
          <w:rFonts w:ascii="Times New Roman" w:cs="Times New Roman" w:eastAsia="Times New Roman" w:hAnsi="Times New Roman"/>
          <w:sz w:val="21"/>
          <w:szCs w:val="21"/>
          <w:color w:val="44444B"/>
        </w:rPr>
        <w:t xml:space="preserve"> or other business responsibilities that you may have. The Company </w:t>
      </w:r>
      <w:r>
        <w:rPr>
          <w:rFonts w:ascii="Times New Roman" w:cs="Times New Roman" w:eastAsia="Times New Roman" w:hAnsi="Times New Roman"/>
          <w:sz w:val="21"/>
          <w:szCs w:val="21"/>
          <w:color w:val="54565D"/>
        </w:rPr>
        <w:t>shall</w:t>
      </w:r>
      <w:r>
        <w:rPr>
          <w:rFonts w:ascii="Times New Roman" w:cs="Times New Roman" w:eastAsia="Times New Roman" w:hAnsi="Times New Roman"/>
          <w:sz w:val="21"/>
          <w:szCs w:val="21"/>
          <w:color w:val="44444B"/>
        </w:rPr>
        <w:t xml:space="preserve"> reimburse </w:t>
      </w:r>
      <w:r>
        <w:rPr>
          <w:rFonts w:ascii="Times New Roman" w:cs="Times New Roman" w:eastAsia="Times New Roman" w:hAnsi="Times New Roman"/>
          <w:sz w:val="21"/>
          <w:szCs w:val="21"/>
          <w:color w:val="54565D"/>
        </w:rPr>
        <w:t>you for any</w:t>
      </w:r>
      <w:r>
        <w:rPr>
          <w:rFonts w:ascii="Times New Roman" w:cs="Times New Roman" w:eastAsia="Times New Roman" w:hAnsi="Times New Roman"/>
          <w:sz w:val="21"/>
          <w:szCs w:val="21"/>
          <w:color w:val="44444B"/>
        </w:rPr>
        <w:t xml:space="preserve"> reasonable travel expenses that you </w:t>
      </w:r>
      <w:r>
        <w:rPr>
          <w:rFonts w:ascii="Times New Roman" w:cs="Times New Roman" w:eastAsia="Times New Roman" w:hAnsi="Times New Roman"/>
          <w:sz w:val="21"/>
          <w:szCs w:val="21"/>
          <w:color w:val="54565D"/>
        </w:rPr>
        <w:t>incur</w:t>
      </w:r>
      <w:r>
        <w:rPr>
          <w:rFonts w:ascii="Times New Roman" w:cs="Times New Roman" w:eastAsia="Times New Roman" w:hAnsi="Times New Roman"/>
          <w:sz w:val="21"/>
          <w:szCs w:val="21"/>
          <w:color w:val="44444B"/>
        </w:rPr>
        <w:t xml:space="preserve"> due to your performance of Cooperation Services, after receipt of appropriate documentation consistent with the Company's </w:t>
      </w:r>
      <w:r>
        <w:rPr>
          <w:rFonts w:ascii="Times New Roman" w:cs="Times New Roman" w:eastAsia="Times New Roman" w:hAnsi="Times New Roman"/>
          <w:sz w:val="21"/>
          <w:szCs w:val="21"/>
          <w:color w:val="2B2D34"/>
        </w:rPr>
        <w:t>bu</w:t>
      </w:r>
      <w:r>
        <w:rPr>
          <w:rFonts w:ascii="Times New Roman" w:cs="Times New Roman" w:eastAsia="Times New Roman" w:hAnsi="Times New Roman"/>
          <w:sz w:val="21"/>
          <w:szCs w:val="21"/>
          <w:color w:val="54565D"/>
        </w:rPr>
        <w:t>siness</w:t>
      </w:r>
      <w:r>
        <w:rPr>
          <w:rFonts w:ascii="Times New Roman" w:cs="Times New Roman" w:eastAsia="Times New Roman" w:hAnsi="Times New Roman"/>
          <w:sz w:val="21"/>
          <w:szCs w:val="21"/>
          <w:color w:val="44444B"/>
        </w:rPr>
        <w:t xml:space="preserve"> expense reimbursement policy.</w:t>
      </w:r>
    </w:p>
    <w:p>
      <w:pPr>
        <w:spacing w:after="0" w:line="181" w:lineRule="exact"/>
        <w:rPr>
          <w:sz w:val="20"/>
          <w:szCs w:val="20"/>
          <w:color w:val="auto"/>
        </w:rPr>
      </w:pPr>
    </w:p>
    <w:p>
      <w:pPr>
        <w:ind w:left="880" w:firstLine="755"/>
        <w:spacing w:after="0" w:line="246" w:lineRule="auto"/>
        <w:tabs>
          <w:tab w:leader="none" w:pos="2346" w:val="left"/>
        </w:tabs>
        <w:numPr>
          <w:ilvl w:val="2"/>
          <w:numId w:val="78"/>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2B2D34"/>
        </w:rPr>
        <w:t xml:space="preserve">No </w:t>
      </w:r>
      <w:r>
        <w:rPr>
          <w:rFonts w:ascii="Times New Roman" w:cs="Times New Roman" w:eastAsia="Times New Roman" w:hAnsi="Times New Roman"/>
          <w:sz w:val="21"/>
          <w:szCs w:val="21"/>
          <w:b w:val="1"/>
          <w:bCs w:val="1"/>
          <w:color w:val="1C1C23"/>
        </w:rPr>
        <w:t>Di</w:t>
      </w:r>
      <w:r>
        <w:rPr>
          <w:rFonts w:ascii="Times New Roman" w:cs="Times New Roman" w:eastAsia="Times New Roman" w:hAnsi="Times New Roman"/>
          <w:sz w:val="21"/>
          <w:szCs w:val="21"/>
          <w:b w:val="1"/>
          <w:bCs w:val="1"/>
          <w:color w:val="44444B"/>
        </w:rPr>
        <w:t>s</w:t>
      </w:r>
      <w:r>
        <w:rPr>
          <w:rFonts w:ascii="Times New Roman" w:cs="Times New Roman" w:eastAsia="Times New Roman" w:hAnsi="Times New Roman"/>
          <w:sz w:val="21"/>
          <w:szCs w:val="21"/>
          <w:b w:val="1"/>
          <w:bCs w:val="1"/>
          <w:color w:val="1C1C23"/>
        </w:rPr>
        <w:t>paragement.</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44444B"/>
        </w:rPr>
        <w:t>You agree</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2B2D34"/>
        </w:rPr>
        <w:t>not</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44444B"/>
        </w:rPr>
        <w:t>to make, publish</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2B2D34"/>
        </w:rPr>
        <w:t>or</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44444B"/>
        </w:rPr>
        <w:t>communicate to any person or entity or in any</w:t>
      </w:r>
      <w:r>
        <w:rPr>
          <w:rFonts w:ascii="Times New Roman" w:cs="Times New Roman" w:eastAsia="Times New Roman" w:hAnsi="Times New Roman"/>
          <w:sz w:val="21"/>
          <w:szCs w:val="21"/>
          <w:b w:val="1"/>
          <w:bCs w:val="1"/>
          <w:color w:val="2B2D34"/>
        </w:rPr>
        <w:t xml:space="preserve"> </w:t>
      </w:r>
      <w:r>
        <w:rPr>
          <w:rFonts w:ascii="Times New Roman" w:cs="Times New Roman" w:eastAsia="Times New Roman" w:hAnsi="Times New Roman"/>
          <w:sz w:val="21"/>
          <w:szCs w:val="21"/>
          <w:color w:val="44444B"/>
        </w:rPr>
        <w:t xml:space="preserve">public forum </w:t>
      </w:r>
      <w:r>
        <w:rPr>
          <w:rFonts w:ascii="Times New Roman" w:cs="Times New Roman" w:eastAsia="Times New Roman" w:hAnsi="Times New Roman"/>
          <w:sz w:val="21"/>
          <w:szCs w:val="21"/>
          <w:color w:val="54565D"/>
        </w:rPr>
        <w:t>any</w:t>
      </w:r>
      <w:r>
        <w:rPr>
          <w:rFonts w:ascii="Times New Roman" w:cs="Times New Roman" w:eastAsia="Times New Roman" w:hAnsi="Times New Roman"/>
          <w:sz w:val="21"/>
          <w:szCs w:val="21"/>
          <w:color w:val="44444B"/>
        </w:rPr>
        <w:t xml:space="preserve"> disparaging or defamatory </w:t>
      </w:r>
      <w:r>
        <w:rPr>
          <w:rFonts w:ascii="Times New Roman" w:cs="Times New Roman" w:eastAsia="Times New Roman" w:hAnsi="Times New Roman"/>
          <w:sz w:val="21"/>
          <w:szCs w:val="21"/>
          <w:color w:val="54565D"/>
        </w:rPr>
        <w:t>statements (whether</w:t>
      </w:r>
      <w:r>
        <w:rPr>
          <w:rFonts w:ascii="Times New Roman" w:cs="Times New Roman" w:eastAsia="Times New Roman" w:hAnsi="Times New Roman"/>
          <w:sz w:val="21"/>
          <w:szCs w:val="21"/>
          <w:color w:val="44444B"/>
        </w:rPr>
        <w:t xml:space="preserve"> written, oral</w:t>
      </w:r>
      <w:r>
        <w:rPr>
          <w:rFonts w:ascii="Times New Roman" w:cs="Times New Roman" w:eastAsia="Times New Roman" w:hAnsi="Times New Roman"/>
          <w:sz w:val="21"/>
          <w:szCs w:val="21"/>
          <w:color w:val="6D6E75"/>
        </w:rPr>
        <w:t>,</w:t>
      </w:r>
      <w:r>
        <w:rPr>
          <w:rFonts w:ascii="Times New Roman" w:cs="Times New Roman" w:eastAsia="Times New Roman" w:hAnsi="Times New Roman"/>
          <w:sz w:val="21"/>
          <w:szCs w:val="21"/>
          <w:color w:val="44444B"/>
        </w:rPr>
        <w:t xml:space="preserve"> through </w:t>
      </w:r>
      <w:r>
        <w:rPr>
          <w:rFonts w:ascii="Times New Roman" w:cs="Times New Roman" w:eastAsia="Times New Roman" w:hAnsi="Times New Roman"/>
          <w:sz w:val="21"/>
          <w:szCs w:val="21"/>
          <w:color w:val="54565D"/>
        </w:rPr>
        <w:t>soc</w:t>
      </w:r>
      <w:r>
        <w:rPr>
          <w:rFonts w:ascii="Times New Roman" w:cs="Times New Roman" w:eastAsia="Times New Roman" w:hAnsi="Times New Roman"/>
          <w:sz w:val="21"/>
          <w:szCs w:val="21"/>
          <w:color w:val="2B2D34"/>
        </w:rPr>
        <w:t>i</w:t>
      </w:r>
      <w:r>
        <w:rPr>
          <w:rFonts w:ascii="Times New Roman" w:cs="Times New Roman" w:eastAsia="Times New Roman" w:hAnsi="Times New Roman"/>
          <w:sz w:val="21"/>
          <w:szCs w:val="21"/>
          <w:color w:val="54565D"/>
        </w:rPr>
        <w:t>al</w:t>
      </w:r>
      <w:r>
        <w:rPr>
          <w:rFonts w:ascii="Times New Roman" w:cs="Times New Roman" w:eastAsia="Times New Roman" w:hAnsi="Times New Roman"/>
          <w:sz w:val="21"/>
          <w:szCs w:val="21"/>
          <w:color w:val="44444B"/>
        </w:rPr>
        <w:t xml:space="preserve"> or </w:t>
      </w:r>
      <w:r>
        <w:rPr>
          <w:rFonts w:ascii="Times New Roman" w:cs="Times New Roman" w:eastAsia="Times New Roman" w:hAnsi="Times New Roman"/>
          <w:sz w:val="21"/>
          <w:szCs w:val="21"/>
          <w:color w:val="54565D"/>
        </w:rPr>
        <w:t>electronic</w:t>
      </w:r>
      <w:r>
        <w:rPr>
          <w:rFonts w:ascii="Times New Roman" w:cs="Times New Roman" w:eastAsia="Times New Roman" w:hAnsi="Times New Roman"/>
          <w:sz w:val="21"/>
          <w:szCs w:val="21"/>
          <w:color w:val="44444B"/>
        </w:rPr>
        <w:t xml:space="preserve"> media or otherwise) concerning any </w:t>
      </w:r>
      <w:r>
        <w:rPr>
          <w:rFonts w:ascii="Times New Roman" w:cs="Times New Roman" w:eastAsia="Times New Roman" w:hAnsi="Times New Roman"/>
          <w:sz w:val="21"/>
          <w:szCs w:val="21"/>
          <w:color w:val="54565D"/>
        </w:rPr>
        <w:t>of</w:t>
      </w:r>
      <w:r>
        <w:rPr>
          <w:rFonts w:ascii="Times New Roman" w:cs="Times New Roman" w:eastAsia="Times New Roman" w:hAnsi="Times New Roman"/>
          <w:sz w:val="21"/>
          <w:szCs w:val="21"/>
          <w:color w:val="44444B"/>
        </w:rPr>
        <w:t xml:space="preserve"> the </w:t>
      </w:r>
      <w:r>
        <w:rPr>
          <w:rFonts w:ascii="Times New Roman" w:cs="Times New Roman" w:eastAsia="Times New Roman" w:hAnsi="Times New Roman"/>
          <w:sz w:val="21"/>
          <w:szCs w:val="21"/>
          <w:color w:val="2B2D34"/>
        </w:rPr>
        <w:t>Relea</w:t>
      </w:r>
      <w:r>
        <w:rPr>
          <w:rFonts w:ascii="Times New Roman" w:cs="Times New Roman" w:eastAsia="Times New Roman" w:hAnsi="Times New Roman"/>
          <w:sz w:val="21"/>
          <w:szCs w:val="21"/>
          <w:color w:val="54565D"/>
        </w:rPr>
        <w:t>sees,</w:t>
      </w:r>
      <w:r>
        <w:rPr>
          <w:rFonts w:ascii="Times New Roman" w:cs="Times New Roman" w:eastAsia="Times New Roman" w:hAnsi="Times New Roman"/>
          <w:sz w:val="21"/>
          <w:szCs w:val="21"/>
          <w:color w:val="44444B"/>
        </w:rPr>
        <w:t xml:space="preserve"> any of </w:t>
      </w:r>
      <w:r>
        <w:rPr>
          <w:rFonts w:ascii="Times New Roman" w:cs="Times New Roman" w:eastAsia="Times New Roman" w:hAnsi="Times New Roman"/>
          <w:sz w:val="21"/>
          <w:szCs w:val="21"/>
          <w:color w:val="54565D"/>
        </w:rPr>
        <w:t>their</w:t>
      </w:r>
      <w:r>
        <w:rPr>
          <w:rFonts w:ascii="Times New Roman" w:cs="Times New Roman" w:eastAsia="Times New Roman" w:hAnsi="Times New Roman"/>
          <w:sz w:val="21"/>
          <w:szCs w:val="21"/>
          <w:color w:val="44444B"/>
        </w:rPr>
        <w:t xml:space="preserve"> respective products or services or any of their </w:t>
      </w:r>
      <w:r>
        <w:rPr>
          <w:rFonts w:ascii="Times New Roman" w:cs="Times New Roman" w:eastAsia="Times New Roman" w:hAnsi="Times New Roman"/>
          <w:sz w:val="21"/>
          <w:szCs w:val="21"/>
          <w:color w:val="54565D"/>
        </w:rPr>
        <w:t>respective</w:t>
      </w:r>
      <w:r>
        <w:rPr>
          <w:rFonts w:ascii="Times New Roman" w:cs="Times New Roman" w:eastAsia="Times New Roman" w:hAnsi="Times New Roman"/>
          <w:sz w:val="21"/>
          <w:szCs w:val="21"/>
          <w:color w:val="44444B"/>
        </w:rPr>
        <w:t xml:space="preserve"> current or former officers, directors, shareholders, employees or agents. </w:t>
      </w:r>
      <w:r>
        <w:rPr>
          <w:rFonts w:ascii="Times New Roman" w:cs="Times New Roman" w:eastAsia="Times New Roman" w:hAnsi="Times New Roman"/>
          <w:sz w:val="21"/>
          <w:szCs w:val="21"/>
          <w:color w:val="2B2D34"/>
        </w:rPr>
        <w:t>For its</w:t>
      </w:r>
      <w:r>
        <w:rPr>
          <w:rFonts w:ascii="Times New Roman" w:cs="Times New Roman" w:eastAsia="Times New Roman" w:hAnsi="Times New Roman"/>
          <w:sz w:val="21"/>
          <w:szCs w:val="21"/>
          <w:color w:val="44444B"/>
        </w:rPr>
        <w:t xml:space="preserve"> part, the Company agrees </w:t>
      </w:r>
      <w:r>
        <w:rPr>
          <w:rFonts w:ascii="Times New Roman" w:cs="Times New Roman" w:eastAsia="Times New Roman" w:hAnsi="Times New Roman"/>
          <w:sz w:val="21"/>
          <w:szCs w:val="21"/>
          <w:color w:val="54565D"/>
        </w:rPr>
        <w:t>to</w:t>
      </w:r>
      <w:r>
        <w:rPr>
          <w:rFonts w:ascii="Times New Roman" w:cs="Times New Roman" w:eastAsia="Times New Roman" w:hAnsi="Times New Roman"/>
          <w:sz w:val="21"/>
          <w:szCs w:val="21"/>
          <w:color w:val="44444B"/>
        </w:rPr>
        <w:t xml:space="preserve"> instruct </w:t>
      </w:r>
      <w:r>
        <w:rPr>
          <w:rFonts w:ascii="Times New Roman" w:cs="Times New Roman" w:eastAsia="Times New Roman" w:hAnsi="Times New Roman"/>
          <w:sz w:val="21"/>
          <w:szCs w:val="21"/>
          <w:color w:val="54565D"/>
        </w:rPr>
        <w:t xml:space="preserve">current </w:t>
      </w:r>
      <w:r>
        <w:rPr>
          <w:rFonts w:ascii="Times New Roman" w:cs="Times New Roman" w:eastAsia="Times New Roman" w:hAnsi="Times New Roman"/>
          <w:sz w:val="21"/>
          <w:szCs w:val="21"/>
          <w:color w:val="44444B"/>
        </w:rPr>
        <w:t>members of the Board and current</w:t>
      </w:r>
      <w:r>
        <w:rPr>
          <w:rFonts w:ascii="Times New Roman" w:cs="Times New Roman" w:eastAsia="Times New Roman" w:hAnsi="Times New Roman"/>
          <w:sz w:val="21"/>
          <w:szCs w:val="21"/>
          <w:color w:val="54565D"/>
        </w:rPr>
        <w:t xml:space="preserve"> C-</w:t>
      </w:r>
    </w:p>
    <w:p>
      <w:pPr>
        <w:spacing w:after="0" w:line="3" w:lineRule="exact"/>
        <w:rPr>
          <w:rFonts w:ascii="Times New Roman" w:cs="Times New Roman" w:eastAsia="Times New Roman" w:hAnsi="Times New Roman"/>
          <w:sz w:val="21"/>
          <w:szCs w:val="21"/>
          <w:color w:val="505259"/>
        </w:rPr>
      </w:pPr>
    </w:p>
    <w:p>
      <w:pPr>
        <w:ind w:left="900"/>
        <w:spacing w:after="0"/>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4444B"/>
        </w:rPr>
        <w:t xml:space="preserve">level executives not </w:t>
      </w:r>
      <w:r>
        <w:rPr>
          <w:rFonts w:ascii="Times New Roman" w:cs="Times New Roman" w:eastAsia="Times New Roman" w:hAnsi="Times New Roman"/>
          <w:sz w:val="21"/>
          <w:szCs w:val="21"/>
          <w:color w:val="54565D"/>
        </w:rPr>
        <w:t>to make, publish</w:t>
      </w:r>
      <w:r>
        <w:rPr>
          <w:rFonts w:ascii="Times New Roman" w:cs="Times New Roman" w:eastAsia="Times New Roman" w:hAnsi="Times New Roman"/>
          <w:sz w:val="21"/>
          <w:szCs w:val="21"/>
          <w:color w:val="44444B"/>
        </w:rPr>
        <w:t xml:space="preserve"> or communicate to any person or entity or in </w:t>
      </w:r>
      <w:r>
        <w:rPr>
          <w:rFonts w:ascii="Times New Roman" w:cs="Times New Roman" w:eastAsia="Times New Roman" w:hAnsi="Times New Roman"/>
          <w:sz w:val="21"/>
          <w:szCs w:val="21"/>
          <w:color w:val="54565D"/>
        </w:rPr>
        <w:t>any</w:t>
      </w:r>
    </w:p>
    <w:p>
      <w:pPr>
        <w:spacing w:after="0" w:line="8" w:lineRule="exact"/>
        <w:rPr>
          <w:rFonts w:ascii="Times New Roman" w:cs="Times New Roman" w:eastAsia="Times New Roman" w:hAnsi="Times New Roman"/>
          <w:sz w:val="21"/>
          <w:szCs w:val="21"/>
          <w:color w:val="505259"/>
        </w:rPr>
      </w:pPr>
    </w:p>
    <w:p>
      <w:pPr>
        <w:ind w:left="900" w:right="280" w:firstLine="12"/>
        <w:spacing w:after="0" w:line="252" w:lineRule="auto"/>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44444B"/>
        </w:rPr>
        <w:t xml:space="preserve">public forum any disparaging or defamatory </w:t>
      </w:r>
      <w:r>
        <w:rPr>
          <w:rFonts w:ascii="Times New Roman" w:cs="Times New Roman" w:eastAsia="Times New Roman" w:hAnsi="Times New Roman"/>
          <w:sz w:val="21"/>
          <w:szCs w:val="21"/>
          <w:color w:val="54565D"/>
        </w:rPr>
        <w:t>stat</w:t>
      </w:r>
      <w:r>
        <w:rPr>
          <w:rFonts w:ascii="Times New Roman" w:cs="Times New Roman" w:eastAsia="Times New Roman" w:hAnsi="Times New Roman"/>
          <w:sz w:val="21"/>
          <w:szCs w:val="21"/>
          <w:color w:val="2B2D34"/>
        </w:rPr>
        <w:t>eme</w:t>
      </w:r>
      <w:r>
        <w:rPr>
          <w:rFonts w:ascii="Times New Roman" w:cs="Times New Roman" w:eastAsia="Times New Roman" w:hAnsi="Times New Roman"/>
          <w:sz w:val="21"/>
          <w:szCs w:val="21"/>
          <w:color w:val="54565D"/>
        </w:rPr>
        <w:t>nts</w:t>
      </w:r>
      <w:r>
        <w:rPr>
          <w:rFonts w:ascii="Times New Roman" w:cs="Times New Roman" w:eastAsia="Times New Roman" w:hAnsi="Times New Roman"/>
          <w:sz w:val="21"/>
          <w:szCs w:val="21"/>
          <w:color w:val="44444B"/>
        </w:rPr>
        <w:t xml:space="preserve"> (whether written, oral, through </w:t>
      </w:r>
      <w:r>
        <w:rPr>
          <w:rFonts w:ascii="Times New Roman" w:cs="Times New Roman" w:eastAsia="Times New Roman" w:hAnsi="Times New Roman"/>
          <w:sz w:val="21"/>
          <w:szCs w:val="21"/>
          <w:color w:val="54565D"/>
        </w:rPr>
        <w:t>social</w:t>
      </w:r>
      <w:r>
        <w:rPr>
          <w:rFonts w:ascii="Times New Roman" w:cs="Times New Roman" w:eastAsia="Times New Roman" w:hAnsi="Times New Roman"/>
          <w:sz w:val="21"/>
          <w:szCs w:val="21"/>
          <w:color w:val="44444B"/>
        </w:rPr>
        <w:t xml:space="preserve"> or electronic media or otherwise) concerning </w:t>
      </w:r>
      <w:r>
        <w:rPr>
          <w:rFonts w:ascii="Times New Roman" w:cs="Times New Roman" w:eastAsia="Times New Roman" w:hAnsi="Times New Roman"/>
          <w:sz w:val="21"/>
          <w:szCs w:val="21"/>
          <w:color w:val="54565D"/>
        </w:rPr>
        <w:t>you</w:t>
      </w:r>
      <w:r>
        <w:rPr>
          <w:rFonts w:ascii="Times New Roman" w:cs="Times New Roman" w:eastAsia="Times New Roman" w:hAnsi="Times New Roman"/>
          <w:sz w:val="21"/>
          <w:szCs w:val="21"/>
          <w:color w:val="44444B"/>
        </w:rPr>
        <w:t xml:space="preserve"> or your work with the Company.</w:t>
      </w:r>
    </w:p>
    <w:p>
      <w:pPr>
        <w:spacing w:after="0" w:line="215" w:lineRule="exact"/>
        <w:rPr>
          <w:rFonts w:ascii="Times New Roman" w:cs="Times New Roman" w:eastAsia="Times New Roman" w:hAnsi="Times New Roman"/>
          <w:sz w:val="21"/>
          <w:szCs w:val="21"/>
          <w:color w:val="505259"/>
        </w:rPr>
      </w:pPr>
    </w:p>
    <w:p>
      <w:pPr>
        <w:ind w:left="880" w:right="60" w:hanging="713"/>
        <w:spacing w:after="0" w:line="243" w:lineRule="auto"/>
        <w:tabs>
          <w:tab w:leader="none" w:pos="880" w:val="left"/>
        </w:tabs>
        <w:numPr>
          <w:ilvl w:val="0"/>
          <w:numId w:val="79"/>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44444B"/>
        </w:rPr>
        <w:t>Co</w:t>
      </w:r>
      <w:r>
        <w:rPr>
          <w:rFonts w:ascii="Times New Roman" w:cs="Times New Roman" w:eastAsia="Times New Roman" w:hAnsi="Times New Roman"/>
          <w:sz w:val="21"/>
          <w:szCs w:val="21"/>
          <w:b w:val="1"/>
          <w:bCs w:val="1"/>
          <w:color w:val="1C1C23"/>
        </w:rPr>
        <w:t>mmunications R</w:t>
      </w:r>
      <w:r>
        <w:rPr>
          <w:rFonts w:ascii="Times New Roman" w:cs="Times New Roman" w:eastAsia="Times New Roman" w:hAnsi="Times New Roman"/>
          <w:sz w:val="21"/>
          <w:szCs w:val="21"/>
          <w:b w:val="1"/>
          <w:bCs w:val="1"/>
          <w:color w:val="44444B"/>
        </w:rPr>
        <w:t>ega</w:t>
      </w:r>
      <w:r>
        <w:rPr>
          <w:rFonts w:ascii="Times New Roman" w:cs="Times New Roman" w:eastAsia="Times New Roman" w:hAnsi="Times New Roman"/>
          <w:sz w:val="21"/>
          <w:szCs w:val="21"/>
          <w:b w:val="1"/>
          <w:bCs w:val="1"/>
          <w:color w:val="1C1C23"/>
        </w:rPr>
        <w:t>rding</w:t>
      </w:r>
      <w:r>
        <w:rPr>
          <w:rFonts w:ascii="Times New Roman" w:cs="Times New Roman" w:eastAsia="Times New Roman" w:hAnsi="Times New Roman"/>
          <w:sz w:val="21"/>
          <w:szCs w:val="21"/>
          <w:b w:val="1"/>
          <w:bCs w:val="1"/>
          <w:color w:val="44444B"/>
        </w:rPr>
        <w:t xml:space="preserve"> </w:t>
      </w:r>
      <w:r>
        <w:rPr>
          <w:rFonts w:ascii="Times New Roman" w:cs="Times New Roman" w:eastAsia="Times New Roman" w:hAnsi="Times New Roman"/>
          <w:sz w:val="21"/>
          <w:szCs w:val="21"/>
          <w:b w:val="1"/>
          <w:bCs w:val="1"/>
          <w:color w:val="2B2D34"/>
        </w:rPr>
        <w:t>Your</w:t>
      </w:r>
      <w:r>
        <w:rPr>
          <w:rFonts w:ascii="Times New Roman" w:cs="Times New Roman" w:eastAsia="Times New Roman" w:hAnsi="Times New Roman"/>
          <w:sz w:val="21"/>
          <w:szCs w:val="21"/>
          <w:b w:val="1"/>
          <w:bCs w:val="1"/>
          <w:color w:val="44444B"/>
        </w:rPr>
        <w:t xml:space="preserve"> </w:t>
      </w:r>
      <w:r>
        <w:rPr>
          <w:rFonts w:ascii="Times New Roman" w:cs="Times New Roman" w:eastAsia="Times New Roman" w:hAnsi="Times New Roman"/>
          <w:sz w:val="21"/>
          <w:szCs w:val="21"/>
          <w:b w:val="1"/>
          <w:bCs w:val="1"/>
          <w:color w:val="1C1C23"/>
        </w:rPr>
        <w:t>Depar</w:t>
      </w:r>
      <w:r>
        <w:rPr>
          <w:rFonts w:ascii="Times New Roman" w:cs="Times New Roman" w:eastAsia="Times New Roman" w:hAnsi="Times New Roman"/>
          <w:sz w:val="21"/>
          <w:szCs w:val="21"/>
          <w:b w:val="1"/>
          <w:bCs w:val="1"/>
          <w:color w:val="44444B"/>
        </w:rPr>
        <w:t>t</w:t>
      </w:r>
      <w:r>
        <w:rPr>
          <w:rFonts w:ascii="Times New Roman" w:cs="Times New Roman" w:eastAsia="Times New Roman" w:hAnsi="Times New Roman"/>
          <w:sz w:val="21"/>
          <w:szCs w:val="21"/>
          <w:b w:val="1"/>
          <w:bCs w:val="1"/>
          <w:color w:val="1C1C23"/>
        </w:rPr>
        <w:t>ure.</w:t>
      </w:r>
      <w:r>
        <w:rPr>
          <w:rFonts w:ascii="Times New Roman" w:cs="Times New Roman" w:eastAsia="Times New Roman" w:hAnsi="Times New Roman"/>
          <w:sz w:val="21"/>
          <w:szCs w:val="21"/>
          <w:b w:val="1"/>
          <w:bCs w:val="1"/>
          <w:color w:val="44444B"/>
        </w:rPr>
        <w:t xml:space="preserve"> </w:t>
      </w:r>
      <w:r>
        <w:rPr>
          <w:rFonts w:ascii="Times New Roman" w:cs="Times New Roman" w:eastAsia="Times New Roman" w:hAnsi="Times New Roman"/>
          <w:sz w:val="21"/>
          <w:szCs w:val="21"/>
          <w:color w:val="44444B"/>
        </w:rPr>
        <w:t>Promptly following the date of the public announcement regarding</w:t>
      </w:r>
      <w:r>
        <w:rPr>
          <w:rFonts w:ascii="Times New Roman" w:cs="Times New Roman" w:eastAsia="Times New Roman" w:hAnsi="Times New Roman"/>
          <w:sz w:val="21"/>
          <w:szCs w:val="21"/>
          <w:b w:val="1"/>
          <w:bCs w:val="1"/>
          <w:color w:val="44444B"/>
        </w:rPr>
        <w:t xml:space="preserve"> </w:t>
      </w:r>
      <w:r>
        <w:rPr>
          <w:rFonts w:ascii="Times New Roman" w:cs="Times New Roman" w:eastAsia="Times New Roman" w:hAnsi="Times New Roman"/>
          <w:sz w:val="21"/>
          <w:szCs w:val="21"/>
          <w:color w:val="54565D"/>
        </w:rPr>
        <w:t xml:space="preserve">your </w:t>
      </w:r>
      <w:r>
        <w:rPr>
          <w:rFonts w:ascii="Times New Roman" w:cs="Times New Roman" w:eastAsia="Times New Roman" w:hAnsi="Times New Roman"/>
          <w:sz w:val="21"/>
          <w:szCs w:val="21"/>
          <w:color w:val="2B2D34"/>
        </w:rPr>
        <w:t>tran</w:t>
      </w:r>
      <w:r>
        <w:rPr>
          <w:rFonts w:ascii="Times New Roman" w:cs="Times New Roman" w:eastAsia="Times New Roman" w:hAnsi="Times New Roman"/>
          <w:sz w:val="21"/>
          <w:szCs w:val="21"/>
          <w:color w:val="54565D"/>
        </w:rPr>
        <w:t xml:space="preserve">sition </w:t>
      </w:r>
      <w:r>
        <w:rPr>
          <w:rFonts w:ascii="Times New Roman" w:cs="Times New Roman" w:eastAsia="Times New Roman" w:hAnsi="Times New Roman"/>
          <w:sz w:val="21"/>
          <w:szCs w:val="21"/>
          <w:color w:val="2B2D34"/>
        </w:rPr>
        <w:t>and</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departure from the Company, the Company</w:t>
      </w:r>
      <w:r>
        <w:rPr>
          <w:rFonts w:ascii="Times New Roman" w:cs="Times New Roman" w:eastAsia="Times New Roman" w:hAnsi="Times New Roman"/>
          <w:sz w:val="21"/>
          <w:szCs w:val="21"/>
          <w:color w:val="54565D"/>
        </w:rPr>
        <w:t xml:space="preserve"> wi</w:t>
      </w:r>
      <w:r>
        <w:rPr>
          <w:rFonts w:ascii="Times New Roman" w:cs="Times New Roman" w:eastAsia="Times New Roman" w:hAnsi="Times New Roman"/>
          <w:sz w:val="21"/>
          <w:szCs w:val="21"/>
          <w:color w:val="2B2D34"/>
        </w:rPr>
        <w:t>ll</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issue</w:t>
      </w:r>
      <w:r>
        <w:rPr>
          <w:rFonts w:ascii="Times New Roman" w:cs="Times New Roman" w:eastAsia="Times New Roman" w:hAnsi="Times New Roman"/>
          <w:sz w:val="21"/>
          <w:szCs w:val="21"/>
          <w:color w:val="54565D"/>
        </w:rPr>
        <w:t xml:space="preserve"> a formal written </w:t>
      </w:r>
      <w:r>
        <w:rPr>
          <w:rFonts w:ascii="Times New Roman" w:cs="Times New Roman" w:eastAsia="Times New Roman" w:hAnsi="Times New Roman"/>
          <w:sz w:val="21"/>
          <w:szCs w:val="21"/>
          <w:color w:val="44444B"/>
        </w:rPr>
        <w:t>internal announcement, with</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 xml:space="preserve">the content of such internal announcement to be mutually agreed upon by you and the CEO </w:t>
      </w:r>
      <w:r>
        <w:rPr>
          <w:rFonts w:ascii="Times New Roman" w:cs="Times New Roman" w:eastAsia="Times New Roman" w:hAnsi="Times New Roman"/>
          <w:sz w:val="21"/>
          <w:szCs w:val="21"/>
          <w:color w:val="54565D"/>
        </w:rPr>
        <w:t>(the "Company</w:t>
      </w:r>
      <w:r>
        <w:rPr>
          <w:rFonts w:ascii="Times New Roman" w:cs="Times New Roman" w:eastAsia="Times New Roman" w:hAnsi="Times New Roman"/>
          <w:sz w:val="21"/>
          <w:szCs w:val="21"/>
          <w:color w:val="44444B"/>
        </w:rPr>
        <w:t xml:space="preserve"> Announcement"). Until </w:t>
      </w:r>
      <w:r>
        <w:rPr>
          <w:rFonts w:ascii="Times New Roman" w:cs="Times New Roman" w:eastAsia="Times New Roman" w:hAnsi="Times New Roman"/>
          <w:sz w:val="21"/>
          <w:szCs w:val="21"/>
          <w:color w:val="54565D"/>
        </w:rPr>
        <w:t>such</w:t>
      </w:r>
      <w:r>
        <w:rPr>
          <w:rFonts w:ascii="Times New Roman" w:cs="Times New Roman" w:eastAsia="Times New Roman" w:hAnsi="Times New Roman"/>
          <w:sz w:val="21"/>
          <w:szCs w:val="21"/>
          <w:color w:val="44444B"/>
        </w:rPr>
        <w:t xml:space="preserve"> time </w:t>
      </w:r>
      <w:r>
        <w:rPr>
          <w:rFonts w:ascii="Times New Roman" w:cs="Times New Roman" w:eastAsia="Times New Roman" w:hAnsi="Times New Roman"/>
          <w:sz w:val="21"/>
          <w:szCs w:val="21"/>
          <w:color w:val="54565D"/>
        </w:rPr>
        <w:t>as</w:t>
      </w:r>
      <w:r>
        <w:rPr>
          <w:rFonts w:ascii="Times New Roman" w:cs="Times New Roman" w:eastAsia="Times New Roman" w:hAnsi="Times New Roman"/>
          <w:sz w:val="21"/>
          <w:szCs w:val="21"/>
          <w:color w:val="44444B"/>
        </w:rPr>
        <w:t xml:space="preserve"> the </w:t>
      </w:r>
      <w:r>
        <w:rPr>
          <w:rFonts w:ascii="Times New Roman" w:cs="Times New Roman" w:eastAsia="Times New Roman" w:hAnsi="Times New Roman"/>
          <w:sz w:val="21"/>
          <w:szCs w:val="21"/>
          <w:color w:val="54565D"/>
        </w:rPr>
        <w:t>Company</w:t>
      </w:r>
      <w:r>
        <w:rPr>
          <w:rFonts w:ascii="Times New Roman" w:cs="Times New Roman" w:eastAsia="Times New Roman" w:hAnsi="Times New Roman"/>
          <w:sz w:val="21"/>
          <w:szCs w:val="21"/>
          <w:color w:val="44444B"/>
        </w:rPr>
        <w:t xml:space="preserve"> Announcement is made, you agree that you will </w:t>
      </w:r>
      <w:r>
        <w:rPr>
          <w:rFonts w:ascii="Times New Roman" w:cs="Times New Roman" w:eastAsia="Times New Roman" w:hAnsi="Times New Roman"/>
          <w:sz w:val="21"/>
          <w:szCs w:val="21"/>
          <w:color w:val="2B2D34"/>
        </w:rPr>
        <w:t>not</w:t>
      </w:r>
      <w:r>
        <w:rPr>
          <w:rFonts w:ascii="Times New Roman" w:cs="Times New Roman" w:eastAsia="Times New Roman" w:hAnsi="Times New Roman"/>
          <w:sz w:val="21"/>
          <w:szCs w:val="21"/>
          <w:color w:val="44444B"/>
        </w:rPr>
        <w:t xml:space="preserve"> (without the prior written </w:t>
      </w:r>
      <w:r>
        <w:rPr>
          <w:rFonts w:ascii="Times New Roman" w:cs="Times New Roman" w:eastAsia="Times New Roman" w:hAnsi="Times New Roman"/>
          <w:sz w:val="21"/>
          <w:szCs w:val="21"/>
          <w:color w:val="54565D"/>
        </w:rPr>
        <w:t>approva</w:t>
      </w:r>
      <w:r>
        <w:rPr>
          <w:rFonts w:ascii="Times New Roman" w:cs="Times New Roman" w:eastAsia="Times New Roman" w:hAnsi="Times New Roman"/>
          <w:sz w:val="21"/>
          <w:szCs w:val="21"/>
          <w:color w:val="1C1C23"/>
        </w:rPr>
        <w:t>l</w:t>
      </w:r>
      <w:r>
        <w:rPr>
          <w:rFonts w:ascii="Times New Roman" w:cs="Times New Roman" w:eastAsia="Times New Roman" w:hAnsi="Times New Roman"/>
          <w:sz w:val="21"/>
          <w:szCs w:val="21"/>
          <w:color w:val="44444B"/>
        </w:rPr>
        <w:t xml:space="preserve"> of </w:t>
      </w:r>
      <w:r>
        <w:rPr>
          <w:rFonts w:ascii="Times New Roman" w:cs="Times New Roman" w:eastAsia="Times New Roman" w:hAnsi="Times New Roman"/>
          <w:sz w:val="21"/>
          <w:szCs w:val="21"/>
          <w:color w:val="2B2D34"/>
        </w:rPr>
        <w:t>the</w:t>
      </w:r>
      <w:r>
        <w:rPr>
          <w:rFonts w:ascii="Times New Roman" w:cs="Times New Roman" w:eastAsia="Times New Roman" w:hAnsi="Times New Roman"/>
          <w:sz w:val="21"/>
          <w:szCs w:val="21"/>
          <w:color w:val="44444B"/>
        </w:rPr>
        <w:t xml:space="preserve"> CEO) communicate about </w:t>
      </w:r>
      <w:r>
        <w:rPr>
          <w:rFonts w:ascii="Times New Roman" w:cs="Times New Roman" w:eastAsia="Times New Roman" w:hAnsi="Times New Roman"/>
          <w:sz w:val="21"/>
          <w:szCs w:val="21"/>
          <w:color w:val="54565D"/>
        </w:rPr>
        <w:t>your</w:t>
      </w:r>
      <w:r>
        <w:rPr>
          <w:rFonts w:ascii="Times New Roman" w:cs="Times New Roman" w:eastAsia="Times New Roman" w:hAnsi="Times New Roman"/>
          <w:sz w:val="21"/>
          <w:szCs w:val="21"/>
          <w:color w:val="44444B"/>
        </w:rPr>
        <w:t xml:space="preserve"> transition and departure with </w:t>
      </w:r>
      <w:r>
        <w:rPr>
          <w:rFonts w:ascii="Times New Roman" w:cs="Times New Roman" w:eastAsia="Times New Roman" w:hAnsi="Times New Roman"/>
          <w:sz w:val="21"/>
          <w:szCs w:val="21"/>
          <w:color w:val="54565D"/>
        </w:rPr>
        <w:t>anyone</w:t>
      </w:r>
      <w:r>
        <w:rPr>
          <w:rFonts w:ascii="Times New Roman" w:cs="Times New Roman" w:eastAsia="Times New Roman" w:hAnsi="Times New Roman"/>
          <w:sz w:val="21"/>
          <w:szCs w:val="21"/>
          <w:color w:val="44444B"/>
        </w:rPr>
        <w:t xml:space="preserve"> until after </w:t>
      </w:r>
      <w:r>
        <w:rPr>
          <w:rFonts w:ascii="Times New Roman" w:cs="Times New Roman" w:eastAsia="Times New Roman" w:hAnsi="Times New Roman"/>
          <w:sz w:val="21"/>
          <w:szCs w:val="21"/>
          <w:color w:val="54565D"/>
        </w:rPr>
        <w:t>the</w:t>
      </w:r>
      <w:r>
        <w:rPr>
          <w:rFonts w:ascii="Times New Roman" w:cs="Times New Roman" w:eastAsia="Times New Roman" w:hAnsi="Times New Roman"/>
          <w:sz w:val="21"/>
          <w:szCs w:val="21"/>
          <w:color w:val="44444B"/>
        </w:rPr>
        <w:t xml:space="preserve"> Company Announcement has been made; provided </w:t>
      </w:r>
      <w:r>
        <w:rPr>
          <w:rFonts w:ascii="Times New Roman" w:cs="Times New Roman" w:eastAsia="Times New Roman" w:hAnsi="Times New Roman"/>
          <w:sz w:val="21"/>
          <w:szCs w:val="21"/>
          <w:color w:val="54565D"/>
        </w:rPr>
        <w:t>that you may communicate with your</w:t>
      </w:r>
      <w:r>
        <w:rPr>
          <w:rFonts w:ascii="Times New Roman" w:cs="Times New Roman" w:eastAsia="Times New Roman" w:hAnsi="Times New Roman"/>
          <w:sz w:val="21"/>
          <w:szCs w:val="21"/>
          <w:color w:val="44444B"/>
        </w:rPr>
        <w:t xml:space="preserve"> tax </w:t>
      </w:r>
      <w:r>
        <w:rPr>
          <w:rFonts w:ascii="Times New Roman" w:cs="Times New Roman" w:eastAsia="Times New Roman" w:hAnsi="Times New Roman"/>
          <w:sz w:val="21"/>
          <w:szCs w:val="21"/>
          <w:color w:val="54565D"/>
        </w:rPr>
        <w:t>advisor(s)</w:t>
      </w:r>
      <w:r>
        <w:rPr>
          <w:rFonts w:ascii="Times New Roman" w:cs="Times New Roman" w:eastAsia="Times New Roman" w:hAnsi="Times New Roman"/>
          <w:sz w:val="21"/>
          <w:szCs w:val="21"/>
          <w:color w:val="6D6E75"/>
        </w:rPr>
        <w:t>,</w:t>
      </w:r>
      <w:r>
        <w:rPr>
          <w:rFonts w:ascii="Times New Roman" w:cs="Times New Roman" w:eastAsia="Times New Roman" w:hAnsi="Times New Roman"/>
          <w:sz w:val="21"/>
          <w:szCs w:val="21"/>
          <w:color w:val="44444B"/>
        </w:rPr>
        <w:t xml:space="preserve"> </w:t>
      </w:r>
      <w:r>
        <w:rPr>
          <w:rFonts w:ascii="Times New Roman" w:cs="Times New Roman" w:eastAsia="Times New Roman" w:hAnsi="Times New Roman"/>
          <w:sz w:val="21"/>
          <w:szCs w:val="21"/>
          <w:color w:val="54565D"/>
        </w:rPr>
        <w:t>attorney(s),</w:t>
      </w:r>
      <w:r>
        <w:rPr>
          <w:rFonts w:ascii="Times New Roman" w:cs="Times New Roman" w:eastAsia="Times New Roman" w:hAnsi="Times New Roman"/>
          <w:sz w:val="21"/>
          <w:szCs w:val="21"/>
          <w:color w:val="44444B"/>
        </w:rPr>
        <w:t xml:space="preserve"> and spouse </w:t>
      </w:r>
      <w:r>
        <w:rPr>
          <w:rFonts w:ascii="Times New Roman" w:cs="Times New Roman" w:eastAsia="Times New Roman" w:hAnsi="Times New Roman"/>
          <w:sz w:val="21"/>
          <w:szCs w:val="21"/>
          <w:color w:val="54565D"/>
        </w:rPr>
        <w:t>abou</w:t>
      </w:r>
      <w:r>
        <w:rPr>
          <w:rFonts w:ascii="Times New Roman" w:cs="Times New Roman" w:eastAsia="Times New Roman" w:hAnsi="Times New Roman"/>
          <w:sz w:val="21"/>
          <w:szCs w:val="21"/>
          <w:color w:val="2B2D34"/>
        </w:rPr>
        <w:t>t</w:t>
      </w:r>
      <w:r>
        <w:rPr>
          <w:rFonts w:ascii="Times New Roman" w:cs="Times New Roman" w:eastAsia="Times New Roman" w:hAnsi="Times New Roman"/>
          <w:sz w:val="21"/>
          <w:szCs w:val="21"/>
          <w:color w:val="44444B"/>
        </w:rPr>
        <w:t xml:space="preserve"> your transition and departure before the Company Announcement; provided further that </w:t>
      </w:r>
      <w:r>
        <w:rPr>
          <w:rFonts w:ascii="Times New Roman" w:cs="Times New Roman" w:eastAsia="Times New Roman" w:hAnsi="Times New Roman"/>
          <w:sz w:val="21"/>
          <w:szCs w:val="21"/>
          <w:color w:val="54565D"/>
        </w:rPr>
        <w:t>you</w:t>
      </w:r>
      <w:r>
        <w:rPr>
          <w:rFonts w:ascii="Times New Roman" w:cs="Times New Roman" w:eastAsia="Times New Roman" w:hAnsi="Times New Roman"/>
          <w:sz w:val="21"/>
          <w:szCs w:val="21"/>
          <w:color w:val="44444B"/>
        </w:rPr>
        <w:t xml:space="preserve"> first advise </w:t>
      </w:r>
      <w:r>
        <w:rPr>
          <w:rFonts w:ascii="Times New Roman" w:cs="Times New Roman" w:eastAsia="Times New Roman" w:hAnsi="Times New Roman"/>
          <w:sz w:val="21"/>
          <w:szCs w:val="21"/>
          <w:color w:val="54565D"/>
        </w:rPr>
        <w:t>such</w:t>
      </w:r>
      <w:r>
        <w:rPr>
          <w:rFonts w:ascii="Times New Roman" w:cs="Times New Roman" w:eastAsia="Times New Roman" w:hAnsi="Times New Roman"/>
          <w:sz w:val="21"/>
          <w:szCs w:val="21"/>
          <w:color w:val="44444B"/>
        </w:rPr>
        <w:t xml:space="preserve"> persons </w:t>
      </w:r>
      <w:r>
        <w:rPr>
          <w:rFonts w:ascii="Times New Roman" w:cs="Times New Roman" w:eastAsia="Times New Roman" w:hAnsi="Times New Roman"/>
          <w:sz w:val="21"/>
          <w:szCs w:val="21"/>
          <w:color w:val="54565D"/>
        </w:rPr>
        <w:t>not to</w:t>
      </w:r>
      <w:r>
        <w:rPr>
          <w:rFonts w:ascii="Times New Roman" w:cs="Times New Roman" w:eastAsia="Times New Roman" w:hAnsi="Times New Roman"/>
          <w:sz w:val="21"/>
          <w:szCs w:val="21"/>
          <w:color w:val="44444B"/>
        </w:rPr>
        <w:t xml:space="preserve"> reveal </w:t>
      </w:r>
      <w:r>
        <w:rPr>
          <w:rFonts w:ascii="Times New Roman" w:cs="Times New Roman" w:eastAsia="Times New Roman" w:hAnsi="Times New Roman"/>
          <w:sz w:val="21"/>
          <w:szCs w:val="21"/>
          <w:color w:val="2B2D34"/>
        </w:rPr>
        <w:t>i</w:t>
      </w:r>
      <w:r>
        <w:rPr>
          <w:rFonts w:ascii="Times New Roman" w:cs="Times New Roman" w:eastAsia="Times New Roman" w:hAnsi="Times New Roman"/>
          <w:sz w:val="21"/>
          <w:szCs w:val="21"/>
          <w:color w:val="54565D"/>
        </w:rPr>
        <w:t>nformation</w:t>
      </w:r>
      <w:r>
        <w:rPr>
          <w:rFonts w:ascii="Times New Roman" w:cs="Times New Roman" w:eastAsia="Times New Roman" w:hAnsi="Times New Roman"/>
          <w:sz w:val="21"/>
          <w:szCs w:val="21"/>
          <w:color w:val="44444B"/>
        </w:rPr>
        <w:t xml:space="preserve"> about </w:t>
      </w:r>
      <w:r>
        <w:rPr>
          <w:rFonts w:ascii="Times New Roman" w:cs="Times New Roman" w:eastAsia="Times New Roman" w:hAnsi="Times New Roman"/>
          <w:sz w:val="21"/>
          <w:szCs w:val="21"/>
          <w:color w:val="54565D"/>
        </w:rPr>
        <w:t>your</w:t>
      </w:r>
      <w:r>
        <w:rPr>
          <w:rFonts w:ascii="Times New Roman" w:cs="Times New Roman" w:eastAsia="Times New Roman" w:hAnsi="Times New Roman"/>
          <w:sz w:val="21"/>
          <w:szCs w:val="21"/>
          <w:color w:val="44444B"/>
        </w:rPr>
        <w:t xml:space="preserve"> transition </w:t>
      </w:r>
      <w:r>
        <w:rPr>
          <w:rFonts w:ascii="Times New Roman" w:cs="Times New Roman" w:eastAsia="Times New Roman" w:hAnsi="Times New Roman"/>
          <w:sz w:val="21"/>
          <w:szCs w:val="21"/>
          <w:color w:val="54565D"/>
        </w:rPr>
        <w:t>and</w:t>
      </w:r>
      <w:r>
        <w:rPr>
          <w:rFonts w:ascii="Times New Roman" w:cs="Times New Roman" w:eastAsia="Times New Roman" w:hAnsi="Times New Roman"/>
          <w:sz w:val="21"/>
          <w:szCs w:val="21"/>
          <w:color w:val="44444B"/>
        </w:rPr>
        <w:t xml:space="preserve"> departure until </w:t>
      </w:r>
      <w:r>
        <w:rPr>
          <w:rFonts w:ascii="Times New Roman" w:cs="Times New Roman" w:eastAsia="Times New Roman" w:hAnsi="Times New Roman"/>
          <w:sz w:val="21"/>
          <w:szCs w:val="21"/>
          <w:color w:val="54565D"/>
        </w:rPr>
        <w:t>the</w:t>
      </w:r>
      <w:r>
        <w:rPr>
          <w:rFonts w:ascii="Times New Roman" w:cs="Times New Roman" w:eastAsia="Times New Roman" w:hAnsi="Times New Roman"/>
          <w:sz w:val="21"/>
          <w:szCs w:val="21"/>
          <w:color w:val="44444B"/>
        </w:rPr>
        <w:t xml:space="preserve"> Company </w:t>
      </w:r>
      <w:r>
        <w:rPr>
          <w:rFonts w:ascii="Times New Roman" w:cs="Times New Roman" w:eastAsia="Times New Roman" w:hAnsi="Times New Roman"/>
          <w:sz w:val="21"/>
          <w:szCs w:val="21"/>
          <w:color w:val="54565D"/>
        </w:rPr>
        <w:t>Announcement</w:t>
      </w:r>
      <w:r>
        <w:rPr>
          <w:rFonts w:ascii="Times New Roman" w:cs="Times New Roman" w:eastAsia="Times New Roman" w:hAnsi="Times New Roman"/>
          <w:sz w:val="21"/>
          <w:szCs w:val="21"/>
          <w:color w:val="44444B"/>
        </w:rPr>
        <w:t xml:space="preserve"> </w:t>
      </w:r>
      <w:r>
        <w:rPr>
          <w:rFonts w:ascii="Times New Roman" w:cs="Times New Roman" w:eastAsia="Times New Roman" w:hAnsi="Times New Roman"/>
          <w:sz w:val="21"/>
          <w:szCs w:val="21"/>
          <w:color w:val="2B2D34"/>
        </w:rPr>
        <w:t>i</w:t>
      </w:r>
      <w:r>
        <w:rPr>
          <w:rFonts w:ascii="Times New Roman" w:cs="Times New Roman" w:eastAsia="Times New Roman" w:hAnsi="Times New Roman"/>
          <w:sz w:val="21"/>
          <w:szCs w:val="21"/>
          <w:color w:val="54565D"/>
        </w:rPr>
        <w:t>s</w:t>
      </w:r>
      <w:r>
        <w:rPr>
          <w:rFonts w:ascii="Times New Roman" w:cs="Times New Roman" w:eastAsia="Times New Roman" w:hAnsi="Times New Roman"/>
          <w:sz w:val="21"/>
          <w:szCs w:val="21"/>
          <w:color w:val="44444B"/>
        </w:rPr>
        <w:t xml:space="preserve"> </w:t>
      </w:r>
      <w:r>
        <w:rPr>
          <w:rFonts w:ascii="Times New Roman" w:cs="Times New Roman" w:eastAsia="Times New Roman" w:hAnsi="Times New Roman"/>
          <w:sz w:val="21"/>
          <w:szCs w:val="21"/>
          <w:color w:val="54565D"/>
        </w:rPr>
        <w:t xml:space="preserve">made </w:t>
      </w:r>
      <w:r>
        <w:rPr>
          <w:rFonts w:ascii="Times New Roman" w:cs="Times New Roman" w:eastAsia="Times New Roman" w:hAnsi="Times New Roman"/>
          <w:sz w:val="21"/>
          <w:szCs w:val="21"/>
          <w:color w:val="44444B"/>
        </w:rPr>
        <w:t>and</w:t>
      </w:r>
      <w:r>
        <w:rPr>
          <w:rFonts w:ascii="Times New Roman" w:cs="Times New Roman" w:eastAsia="Times New Roman" w:hAnsi="Times New Roman"/>
          <w:sz w:val="21"/>
          <w:szCs w:val="21"/>
          <w:color w:val="54565D"/>
        </w:rPr>
        <w:t xml:space="preserve"> each such person </w:t>
      </w:r>
      <w:r>
        <w:rPr>
          <w:rFonts w:ascii="Times New Roman" w:cs="Times New Roman" w:eastAsia="Times New Roman" w:hAnsi="Times New Roman"/>
          <w:sz w:val="21"/>
          <w:szCs w:val="21"/>
          <w:color w:val="44444B"/>
        </w:rPr>
        <w:t>agrees. Once the Company has made the</w:t>
      </w:r>
      <w:r>
        <w:rPr>
          <w:rFonts w:ascii="Times New Roman" w:cs="Times New Roman" w:eastAsia="Times New Roman" w:hAnsi="Times New Roman"/>
          <w:sz w:val="21"/>
          <w:szCs w:val="21"/>
          <w:color w:val="54565D"/>
        </w:rPr>
        <w:t xml:space="preserve"> Company </w:t>
      </w:r>
      <w:r>
        <w:rPr>
          <w:rFonts w:ascii="Times New Roman" w:cs="Times New Roman" w:eastAsia="Times New Roman" w:hAnsi="Times New Roman"/>
          <w:sz w:val="21"/>
          <w:szCs w:val="21"/>
          <w:color w:val="44444B"/>
        </w:rPr>
        <w:t>Announcement, you</w:t>
      </w:r>
      <w:r>
        <w:rPr>
          <w:rFonts w:ascii="Times New Roman" w:cs="Times New Roman" w:eastAsia="Times New Roman" w:hAnsi="Times New Roman"/>
          <w:sz w:val="21"/>
          <w:szCs w:val="21"/>
          <w:color w:val="54565D"/>
        </w:rPr>
        <w:t xml:space="preserve"> agree </w:t>
      </w:r>
      <w:r>
        <w:rPr>
          <w:rFonts w:ascii="Times New Roman" w:cs="Times New Roman" w:eastAsia="Times New Roman" w:hAnsi="Times New Roman"/>
          <w:sz w:val="21"/>
          <w:szCs w:val="21"/>
          <w:color w:val="2B2D34"/>
        </w:rPr>
        <w:t>to</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21"/>
          <w:szCs w:val="21"/>
          <w:color w:val="44444B"/>
        </w:rPr>
        <w:t>limit</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19"/>
          <w:szCs w:val="19"/>
          <w:color w:val="44444B"/>
        </w:rPr>
        <w:t>any</w:t>
      </w:r>
      <w:r>
        <w:rPr>
          <w:rFonts w:ascii="Times New Roman" w:cs="Times New Roman" w:eastAsia="Times New Roman" w:hAnsi="Times New Roman"/>
          <w:sz w:val="21"/>
          <w:szCs w:val="21"/>
          <w:color w:val="54565D"/>
        </w:rPr>
        <w:t xml:space="preserve"> </w:t>
      </w:r>
      <w:r>
        <w:rPr>
          <w:rFonts w:ascii="Times New Roman" w:cs="Times New Roman" w:eastAsia="Times New Roman" w:hAnsi="Times New Roman"/>
          <w:sz w:val="19"/>
          <w:szCs w:val="19"/>
          <w:color w:val="44444B"/>
        </w:rPr>
        <w:t xml:space="preserve">communications regarding your transition and departure to </w:t>
      </w:r>
      <w:r>
        <w:rPr>
          <w:rFonts w:ascii="Times New Roman" w:cs="Times New Roman" w:eastAsia="Times New Roman" w:hAnsi="Times New Roman"/>
          <w:sz w:val="19"/>
          <w:szCs w:val="19"/>
          <w:color w:val="54565D"/>
        </w:rPr>
        <w:t>state</w:t>
      </w:r>
      <w:r>
        <w:rPr>
          <w:rFonts w:ascii="Times New Roman" w:cs="Times New Roman" w:eastAsia="Times New Roman" w:hAnsi="Times New Roman"/>
          <w:sz w:val="19"/>
          <w:szCs w:val="19"/>
          <w:color w:val="2B2D34"/>
        </w:rPr>
        <w:t>ment</w:t>
      </w:r>
      <w:r>
        <w:rPr>
          <w:rFonts w:ascii="Times New Roman" w:cs="Times New Roman" w:eastAsia="Times New Roman" w:hAnsi="Times New Roman"/>
          <w:sz w:val="19"/>
          <w:szCs w:val="19"/>
          <w:color w:val="54565D"/>
        </w:rPr>
        <w:t>s</w:t>
      </w:r>
      <w:r>
        <w:rPr>
          <w:rFonts w:ascii="Times New Roman" w:cs="Times New Roman" w:eastAsia="Times New Roman" w:hAnsi="Times New Roman"/>
          <w:sz w:val="19"/>
          <w:szCs w:val="19"/>
          <w:color w:val="44444B"/>
        </w:rPr>
        <w:t xml:space="preserve"> consistent with the Company Announcement.</w:t>
      </w:r>
    </w:p>
    <w:p>
      <w:pPr>
        <w:spacing w:after="0" w:line="214" w:lineRule="exact"/>
        <w:rPr>
          <w:rFonts w:ascii="Times New Roman" w:cs="Times New Roman" w:eastAsia="Times New Roman" w:hAnsi="Times New Roman"/>
          <w:sz w:val="21"/>
          <w:szCs w:val="21"/>
          <w:b w:val="1"/>
          <w:bCs w:val="1"/>
          <w:color w:val="1F2126"/>
        </w:rPr>
      </w:pPr>
    </w:p>
    <w:p>
      <w:pPr>
        <w:ind w:left="940" w:hanging="758"/>
        <w:spacing w:after="0"/>
        <w:tabs>
          <w:tab w:leader="none" w:pos="940" w:val="left"/>
        </w:tabs>
        <w:numPr>
          <w:ilvl w:val="1"/>
          <w:numId w:val="79"/>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C1C23"/>
        </w:rPr>
        <w:t xml:space="preserve">Tax </w:t>
      </w:r>
      <w:r>
        <w:rPr>
          <w:rFonts w:ascii="Times New Roman" w:cs="Times New Roman" w:eastAsia="Times New Roman" w:hAnsi="Times New Roman"/>
          <w:sz w:val="21"/>
          <w:szCs w:val="21"/>
          <w:b w:val="1"/>
          <w:bCs w:val="1"/>
          <w:color w:val="2B2D34"/>
        </w:rPr>
        <w:t>Treatment;</w:t>
      </w:r>
      <w:r>
        <w:rPr>
          <w:rFonts w:ascii="Times New Roman" w:cs="Times New Roman" w:eastAsia="Times New Roman" w:hAnsi="Times New Roman"/>
          <w:sz w:val="21"/>
          <w:szCs w:val="21"/>
          <w:b w:val="1"/>
          <w:bCs w:val="1"/>
          <w:color w:val="1C1C23"/>
        </w:rPr>
        <w:t xml:space="preserve"> S</w:t>
      </w:r>
      <w:r>
        <w:rPr>
          <w:rFonts w:ascii="Times New Roman" w:cs="Times New Roman" w:eastAsia="Times New Roman" w:hAnsi="Times New Roman"/>
          <w:sz w:val="21"/>
          <w:szCs w:val="21"/>
          <w:b w:val="1"/>
          <w:bCs w:val="1"/>
          <w:color w:val="44444B"/>
        </w:rPr>
        <w:t>ec</w:t>
      </w:r>
      <w:r>
        <w:rPr>
          <w:rFonts w:ascii="Times New Roman" w:cs="Times New Roman" w:eastAsia="Times New Roman" w:hAnsi="Times New Roman"/>
          <w:sz w:val="21"/>
          <w:szCs w:val="21"/>
          <w:b w:val="1"/>
          <w:bCs w:val="1"/>
          <w:color w:val="1C1C23"/>
        </w:rPr>
        <w:t>tion 409A</w:t>
      </w:r>
    </w:p>
    <w:p>
      <w:pPr>
        <w:spacing w:after="0" w:line="233" w:lineRule="exact"/>
        <w:rPr>
          <w:rFonts w:ascii="Times New Roman" w:cs="Times New Roman" w:eastAsia="Times New Roman" w:hAnsi="Times New Roman"/>
          <w:sz w:val="21"/>
          <w:szCs w:val="21"/>
          <w:b w:val="1"/>
          <w:bCs w:val="1"/>
          <w:color w:val="1F2126"/>
        </w:rPr>
      </w:pPr>
    </w:p>
    <w:p>
      <w:pPr>
        <w:jc w:val="both"/>
        <w:ind w:left="940" w:right="460" w:firstLine="740"/>
        <w:spacing w:after="0" w:line="251" w:lineRule="auto"/>
        <w:tabs>
          <w:tab w:leader="none" w:pos="2408" w:val="left"/>
        </w:tabs>
        <w:numPr>
          <w:ilvl w:val="3"/>
          <w:numId w:val="79"/>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color w:val="2B2D34"/>
        </w:rPr>
        <w:t xml:space="preserve">The </w:t>
      </w:r>
      <w:r>
        <w:rPr>
          <w:rFonts w:ascii="Times New Roman" w:cs="Times New Roman" w:eastAsia="Times New Roman" w:hAnsi="Times New Roman"/>
          <w:sz w:val="21"/>
          <w:szCs w:val="21"/>
          <w:color w:val="54565D"/>
        </w:rPr>
        <w:t>Company shall</w:t>
      </w:r>
      <w:r>
        <w:rPr>
          <w:rFonts w:ascii="Times New Roman" w:cs="Times New Roman" w:eastAsia="Times New Roman" w:hAnsi="Times New Roman"/>
          <w:sz w:val="21"/>
          <w:szCs w:val="21"/>
          <w:color w:val="2B2D34"/>
        </w:rPr>
        <w:t xml:space="preserve"> </w:t>
      </w:r>
      <w:r>
        <w:rPr>
          <w:rFonts w:ascii="Times New Roman" w:cs="Times New Roman" w:eastAsia="Times New Roman" w:hAnsi="Times New Roman"/>
          <w:sz w:val="21"/>
          <w:szCs w:val="21"/>
          <w:color w:val="44444B"/>
        </w:rPr>
        <w:t>undertake to make deductions, w</w:t>
      </w:r>
      <w:r>
        <w:rPr>
          <w:rFonts w:ascii="Times New Roman" w:cs="Times New Roman" w:eastAsia="Times New Roman" w:hAnsi="Times New Roman"/>
          <w:sz w:val="21"/>
          <w:szCs w:val="21"/>
          <w:color w:val="1C1C23"/>
        </w:rPr>
        <w:t>i</w:t>
      </w:r>
      <w:r>
        <w:rPr>
          <w:rFonts w:ascii="Times New Roman" w:cs="Times New Roman" w:eastAsia="Times New Roman" w:hAnsi="Times New Roman"/>
          <w:sz w:val="21"/>
          <w:szCs w:val="21"/>
          <w:color w:val="44444B"/>
        </w:rPr>
        <w:t>thholdings and tax reports with respect</w:t>
      </w:r>
      <w:r>
        <w:rPr>
          <w:rFonts w:ascii="Times New Roman" w:cs="Times New Roman" w:eastAsia="Times New Roman" w:hAnsi="Times New Roman"/>
          <w:sz w:val="21"/>
          <w:szCs w:val="21"/>
          <w:color w:val="2B2D34"/>
        </w:rPr>
        <w:t xml:space="preserve"> </w:t>
      </w:r>
      <w:r>
        <w:rPr>
          <w:rFonts w:ascii="Times New Roman" w:cs="Times New Roman" w:eastAsia="Times New Roman" w:hAnsi="Times New Roman"/>
          <w:sz w:val="21"/>
          <w:szCs w:val="21"/>
          <w:color w:val="54565D"/>
        </w:rPr>
        <w:t>to</w:t>
      </w:r>
      <w:r>
        <w:rPr>
          <w:rFonts w:ascii="Times New Roman" w:cs="Times New Roman" w:eastAsia="Times New Roman" w:hAnsi="Times New Roman"/>
          <w:sz w:val="21"/>
          <w:szCs w:val="21"/>
          <w:color w:val="2B2D34"/>
        </w:rPr>
        <w:t xml:space="preserve"> </w:t>
      </w:r>
      <w:r>
        <w:rPr>
          <w:rFonts w:ascii="Times New Roman" w:cs="Times New Roman" w:eastAsia="Times New Roman" w:hAnsi="Times New Roman"/>
          <w:sz w:val="21"/>
          <w:szCs w:val="21"/>
          <w:color w:val="44444B"/>
        </w:rPr>
        <w:t xml:space="preserve">payments and benefits under </w:t>
      </w:r>
      <w:r>
        <w:rPr>
          <w:rFonts w:ascii="Times New Roman" w:cs="Times New Roman" w:eastAsia="Times New Roman" w:hAnsi="Times New Roman"/>
          <w:sz w:val="21"/>
          <w:szCs w:val="21"/>
          <w:color w:val="54565D"/>
        </w:rPr>
        <w:t>this</w:t>
      </w:r>
      <w:r>
        <w:rPr>
          <w:rFonts w:ascii="Times New Roman" w:cs="Times New Roman" w:eastAsia="Times New Roman" w:hAnsi="Times New Roman"/>
          <w:sz w:val="21"/>
          <w:szCs w:val="21"/>
          <w:color w:val="44444B"/>
        </w:rPr>
        <w:t xml:space="preserve"> Agreement to the </w:t>
      </w:r>
      <w:r>
        <w:rPr>
          <w:rFonts w:ascii="Times New Roman" w:cs="Times New Roman" w:eastAsia="Times New Roman" w:hAnsi="Times New Roman"/>
          <w:sz w:val="21"/>
          <w:szCs w:val="21"/>
          <w:color w:val="54565D"/>
        </w:rPr>
        <w:t>extent</w:t>
      </w:r>
      <w:r>
        <w:rPr>
          <w:rFonts w:ascii="Times New Roman" w:cs="Times New Roman" w:eastAsia="Times New Roman" w:hAnsi="Times New Roman"/>
          <w:sz w:val="21"/>
          <w:szCs w:val="21"/>
          <w:color w:val="44444B"/>
        </w:rPr>
        <w:t xml:space="preserve"> that it reasonably and in good faith determines that it is required </w:t>
      </w:r>
      <w:r>
        <w:rPr>
          <w:rFonts w:ascii="Times New Roman" w:cs="Times New Roman" w:eastAsia="Times New Roman" w:hAnsi="Times New Roman"/>
          <w:sz w:val="21"/>
          <w:szCs w:val="21"/>
          <w:color w:val="2B2D34"/>
        </w:rPr>
        <w:t>to</w:t>
      </w:r>
      <w:r>
        <w:rPr>
          <w:rFonts w:ascii="Times New Roman" w:cs="Times New Roman" w:eastAsia="Times New Roman" w:hAnsi="Times New Roman"/>
          <w:sz w:val="21"/>
          <w:szCs w:val="21"/>
          <w:color w:val="44444B"/>
        </w:rPr>
        <w:t xml:space="preserve"> make </w:t>
      </w:r>
      <w:r>
        <w:rPr>
          <w:rFonts w:ascii="Times New Roman" w:cs="Times New Roman" w:eastAsia="Times New Roman" w:hAnsi="Times New Roman"/>
          <w:sz w:val="21"/>
          <w:szCs w:val="21"/>
          <w:color w:val="54565D"/>
        </w:rPr>
        <w:t>s</w:t>
      </w:r>
      <w:r>
        <w:rPr>
          <w:rFonts w:ascii="Times New Roman" w:cs="Times New Roman" w:eastAsia="Times New Roman" w:hAnsi="Times New Roman"/>
          <w:sz w:val="21"/>
          <w:szCs w:val="21"/>
          <w:color w:val="2B2D34"/>
        </w:rPr>
        <w:t>uch</w:t>
      </w:r>
      <w:r>
        <w:rPr>
          <w:rFonts w:ascii="Times New Roman" w:cs="Times New Roman" w:eastAsia="Times New Roman" w:hAnsi="Times New Roman"/>
          <w:sz w:val="21"/>
          <w:szCs w:val="21"/>
          <w:color w:val="44444B"/>
        </w:rPr>
        <w:t xml:space="preserve"> deductions, withholdings and tax reports. </w:t>
      </w:r>
      <w:r>
        <w:rPr>
          <w:rFonts w:ascii="Times New Roman" w:cs="Times New Roman" w:eastAsia="Times New Roman" w:hAnsi="Times New Roman"/>
          <w:sz w:val="21"/>
          <w:szCs w:val="21"/>
          <w:color w:val="54565D"/>
        </w:rPr>
        <w:t>Nothing</w:t>
      </w:r>
      <w:r>
        <w:rPr>
          <w:rFonts w:ascii="Times New Roman" w:cs="Times New Roman" w:eastAsia="Times New Roman" w:hAnsi="Times New Roman"/>
          <w:sz w:val="21"/>
          <w:szCs w:val="21"/>
          <w:color w:val="44444B"/>
        </w:rPr>
        <w:t xml:space="preserve"> in </w:t>
      </w:r>
      <w:r>
        <w:rPr>
          <w:rFonts w:ascii="Times New Roman" w:cs="Times New Roman" w:eastAsia="Times New Roman" w:hAnsi="Times New Roman"/>
          <w:sz w:val="21"/>
          <w:szCs w:val="21"/>
          <w:color w:val="54565D"/>
        </w:rPr>
        <w:t>this</w:t>
      </w:r>
      <w:r>
        <w:rPr>
          <w:rFonts w:ascii="Times New Roman" w:cs="Times New Roman" w:eastAsia="Times New Roman" w:hAnsi="Times New Roman"/>
          <w:sz w:val="21"/>
          <w:szCs w:val="21"/>
          <w:color w:val="44444B"/>
        </w:rPr>
        <w:t xml:space="preserve"> Agreement shall be construed to </w:t>
      </w:r>
      <w:r>
        <w:rPr>
          <w:rFonts w:ascii="Times New Roman" w:cs="Times New Roman" w:eastAsia="Times New Roman" w:hAnsi="Times New Roman"/>
          <w:sz w:val="21"/>
          <w:szCs w:val="21"/>
          <w:color w:val="2B2D34"/>
        </w:rPr>
        <w:t>requ</w:t>
      </w:r>
      <w:r>
        <w:rPr>
          <w:rFonts w:ascii="Times New Roman" w:cs="Times New Roman" w:eastAsia="Times New Roman" w:hAnsi="Times New Roman"/>
          <w:sz w:val="21"/>
          <w:szCs w:val="21"/>
          <w:color w:val="54565D"/>
        </w:rPr>
        <w:t>ire the Company</w:t>
      </w:r>
      <w:r>
        <w:rPr>
          <w:rFonts w:ascii="Times New Roman" w:cs="Times New Roman" w:eastAsia="Times New Roman" w:hAnsi="Times New Roman"/>
          <w:sz w:val="21"/>
          <w:szCs w:val="21"/>
          <w:color w:val="2B2D34"/>
        </w:rPr>
        <w:t xml:space="preserve"> </w:t>
      </w:r>
      <w:r>
        <w:rPr>
          <w:rFonts w:ascii="Times New Roman" w:cs="Times New Roman" w:eastAsia="Times New Roman" w:hAnsi="Times New Roman"/>
          <w:sz w:val="21"/>
          <w:szCs w:val="21"/>
          <w:color w:val="44444B"/>
        </w:rPr>
        <w:t>to make</w:t>
      </w:r>
      <w:r>
        <w:rPr>
          <w:rFonts w:ascii="Times New Roman" w:cs="Times New Roman" w:eastAsia="Times New Roman" w:hAnsi="Times New Roman"/>
          <w:sz w:val="21"/>
          <w:szCs w:val="21"/>
          <w:color w:val="2B2D34"/>
        </w:rPr>
        <w:t xml:space="preserve"> </w:t>
      </w:r>
      <w:r>
        <w:rPr>
          <w:rFonts w:ascii="Times New Roman" w:cs="Times New Roman" w:eastAsia="Times New Roman" w:hAnsi="Times New Roman"/>
          <w:sz w:val="21"/>
          <w:szCs w:val="21"/>
          <w:color w:val="54565D"/>
        </w:rPr>
        <w:t>any</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6</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711" w:right="779" w:bottom="1440" w:gutter="0" w:footer="0" w:header="0"/>
        </w:sectPr>
      </w:pPr>
    </w:p>
    <w:bookmarkStart w:id="138" w:name="page139"/>
    <w:bookmarkEnd w:id="138"/>
    <w:p>
      <w:pPr>
        <w:ind w:left="940"/>
        <w:spacing w:after="0"/>
        <w:rPr>
          <w:sz w:val="20"/>
          <w:szCs w:val="20"/>
          <w:color w:val="auto"/>
        </w:rPr>
      </w:pPr>
      <w:r>
        <w:rPr>
          <w:rFonts w:ascii="Times New Roman" w:cs="Times New Roman" w:eastAsia="Times New Roman" w:hAnsi="Times New Roman"/>
          <w:sz w:val="21"/>
          <w:szCs w:val="21"/>
          <w:color w:val="54565D"/>
        </w:rPr>
        <w:t xml:space="preserve">payments to compensate you for </w:t>
      </w:r>
      <w:r>
        <w:rPr>
          <w:rFonts w:ascii="Times New Roman" w:cs="Times New Roman" w:eastAsia="Times New Roman" w:hAnsi="Times New Roman"/>
          <w:sz w:val="21"/>
          <w:szCs w:val="21"/>
          <w:color w:val="44444B"/>
        </w:rPr>
        <w:t>any</w:t>
      </w:r>
      <w:r>
        <w:rPr>
          <w:rFonts w:ascii="Times New Roman" w:cs="Times New Roman" w:eastAsia="Times New Roman" w:hAnsi="Times New Roman"/>
          <w:sz w:val="21"/>
          <w:szCs w:val="21"/>
          <w:color w:val="54565D"/>
        </w:rPr>
        <w:t xml:space="preserve"> adverse tax effect </w:t>
      </w:r>
      <w:r>
        <w:rPr>
          <w:rFonts w:ascii="Times New Roman" w:cs="Times New Roman" w:eastAsia="Times New Roman" w:hAnsi="Times New Roman"/>
          <w:sz w:val="21"/>
          <w:szCs w:val="21"/>
          <w:color w:val="44444B"/>
        </w:rPr>
        <w:t>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44444B"/>
        </w:rPr>
        <w:t>6</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3"/>
          <w:szCs w:val="13"/>
          <w:color w:val="54565D"/>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156210</wp:posOffset>
            </wp:positionV>
            <wp:extent cx="2846070" cy="6000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28460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33343B"/>
        </w:rPr>
        <w:t>with any payments or benefits or for any deduction or withholding from any payment or benefit.</w:t>
      </w:r>
    </w:p>
    <w:p>
      <w:pPr>
        <w:spacing w:after="0" w:line="245" w:lineRule="exact"/>
        <w:rPr>
          <w:sz w:val="20"/>
          <w:szCs w:val="20"/>
          <w:color w:val="auto"/>
        </w:rPr>
      </w:pPr>
    </w:p>
    <w:p>
      <w:pPr>
        <w:ind w:left="840" w:right="140" w:firstLine="750"/>
        <w:spacing w:after="0" w:line="259" w:lineRule="auto"/>
        <w:tabs>
          <w:tab w:leader="none" w:pos="2301" w:val="left"/>
        </w:tabs>
        <w:numPr>
          <w:ilvl w:val="1"/>
          <w:numId w:val="80"/>
        </w:numPr>
        <w:rPr>
          <w:rFonts w:ascii="Times New Roman" w:cs="Times New Roman" w:eastAsia="Times New Roman" w:hAnsi="Times New Roman"/>
          <w:sz w:val="20"/>
          <w:szCs w:val="20"/>
          <w:color w:val="505259"/>
        </w:rPr>
      </w:pPr>
      <w:r>
        <w:rPr>
          <w:rFonts w:ascii="Times New Roman" w:cs="Times New Roman" w:eastAsia="Times New Roman" w:hAnsi="Times New Roman"/>
          <w:sz w:val="20"/>
          <w:szCs w:val="20"/>
          <w:color w:val="33343B"/>
        </w:rPr>
        <w:t xml:space="preserve">The parties intend that </w:t>
      </w:r>
      <w:r>
        <w:rPr>
          <w:rFonts w:ascii="Times New Roman" w:cs="Times New Roman" w:eastAsia="Times New Roman" w:hAnsi="Times New Roman"/>
          <w:sz w:val="20"/>
          <w:szCs w:val="20"/>
          <w:color w:val="1D1D24"/>
        </w:rPr>
        <w:t>payments</w:t>
      </w:r>
      <w:r>
        <w:rPr>
          <w:rFonts w:ascii="Times New Roman" w:cs="Times New Roman" w:eastAsia="Times New Roman" w:hAnsi="Times New Roman"/>
          <w:sz w:val="20"/>
          <w:szCs w:val="20"/>
          <w:color w:val="33343B"/>
        </w:rPr>
        <w:t xml:space="preserve"> under this Agreement will </w:t>
      </w:r>
      <w:r>
        <w:rPr>
          <w:rFonts w:ascii="Times New Roman" w:cs="Times New Roman" w:eastAsia="Times New Roman" w:hAnsi="Times New Roman"/>
          <w:sz w:val="20"/>
          <w:szCs w:val="20"/>
          <w:color w:val="1D1D24"/>
        </w:rPr>
        <w:t>be</w:t>
      </w:r>
      <w:r>
        <w:rPr>
          <w:rFonts w:ascii="Times New Roman" w:cs="Times New Roman" w:eastAsia="Times New Roman" w:hAnsi="Times New Roman"/>
          <w:sz w:val="20"/>
          <w:szCs w:val="20"/>
          <w:color w:val="33343B"/>
        </w:rPr>
        <w:t xml:space="preserve"> exempt from </w:t>
      </w:r>
      <w:r>
        <w:rPr>
          <w:rFonts w:ascii="Times New Roman" w:cs="Times New Roman" w:eastAsia="Times New Roman" w:hAnsi="Times New Roman"/>
          <w:sz w:val="20"/>
          <w:szCs w:val="20"/>
          <w:color w:val="1D1D24"/>
        </w:rPr>
        <w:t>or</w:t>
      </w:r>
      <w:r>
        <w:rPr>
          <w:rFonts w:ascii="Times New Roman" w:cs="Times New Roman" w:eastAsia="Times New Roman" w:hAnsi="Times New Roman"/>
          <w:sz w:val="20"/>
          <w:szCs w:val="20"/>
          <w:color w:val="33343B"/>
        </w:rPr>
        <w:t xml:space="preserve"> comply with Section 409A of the </w:t>
      </w:r>
      <w:r>
        <w:rPr>
          <w:rFonts w:ascii="Times New Roman" w:cs="Times New Roman" w:eastAsia="Times New Roman" w:hAnsi="Times New Roman"/>
          <w:sz w:val="20"/>
          <w:szCs w:val="20"/>
          <w:color w:val="1D1D24"/>
        </w:rPr>
        <w:t>Internal Revenue</w:t>
      </w:r>
      <w:r>
        <w:rPr>
          <w:rFonts w:ascii="Times New Roman" w:cs="Times New Roman" w:eastAsia="Times New Roman" w:hAnsi="Times New Roman"/>
          <w:sz w:val="20"/>
          <w:szCs w:val="20"/>
          <w:color w:val="33343B"/>
        </w:rPr>
        <w:t xml:space="preserve"> Code of 1986, as amended (the "Code"). </w:t>
      </w:r>
      <w:r>
        <w:rPr>
          <w:rFonts w:ascii="Times New Roman" w:cs="Times New Roman" w:eastAsia="Times New Roman" w:hAnsi="Times New Roman"/>
          <w:sz w:val="20"/>
          <w:szCs w:val="20"/>
          <w:color w:val="1D1D24"/>
        </w:rPr>
        <w:t>To</w:t>
      </w:r>
      <w:r>
        <w:rPr>
          <w:rFonts w:ascii="Times New Roman" w:cs="Times New Roman" w:eastAsia="Times New Roman" w:hAnsi="Times New Roman"/>
          <w:sz w:val="20"/>
          <w:szCs w:val="20"/>
          <w:color w:val="33343B"/>
        </w:rPr>
        <w:t xml:space="preserve"> the extent that any provision </w:t>
      </w:r>
      <w:r>
        <w:rPr>
          <w:rFonts w:ascii="Times New Roman" w:cs="Times New Roman" w:eastAsia="Times New Roman" w:hAnsi="Times New Roman"/>
          <w:sz w:val="20"/>
          <w:szCs w:val="20"/>
          <w:color w:val="1D1D24"/>
        </w:rPr>
        <w:t>of</w:t>
      </w:r>
      <w:r>
        <w:rPr>
          <w:rFonts w:ascii="Times New Roman" w:cs="Times New Roman" w:eastAsia="Times New Roman" w:hAnsi="Times New Roman"/>
          <w:sz w:val="20"/>
          <w:szCs w:val="20"/>
          <w:color w:val="33343B"/>
        </w:rPr>
        <w:t xml:space="preserve"> this Agreement </w:t>
      </w:r>
      <w:r>
        <w:rPr>
          <w:rFonts w:ascii="Times New Roman" w:cs="Times New Roman" w:eastAsia="Times New Roman" w:hAnsi="Times New Roman"/>
          <w:sz w:val="20"/>
          <w:szCs w:val="20"/>
          <w:color w:val="1D1D24"/>
        </w:rPr>
        <w:t>is</w:t>
      </w:r>
      <w:r>
        <w:rPr>
          <w:rFonts w:ascii="Times New Roman" w:cs="Times New Roman" w:eastAsia="Times New Roman" w:hAnsi="Times New Roman"/>
          <w:sz w:val="20"/>
          <w:szCs w:val="20"/>
          <w:color w:val="33343B"/>
        </w:rPr>
        <w:t xml:space="preserve"> ambiguous as to </w:t>
      </w:r>
      <w:r>
        <w:rPr>
          <w:rFonts w:ascii="Times New Roman" w:cs="Times New Roman" w:eastAsia="Times New Roman" w:hAnsi="Times New Roman"/>
          <w:sz w:val="20"/>
          <w:szCs w:val="20"/>
          <w:color w:val="1D1D24"/>
        </w:rPr>
        <w:t>its</w:t>
      </w:r>
      <w:r>
        <w:rPr>
          <w:rFonts w:ascii="Times New Roman" w:cs="Times New Roman" w:eastAsia="Times New Roman" w:hAnsi="Times New Roman"/>
          <w:sz w:val="20"/>
          <w:szCs w:val="20"/>
          <w:color w:val="33343B"/>
        </w:rPr>
        <w:t xml:space="preserve"> exemption from or compliance with Section 409A of the Code, the provision shall be read in such a manner so that all payments hereunder are exempt from or comply with Section 409A of the Code. The Company makes no representation or warranty and shall have no </w:t>
      </w:r>
      <w:r>
        <w:rPr>
          <w:rFonts w:ascii="Times New Roman" w:cs="Times New Roman" w:eastAsia="Times New Roman" w:hAnsi="Times New Roman"/>
          <w:sz w:val="20"/>
          <w:szCs w:val="20"/>
          <w:color w:val="1D1D24"/>
        </w:rPr>
        <w:t>liability</w:t>
      </w:r>
      <w:r>
        <w:rPr>
          <w:rFonts w:ascii="Times New Roman" w:cs="Times New Roman" w:eastAsia="Times New Roman" w:hAnsi="Times New Roman"/>
          <w:sz w:val="20"/>
          <w:szCs w:val="20"/>
          <w:color w:val="33343B"/>
        </w:rPr>
        <w:t xml:space="preserve"> to you or any other person if any provisions of this Agreement are determined to constitute deferred compensation subject to Section 409A of the Code but do </w:t>
      </w:r>
      <w:r>
        <w:rPr>
          <w:rFonts w:ascii="Times New Roman" w:cs="Times New Roman" w:eastAsia="Times New Roman" w:hAnsi="Times New Roman"/>
          <w:sz w:val="20"/>
          <w:szCs w:val="20"/>
          <w:color w:val="1D1D24"/>
        </w:rPr>
        <w:t>not</w:t>
      </w:r>
      <w:r>
        <w:rPr>
          <w:rFonts w:ascii="Times New Roman" w:cs="Times New Roman" w:eastAsia="Times New Roman" w:hAnsi="Times New Roman"/>
          <w:sz w:val="20"/>
          <w:szCs w:val="20"/>
          <w:color w:val="33343B"/>
        </w:rPr>
        <w:t xml:space="preserve"> satisfy an exemption from</w:t>
      </w:r>
      <w:r>
        <w:rPr>
          <w:rFonts w:ascii="Times New Roman" w:cs="Times New Roman" w:eastAsia="Times New Roman" w:hAnsi="Times New Roman"/>
          <w:sz w:val="20"/>
          <w:szCs w:val="20"/>
          <w:color w:val="4D4F56"/>
        </w:rPr>
        <w:t>,</w:t>
      </w:r>
      <w:r>
        <w:rPr>
          <w:rFonts w:ascii="Times New Roman" w:cs="Times New Roman" w:eastAsia="Times New Roman" w:hAnsi="Times New Roman"/>
          <w:sz w:val="20"/>
          <w:szCs w:val="20"/>
          <w:color w:val="33343B"/>
        </w:rPr>
        <w:t xml:space="preserve"> or the conditions of, such Section. Each payment </w:t>
      </w:r>
      <w:r>
        <w:rPr>
          <w:rFonts w:ascii="Times New Roman" w:cs="Times New Roman" w:eastAsia="Times New Roman" w:hAnsi="Times New Roman"/>
          <w:sz w:val="20"/>
          <w:szCs w:val="20"/>
          <w:color w:val="1D1D24"/>
        </w:rPr>
        <w:t>pursuant</w:t>
      </w:r>
      <w:r>
        <w:rPr>
          <w:rFonts w:ascii="Times New Roman" w:cs="Times New Roman" w:eastAsia="Times New Roman" w:hAnsi="Times New Roman"/>
          <w:sz w:val="20"/>
          <w:szCs w:val="20"/>
          <w:color w:val="33343B"/>
        </w:rPr>
        <w:t xml:space="preserve"> to this Agreement is </w:t>
      </w:r>
      <w:r>
        <w:rPr>
          <w:rFonts w:ascii="Times New Roman" w:cs="Times New Roman" w:eastAsia="Times New Roman" w:hAnsi="Times New Roman"/>
          <w:sz w:val="20"/>
          <w:szCs w:val="20"/>
          <w:color w:val="1D1D24"/>
        </w:rPr>
        <w:t xml:space="preserve">intended </w:t>
      </w:r>
      <w:r>
        <w:rPr>
          <w:rFonts w:ascii="Times New Roman" w:cs="Times New Roman" w:eastAsia="Times New Roman" w:hAnsi="Times New Roman"/>
          <w:sz w:val="20"/>
          <w:szCs w:val="20"/>
          <w:color w:val="33343B"/>
        </w:rPr>
        <w:t>to constitute a separate payment for purposes of</w:t>
      </w:r>
      <w:r>
        <w:rPr>
          <w:rFonts w:ascii="Times New Roman" w:cs="Times New Roman" w:eastAsia="Times New Roman" w:hAnsi="Times New Roman"/>
          <w:sz w:val="20"/>
          <w:szCs w:val="20"/>
          <w:color w:val="1D1D24"/>
        </w:rPr>
        <w:t xml:space="preserve"> Treasury </w:t>
      </w:r>
      <w:r>
        <w:rPr>
          <w:rFonts w:ascii="Times New Roman" w:cs="Times New Roman" w:eastAsia="Times New Roman" w:hAnsi="Times New Roman"/>
          <w:sz w:val="20"/>
          <w:szCs w:val="20"/>
          <w:color w:val="33343B"/>
        </w:rPr>
        <w:t>Regulation Section 1, 409A 2(b)(2).</w:t>
      </w:r>
    </w:p>
    <w:p>
      <w:pPr>
        <w:spacing w:after="0" w:line="172" w:lineRule="exact"/>
        <w:rPr>
          <w:rFonts w:ascii="Times New Roman" w:cs="Times New Roman" w:eastAsia="Times New Roman" w:hAnsi="Times New Roman"/>
          <w:sz w:val="20"/>
          <w:szCs w:val="20"/>
          <w:color w:val="505259"/>
        </w:rPr>
      </w:pPr>
    </w:p>
    <w:p>
      <w:pPr>
        <w:ind w:left="820" w:hanging="712"/>
        <w:spacing w:after="0" w:line="251" w:lineRule="auto"/>
        <w:tabs>
          <w:tab w:leader="none" w:pos="820" w:val="left"/>
        </w:tabs>
        <w:numPr>
          <w:ilvl w:val="0"/>
          <w:numId w:val="81"/>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D1D24"/>
        </w:rPr>
        <w:t xml:space="preserve">Acknowledgements and Representations </w:t>
      </w:r>
      <w:r>
        <w:rPr>
          <w:rFonts w:ascii="Times New Roman" w:cs="Times New Roman" w:eastAsia="Times New Roman" w:hAnsi="Times New Roman"/>
          <w:sz w:val="21"/>
          <w:szCs w:val="21"/>
          <w:color w:val="33343B"/>
        </w:rPr>
        <w:t>You acknowledge and</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1D1D24"/>
        </w:rPr>
        <w:t>represent</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33343B"/>
        </w:rPr>
        <w:t>that, except as expressly provid</w:t>
      </w:r>
      <w:r>
        <w:rPr>
          <w:rFonts w:ascii="Times New Roman" w:cs="Times New Roman" w:eastAsia="Times New Roman" w:hAnsi="Times New Roman"/>
          <w:sz w:val="21"/>
          <w:szCs w:val="21"/>
          <w:color w:val="4D4F56"/>
        </w:rPr>
        <w:t>e</w:t>
      </w:r>
      <w:r>
        <w:rPr>
          <w:rFonts w:ascii="Times New Roman" w:cs="Times New Roman" w:eastAsia="Times New Roman" w:hAnsi="Times New Roman"/>
          <w:sz w:val="21"/>
          <w:szCs w:val="21"/>
          <w:color w:val="33343B"/>
        </w:rPr>
        <w:t>d in this</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33343B"/>
        </w:rPr>
        <w:t xml:space="preserve">Agreement, you have been paid all wages, bonuses, compensation, benefits and other amounts that any of the </w:t>
      </w:r>
      <w:r>
        <w:rPr>
          <w:rFonts w:ascii="Times New Roman" w:cs="Times New Roman" w:eastAsia="Times New Roman" w:hAnsi="Times New Roman"/>
          <w:sz w:val="21"/>
          <w:szCs w:val="21"/>
          <w:color w:val="1D1D24"/>
        </w:rPr>
        <w:t>Releasees</w:t>
      </w:r>
      <w:r>
        <w:rPr>
          <w:rFonts w:ascii="Times New Roman" w:cs="Times New Roman" w:eastAsia="Times New Roman" w:hAnsi="Times New Roman"/>
          <w:sz w:val="21"/>
          <w:szCs w:val="21"/>
          <w:color w:val="33343B"/>
        </w:rPr>
        <w:t xml:space="preserve"> has ever </w:t>
      </w:r>
      <w:r>
        <w:rPr>
          <w:rFonts w:ascii="Times New Roman" w:cs="Times New Roman" w:eastAsia="Times New Roman" w:hAnsi="Times New Roman"/>
          <w:sz w:val="21"/>
          <w:szCs w:val="21"/>
          <w:color w:val="1D1D24"/>
        </w:rPr>
        <w:t>owed</w:t>
      </w:r>
      <w:r>
        <w:rPr>
          <w:rFonts w:ascii="Times New Roman" w:cs="Times New Roman" w:eastAsia="Times New Roman" w:hAnsi="Times New Roman"/>
          <w:sz w:val="21"/>
          <w:szCs w:val="21"/>
          <w:color w:val="33343B"/>
        </w:rPr>
        <w:t xml:space="preserve"> to you, and you understand that you will not receive any additional compensation, severance or benefits after the Date of Termination, except </w:t>
      </w:r>
      <w:r>
        <w:rPr>
          <w:rFonts w:ascii="Times New Roman" w:cs="Times New Roman" w:eastAsia="Times New Roman" w:hAnsi="Times New Roman"/>
          <w:sz w:val="21"/>
          <w:szCs w:val="21"/>
          <w:color w:val="1D1D24"/>
        </w:rPr>
        <w:t>as</w:t>
      </w:r>
      <w:r>
        <w:rPr>
          <w:rFonts w:ascii="Times New Roman" w:cs="Times New Roman" w:eastAsia="Times New Roman" w:hAnsi="Times New Roman"/>
          <w:sz w:val="21"/>
          <w:szCs w:val="21"/>
          <w:color w:val="33343B"/>
        </w:rPr>
        <w:t xml:space="preserve"> set forth in </w:t>
      </w:r>
      <w:r>
        <w:rPr>
          <w:rFonts w:ascii="Times New Roman" w:cs="Times New Roman" w:eastAsia="Times New Roman" w:hAnsi="Times New Roman"/>
          <w:sz w:val="21"/>
          <w:szCs w:val="21"/>
          <w:color w:val="1D1D24"/>
        </w:rPr>
        <w:t>this</w:t>
      </w:r>
      <w:r>
        <w:rPr>
          <w:rFonts w:ascii="Times New Roman" w:cs="Times New Roman" w:eastAsia="Times New Roman" w:hAnsi="Times New Roman"/>
          <w:sz w:val="21"/>
          <w:szCs w:val="21"/>
          <w:color w:val="33343B"/>
        </w:rPr>
        <w:t xml:space="preserve"> Agreement.</w:t>
      </w:r>
    </w:p>
    <w:p>
      <w:pPr>
        <w:spacing w:after="0" w:line="191" w:lineRule="exact"/>
        <w:rPr>
          <w:rFonts w:ascii="Times New Roman" w:cs="Times New Roman" w:eastAsia="Times New Roman" w:hAnsi="Times New Roman"/>
          <w:sz w:val="21"/>
          <w:szCs w:val="21"/>
          <w:b w:val="1"/>
          <w:bCs w:val="1"/>
          <w:color w:val="1F2126"/>
        </w:rPr>
      </w:pPr>
    </w:p>
    <w:p>
      <w:pPr>
        <w:jc w:val="both"/>
        <w:ind w:left="800" w:right="200" w:hanging="692"/>
        <w:spacing w:after="0" w:line="275" w:lineRule="auto"/>
        <w:tabs>
          <w:tab w:leader="none" w:pos="800" w:val="left"/>
        </w:tabs>
        <w:numPr>
          <w:ilvl w:val="0"/>
          <w:numId w:val="81"/>
        </w:numPr>
        <w:rPr>
          <w:rFonts w:ascii="Times New Roman" w:cs="Times New Roman" w:eastAsia="Times New Roman" w:hAnsi="Times New Roman"/>
          <w:sz w:val="20"/>
          <w:szCs w:val="20"/>
          <w:b w:val="1"/>
          <w:bCs w:val="1"/>
          <w:color w:val="1F2126"/>
        </w:rPr>
      </w:pPr>
      <w:r>
        <w:rPr>
          <w:rFonts w:ascii="Times New Roman" w:cs="Times New Roman" w:eastAsia="Times New Roman" w:hAnsi="Times New Roman"/>
          <w:sz w:val="20"/>
          <w:szCs w:val="20"/>
          <w:b w:val="1"/>
          <w:bCs w:val="1"/>
          <w:color w:val="1D1D24"/>
        </w:rPr>
        <w:t xml:space="preserve">Legally Binding; Advice of Counsel. </w:t>
      </w:r>
      <w:r>
        <w:rPr>
          <w:rFonts w:ascii="Times New Roman" w:cs="Times New Roman" w:eastAsia="Times New Roman" w:hAnsi="Times New Roman"/>
          <w:sz w:val="20"/>
          <w:szCs w:val="20"/>
          <w:color w:val="33343B"/>
        </w:rPr>
        <w:t>This Agreement is a legally</w:t>
      </w:r>
      <w:r>
        <w:rPr>
          <w:rFonts w:ascii="Times New Roman" w:cs="Times New Roman" w:eastAsia="Times New Roman" w:hAnsi="Times New Roman"/>
          <w:sz w:val="20"/>
          <w:szCs w:val="20"/>
          <w:b w:val="1"/>
          <w:bCs w:val="1"/>
          <w:color w:val="1D1D24"/>
        </w:rPr>
        <w:t xml:space="preserve"> </w:t>
      </w:r>
      <w:r>
        <w:rPr>
          <w:rFonts w:ascii="Times New Roman" w:cs="Times New Roman" w:eastAsia="Times New Roman" w:hAnsi="Times New Roman"/>
          <w:sz w:val="20"/>
          <w:szCs w:val="20"/>
          <w:color w:val="1D1D24"/>
        </w:rPr>
        <w:t>binding</w:t>
      </w:r>
      <w:r>
        <w:rPr>
          <w:rFonts w:ascii="Times New Roman" w:cs="Times New Roman" w:eastAsia="Times New Roman" w:hAnsi="Times New Roman"/>
          <w:sz w:val="20"/>
          <w:szCs w:val="20"/>
          <w:b w:val="1"/>
          <w:bCs w:val="1"/>
          <w:color w:val="1D1D24"/>
        </w:rPr>
        <w:t xml:space="preserve"> </w:t>
      </w:r>
      <w:r>
        <w:rPr>
          <w:rFonts w:ascii="Times New Roman" w:cs="Times New Roman" w:eastAsia="Times New Roman" w:hAnsi="Times New Roman"/>
          <w:sz w:val="20"/>
          <w:szCs w:val="20"/>
          <w:color w:val="33343B"/>
        </w:rPr>
        <w:t>document, and your signature will</w:t>
      </w:r>
      <w:r>
        <w:rPr>
          <w:rFonts w:ascii="Times New Roman" w:cs="Times New Roman" w:eastAsia="Times New Roman" w:hAnsi="Times New Roman"/>
          <w:sz w:val="20"/>
          <w:szCs w:val="20"/>
          <w:b w:val="1"/>
          <w:bCs w:val="1"/>
          <w:color w:val="1D1D24"/>
        </w:rPr>
        <w:t xml:space="preserve"> </w:t>
      </w:r>
      <w:r>
        <w:rPr>
          <w:rFonts w:ascii="Times New Roman" w:cs="Times New Roman" w:eastAsia="Times New Roman" w:hAnsi="Times New Roman"/>
          <w:sz w:val="20"/>
          <w:szCs w:val="20"/>
          <w:color w:val="33343B"/>
        </w:rPr>
        <w:t xml:space="preserve">commit you to </w:t>
      </w:r>
      <w:r>
        <w:rPr>
          <w:rFonts w:ascii="Times New Roman" w:cs="Times New Roman" w:eastAsia="Times New Roman" w:hAnsi="Times New Roman"/>
          <w:sz w:val="20"/>
          <w:szCs w:val="20"/>
          <w:color w:val="1D1D24"/>
        </w:rPr>
        <w:t>its</w:t>
      </w:r>
      <w:r>
        <w:rPr>
          <w:rFonts w:ascii="Times New Roman" w:cs="Times New Roman" w:eastAsia="Times New Roman" w:hAnsi="Times New Roman"/>
          <w:sz w:val="20"/>
          <w:szCs w:val="20"/>
          <w:color w:val="33343B"/>
        </w:rPr>
        <w:t xml:space="preserve"> terms</w:t>
      </w:r>
      <w:r>
        <w:rPr>
          <w:rFonts w:ascii="Times New Roman" w:cs="Times New Roman" w:eastAsia="Times New Roman" w:hAnsi="Times New Roman"/>
          <w:sz w:val="20"/>
          <w:szCs w:val="20"/>
          <w:color w:val="07070C"/>
        </w:rPr>
        <w:t>.</w:t>
      </w:r>
      <w:r>
        <w:rPr>
          <w:rFonts w:ascii="Times New Roman" w:cs="Times New Roman" w:eastAsia="Times New Roman" w:hAnsi="Times New Roman"/>
          <w:sz w:val="20"/>
          <w:szCs w:val="20"/>
          <w:color w:val="33343B"/>
        </w:rPr>
        <w:t xml:space="preserve"> </w:t>
      </w:r>
      <w:r>
        <w:rPr>
          <w:rFonts w:ascii="Times New Roman" w:cs="Times New Roman" w:eastAsia="Times New Roman" w:hAnsi="Times New Roman"/>
          <w:sz w:val="20"/>
          <w:szCs w:val="20"/>
          <w:color w:val="1D1D24"/>
        </w:rPr>
        <w:t>The</w:t>
      </w:r>
      <w:r>
        <w:rPr>
          <w:rFonts w:ascii="Times New Roman" w:cs="Times New Roman" w:eastAsia="Times New Roman" w:hAnsi="Times New Roman"/>
          <w:sz w:val="20"/>
          <w:szCs w:val="20"/>
          <w:color w:val="33343B"/>
        </w:rPr>
        <w:t xml:space="preserve"> Company advises you </w:t>
      </w:r>
      <w:r>
        <w:rPr>
          <w:rFonts w:ascii="Times New Roman" w:cs="Times New Roman" w:eastAsia="Times New Roman" w:hAnsi="Times New Roman"/>
          <w:sz w:val="20"/>
          <w:szCs w:val="20"/>
          <w:color w:val="1D1D24"/>
        </w:rPr>
        <w:t>to</w:t>
      </w:r>
      <w:r>
        <w:rPr>
          <w:rFonts w:ascii="Times New Roman" w:cs="Times New Roman" w:eastAsia="Times New Roman" w:hAnsi="Times New Roman"/>
          <w:sz w:val="20"/>
          <w:szCs w:val="20"/>
          <w:color w:val="33343B"/>
        </w:rPr>
        <w:t xml:space="preserve"> consult </w:t>
      </w:r>
      <w:r>
        <w:rPr>
          <w:rFonts w:ascii="Times New Roman" w:cs="Times New Roman" w:eastAsia="Times New Roman" w:hAnsi="Times New Roman"/>
          <w:sz w:val="20"/>
          <w:szCs w:val="20"/>
          <w:color w:val="1D1D24"/>
        </w:rPr>
        <w:t>with</w:t>
      </w:r>
      <w:r>
        <w:rPr>
          <w:rFonts w:ascii="Times New Roman" w:cs="Times New Roman" w:eastAsia="Times New Roman" w:hAnsi="Times New Roman"/>
          <w:sz w:val="20"/>
          <w:szCs w:val="20"/>
          <w:color w:val="33343B"/>
        </w:rPr>
        <w:t xml:space="preserve"> an attorney prior to entering into this Agreement. </w:t>
      </w:r>
      <w:r>
        <w:rPr>
          <w:rFonts w:ascii="Times New Roman" w:cs="Times New Roman" w:eastAsia="Times New Roman" w:hAnsi="Times New Roman"/>
          <w:sz w:val="20"/>
          <w:szCs w:val="20"/>
          <w:color w:val="1D1D24"/>
        </w:rPr>
        <w:t xml:space="preserve">By </w:t>
      </w:r>
      <w:r>
        <w:rPr>
          <w:rFonts w:ascii="Times New Roman" w:cs="Times New Roman" w:eastAsia="Times New Roman" w:hAnsi="Times New Roman"/>
          <w:sz w:val="20"/>
          <w:szCs w:val="20"/>
          <w:color w:val="33343B"/>
        </w:rPr>
        <w:t>signing this</w:t>
      </w:r>
      <w:r>
        <w:rPr>
          <w:rFonts w:ascii="Times New Roman" w:cs="Times New Roman" w:eastAsia="Times New Roman" w:hAnsi="Times New Roman"/>
          <w:sz w:val="20"/>
          <w:szCs w:val="20"/>
          <w:color w:val="1D1D24"/>
        </w:rPr>
        <w:t xml:space="preserve"> Agreement</w:t>
      </w:r>
      <w:r>
        <w:rPr>
          <w:rFonts w:ascii="Times New Roman" w:cs="Times New Roman" w:eastAsia="Times New Roman" w:hAnsi="Times New Roman"/>
          <w:sz w:val="20"/>
          <w:szCs w:val="20"/>
          <w:color w:val="4D4F56"/>
        </w:rPr>
        <w:t>,</w:t>
      </w:r>
      <w:r>
        <w:rPr>
          <w:rFonts w:ascii="Times New Roman" w:cs="Times New Roman" w:eastAsia="Times New Roman" w:hAnsi="Times New Roman"/>
          <w:sz w:val="20"/>
          <w:szCs w:val="20"/>
          <w:color w:val="1D1D24"/>
        </w:rPr>
        <w:t xml:space="preserve"> </w:t>
      </w:r>
      <w:r>
        <w:rPr>
          <w:rFonts w:ascii="Times New Roman" w:cs="Times New Roman" w:eastAsia="Times New Roman" w:hAnsi="Times New Roman"/>
          <w:sz w:val="20"/>
          <w:szCs w:val="20"/>
          <w:color w:val="33343B"/>
        </w:rPr>
        <w:t>you acknowledge that you are knowingly and voluntarily entering into this Agreement.</w:t>
      </w:r>
    </w:p>
    <w:p>
      <w:pPr>
        <w:spacing w:after="0" w:line="154" w:lineRule="exact"/>
        <w:rPr>
          <w:rFonts w:ascii="Times New Roman" w:cs="Times New Roman" w:eastAsia="Times New Roman" w:hAnsi="Times New Roman"/>
          <w:sz w:val="20"/>
          <w:szCs w:val="20"/>
          <w:b w:val="1"/>
          <w:bCs w:val="1"/>
          <w:color w:val="1F2126"/>
        </w:rPr>
      </w:pPr>
    </w:p>
    <w:p>
      <w:pPr>
        <w:ind w:left="820" w:right="220" w:hanging="712"/>
        <w:spacing w:after="0" w:line="252" w:lineRule="auto"/>
        <w:tabs>
          <w:tab w:leader="none" w:pos="820" w:val="left"/>
        </w:tabs>
        <w:numPr>
          <w:ilvl w:val="0"/>
          <w:numId w:val="81"/>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33343B"/>
        </w:rPr>
        <w:t xml:space="preserve">Time </w:t>
      </w:r>
      <w:r>
        <w:rPr>
          <w:rFonts w:ascii="Times New Roman" w:cs="Times New Roman" w:eastAsia="Times New Roman" w:hAnsi="Times New Roman"/>
          <w:sz w:val="21"/>
          <w:szCs w:val="21"/>
          <w:b w:val="1"/>
          <w:bCs w:val="1"/>
          <w:color w:val="1D1D24"/>
        </w:rPr>
        <w:t>for Consideration; Effec</w:t>
      </w:r>
      <w:r>
        <w:rPr>
          <w:rFonts w:ascii="Times New Roman" w:cs="Times New Roman" w:eastAsia="Times New Roman" w:hAnsi="Times New Roman"/>
          <w:sz w:val="21"/>
          <w:szCs w:val="21"/>
          <w:b w:val="1"/>
          <w:bCs w:val="1"/>
          <w:color w:val="07070C"/>
        </w:rPr>
        <w:t>t</w:t>
      </w:r>
      <w:r>
        <w:rPr>
          <w:rFonts w:ascii="Times New Roman" w:cs="Times New Roman" w:eastAsia="Times New Roman" w:hAnsi="Times New Roman"/>
          <w:sz w:val="21"/>
          <w:szCs w:val="21"/>
          <w:b w:val="1"/>
          <w:bCs w:val="1"/>
          <w:color w:val="1D1D24"/>
        </w:rPr>
        <w:t>ive Date.</w:t>
      </w:r>
      <w:r>
        <w:rPr>
          <w:rFonts w:ascii="Times New Roman" w:cs="Times New Roman" w:eastAsia="Times New Roman" w:hAnsi="Times New Roman"/>
          <w:sz w:val="21"/>
          <w:szCs w:val="21"/>
          <w:b w:val="1"/>
          <w:bCs w:val="1"/>
          <w:color w:val="33343B"/>
        </w:rPr>
        <w:t xml:space="preserve"> </w:t>
      </w:r>
      <w:r>
        <w:rPr>
          <w:rFonts w:ascii="Times New Roman" w:cs="Times New Roman" w:eastAsia="Times New Roman" w:hAnsi="Times New Roman"/>
          <w:sz w:val="21"/>
          <w:szCs w:val="21"/>
          <w:color w:val="33343B"/>
        </w:rPr>
        <w:t>You acknowledge that you have</w:t>
      </w:r>
      <w:r>
        <w:rPr>
          <w:rFonts w:ascii="Times New Roman" w:cs="Times New Roman" w:eastAsia="Times New Roman" w:hAnsi="Times New Roman"/>
          <w:sz w:val="21"/>
          <w:szCs w:val="21"/>
          <w:b w:val="1"/>
          <w:bCs w:val="1"/>
          <w:color w:val="33343B"/>
        </w:rPr>
        <w:t xml:space="preserve"> </w:t>
      </w:r>
      <w:r>
        <w:rPr>
          <w:rFonts w:ascii="Times New Roman" w:cs="Times New Roman" w:eastAsia="Times New Roman" w:hAnsi="Times New Roman"/>
          <w:sz w:val="21"/>
          <w:szCs w:val="21"/>
          <w:color w:val="1D1D24"/>
        </w:rPr>
        <w:t>been</w:t>
      </w:r>
      <w:r>
        <w:rPr>
          <w:rFonts w:ascii="Times New Roman" w:cs="Times New Roman" w:eastAsia="Times New Roman" w:hAnsi="Times New Roman"/>
          <w:sz w:val="21"/>
          <w:szCs w:val="21"/>
          <w:b w:val="1"/>
          <w:bCs w:val="1"/>
          <w:color w:val="33343B"/>
        </w:rPr>
        <w:t xml:space="preserve"> </w:t>
      </w:r>
      <w:r>
        <w:rPr>
          <w:rFonts w:ascii="Times New Roman" w:cs="Times New Roman" w:eastAsia="Times New Roman" w:hAnsi="Times New Roman"/>
          <w:sz w:val="21"/>
          <w:szCs w:val="21"/>
          <w:color w:val="33343B"/>
        </w:rPr>
        <w:t>given an adequate amount of time to</w:t>
      </w:r>
      <w:r>
        <w:rPr>
          <w:rFonts w:ascii="Times New Roman" w:cs="Times New Roman" w:eastAsia="Times New Roman" w:hAnsi="Times New Roman"/>
          <w:sz w:val="21"/>
          <w:szCs w:val="21"/>
          <w:b w:val="1"/>
          <w:bCs w:val="1"/>
          <w:color w:val="33343B"/>
        </w:rPr>
        <w:t xml:space="preserve"> </w:t>
      </w:r>
      <w:r>
        <w:rPr>
          <w:rFonts w:ascii="Times New Roman" w:cs="Times New Roman" w:eastAsia="Times New Roman" w:hAnsi="Times New Roman"/>
          <w:sz w:val="21"/>
          <w:szCs w:val="21"/>
          <w:color w:val="33343B"/>
        </w:rPr>
        <w:t xml:space="preserve">review the Agreement. To accept this Agreement, you must execute an unmodified copy of this Agreement via </w:t>
      </w:r>
      <w:r>
        <w:rPr>
          <w:rFonts w:ascii="Times New Roman" w:cs="Times New Roman" w:eastAsia="Times New Roman" w:hAnsi="Times New Roman"/>
          <w:sz w:val="21"/>
          <w:szCs w:val="21"/>
          <w:color w:val="1D1D24"/>
        </w:rPr>
        <w:t xml:space="preserve">DocuSign </w:t>
      </w:r>
      <w:r>
        <w:rPr>
          <w:rFonts w:ascii="Times New Roman" w:cs="Times New Roman" w:eastAsia="Times New Roman" w:hAnsi="Times New Roman"/>
          <w:sz w:val="21"/>
          <w:szCs w:val="21"/>
          <w:color w:val="33343B"/>
        </w:rPr>
        <w:t>no later than</w:t>
      </w:r>
      <w:r>
        <w:rPr>
          <w:rFonts w:ascii="Times New Roman" w:cs="Times New Roman" w:eastAsia="Times New Roman" w:hAnsi="Times New Roman"/>
          <w:sz w:val="21"/>
          <w:szCs w:val="21"/>
          <w:color w:val="1D1D24"/>
        </w:rPr>
        <w:t xml:space="preserve"> December </w:t>
      </w:r>
      <w:r>
        <w:rPr>
          <w:rFonts w:ascii="Times New Roman" w:cs="Times New Roman" w:eastAsia="Times New Roman" w:hAnsi="Times New Roman"/>
          <w:sz w:val="21"/>
          <w:szCs w:val="21"/>
          <w:color w:val="33343B"/>
        </w:rPr>
        <w:t>6, 2022 at 4:00 pm EST.</w:t>
      </w:r>
      <w:r>
        <w:rPr>
          <w:rFonts w:ascii="Times New Roman" w:cs="Times New Roman" w:eastAsia="Times New Roman" w:hAnsi="Times New Roman"/>
          <w:sz w:val="21"/>
          <w:szCs w:val="21"/>
          <w:color w:val="1D1D24"/>
        </w:rPr>
        <w:t xml:space="preserve"> </w:t>
      </w:r>
      <w:r>
        <w:rPr>
          <w:rFonts w:ascii="Times New Roman" w:cs="Times New Roman" w:eastAsia="Times New Roman" w:hAnsi="Times New Roman"/>
          <w:sz w:val="22"/>
          <w:szCs w:val="22"/>
          <w:color w:val="33343B"/>
        </w:rPr>
        <w:t>If</w:t>
      </w:r>
      <w:r>
        <w:rPr>
          <w:rFonts w:ascii="Times New Roman" w:cs="Times New Roman" w:eastAsia="Times New Roman" w:hAnsi="Times New Roman"/>
          <w:sz w:val="21"/>
          <w:szCs w:val="21"/>
          <w:color w:val="1D1D24"/>
        </w:rPr>
        <w:t xml:space="preserve"> </w:t>
      </w:r>
      <w:r>
        <w:rPr>
          <w:rFonts w:ascii="Times New Roman" w:cs="Times New Roman" w:eastAsia="Times New Roman" w:hAnsi="Times New Roman"/>
          <w:sz w:val="21"/>
          <w:szCs w:val="21"/>
          <w:color w:val="33343B"/>
        </w:rPr>
        <w:t>you</w:t>
      </w:r>
      <w:r>
        <w:rPr>
          <w:rFonts w:ascii="Times New Roman" w:cs="Times New Roman" w:eastAsia="Times New Roman" w:hAnsi="Times New Roman"/>
          <w:sz w:val="21"/>
          <w:szCs w:val="21"/>
          <w:color w:val="1D1D24"/>
        </w:rPr>
        <w:t xml:space="preserve"> breach </w:t>
      </w:r>
      <w:r>
        <w:rPr>
          <w:rFonts w:ascii="Times New Roman" w:cs="Times New Roman" w:eastAsia="Times New Roman" w:hAnsi="Times New Roman"/>
          <w:sz w:val="21"/>
          <w:szCs w:val="21"/>
          <w:color w:val="33343B"/>
        </w:rPr>
        <w:t>any of the terms of this Agreement</w:t>
      </w:r>
      <w:r>
        <w:rPr>
          <w:rFonts w:ascii="Times New Roman" w:cs="Times New Roman" w:eastAsia="Times New Roman" w:hAnsi="Times New Roman"/>
          <w:sz w:val="21"/>
          <w:szCs w:val="21"/>
          <w:color w:val="1D1D24"/>
        </w:rPr>
        <w:t xml:space="preserve"> prior to </w:t>
      </w:r>
      <w:r>
        <w:rPr>
          <w:rFonts w:ascii="Times New Roman" w:cs="Times New Roman" w:eastAsia="Times New Roman" w:hAnsi="Times New Roman"/>
          <w:sz w:val="21"/>
          <w:szCs w:val="21"/>
          <w:color w:val="33343B"/>
        </w:rPr>
        <w:t>execution, the offer o</w:t>
      </w:r>
      <w:r>
        <w:rPr>
          <w:rFonts w:ascii="Times New Roman" w:cs="Times New Roman" w:eastAsia="Times New Roman" w:hAnsi="Times New Roman"/>
          <w:sz w:val="21"/>
          <w:szCs w:val="21"/>
          <w:color w:val="4D4F56"/>
        </w:rPr>
        <w:t>f</w:t>
      </w:r>
      <w:r>
        <w:rPr>
          <w:rFonts w:ascii="Times New Roman" w:cs="Times New Roman" w:eastAsia="Times New Roman" w:hAnsi="Times New Roman"/>
          <w:sz w:val="21"/>
          <w:szCs w:val="21"/>
          <w:color w:val="33343B"/>
        </w:rPr>
        <w:t xml:space="preserve"> </w:t>
      </w:r>
      <w:r>
        <w:rPr>
          <w:rFonts w:ascii="Times New Roman" w:cs="Times New Roman" w:eastAsia="Times New Roman" w:hAnsi="Times New Roman"/>
          <w:sz w:val="21"/>
          <w:szCs w:val="21"/>
          <w:color w:val="1D1D24"/>
        </w:rPr>
        <w:t>this</w:t>
      </w:r>
      <w:r>
        <w:rPr>
          <w:rFonts w:ascii="Times New Roman" w:cs="Times New Roman" w:eastAsia="Times New Roman" w:hAnsi="Times New Roman"/>
          <w:sz w:val="21"/>
          <w:szCs w:val="21"/>
          <w:color w:val="33343B"/>
        </w:rPr>
        <w:t xml:space="preserve"> Agreement </w:t>
      </w:r>
      <w:r>
        <w:rPr>
          <w:rFonts w:ascii="Times New Roman" w:cs="Times New Roman" w:eastAsia="Times New Roman" w:hAnsi="Times New Roman"/>
          <w:sz w:val="21"/>
          <w:szCs w:val="21"/>
          <w:color w:val="1D1D24"/>
        </w:rPr>
        <w:t>is</w:t>
      </w:r>
      <w:r>
        <w:rPr>
          <w:rFonts w:ascii="Times New Roman" w:cs="Times New Roman" w:eastAsia="Times New Roman" w:hAnsi="Times New Roman"/>
          <w:sz w:val="21"/>
          <w:szCs w:val="21"/>
          <w:color w:val="33343B"/>
        </w:rPr>
        <w:t xml:space="preserve"> withdrawn and your execution o</w:t>
      </w:r>
      <w:r>
        <w:rPr>
          <w:rFonts w:ascii="Times New Roman" w:cs="Times New Roman" w:eastAsia="Times New Roman" w:hAnsi="Times New Roman"/>
          <w:sz w:val="21"/>
          <w:szCs w:val="21"/>
          <w:color w:val="4D4F56"/>
        </w:rPr>
        <w:t>f</w:t>
      </w:r>
      <w:r>
        <w:rPr>
          <w:rFonts w:ascii="Times New Roman" w:cs="Times New Roman" w:eastAsia="Times New Roman" w:hAnsi="Times New Roman"/>
          <w:sz w:val="21"/>
          <w:szCs w:val="21"/>
          <w:color w:val="33343B"/>
        </w:rPr>
        <w:t xml:space="preserve"> the Agreement will not be valid. </w:t>
      </w:r>
      <w:r>
        <w:rPr>
          <w:rFonts w:ascii="Times New Roman" w:cs="Times New Roman" w:eastAsia="Times New Roman" w:hAnsi="Times New Roman"/>
          <w:sz w:val="21"/>
          <w:szCs w:val="21"/>
          <w:color w:val="1D1D24"/>
        </w:rPr>
        <w:t>This</w:t>
      </w:r>
      <w:r>
        <w:rPr>
          <w:rFonts w:ascii="Times New Roman" w:cs="Times New Roman" w:eastAsia="Times New Roman" w:hAnsi="Times New Roman"/>
          <w:sz w:val="21"/>
          <w:szCs w:val="21"/>
          <w:color w:val="33343B"/>
        </w:rPr>
        <w:t xml:space="preserve"> Agreement shall become effective on the date that it </w:t>
      </w:r>
      <w:r>
        <w:rPr>
          <w:rFonts w:ascii="Times New Roman" w:cs="Times New Roman" w:eastAsia="Times New Roman" w:hAnsi="Times New Roman"/>
          <w:sz w:val="21"/>
          <w:szCs w:val="21"/>
          <w:color w:val="1D1D24"/>
        </w:rPr>
        <w:t>i</w:t>
      </w:r>
      <w:r>
        <w:rPr>
          <w:rFonts w:ascii="Times New Roman" w:cs="Times New Roman" w:eastAsia="Times New Roman" w:hAnsi="Times New Roman"/>
          <w:sz w:val="21"/>
          <w:szCs w:val="21"/>
          <w:color w:val="4D4F56"/>
        </w:rPr>
        <w:t>s</w:t>
      </w:r>
      <w:r>
        <w:rPr>
          <w:rFonts w:ascii="Times New Roman" w:cs="Times New Roman" w:eastAsia="Times New Roman" w:hAnsi="Times New Roman"/>
          <w:sz w:val="21"/>
          <w:szCs w:val="21"/>
          <w:color w:val="33343B"/>
        </w:rPr>
        <w:t xml:space="preserve"> fully executed (th</w:t>
      </w:r>
      <w:r>
        <w:rPr>
          <w:rFonts w:ascii="Times New Roman" w:cs="Times New Roman" w:eastAsia="Times New Roman" w:hAnsi="Times New Roman"/>
          <w:sz w:val="21"/>
          <w:szCs w:val="21"/>
          <w:color w:val="4D4F56"/>
        </w:rPr>
        <w:t>e</w:t>
      </w:r>
      <w:r>
        <w:rPr>
          <w:rFonts w:ascii="Times New Roman" w:cs="Times New Roman" w:eastAsia="Times New Roman" w:hAnsi="Times New Roman"/>
          <w:sz w:val="21"/>
          <w:szCs w:val="21"/>
          <w:color w:val="33343B"/>
        </w:rPr>
        <w:t xml:space="preserve"> "</w:t>
      </w:r>
      <w:r>
        <w:rPr>
          <w:rFonts w:ascii="Times New Roman" w:cs="Times New Roman" w:eastAsia="Times New Roman" w:hAnsi="Times New Roman"/>
          <w:sz w:val="21"/>
          <w:szCs w:val="21"/>
          <w:color w:val="4D4F56"/>
        </w:rPr>
        <w:t>E</w:t>
      </w:r>
      <w:r>
        <w:rPr>
          <w:rFonts w:ascii="Times New Roman" w:cs="Times New Roman" w:eastAsia="Times New Roman" w:hAnsi="Times New Roman"/>
          <w:sz w:val="21"/>
          <w:szCs w:val="21"/>
          <w:color w:val="33343B"/>
        </w:rPr>
        <w:t xml:space="preserve">ffective </w:t>
      </w:r>
      <w:r>
        <w:rPr>
          <w:rFonts w:ascii="Times New Roman" w:cs="Times New Roman" w:eastAsia="Times New Roman" w:hAnsi="Times New Roman"/>
          <w:sz w:val="21"/>
          <w:szCs w:val="21"/>
          <w:color w:val="1D1D24"/>
        </w:rPr>
        <w:t>Date").</w:t>
      </w:r>
    </w:p>
    <w:p>
      <w:pPr>
        <w:spacing w:after="0" w:line="191" w:lineRule="exact"/>
        <w:rPr>
          <w:rFonts w:ascii="Times New Roman" w:cs="Times New Roman" w:eastAsia="Times New Roman" w:hAnsi="Times New Roman"/>
          <w:sz w:val="21"/>
          <w:szCs w:val="21"/>
          <w:b w:val="1"/>
          <w:bCs w:val="1"/>
          <w:color w:val="1F2126"/>
        </w:rPr>
      </w:pPr>
    </w:p>
    <w:p>
      <w:pPr>
        <w:ind w:left="800" w:right="180" w:hanging="692"/>
        <w:spacing w:after="0" w:line="272" w:lineRule="auto"/>
        <w:tabs>
          <w:tab w:leader="none" w:pos="800" w:val="left"/>
        </w:tabs>
        <w:numPr>
          <w:ilvl w:val="0"/>
          <w:numId w:val="81"/>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D1D24"/>
        </w:rPr>
        <w:t xml:space="preserve">Protected Disclosures. </w:t>
      </w:r>
      <w:r>
        <w:rPr>
          <w:rFonts w:ascii="Times New Roman" w:cs="Times New Roman" w:eastAsia="Times New Roman" w:hAnsi="Times New Roman"/>
          <w:sz w:val="21"/>
          <w:szCs w:val="21"/>
          <w:color w:val="33343B"/>
        </w:rPr>
        <w:t>Nothing contained in this Agreement</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1D1D24"/>
        </w:rPr>
        <w:t>limits</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33343B"/>
        </w:rPr>
        <w:t>your ability to file a charge or complaint with any</w:t>
      </w:r>
      <w:r>
        <w:rPr>
          <w:rFonts w:ascii="Times New Roman" w:cs="Times New Roman" w:eastAsia="Times New Roman" w:hAnsi="Times New Roman"/>
          <w:sz w:val="21"/>
          <w:szCs w:val="21"/>
          <w:b w:val="1"/>
          <w:bCs w:val="1"/>
          <w:color w:val="1D1D24"/>
        </w:rPr>
        <w:t xml:space="preserve"> </w:t>
      </w:r>
      <w:r>
        <w:rPr>
          <w:rFonts w:ascii="Times New Roman" w:cs="Times New Roman" w:eastAsia="Times New Roman" w:hAnsi="Times New Roman"/>
          <w:sz w:val="21"/>
          <w:szCs w:val="21"/>
          <w:color w:val="33343B"/>
        </w:rPr>
        <w:t>federal</w:t>
      </w:r>
      <w:r>
        <w:rPr>
          <w:rFonts w:ascii="Times New Roman" w:cs="Times New Roman" w:eastAsia="Times New Roman" w:hAnsi="Times New Roman"/>
          <w:sz w:val="21"/>
          <w:szCs w:val="21"/>
          <w:color w:val="4D4F56"/>
        </w:rPr>
        <w:t>,</w:t>
      </w:r>
      <w:r>
        <w:rPr>
          <w:rFonts w:ascii="Times New Roman" w:cs="Times New Roman" w:eastAsia="Times New Roman" w:hAnsi="Times New Roman"/>
          <w:sz w:val="21"/>
          <w:szCs w:val="21"/>
          <w:color w:val="33343B"/>
        </w:rPr>
        <w:t xml:space="preserve"> state or local governmental agency or commission (a</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7</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40" w:top="120" w:right="819" w:bottom="1440" w:gutter="0" w:footer="0" w:header="0"/>
        </w:sectPr>
      </w:pPr>
    </w:p>
    <w:bookmarkStart w:id="139" w:name="page140"/>
    <w:bookmarkEnd w:id="139"/>
    <w:p>
      <w:pPr>
        <w:ind w:left="800" w:right="220"/>
        <w:spacing w:after="0" w:line="250" w:lineRule="auto"/>
        <w:rPr>
          <w:sz w:val="20"/>
          <w:szCs w:val="20"/>
          <w:color w:val="auto"/>
        </w:rPr>
      </w:pPr>
      <w:r>
        <w:rPr>
          <w:rFonts w:ascii="Times New Roman" w:cs="Times New Roman" w:eastAsia="Times New Roman" w:hAnsi="Times New Roman"/>
          <w:sz w:val="21"/>
          <w:szCs w:val="21"/>
          <w:color w:val="33343B"/>
        </w:rPr>
        <w:t xml:space="preserve">"Government Agency"). In addition, nothing contained </w:t>
      </w:r>
      <w:r>
        <w:rPr>
          <w:rFonts w:ascii="Times New Roman" w:cs="Times New Roman" w:eastAsia="Times New Roman" w:hAnsi="Times New Roman"/>
          <w:sz w:val="21"/>
          <w:szCs w:val="21"/>
          <w:color w:val="1D1D24"/>
        </w:rPr>
        <w:t>in</w:t>
      </w:r>
      <w:r>
        <w:rPr>
          <w:rFonts w:ascii="Times New Roman" w:cs="Times New Roman" w:eastAsia="Times New Roman" w:hAnsi="Times New Roman"/>
          <w:sz w:val="21"/>
          <w:szCs w:val="21"/>
          <w:color w:val="33343B"/>
        </w:rPr>
        <w:t xml:space="preserve"> this Agreement limits your ability to communicate with any Government Agency or otherwise participate in any investigation or proceeding that may be conducted by any Government </w:t>
      </w:r>
      <w:r>
        <w:rPr>
          <w:rFonts w:ascii="Times New Roman" w:cs="Times New Roman" w:eastAsia="Times New Roman" w:hAnsi="Times New Roman"/>
          <w:sz w:val="21"/>
          <w:szCs w:val="21"/>
          <w:color w:val="1D1D24"/>
        </w:rPr>
        <w:t>Agency.</w:t>
      </w:r>
      <w:r>
        <w:rPr>
          <w:rFonts w:ascii="Times New Roman" w:cs="Times New Roman" w:eastAsia="Times New Roman" w:hAnsi="Times New Roman"/>
          <w:sz w:val="21"/>
          <w:szCs w:val="21"/>
          <w:color w:val="33343B"/>
        </w:rPr>
        <w:t xml:space="preserve"> </w:t>
      </w:r>
      <w:r>
        <w:rPr>
          <w:rFonts w:ascii="Times New Roman" w:cs="Times New Roman" w:eastAsia="Times New Roman" w:hAnsi="Times New Roman"/>
          <w:sz w:val="22"/>
          <w:szCs w:val="22"/>
          <w:color w:val="33343B"/>
        </w:rPr>
        <w:t>If</w:t>
      </w:r>
      <w:r>
        <w:rPr>
          <w:rFonts w:ascii="Times New Roman" w:cs="Times New Roman" w:eastAsia="Times New Roman" w:hAnsi="Times New Roman"/>
          <w:sz w:val="21"/>
          <w:szCs w:val="21"/>
          <w:color w:val="33343B"/>
        </w:rPr>
        <w:t xml:space="preserve"> you file any charge or </w:t>
      </w:r>
      <w:r>
        <w:rPr>
          <w:rFonts w:ascii="Times New Roman" w:cs="Times New Roman" w:eastAsia="Times New Roman" w:hAnsi="Times New Roman"/>
          <w:sz w:val="21"/>
          <w:szCs w:val="21"/>
          <w:color w:val="1D1D24"/>
        </w:rPr>
        <w:t>complaint</w:t>
      </w:r>
      <w:r>
        <w:rPr>
          <w:rFonts w:ascii="Times New Roman" w:cs="Times New Roman" w:eastAsia="Times New Roman" w:hAnsi="Times New Roman"/>
          <w:sz w:val="21"/>
          <w:szCs w:val="21"/>
          <w:color w:val="33343B"/>
        </w:rPr>
        <w:t xml:space="preserve"> with any Government Agency and </w:t>
      </w:r>
      <w:r>
        <w:rPr>
          <w:rFonts w:ascii="Times New Roman" w:cs="Times New Roman" w:eastAsia="Times New Roman" w:hAnsi="Times New Roman"/>
          <w:sz w:val="21"/>
          <w:szCs w:val="21"/>
          <w:color w:val="1D1D24"/>
        </w:rPr>
        <w:t>if</w:t>
      </w:r>
      <w:r>
        <w:rPr>
          <w:rFonts w:ascii="Times New Roman" w:cs="Times New Roman" w:eastAsia="Times New Roman" w:hAnsi="Times New Roman"/>
          <w:sz w:val="21"/>
          <w:szCs w:val="21"/>
          <w:color w:val="33343B"/>
        </w:rPr>
        <w:t xml:space="preserve"> the Government Agency pursues any claim on your behalf, or if any other third party pursues any claim on your behalf</w:t>
      </w:r>
      <w:r>
        <w:rPr>
          <w:rFonts w:ascii="Times New Roman" w:cs="Times New Roman" w:eastAsia="Times New Roman" w:hAnsi="Times New Roman"/>
          <w:sz w:val="21"/>
          <w:szCs w:val="21"/>
          <w:color w:val="4D4F56"/>
        </w:rPr>
        <w:t>,</w:t>
      </w:r>
      <w:r>
        <w:rPr>
          <w:rFonts w:ascii="Times New Roman" w:cs="Times New Roman" w:eastAsia="Times New Roman" w:hAnsi="Times New Roman"/>
          <w:sz w:val="21"/>
          <w:szCs w:val="21"/>
          <w:color w:val="33343B"/>
        </w:rPr>
        <w:t xml:space="preserve"> you would not be entitled </w:t>
      </w:r>
      <w:r>
        <w:rPr>
          <w:rFonts w:ascii="Times New Roman" w:cs="Times New Roman" w:eastAsia="Times New Roman" w:hAnsi="Times New Roman"/>
          <w:sz w:val="21"/>
          <w:szCs w:val="21"/>
          <w:color w:val="1D1D24"/>
        </w:rPr>
        <w:t>to</w:t>
      </w:r>
      <w:r>
        <w:rPr>
          <w:rFonts w:ascii="Times New Roman" w:cs="Times New Roman" w:eastAsia="Times New Roman" w:hAnsi="Times New Roman"/>
          <w:sz w:val="21"/>
          <w:szCs w:val="21"/>
          <w:color w:val="33343B"/>
        </w:rPr>
        <w:t xml:space="preserve"> monetary </w:t>
      </w:r>
      <w:r>
        <w:rPr>
          <w:rFonts w:ascii="Times New Roman" w:cs="Times New Roman" w:eastAsia="Times New Roman" w:hAnsi="Times New Roman"/>
          <w:sz w:val="21"/>
          <w:szCs w:val="21"/>
          <w:color w:val="1D1D24"/>
        </w:rPr>
        <w:t>or</w:t>
      </w:r>
      <w:r>
        <w:rPr>
          <w:rFonts w:ascii="Times New Roman" w:cs="Times New Roman" w:eastAsia="Times New Roman" w:hAnsi="Times New Roman"/>
          <w:sz w:val="21"/>
          <w:szCs w:val="21"/>
          <w:color w:val="33343B"/>
        </w:rPr>
        <w:t xml:space="preserve"> other individualized relief prov</w:t>
      </w:r>
      <w:r>
        <w:rPr>
          <w:rFonts w:ascii="Times New Roman" w:cs="Times New Roman" w:eastAsia="Times New Roman" w:hAnsi="Times New Roman"/>
          <w:sz w:val="21"/>
          <w:szCs w:val="21"/>
          <w:color w:val="4D4F56"/>
        </w:rPr>
        <w:t>i</w:t>
      </w:r>
      <w:r>
        <w:rPr>
          <w:rFonts w:ascii="Times New Roman" w:cs="Times New Roman" w:eastAsia="Times New Roman" w:hAnsi="Times New Roman"/>
          <w:sz w:val="21"/>
          <w:szCs w:val="21"/>
          <w:color w:val="33343B"/>
        </w:rPr>
        <w:t xml:space="preserve">ded that nothing in this Agreement limits any right you may </w:t>
      </w:r>
      <w:r>
        <w:rPr>
          <w:rFonts w:ascii="Times New Roman" w:cs="Times New Roman" w:eastAsia="Times New Roman" w:hAnsi="Times New Roman"/>
          <w:sz w:val="21"/>
          <w:szCs w:val="21"/>
          <w:color w:val="1D1D24"/>
        </w:rPr>
        <w:t xml:space="preserve">have </w:t>
      </w:r>
      <w:r>
        <w:rPr>
          <w:rFonts w:ascii="Times New Roman" w:cs="Times New Roman" w:eastAsia="Times New Roman" w:hAnsi="Times New Roman"/>
          <w:sz w:val="21"/>
          <w:szCs w:val="21"/>
          <w:color w:val="33343B"/>
        </w:rPr>
        <w:t>to receive a whistleblower award or bounty for</w:t>
      </w:r>
      <w:r>
        <w:rPr>
          <w:rFonts w:ascii="Times New Roman" w:cs="Times New Roman" w:eastAsia="Times New Roman" w:hAnsi="Times New Roman"/>
          <w:sz w:val="21"/>
          <w:szCs w:val="21"/>
          <w:color w:val="1D1D24"/>
        </w:rPr>
        <w:t xml:space="preserve"> information </w:t>
      </w:r>
      <w:r>
        <w:rPr>
          <w:rFonts w:ascii="Times New Roman" w:cs="Times New Roman" w:eastAsia="Times New Roman" w:hAnsi="Times New Roman"/>
          <w:sz w:val="21"/>
          <w:szCs w:val="21"/>
          <w:color w:val="33343B"/>
        </w:rPr>
        <w:t>provided to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143510</wp:posOffset>
            </wp:positionV>
            <wp:extent cx="2863215" cy="5740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286321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840" w:right="240"/>
        <w:spacing w:after="0" w:line="255" w:lineRule="auto"/>
        <w:rPr>
          <w:sz w:val="20"/>
          <w:szCs w:val="20"/>
          <w:color w:val="auto"/>
        </w:rPr>
      </w:pPr>
      <w:r>
        <w:rPr>
          <w:rFonts w:ascii="Times New Roman" w:cs="Times New Roman" w:eastAsia="Times New Roman" w:hAnsi="Times New Roman"/>
          <w:sz w:val="21"/>
          <w:szCs w:val="21"/>
          <w:color w:val="4F4F56"/>
        </w:rPr>
        <w:t>Commission. Nothing in this Agreement any other ag</w:t>
      </w:r>
      <w:r>
        <w:rPr>
          <w:rFonts w:ascii="Times New Roman" w:cs="Times New Roman" w:eastAsia="Times New Roman" w:hAnsi="Times New Roman"/>
          <w:sz w:val="21"/>
          <w:szCs w:val="21"/>
          <w:color w:val="1F2126"/>
        </w:rPr>
        <w:t>r</w:t>
      </w:r>
      <w:r>
        <w:rPr>
          <w:rFonts w:ascii="Times New Roman" w:cs="Times New Roman" w:eastAsia="Times New Roman" w:hAnsi="Times New Roman"/>
          <w:sz w:val="21"/>
          <w:szCs w:val="21"/>
          <w:color w:val="4F4F56"/>
        </w:rPr>
        <w:t>eem</w:t>
      </w:r>
      <w:r>
        <w:rPr>
          <w:rFonts w:ascii="Times New Roman" w:cs="Times New Roman" w:eastAsia="Times New Roman" w:hAnsi="Times New Roman"/>
          <w:sz w:val="21"/>
          <w:szCs w:val="21"/>
          <w:color w:val="1F2126"/>
        </w:rPr>
        <w:t>e</w:t>
      </w:r>
      <w:r>
        <w:rPr>
          <w:rFonts w:ascii="Times New Roman" w:cs="Times New Roman" w:eastAsia="Times New Roman" w:hAnsi="Times New Roman"/>
          <w:sz w:val="21"/>
          <w:szCs w:val="21"/>
          <w:color w:val="4F4F56"/>
        </w:rPr>
        <w:t xml:space="preserve">nt prevents you from </w:t>
      </w:r>
      <w:r>
        <w:rPr>
          <w:rFonts w:ascii="Times New Roman" w:cs="Times New Roman" w:eastAsia="Times New Roman" w:hAnsi="Times New Roman"/>
          <w:sz w:val="21"/>
          <w:szCs w:val="21"/>
          <w:color w:val="3B3B42"/>
        </w:rPr>
        <w:t>discussing</w:t>
      </w:r>
      <w:r>
        <w:rPr>
          <w:rFonts w:ascii="Times New Roman" w:cs="Times New Roman" w:eastAsia="Times New Roman" w:hAnsi="Times New Roman"/>
          <w:sz w:val="21"/>
          <w:szCs w:val="21"/>
          <w:color w:val="4F4F56"/>
        </w:rPr>
        <w:t xml:space="preserve"> or disclosing information about unlawfu</w:t>
      </w:r>
      <w:r>
        <w:rPr>
          <w:rFonts w:ascii="Times New Roman" w:cs="Times New Roman" w:eastAsia="Times New Roman" w:hAnsi="Times New Roman"/>
          <w:sz w:val="21"/>
          <w:szCs w:val="21"/>
          <w:color w:val="1F2126"/>
        </w:rPr>
        <w:t>l</w:t>
      </w:r>
      <w:r>
        <w:rPr>
          <w:rFonts w:ascii="Times New Roman" w:cs="Times New Roman" w:eastAsia="Times New Roman" w:hAnsi="Times New Roman"/>
          <w:sz w:val="21"/>
          <w:szCs w:val="21"/>
          <w:color w:val="4F4F56"/>
        </w:rPr>
        <w:t xml:space="preserve"> acts </w:t>
      </w:r>
      <w:r>
        <w:rPr>
          <w:rFonts w:ascii="Times New Roman" w:cs="Times New Roman" w:eastAsia="Times New Roman" w:hAnsi="Times New Roman"/>
          <w:sz w:val="21"/>
          <w:szCs w:val="21"/>
          <w:color w:val="3B3B42"/>
        </w:rPr>
        <w:t>in</w:t>
      </w:r>
      <w:r>
        <w:rPr>
          <w:rFonts w:ascii="Times New Roman" w:cs="Times New Roman" w:eastAsia="Times New Roman" w:hAnsi="Times New Roman"/>
          <w:sz w:val="21"/>
          <w:szCs w:val="21"/>
          <w:color w:val="4F4F56"/>
        </w:rPr>
        <w:t xml:space="preserve"> the workplace, such </w:t>
      </w:r>
      <w:r>
        <w:rPr>
          <w:rFonts w:ascii="Times New Roman" w:cs="Times New Roman" w:eastAsia="Times New Roman" w:hAnsi="Times New Roman"/>
          <w:sz w:val="21"/>
          <w:szCs w:val="21"/>
          <w:color w:val="3B3B42"/>
        </w:rPr>
        <w:t>as harassment</w:t>
      </w:r>
      <w:r>
        <w:rPr>
          <w:rFonts w:ascii="Times New Roman" w:cs="Times New Roman" w:eastAsia="Times New Roman" w:hAnsi="Times New Roman"/>
          <w:sz w:val="21"/>
          <w:szCs w:val="21"/>
          <w:color w:val="4F4F56"/>
        </w:rPr>
        <w:t xml:space="preserve"> or </w:t>
      </w:r>
      <w:r>
        <w:rPr>
          <w:rFonts w:ascii="Times New Roman" w:cs="Times New Roman" w:eastAsia="Times New Roman" w:hAnsi="Times New Roman"/>
          <w:sz w:val="21"/>
          <w:szCs w:val="21"/>
          <w:color w:val="3B3B42"/>
        </w:rPr>
        <w:t>discrimination or</w:t>
      </w:r>
      <w:r>
        <w:rPr>
          <w:rFonts w:ascii="Times New Roman" w:cs="Times New Roman" w:eastAsia="Times New Roman" w:hAnsi="Times New Roman"/>
          <w:sz w:val="21"/>
          <w:szCs w:val="21"/>
          <w:color w:val="4F4F56"/>
        </w:rPr>
        <w:t xml:space="preserve"> any </w:t>
      </w:r>
      <w:r>
        <w:rPr>
          <w:rFonts w:ascii="Times New Roman" w:cs="Times New Roman" w:eastAsia="Times New Roman" w:hAnsi="Times New Roman"/>
          <w:sz w:val="21"/>
          <w:szCs w:val="21"/>
          <w:color w:val="3B3B42"/>
        </w:rPr>
        <w:t>othe</w:t>
      </w:r>
      <w:r>
        <w:rPr>
          <w:rFonts w:ascii="Times New Roman" w:cs="Times New Roman" w:eastAsia="Times New Roman" w:hAnsi="Times New Roman"/>
          <w:sz w:val="21"/>
          <w:szCs w:val="21"/>
          <w:color w:val="1F2126"/>
        </w:rPr>
        <w:t>r</w:t>
      </w:r>
      <w:r>
        <w:rPr>
          <w:rFonts w:ascii="Times New Roman" w:cs="Times New Roman" w:eastAsia="Times New Roman" w:hAnsi="Times New Roman"/>
          <w:sz w:val="21"/>
          <w:szCs w:val="21"/>
          <w:color w:val="4F4F56"/>
        </w:rPr>
        <w:t xml:space="preserve"> conduct </w:t>
      </w:r>
      <w:r>
        <w:rPr>
          <w:rFonts w:ascii="Times New Roman" w:cs="Times New Roman" w:eastAsia="Times New Roman" w:hAnsi="Times New Roman"/>
          <w:sz w:val="21"/>
          <w:szCs w:val="21"/>
          <w:color w:val="3B3B42"/>
        </w:rPr>
        <w:t>that y</w:t>
      </w:r>
      <w:r>
        <w:rPr>
          <w:rFonts w:ascii="Times New Roman" w:cs="Times New Roman" w:eastAsia="Times New Roman" w:hAnsi="Times New Roman"/>
          <w:sz w:val="21"/>
          <w:szCs w:val="21"/>
          <w:color w:val="1F2126"/>
        </w:rPr>
        <w:t>o</w:t>
      </w:r>
      <w:r>
        <w:rPr>
          <w:rFonts w:ascii="Times New Roman" w:cs="Times New Roman" w:eastAsia="Times New Roman" w:hAnsi="Times New Roman"/>
          <w:sz w:val="21"/>
          <w:szCs w:val="21"/>
          <w:color w:val="3B3B42"/>
        </w:rPr>
        <w:t>u have reason</w:t>
      </w:r>
      <w:r>
        <w:rPr>
          <w:rFonts w:ascii="Times New Roman" w:cs="Times New Roman" w:eastAsia="Times New Roman" w:hAnsi="Times New Roman"/>
          <w:sz w:val="21"/>
          <w:szCs w:val="21"/>
          <w:color w:val="4F4F56"/>
        </w:rPr>
        <w:t xml:space="preserve"> </w:t>
      </w:r>
      <w:r>
        <w:rPr>
          <w:rFonts w:ascii="Times New Roman" w:cs="Times New Roman" w:eastAsia="Times New Roman" w:hAnsi="Times New Roman"/>
          <w:sz w:val="21"/>
          <w:szCs w:val="21"/>
          <w:color w:val="3B3B42"/>
        </w:rPr>
        <w:t xml:space="preserve">to believe </w:t>
      </w:r>
      <w:r>
        <w:rPr>
          <w:rFonts w:ascii="Times New Roman" w:cs="Times New Roman" w:eastAsia="Times New Roman" w:hAnsi="Times New Roman"/>
          <w:sz w:val="21"/>
          <w:szCs w:val="21"/>
          <w:color w:val="4F4F56"/>
        </w:rPr>
        <w:t>is unlawful.</w:t>
      </w:r>
    </w:p>
    <w:p>
      <w:pPr>
        <w:spacing w:after="0" w:line="214" w:lineRule="exact"/>
        <w:rPr>
          <w:sz w:val="20"/>
          <w:szCs w:val="20"/>
          <w:color w:val="auto"/>
        </w:rPr>
      </w:pPr>
    </w:p>
    <w:p>
      <w:pPr>
        <w:ind w:left="880" w:hanging="742"/>
        <w:spacing w:after="0"/>
        <w:tabs>
          <w:tab w:leader="none" w:pos="880" w:val="left"/>
        </w:tabs>
        <w:numPr>
          <w:ilvl w:val="0"/>
          <w:numId w:val="82"/>
        </w:numPr>
        <w:rPr>
          <w:rFonts w:ascii="Times New Roman" w:cs="Times New Roman" w:eastAsia="Times New Roman" w:hAnsi="Times New Roman"/>
          <w:sz w:val="21"/>
          <w:szCs w:val="21"/>
          <w:b w:val="1"/>
          <w:bCs w:val="1"/>
          <w:color w:val="1F2126"/>
        </w:rPr>
      </w:pPr>
      <w:r>
        <w:rPr>
          <w:rFonts w:ascii="Times New Roman" w:cs="Times New Roman" w:eastAsia="Times New Roman" w:hAnsi="Times New Roman"/>
          <w:sz w:val="21"/>
          <w:szCs w:val="21"/>
          <w:b w:val="1"/>
          <w:bCs w:val="1"/>
          <w:color w:val="1F2126"/>
        </w:rPr>
        <w:t>O</w:t>
      </w:r>
      <w:r>
        <w:rPr>
          <w:rFonts w:ascii="Times New Roman" w:cs="Times New Roman" w:eastAsia="Times New Roman" w:hAnsi="Times New Roman"/>
          <w:sz w:val="21"/>
          <w:szCs w:val="21"/>
          <w:b w:val="1"/>
          <w:bCs w:val="1"/>
          <w:color w:val="3B3B42"/>
        </w:rPr>
        <w:t>t</w:t>
      </w:r>
      <w:r>
        <w:rPr>
          <w:rFonts w:ascii="Times New Roman" w:cs="Times New Roman" w:eastAsia="Times New Roman" w:hAnsi="Times New Roman"/>
          <w:sz w:val="21"/>
          <w:szCs w:val="21"/>
          <w:b w:val="1"/>
          <w:bCs w:val="1"/>
          <w:color w:val="1F2126"/>
        </w:rPr>
        <w:t>h</w:t>
      </w:r>
      <w:r>
        <w:rPr>
          <w:rFonts w:ascii="Times New Roman" w:cs="Times New Roman" w:eastAsia="Times New Roman" w:hAnsi="Times New Roman"/>
          <w:sz w:val="21"/>
          <w:szCs w:val="21"/>
          <w:b w:val="1"/>
          <w:bCs w:val="1"/>
          <w:color w:val="3B3B42"/>
        </w:rPr>
        <w:t>e</w:t>
      </w:r>
      <w:r>
        <w:rPr>
          <w:rFonts w:ascii="Times New Roman" w:cs="Times New Roman" w:eastAsia="Times New Roman" w:hAnsi="Times New Roman"/>
          <w:sz w:val="21"/>
          <w:szCs w:val="21"/>
          <w:b w:val="1"/>
          <w:bCs w:val="1"/>
          <w:color w:val="1F2126"/>
        </w:rPr>
        <w:t>r Pro</w:t>
      </w:r>
      <w:r>
        <w:rPr>
          <w:rFonts w:ascii="Times New Roman" w:cs="Times New Roman" w:eastAsia="Times New Roman" w:hAnsi="Times New Roman"/>
          <w:sz w:val="21"/>
          <w:szCs w:val="21"/>
          <w:b w:val="1"/>
          <w:bCs w:val="1"/>
          <w:color w:val="3B3B42"/>
        </w:rPr>
        <w:t>vis</w:t>
      </w:r>
      <w:r>
        <w:rPr>
          <w:rFonts w:ascii="Times New Roman" w:cs="Times New Roman" w:eastAsia="Times New Roman" w:hAnsi="Times New Roman"/>
          <w:sz w:val="21"/>
          <w:szCs w:val="21"/>
          <w:b w:val="1"/>
          <w:bCs w:val="1"/>
          <w:color w:val="1F2126"/>
        </w:rPr>
        <w:t>ions</w:t>
      </w:r>
    </w:p>
    <w:p>
      <w:pPr>
        <w:spacing w:after="0" w:line="238" w:lineRule="exact"/>
        <w:rPr>
          <w:rFonts w:ascii="Times New Roman" w:cs="Times New Roman" w:eastAsia="Times New Roman" w:hAnsi="Times New Roman"/>
          <w:sz w:val="21"/>
          <w:szCs w:val="21"/>
          <w:b w:val="1"/>
          <w:bCs w:val="1"/>
          <w:color w:val="1F2126"/>
        </w:rPr>
      </w:pPr>
    </w:p>
    <w:p>
      <w:pPr>
        <w:ind w:left="880" w:right="920" w:firstLine="741"/>
        <w:spacing w:after="0" w:line="294" w:lineRule="auto"/>
        <w:tabs>
          <w:tab w:leader="none" w:pos="2345" w:val="left"/>
        </w:tabs>
        <w:numPr>
          <w:ilvl w:val="1"/>
          <w:numId w:val="82"/>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3B3B42"/>
        </w:rPr>
        <w:t>A</w:t>
      </w:r>
      <w:r>
        <w:rPr>
          <w:rFonts w:ascii="Times New Roman" w:cs="Times New Roman" w:eastAsia="Times New Roman" w:hAnsi="Times New Roman"/>
          <w:sz w:val="21"/>
          <w:szCs w:val="21"/>
          <w:b w:val="1"/>
          <w:bCs w:val="1"/>
          <w:color w:val="1F2126"/>
        </w:rPr>
        <w:t>b</w:t>
      </w:r>
      <w:r>
        <w:rPr>
          <w:rFonts w:ascii="Times New Roman" w:cs="Times New Roman" w:eastAsia="Times New Roman" w:hAnsi="Times New Roman"/>
          <w:sz w:val="21"/>
          <w:szCs w:val="21"/>
          <w:b w:val="1"/>
          <w:bCs w:val="1"/>
          <w:color w:val="3B3B42"/>
        </w:rPr>
        <w:t>se</w:t>
      </w:r>
      <w:r>
        <w:rPr>
          <w:rFonts w:ascii="Times New Roman" w:cs="Times New Roman" w:eastAsia="Times New Roman" w:hAnsi="Times New Roman"/>
          <w:sz w:val="21"/>
          <w:szCs w:val="21"/>
          <w:b w:val="1"/>
          <w:bCs w:val="1"/>
          <w:color w:val="1F2126"/>
        </w:rPr>
        <w:t>n</w:t>
      </w:r>
      <w:r>
        <w:rPr>
          <w:rFonts w:ascii="Times New Roman" w:cs="Times New Roman" w:eastAsia="Times New Roman" w:hAnsi="Times New Roman"/>
          <w:sz w:val="21"/>
          <w:szCs w:val="21"/>
          <w:b w:val="1"/>
          <w:bCs w:val="1"/>
          <w:color w:val="3B3B42"/>
        </w:rPr>
        <w:t>c</w:t>
      </w:r>
      <w:r>
        <w:rPr>
          <w:rFonts w:ascii="Times New Roman" w:cs="Times New Roman" w:eastAsia="Times New Roman" w:hAnsi="Times New Roman"/>
          <w:sz w:val="21"/>
          <w:szCs w:val="21"/>
          <w:b w:val="1"/>
          <w:bCs w:val="1"/>
          <w:color w:val="1F2126"/>
        </w:rPr>
        <w:t>e</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2"/>
          <w:szCs w:val="22"/>
          <w:b w:val="1"/>
          <w:bCs w:val="1"/>
          <w:color w:val="1F2126"/>
        </w:rPr>
        <w:t>of</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b w:val="1"/>
          <w:bCs w:val="1"/>
          <w:color w:val="1F2126"/>
        </w:rPr>
        <w:t>Relianc</w:t>
      </w:r>
      <w:r>
        <w:rPr>
          <w:rFonts w:ascii="Times New Roman" w:cs="Times New Roman" w:eastAsia="Times New Roman" w:hAnsi="Times New Roman"/>
          <w:sz w:val="21"/>
          <w:szCs w:val="21"/>
          <w:b w:val="1"/>
          <w:bCs w:val="1"/>
          <w:color w:val="3B3B42"/>
        </w:rPr>
        <w:t xml:space="preserve">e. </w:t>
      </w:r>
      <w:r>
        <w:rPr>
          <w:rFonts w:ascii="Times New Roman" w:cs="Times New Roman" w:eastAsia="Times New Roman" w:hAnsi="Times New Roman"/>
          <w:sz w:val="21"/>
          <w:szCs w:val="21"/>
          <w:color w:val="4F4F56"/>
        </w:rPr>
        <w:t>In</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signing this Agreement, you are</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3B3B42"/>
        </w:rPr>
        <w:t>not</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relying upon any</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3B3B42"/>
        </w:rPr>
        <w:t>promises</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or</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 xml:space="preserve">representations made by anyone at or on </w:t>
      </w:r>
      <w:r>
        <w:rPr>
          <w:rFonts w:ascii="Times New Roman" w:cs="Times New Roman" w:eastAsia="Times New Roman" w:hAnsi="Times New Roman"/>
          <w:sz w:val="21"/>
          <w:szCs w:val="21"/>
          <w:color w:val="3B3B42"/>
        </w:rPr>
        <w:t>behalf</w:t>
      </w:r>
      <w:r>
        <w:rPr>
          <w:rFonts w:ascii="Times New Roman" w:cs="Times New Roman" w:eastAsia="Times New Roman" w:hAnsi="Times New Roman"/>
          <w:sz w:val="21"/>
          <w:szCs w:val="21"/>
          <w:color w:val="4F4F56"/>
        </w:rPr>
        <w:t xml:space="preserve"> of </w:t>
      </w:r>
      <w:r>
        <w:rPr>
          <w:rFonts w:ascii="Times New Roman" w:cs="Times New Roman" w:eastAsia="Times New Roman" w:hAnsi="Times New Roman"/>
          <w:sz w:val="21"/>
          <w:szCs w:val="21"/>
          <w:color w:val="3B3B42"/>
        </w:rPr>
        <w:t>the</w:t>
      </w:r>
      <w:r>
        <w:rPr>
          <w:rFonts w:ascii="Times New Roman" w:cs="Times New Roman" w:eastAsia="Times New Roman" w:hAnsi="Times New Roman"/>
          <w:sz w:val="21"/>
          <w:szCs w:val="21"/>
          <w:color w:val="4F4F56"/>
        </w:rPr>
        <w:t xml:space="preserve"> Company.</w:t>
      </w:r>
    </w:p>
    <w:p>
      <w:pPr>
        <w:spacing w:after="0" w:line="150" w:lineRule="exact"/>
        <w:rPr>
          <w:rFonts w:ascii="Times New Roman" w:cs="Times New Roman" w:eastAsia="Times New Roman" w:hAnsi="Times New Roman"/>
          <w:sz w:val="21"/>
          <w:szCs w:val="21"/>
          <w:color w:val="505259"/>
        </w:rPr>
      </w:pPr>
    </w:p>
    <w:p>
      <w:pPr>
        <w:ind w:left="880" w:right="520" w:firstLine="726"/>
        <w:spacing w:after="0" w:line="267" w:lineRule="auto"/>
        <w:tabs>
          <w:tab w:leader="none" w:pos="2322" w:val="left"/>
        </w:tabs>
        <w:numPr>
          <w:ilvl w:val="1"/>
          <w:numId w:val="82"/>
        </w:numPr>
        <w:rPr>
          <w:rFonts w:ascii="Times New Roman" w:cs="Times New Roman" w:eastAsia="Times New Roman" w:hAnsi="Times New Roman"/>
          <w:sz w:val="21"/>
          <w:szCs w:val="21"/>
          <w:color w:val="505259"/>
        </w:rPr>
      </w:pPr>
      <w:r>
        <w:rPr>
          <w:rFonts w:ascii="Times New Roman" w:cs="Times New Roman" w:eastAsia="Times New Roman" w:hAnsi="Times New Roman"/>
          <w:sz w:val="22"/>
          <w:szCs w:val="22"/>
          <w:b w:val="1"/>
          <w:bCs w:val="1"/>
          <w:color w:val="1F2126"/>
        </w:rPr>
        <w:t xml:space="preserve">No </w:t>
      </w:r>
      <w:r>
        <w:rPr>
          <w:rFonts w:ascii="Times New Roman" w:cs="Times New Roman" w:eastAsia="Times New Roman" w:hAnsi="Times New Roman"/>
          <w:sz w:val="20"/>
          <w:szCs w:val="20"/>
          <w:b w:val="1"/>
          <w:bCs w:val="1"/>
          <w:color w:val="1F2126"/>
        </w:rPr>
        <w:t>Admi</w:t>
      </w:r>
      <w:r>
        <w:rPr>
          <w:rFonts w:ascii="Times New Roman" w:cs="Times New Roman" w:eastAsia="Times New Roman" w:hAnsi="Times New Roman"/>
          <w:sz w:val="20"/>
          <w:szCs w:val="20"/>
          <w:b w:val="1"/>
          <w:bCs w:val="1"/>
          <w:color w:val="3B3B42"/>
        </w:rPr>
        <w:t>ss</w:t>
      </w:r>
      <w:r>
        <w:rPr>
          <w:rFonts w:ascii="Times New Roman" w:cs="Times New Roman" w:eastAsia="Times New Roman" w:hAnsi="Times New Roman"/>
          <w:sz w:val="20"/>
          <w:szCs w:val="20"/>
          <w:b w:val="1"/>
          <w:bCs w:val="1"/>
          <w:color w:val="1F2126"/>
        </w:rPr>
        <w:t>ion</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2"/>
          <w:szCs w:val="22"/>
          <w:b w:val="1"/>
          <w:bCs w:val="1"/>
          <w:color w:val="3B3B42"/>
        </w:rPr>
        <w:t>o</w:t>
      </w:r>
      <w:r>
        <w:rPr>
          <w:rFonts w:ascii="Times New Roman" w:cs="Times New Roman" w:eastAsia="Times New Roman" w:hAnsi="Times New Roman"/>
          <w:sz w:val="22"/>
          <w:szCs w:val="22"/>
          <w:b w:val="1"/>
          <w:bCs w:val="1"/>
          <w:color w:val="1F2126"/>
        </w:rPr>
        <w:t xml:space="preserve">f </w:t>
      </w:r>
      <w:r>
        <w:rPr>
          <w:rFonts w:ascii="Times New Roman" w:cs="Times New Roman" w:eastAsia="Times New Roman" w:hAnsi="Times New Roman"/>
          <w:sz w:val="20"/>
          <w:szCs w:val="20"/>
          <w:b w:val="1"/>
          <w:bCs w:val="1"/>
          <w:color w:val="3B3B42"/>
        </w:rPr>
        <w:t>L</w:t>
      </w:r>
      <w:r>
        <w:rPr>
          <w:rFonts w:ascii="Times New Roman" w:cs="Times New Roman" w:eastAsia="Times New Roman" w:hAnsi="Times New Roman"/>
          <w:sz w:val="20"/>
          <w:szCs w:val="20"/>
          <w:b w:val="1"/>
          <w:bCs w:val="1"/>
          <w:color w:val="1F2126"/>
        </w:rPr>
        <w:t>iabili</w:t>
      </w:r>
      <w:r>
        <w:rPr>
          <w:rFonts w:ascii="Times New Roman" w:cs="Times New Roman" w:eastAsia="Times New Roman" w:hAnsi="Times New Roman"/>
          <w:sz w:val="20"/>
          <w:szCs w:val="20"/>
          <w:b w:val="1"/>
          <w:bCs w:val="1"/>
          <w:color w:val="3B3B42"/>
        </w:rPr>
        <w:t>ty.</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4F4F56"/>
        </w:rPr>
        <w:t>This Agreement</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3B3B42"/>
        </w:rPr>
        <w:t>does not const</w:t>
      </w:r>
      <w:r>
        <w:rPr>
          <w:rFonts w:ascii="Times New Roman" w:cs="Times New Roman" w:eastAsia="Times New Roman" w:hAnsi="Times New Roman"/>
          <w:sz w:val="20"/>
          <w:szCs w:val="20"/>
          <w:color w:val="1F2126"/>
        </w:rPr>
        <w:t>i</w:t>
      </w:r>
      <w:r>
        <w:rPr>
          <w:rFonts w:ascii="Times New Roman" w:cs="Times New Roman" w:eastAsia="Times New Roman" w:hAnsi="Times New Roman"/>
          <w:sz w:val="20"/>
          <w:szCs w:val="20"/>
          <w:color w:val="4F4F56"/>
        </w:rPr>
        <w:t>tute</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3B3B42"/>
        </w:rPr>
        <w:t>an</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4F4F56"/>
        </w:rPr>
        <w:t>admiss</w:t>
      </w:r>
      <w:r>
        <w:rPr>
          <w:rFonts w:ascii="Times New Roman" w:cs="Times New Roman" w:eastAsia="Times New Roman" w:hAnsi="Times New Roman"/>
          <w:sz w:val="20"/>
          <w:szCs w:val="20"/>
          <w:color w:val="1F2126"/>
        </w:rPr>
        <w:t>i</w:t>
      </w:r>
      <w:r>
        <w:rPr>
          <w:rFonts w:ascii="Times New Roman" w:cs="Times New Roman" w:eastAsia="Times New Roman" w:hAnsi="Times New Roman"/>
          <w:sz w:val="20"/>
          <w:szCs w:val="20"/>
          <w:color w:val="3B3B42"/>
        </w:rPr>
        <w:t>on</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4F4F56"/>
        </w:rPr>
        <w:t>of liability or</w:t>
      </w:r>
      <w:r>
        <w:rPr>
          <w:rFonts w:ascii="Times New Roman" w:cs="Times New Roman" w:eastAsia="Times New Roman" w:hAnsi="Times New Roman"/>
          <w:sz w:val="22"/>
          <w:szCs w:val="22"/>
          <w:b w:val="1"/>
          <w:bCs w:val="1"/>
          <w:color w:val="1F2126"/>
        </w:rPr>
        <w:t xml:space="preserve"> </w:t>
      </w:r>
      <w:r>
        <w:rPr>
          <w:rFonts w:ascii="Times New Roman" w:cs="Times New Roman" w:eastAsia="Times New Roman" w:hAnsi="Times New Roman"/>
          <w:sz w:val="20"/>
          <w:szCs w:val="20"/>
          <w:color w:val="4F4F56"/>
        </w:rPr>
        <w:t xml:space="preserve">wrongdoing on the part of </w:t>
      </w:r>
      <w:r>
        <w:rPr>
          <w:rFonts w:ascii="Times New Roman" w:cs="Times New Roman" w:eastAsia="Times New Roman" w:hAnsi="Times New Roman"/>
          <w:sz w:val="20"/>
          <w:szCs w:val="20"/>
          <w:color w:val="3B3B42"/>
        </w:rPr>
        <w:t>the</w:t>
      </w:r>
      <w:r>
        <w:rPr>
          <w:rFonts w:ascii="Times New Roman" w:cs="Times New Roman" w:eastAsia="Times New Roman" w:hAnsi="Times New Roman"/>
          <w:sz w:val="20"/>
          <w:szCs w:val="20"/>
          <w:color w:val="4F4F56"/>
        </w:rPr>
        <w:t xml:space="preserve"> Company</w:t>
      </w:r>
      <w:r>
        <w:rPr>
          <w:rFonts w:ascii="Times New Roman" w:cs="Times New Roman" w:eastAsia="Times New Roman" w:hAnsi="Times New Roman"/>
          <w:sz w:val="20"/>
          <w:szCs w:val="20"/>
          <w:color w:val="6D6E72"/>
        </w:rPr>
        <w:t>,</w:t>
      </w:r>
      <w:r>
        <w:rPr>
          <w:rFonts w:ascii="Times New Roman" w:cs="Times New Roman" w:eastAsia="Times New Roman" w:hAnsi="Times New Roman"/>
          <w:sz w:val="20"/>
          <w:szCs w:val="20"/>
          <w:color w:val="4F4F56"/>
        </w:rPr>
        <w:t xml:space="preserve"> the </w:t>
      </w:r>
      <w:r>
        <w:rPr>
          <w:rFonts w:ascii="Times New Roman" w:cs="Times New Roman" w:eastAsia="Times New Roman" w:hAnsi="Times New Roman"/>
          <w:sz w:val="20"/>
          <w:szCs w:val="20"/>
          <w:color w:val="3B3B42"/>
        </w:rPr>
        <w:t>Company</w:t>
      </w:r>
      <w:r>
        <w:rPr>
          <w:rFonts w:ascii="Times New Roman" w:cs="Times New Roman" w:eastAsia="Times New Roman" w:hAnsi="Times New Roman"/>
          <w:sz w:val="20"/>
          <w:szCs w:val="20"/>
          <w:color w:val="4F4F56"/>
        </w:rPr>
        <w:t xml:space="preserve"> does not admit there has been any wrongdoing whatsoever against you, and the Company </w:t>
      </w:r>
      <w:r>
        <w:rPr>
          <w:rFonts w:ascii="Times New Roman" w:cs="Times New Roman" w:eastAsia="Times New Roman" w:hAnsi="Times New Roman"/>
          <w:sz w:val="20"/>
          <w:szCs w:val="20"/>
          <w:color w:val="3B3B42"/>
        </w:rPr>
        <w:t>expressly denies that</w:t>
      </w:r>
      <w:r>
        <w:rPr>
          <w:rFonts w:ascii="Times New Roman" w:cs="Times New Roman" w:eastAsia="Times New Roman" w:hAnsi="Times New Roman"/>
          <w:sz w:val="20"/>
          <w:szCs w:val="20"/>
          <w:color w:val="4F4F56"/>
        </w:rPr>
        <w:t xml:space="preserve"> any </w:t>
      </w:r>
      <w:r>
        <w:rPr>
          <w:rFonts w:ascii="Times New Roman" w:cs="Times New Roman" w:eastAsia="Times New Roman" w:hAnsi="Times New Roman"/>
          <w:sz w:val="20"/>
          <w:szCs w:val="20"/>
          <w:color w:val="3B3B42"/>
        </w:rPr>
        <w:t>wrongdoing has</w:t>
      </w:r>
      <w:r>
        <w:rPr>
          <w:rFonts w:ascii="Times New Roman" w:cs="Times New Roman" w:eastAsia="Times New Roman" w:hAnsi="Times New Roman"/>
          <w:sz w:val="20"/>
          <w:szCs w:val="20"/>
          <w:color w:val="4F4F56"/>
        </w:rPr>
        <w:t xml:space="preserve"> occurred.</w:t>
      </w:r>
    </w:p>
    <w:p>
      <w:pPr>
        <w:spacing w:after="0" w:line="159" w:lineRule="exact"/>
        <w:rPr>
          <w:rFonts w:ascii="Times New Roman" w:cs="Times New Roman" w:eastAsia="Times New Roman" w:hAnsi="Times New Roman"/>
          <w:sz w:val="21"/>
          <w:szCs w:val="21"/>
          <w:color w:val="505259"/>
        </w:rPr>
      </w:pPr>
    </w:p>
    <w:p>
      <w:pPr>
        <w:ind w:left="880" w:right="80" w:firstLine="740"/>
        <w:spacing w:after="0" w:line="251" w:lineRule="auto"/>
        <w:tabs>
          <w:tab w:leader="none" w:pos="2333" w:val="left"/>
        </w:tabs>
        <w:numPr>
          <w:ilvl w:val="1"/>
          <w:numId w:val="82"/>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3B3B42"/>
        </w:rPr>
        <w:t>E</w:t>
      </w:r>
      <w:r>
        <w:rPr>
          <w:rFonts w:ascii="Times New Roman" w:cs="Times New Roman" w:eastAsia="Times New Roman" w:hAnsi="Times New Roman"/>
          <w:sz w:val="21"/>
          <w:szCs w:val="21"/>
          <w:b w:val="1"/>
          <w:bCs w:val="1"/>
          <w:color w:val="1F2126"/>
        </w:rPr>
        <w:t>nt</w:t>
      </w:r>
      <w:r>
        <w:rPr>
          <w:rFonts w:ascii="Times New Roman" w:cs="Times New Roman" w:eastAsia="Times New Roman" w:hAnsi="Times New Roman"/>
          <w:sz w:val="21"/>
          <w:szCs w:val="21"/>
          <w:b w:val="1"/>
          <w:bCs w:val="1"/>
          <w:color w:val="3B3B42"/>
        </w:rPr>
        <w:t>ire Ag</w:t>
      </w:r>
      <w:r>
        <w:rPr>
          <w:rFonts w:ascii="Times New Roman" w:cs="Times New Roman" w:eastAsia="Times New Roman" w:hAnsi="Times New Roman"/>
          <w:sz w:val="21"/>
          <w:szCs w:val="21"/>
          <w:b w:val="1"/>
          <w:bCs w:val="1"/>
          <w:color w:val="1F2126"/>
        </w:rPr>
        <w:t>r</w:t>
      </w:r>
      <w:r>
        <w:rPr>
          <w:rFonts w:ascii="Times New Roman" w:cs="Times New Roman" w:eastAsia="Times New Roman" w:hAnsi="Times New Roman"/>
          <w:sz w:val="21"/>
          <w:szCs w:val="21"/>
          <w:b w:val="1"/>
          <w:bCs w:val="1"/>
          <w:color w:val="3B3B42"/>
        </w:rPr>
        <w:t>eeme</w:t>
      </w:r>
      <w:r>
        <w:rPr>
          <w:rFonts w:ascii="Times New Roman" w:cs="Times New Roman" w:eastAsia="Times New Roman" w:hAnsi="Times New Roman"/>
          <w:sz w:val="21"/>
          <w:szCs w:val="21"/>
          <w:b w:val="1"/>
          <w:bCs w:val="1"/>
          <w:color w:val="1F2126"/>
        </w:rPr>
        <w:t>nt.</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This Agreement, together with</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3B3B42"/>
        </w:rPr>
        <w:t>the Restrictive</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Covenants Agreement</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constitutes</w:t>
      </w:r>
      <w:r>
        <w:rPr>
          <w:rFonts w:ascii="Times New Roman" w:cs="Times New Roman" w:eastAsia="Times New Roman" w:hAnsi="Times New Roman"/>
          <w:sz w:val="21"/>
          <w:szCs w:val="21"/>
          <w:b w:val="1"/>
          <w:bCs w:val="1"/>
          <w:color w:val="3B3B42"/>
        </w:rPr>
        <w:t xml:space="preserve"> </w:t>
      </w:r>
      <w:r>
        <w:rPr>
          <w:rFonts w:ascii="Times New Roman" w:cs="Times New Roman" w:eastAsia="Times New Roman" w:hAnsi="Times New Roman"/>
          <w:sz w:val="21"/>
          <w:szCs w:val="21"/>
          <w:color w:val="4F4F56"/>
        </w:rPr>
        <w:t xml:space="preserve">the entire agreement </w:t>
      </w:r>
      <w:r>
        <w:rPr>
          <w:rFonts w:ascii="Times New Roman" w:cs="Times New Roman" w:eastAsia="Times New Roman" w:hAnsi="Times New Roman"/>
          <w:sz w:val="21"/>
          <w:szCs w:val="21"/>
          <w:color w:val="3B3B42"/>
        </w:rPr>
        <w:t>between</w:t>
      </w:r>
      <w:r>
        <w:rPr>
          <w:rFonts w:ascii="Times New Roman" w:cs="Times New Roman" w:eastAsia="Times New Roman" w:hAnsi="Times New Roman"/>
          <w:sz w:val="21"/>
          <w:szCs w:val="21"/>
          <w:color w:val="4F4F56"/>
        </w:rPr>
        <w:t xml:space="preserve"> you and the </w:t>
      </w:r>
      <w:r>
        <w:rPr>
          <w:rFonts w:ascii="Times New Roman" w:cs="Times New Roman" w:eastAsia="Times New Roman" w:hAnsi="Times New Roman"/>
          <w:sz w:val="21"/>
          <w:szCs w:val="21"/>
          <w:color w:val="3B3B42"/>
        </w:rPr>
        <w:t>Company and</w:t>
      </w:r>
      <w:r>
        <w:rPr>
          <w:rFonts w:ascii="Times New Roman" w:cs="Times New Roman" w:eastAsia="Times New Roman" w:hAnsi="Times New Roman"/>
          <w:sz w:val="21"/>
          <w:szCs w:val="21"/>
          <w:color w:val="4F4F56"/>
        </w:rPr>
        <w:t xml:space="preserve"> supersedes </w:t>
      </w:r>
      <w:r>
        <w:rPr>
          <w:rFonts w:ascii="Times New Roman" w:cs="Times New Roman" w:eastAsia="Times New Roman" w:hAnsi="Times New Roman"/>
          <w:sz w:val="21"/>
          <w:szCs w:val="21"/>
          <w:color w:val="3B3B42"/>
        </w:rPr>
        <w:t>any previous agreements</w:t>
      </w:r>
      <w:r>
        <w:rPr>
          <w:rFonts w:ascii="Times New Roman" w:cs="Times New Roman" w:eastAsia="Times New Roman" w:hAnsi="Times New Roman"/>
          <w:sz w:val="21"/>
          <w:szCs w:val="21"/>
          <w:color w:val="4F4F56"/>
        </w:rPr>
        <w:t xml:space="preserve"> or </w:t>
      </w:r>
      <w:r>
        <w:rPr>
          <w:rFonts w:ascii="Times New Roman" w:cs="Times New Roman" w:eastAsia="Times New Roman" w:hAnsi="Times New Roman"/>
          <w:sz w:val="21"/>
          <w:szCs w:val="21"/>
          <w:color w:val="3B3B42"/>
        </w:rPr>
        <w:t>understandings</w:t>
      </w:r>
      <w:r>
        <w:rPr>
          <w:rFonts w:ascii="Times New Roman" w:cs="Times New Roman" w:eastAsia="Times New Roman" w:hAnsi="Times New Roman"/>
          <w:sz w:val="21"/>
          <w:szCs w:val="21"/>
          <w:color w:val="4F4F56"/>
        </w:rPr>
        <w:t xml:space="preserve"> </w:t>
      </w:r>
      <w:r>
        <w:rPr>
          <w:rFonts w:ascii="Times New Roman" w:cs="Times New Roman" w:eastAsia="Times New Roman" w:hAnsi="Times New Roman"/>
          <w:sz w:val="21"/>
          <w:szCs w:val="21"/>
          <w:color w:val="3B3B42"/>
        </w:rPr>
        <w:t xml:space="preserve">between you </w:t>
      </w:r>
      <w:r>
        <w:rPr>
          <w:rFonts w:ascii="Times New Roman" w:cs="Times New Roman" w:eastAsia="Times New Roman" w:hAnsi="Times New Roman"/>
          <w:sz w:val="21"/>
          <w:szCs w:val="21"/>
          <w:color w:val="4F4F56"/>
        </w:rPr>
        <w:t>and</w:t>
      </w:r>
      <w:r>
        <w:rPr>
          <w:rFonts w:ascii="Times New Roman" w:cs="Times New Roman" w:eastAsia="Times New Roman" w:hAnsi="Times New Roman"/>
          <w:sz w:val="21"/>
          <w:szCs w:val="21"/>
          <w:color w:val="3B3B42"/>
        </w:rPr>
        <w:t xml:space="preserve"> the </w:t>
      </w:r>
      <w:r>
        <w:rPr>
          <w:rFonts w:ascii="Times New Roman" w:cs="Times New Roman" w:eastAsia="Times New Roman" w:hAnsi="Times New Roman"/>
          <w:sz w:val="21"/>
          <w:szCs w:val="21"/>
          <w:color w:val="4F4F56"/>
        </w:rPr>
        <w:t>Company, including</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4F56"/>
        </w:rPr>
        <w:t>without limitation, the</w:t>
      </w:r>
      <w:r>
        <w:rPr>
          <w:rFonts w:ascii="Times New Roman" w:cs="Times New Roman" w:eastAsia="Times New Roman" w:hAnsi="Times New Roman"/>
          <w:sz w:val="21"/>
          <w:szCs w:val="21"/>
          <w:color w:val="3B3B42"/>
        </w:rPr>
        <w:t xml:space="preserve"> Employment Agreement; </w:t>
      </w:r>
      <w:r>
        <w:rPr>
          <w:rFonts w:ascii="Times New Roman" w:cs="Times New Roman" w:eastAsia="Times New Roman" w:hAnsi="Times New Roman"/>
          <w:sz w:val="21"/>
          <w:szCs w:val="21"/>
          <w:color w:val="4F4F56"/>
        </w:rPr>
        <w:t>provided,</w:t>
      </w:r>
      <w:r>
        <w:rPr>
          <w:rFonts w:ascii="Times New Roman" w:cs="Times New Roman" w:eastAsia="Times New Roman" w:hAnsi="Times New Roman"/>
          <w:sz w:val="21"/>
          <w:szCs w:val="21"/>
          <w:color w:val="3B3B42"/>
        </w:rPr>
        <w:t xml:space="preserve"> however, </w:t>
      </w:r>
      <w:r>
        <w:rPr>
          <w:rFonts w:ascii="Times New Roman" w:cs="Times New Roman" w:eastAsia="Times New Roman" w:hAnsi="Times New Roman"/>
          <w:sz w:val="21"/>
          <w:szCs w:val="21"/>
          <w:color w:val="4F4F56"/>
        </w:rPr>
        <w:t>that the</w:t>
      </w:r>
      <w:r>
        <w:rPr>
          <w:rFonts w:ascii="Times New Roman" w:cs="Times New Roman" w:eastAsia="Times New Roman" w:hAnsi="Times New Roman"/>
          <w:sz w:val="21"/>
          <w:szCs w:val="21"/>
          <w:color w:val="3B3B42"/>
        </w:rPr>
        <w:t xml:space="preserve"> Equity Documents remain in full </w:t>
      </w:r>
      <w:r>
        <w:rPr>
          <w:rFonts w:ascii="Times New Roman" w:cs="Times New Roman" w:eastAsia="Times New Roman" w:hAnsi="Times New Roman"/>
          <w:sz w:val="21"/>
          <w:szCs w:val="21"/>
          <w:color w:val="4F4F56"/>
        </w:rPr>
        <w:t>force and effect, subject to the terms of this</w:t>
      </w:r>
      <w:r>
        <w:rPr>
          <w:rFonts w:ascii="Times New Roman" w:cs="Times New Roman" w:eastAsia="Times New Roman" w:hAnsi="Times New Roman"/>
          <w:sz w:val="21"/>
          <w:szCs w:val="21"/>
          <w:color w:val="3B3B42"/>
        </w:rPr>
        <w:t xml:space="preserve"> Agreement.</w:t>
      </w:r>
    </w:p>
    <w:p>
      <w:pPr>
        <w:spacing w:after="0" w:line="134" w:lineRule="exact"/>
        <w:rPr>
          <w:rFonts w:ascii="Times New Roman" w:cs="Times New Roman" w:eastAsia="Times New Roman" w:hAnsi="Times New Roman"/>
          <w:sz w:val="21"/>
          <w:szCs w:val="21"/>
          <w:color w:val="505259"/>
        </w:rPr>
      </w:pPr>
    </w:p>
    <w:p>
      <w:pPr>
        <w:ind w:left="900" w:firstLine="750"/>
        <w:spacing w:after="0" w:line="268" w:lineRule="auto"/>
        <w:tabs>
          <w:tab w:leader="none" w:pos="2367" w:val="left"/>
        </w:tabs>
        <w:numPr>
          <w:ilvl w:val="2"/>
          <w:numId w:val="82"/>
        </w:numPr>
        <w:rPr>
          <w:rFonts w:ascii="Times New Roman" w:cs="Times New Roman" w:eastAsia="Times New Roman" w:hAnsi="Times New Roman"/>
          <w:sz w:val="20"/>
          <w:szCs w:val="20"/>
          <w:color w:val="505259"/>
        </w:rPr>
      </w:pPr>
      <w:r>
        <w:rPr>
          <w:rFonts w:ascii="Times New Roman" w:cs="Times New Roman" w:eastAsia="Times New Roman" w:hAnsi="Times New Roman"/>
          <w:sz w:val="20"/>
          <w:szCs w:val="20"/>
          <w:b w:val="1"/>
          <w:bCs w:val="1"/>
          <w:color w:val="3B3B42"/>
        </w:rPr>
        <w:t>Seve</w:t>
      </w:r>
      <w:r>
        <w:rPr>
          <w:rFonts w:ascii="Times New Roman" w:cs="Times New Roman" w:eastAsia="Times New Roman" w:hAnsi="Times New Roman"/>
          <w:sz w:val="20"/>
          <w:szCs w:val="20"/>
          <w:b w:val="1"/>
          <w:bCs w:val="1"/>
          <w:color w:val="1F2126"/>
        </w:rPr>
        <w:t>r</w:t>
      </w:r>
      <w:r>
        <w:rPr>
          <w:rFonts w:ascii="Times New Roman" w:cs="Times New Roman" w:eastAsia="Times New Roman" w:hAnsi="Times New Roman"/>
          <w:sz w:val="20"/>
          <w:szCs w:val="20"/>
          <w:b w:val="1"/>
          <w:bCs w:val="1"/>
          <w:color w:val="3B3B42"/>
        </w:rPr>
        <w:t>a</w:t>
      </w:r>
      <w:r>
        <w:rPr>
          <w:rFonts w:ascii="Times New Roman" w:cs="Times New Roman" w:eastAsia="Times New Roman" w:hAnsi="Times New Roman"/>
          <w:sz w:val="20"/>
          <w:szCs w:val="20"/>
          <w:b w:val="1"/>
          <w:bCs w:val="1"/>
          <w:color w:val="1F2126"/>
        </w:rPr>
        <w:t>bili</w:t>
      </w:r>
      <w:r>
        <w:rPr>
          <w:rFonts w:ascii="Times New Roman" w:cs="Times New Roman" w:eastAsia="Times New Roman" w:hAnsi="Times New Roman"/>
          <w:sz w:val="20"/>
          <w:szCs w:val="20"/>
          <w:b w:val="1"/>
          <w:bCs w:val="1"/>
          <w:color w:val="3B3B42"/>
        </w:rPr>
        <w:t xml:space="preserve">ty. </w:t>
      </w:r>
      <w:r>
        <w:rPr>
          <w:rFonts w:ascii="Times New Roman" w:cs="Times New Roman" w:eastAsia="Times New Roman" w:hAnsi="Times New Roman"/>
          <w:sz w:val="21"/>
          <w:szCs w:val="21"/>
          <w:color w:val="4F4F56"/>
        </w:rPr>
        <w:t>If</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4F4F56"/>
        </w:rPr>
        <w:t>any portion or provision</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3B3B42"/>
        </w:rPr>
        <w:t>of this</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4F4F56"/>
        </w:rPr>
        <w:t>Agreement (including</w:t>
      </w:r>
      <w:r>
        <w:rPr>
          <w:rFonts w:ascii="Times New Roman" w:cs="Times New Roman" w:eastAsia="Times New Roman" w:hAnsi="Times New Roman"/>
          <w:sz w:val="20"/>
          <w:szCs w:val="20"/>
          <w:color w:val="6D6E72"/>
        </w:rPr>
        <w:t>,</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4F4F56"/>
        </w:rPr>
        <w:t>without</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3B3B42"/>
        </w:rPr>
        <w:t>limitation,</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4F4F56"/>
        </w:rPr>
        <w:t>any portion</w:t>
      </w:r>
      <w:r>
        <w:rPr>
          <w:rFonts w:ascii="Times New Roman" w:cs="Times New Roman" w:eastAsia="Times New Roman" w:hAnsi="Times New Roman"/>
          <w:sz w:val="20"/>
          <w:szCs w:val="20"/>
          <w:b w:val="1"/>
          <w:bCs w:val="1"/>
          <w:color w:val="3B3B42"/>
        </w:rPr>
        <w:t xml:space="preserve"> </w:t>
      </w:r>
      <w:r>
        <w:rPr>
          <w:rFonts w:ascii="Times New Roman" w:cs="Times New Roman" w:eastAsia="Times New Roman" w:hAnsi="Times New Roman"/>
          <w:sz w:val="20"/>
          <w:szCs w:val="20"/>
          <w:color w:val="4F4F56"/>
        </w:rPr>
        <w:t xml:space="preserve">or provision of </w:t>
      </w:r>
      <w:r>
        <w:rPr>
          <w:rFonts w:ascii="Times New Roman" w:cs="Times New Roman" w:eastAsia="Times New Roman" w:hAnsi="Times New Roman"/>
          <w:sz w:val="20"/>
          <w:szCs w:val="20"/>
          <w:color w:val="3B3B42"/>
        </w:rPr>
        <w:t>any</w:t>
      </w:r>
      <w:r>
        <w:rPr>
          <w:rFonts w:ascii="Times New Roman" w:cs="Times New Roman" w:eastAsia="Times New Roman" w:hAnsi="Times New Roman"/>
          <w:sz w:val="20"/>
          <w:szCs w:val="20"/>
          <w:color w:val="4F4F56"/>
        </w:rPr>
        <w:t xml:space="preserve"> section of </w:t>
      </w:r>
      <w:r>
        <w:rPr>
          <w:rFonts w:ascii="Times New Roman" w:cs="Times New Roman" w:eastAsia="Times New Roman" w:hAnsi="Times New Roman"/>
          <w:sz w:val="20"/>
          <w:szCs w:val="20"/>
          <w:color w:val="3B3B42"/>
        </w:rPr>
        <w:t>this</w:t>
      </w:r>
      <w:r>
        <w:rPr>
          <w:rFonts w:ascii="Times New Roman" w:cs="Times New Roman" w:eastAsia="Times New Roman" w:hAnsi="Times New Roman"/>
          <w:sz w:val="20"/>
          <w:szCs w:val="20"/>
          <w:color w:val="4F4F56"/>
        </w:rPr>
        <w:t xml:space="preserve"> Agreement) shall to any extent </w:t>
      </w:r>
      <w:r>
        <w:rPr>
          <w:rFonts w:ascii="Times New Roman" w:cs="Times New Roman" w:eastAsia="Times New Roman" w:hAnsi="Times New Roman"/>
          <w:sz w:val="20"/>
          <w:szCs w:val="20"/>
          <w:color w:val="3B3B42"/>
        </w:rPr>
        <w:t>be declared illegal or unenforceable by a court</w:t>
      </w:r>
      <w:r>
        <w:rPr>
          <w:rFonts w:ascii="Times New Roman" w:cs="Times New Roman" w:eastAsia="Times New Roman" w:hAnsi="Times New Roman"/>
          <w:sz w:val="20"/>
          <w:szCs w:val="20"/>
          <w:color w:val="4F4F56"/>
        </w:rPr>
        <w:t xml:space="preserve"> of </w:t>
      </w:r>
      <w:r>
        <w:rPr>
          <w:rFonts w:ascii="Times New Roman" w:cs="Times New Roman" w:eastAsia="Times New Roman" w:hAnsi="Times New Roman"/>
          <w:sz w:val="20"/>
          <w:szCs w:val="20"/>
          <w:color w:val="3B3B42"/>
        </w:rPr>
        <w:t xml:space="preserve">competent </w:t>
      </w:r>
      <w:r>
        <w:rPr>
          <w:rFonts w:ascii="Times New Roman" w:cs="Times New Roman" w:eastAsia="Times New Roman" w:hAnsi="Times New Roman"/>
          <w:sz w:val="20"/>
          <w:szCs w:val="20"/>
          <w:color w:val="4F4F56"/>
        </w:rPr>
        <w:t>jurisdiction,</w:t>
      </w:r>
      <w:r>
        <w:rPr>
          <w:rFonts w:ascii="Times New Roman" w:cs="Times New Roman" w:eastAsia="Times New Roman" w:hAnsi="Times New Roman"/>
          <w:sz w:val="20"/>
          <w:szCs w:val="20"/>
          <w:color w:val="3B3B42"/>
        </w:rPr>
        <w:t xml:space="preserve"> then the </w:t>
      </w:r>
      <w:r>
        <w:rPr>
          <w:rFonts w:ascii="Times New Roman" w:cs="Times New Roman" w:eastAsia="Times New Roman" w:hAnsi="Times New Roman"/>
          <w:sz w:val="20"/>
          <w:szCs w:val="20"/>
          <w:color w:val="4F4F56"/>
        </w:rPr>
        <w:t>remainder of this</w:t>
      </w:r>
      <w:r>
        <w:rPr>
          <w:rFonts w:ascii="Times New Roman" w:cs="Times New Roman" w:eastAsia="Times New Roman" w:hAnsi="Times New Roman"/>
          <w:sz w:val="20"/>
          <w:szCs w:val="20"/>
          <w:color w:val="3B3B42"/>
        </w:rPr>
        <w:t xml:space="preserve"> Agreement, </w:t>
      </w:r>
      <w:r>
        <w:rPr>
          <w:rFonts w:ascii="Times New Roman" w:cs="Times New Roman" w:eastAsia="Times New Roman" w:hAnsi="Times New Roman"/>
          <w:sz w:val="20"/>
          <w:szCs w:val="20"/>
          <w:color w:val="4F4F56"/>
        </w:rPr>
        <w:t>or the application of such portion or</w:t>
      </w:r>
      <w:r>
        <w:rPr>
          <w:rFonts w:ascii="Times New Roman" w:cs="Times New Roman" w:eastAsia="Times New Roman" w:hAnsi="Times New Roman"/>
          <w:sz w:val="20"/>
          <w:szCs w:val="20"/>
          <w:color w:val="3B3B42"/>
        </w:rPr>
        <w:t xml:space="preserve"> provision in </w:t>
      </w:r>
      <w:r>
        <w:rPr>
          <w:rFonts w:ascii="Times New Roman" w:cs="Times New Roman" w:eastAsia="Times New Roman" w:hAnsi="Times New Roman"/>
          <w:sz w:val="20"/>
          <w:szCs w:val="20"/>
          <w:color w:val="4F4F56"/>
        </w:rPr>
        <w:t xml:space="preserve">circumstances </w:t>
      </w:r>
      <w:r>
        <w:rPr>
          <w:rFonts w:ascii="Times New Roman" w:cs="Times New Roman" w:eastAsia="Times New Roman" w:hAnsi="Times New Roman"/>
          <w:sz w:val="20"/>
          <w:szCs w:val="20"/>
          <w:color w:val="3B3B42"/>
        </w:rPr>
        <w:t>other</w:t>
      </w:r>
      <w:r>
        <w:rPr>
          <w:rFonts w:ascii="Times New Roman" w:cs="Times New Roman" w:eastAsia="Times New Roman" w:hAnsi="Times New Roman"/>
          <w:sz w:val="20"/>
          <w:szCs w:val="20"/>
          <w:color w:val="4F4F56"/>
        </w:rPr>
        <w:t xml:space="preserve"> than those as to which </w:t>
      </w:r>
      <w:r>
        <w:rPr>
          <w:rFonts w:ascii="Times New Roman" w:cs="Times New Roman" w:eastAsia="Times New Roman" w:hAnsi="Times New Roman"/>
          <w:sz w:val="20"/>
          <w:szCs w:val="20"/>
          <w:color w:val="3B3B42"/>
        </w:rPr>
        <w:t>it</w:t>
      </w:r>
      <w:r>
        <w:rPr>
          <w:rFonts w:ascii="Times New Roman" w:cs="Times New Roman" w:eastAsia="Times New Roman" w:hAnsi="Times New Roman"/>
          <w:sz w:val="20"/>
          <w:szCs w:val="20"/>
          <w:color w:val="4F4F56"/>
        </w:rPr>
        <w:t xml:space="preserve"> is so declared </w:t>
      </w:r>
      <w:r>
        <w:rPr>
          <w:rFonts w:ascii="Times New Roman" w:cs="Times New Roman" w:eastAsia="Times New Roman" w:hAnsi="Times New Roman"/>
          <w:sz w:val="20"/>
          <w:szCs w:val="20"/>
          <w:color w:val="3B3B42"/>
        </w:rPr>
        <w:t>illegal or unenforceable,</w:t>
      </w:r>
      <w:r>
        <w:rPr>
          <w:rFonts w:ascii="Times New Roman" w:cs="Times New Roman" w:eastAsia="Times New Roman" w:hAnsi="Times New Roman"/>
          <w:sz w:val="20"/>
          <w:szCs w:val="20"/>
          <w:color w:val="4F4F56"/>
        </w:rPr>
        <w:t xml:space="preserve"> shall </w:t>
      </w:r>
      <w:r>
        <w:rPr>
          <w:rFonts w:ascii="Times New Roman" w:cs="Times New Roman" w:eastAsia="Times New Roman" w:hAnsi="Times New Roman"/>
          <w:sz w:val="20"/>
          <w:szCs w:val="20"/>
          <w:color w:val="3B3B42"/>
        </w:rPr>
        <w:t>not</w:t>
      </w:r>
      <w:r>
        <w:rPr>
          <w:rFonts w:ascii="Times New Roman" w:cs="Times New Roman" w:eastAsia="Times New Roman" w:hAnsi="Times New Roman"/>
          <w:sz w:val="20"/>
          <w:szCs w:val="20"/>
          <w:color w:val="4F4F56"/>
        </w:rPr>
        <w:t xml:space="preserve"> be </w:t>
      </w:r>
      <w:r>
        <w:rPr>
          <w:rFonts w:ascii="Times New Roman" w:cs="Times New Roman" w:eastAsia="Times New Roman" w:hAnsi="Times New Roman"/>
          <w:sz w:val="20"/>
          <w:szCs w:val="20"/>
          <w:color w:val="3B3B42"/>
        </w:rPr>
        <w:t>affected</w:t>
      </w:r>
      <w:r>
        <w:rPr>
          <w:rFonts w:ascii="Times New Roman" w:cs="Times New Roman" w:eastAsia="Times New Roman" w:hAnsi="Times New Roman"/>
          <w:sz w:val="20"/>
          <w:szCs w:val="20"/>
          <w:color w:val="4F4F56"/>
        </w:rPr>
        <w:t xml:space="preserve"> thereby, and each portion and </w:t>
      </w:r>
      <w:r>
        <w:rPr>
          <w:rFonts w:ascii="Times New Roman" w:cs="Times New Roman" w:eastAsia="Times New Roman" w:hAnsi="Times New Roman"/>
          <w:sz w:val="20"/>
          <w:szCs w:val="20"/>
          <w:color w:val="3B3B42"/>
        </w:rPr>
        <w:t>provision</w:t>
      </w:r>
      <w:r>
        <w:rPr>
          <w:rFonts w:ascii="Times New Roman" w:cs="Times New Roman" w:eastAsia="Times New Roman" w:hAnsi="Times New Roman"/>
          <w:sz w:val="20"/>
          <w:szCs w:val="20"/>
          <w:color w:val="4F4F56"/>
        </w:rPr>
        <w:t xml:space="preserve"> of this Agreement shall </w:t>
      </w:r>
      <w:r>
        <w:rPr>
          <w:rFonts w:ascii="Times New Roman" w:cs="Times New Roman" w:eastAsia="Times New Roman" w:hAnsi="Times New Roman"/>
          <w:sz w:val="20"/>
          <w:szCs w:val="20"/>
          <w:color w:val="3B3B42"/>
        </w:rPr>
        <w:t>be</w:t>
      </w:r>
      <w:r>
        <w:rPr>
          <w:rFonts w:ascii="Times New Roman" w:cs="Times New Roman" w:eastAsia="Times New Roman" w:hAnsi="Times New Roman"/>
          <w:sz w:val="20"/>
          <w:szCs w:val="20"/>
          <w:color w:val="4F4F56"/>
        </w:rPr>
        <w:t xml:space="preserve"> valid and enforceable </w:t>
      </w:r>
      <w:r>
        <w:rPr>
          <w:rFonts w:ascii="Times New Roman" w:cs="Times New Roman" w:eastAsia="Times New Roman" w:hAnsi="Times New Roman"/>
          <w:sz w:val="20"/>
          <w:szCs w:val="20"/>
          <w:color w:val="3B3B42"/>
        </w:rPr>
        <w:t>to</w:t>
      </w:r>
      <w:r>
        <w:rPr>
          <w:rFonts w:ascii="Times New Roman" w:cs="Times New Roman" w:eastAsia="Times New Roman" w:hAnsi="Times New Roman"/>
          <w:sz w:val="20"/>
          <w:szCs w:val="20"/>
          <w:color w:val="4F4F56"/>
        </w:rPr>
        <w:t xml:space="preserve"> the fullest extent </w:t>
      </w:r>
      <w:r>
        <w:rPr>
          <w:rFonts w:ascii="Times New Roman" w:cs="Times New Roman" w:eastAsia="Times New Roman" w:hAnsi="Times New Roman"/>
          <w:sz w:val="20"/>
          <w:szCs w:val="20"/>
          <w:color w:val="3B3B42"/>
        </w:rPr>
        <w:t>permitted by law.</w:t>
      </w:r>
    </w:p>
    <w:p>
      <w:pPr>
        <w:spacing w:after="0" w:line="150" w:lineRule="exact"/>
        <w:rPr>
          <w:rFonts w:ascii="Times New Roman" w:cs="Times New Roman" w:eastAsia="Times New Roman" w:hAnsi="Times New Roman"/>
          <w:sz w:val="20"/>
          <w:szCs w:val="20"/>
          <w:color w:val="505259"/>
        </w:rPr>
      </w:pPr>
    </w:p>
    <w:p>
      <w:pPr>
        <w:ind w:left="900" w:firstLine="750"/>
        <w:spacing w:after="0" w:line="247" w:lineRule="auto"/>
        <w:tabs>
          <w:tab w:leader="none" w:pos="2368" w:val="left"/>
        </w:tabs>
        <w:numPr>
          <w:ilvl w:val="2"/>
          <w:numId w:val="82"/>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1F2126"/>
        </w:rPr>
        <w:t>R</w:t>
      </w:r>
      <w:r>
        <w:rPr>
          <w:rFonts w:ascii="Times New Roman" w:cs="Times New Roman" w:eastAsia="Times New Roman" w:hAnsi="Times New Roman"/>
          <w:sz w:val="21"/>
          <w:szCs w:val="21"/>
          <w:b w:val="1"/>
          <w:bCs w:val="1"/>
          <w:color w:val="3B3B42"/>
        </w:rPr>
        <w:t>e</w:t>
      </w:r>
      <w:r>
        <w:rPr>
          <w:rFonts w:ascii="Times New Roman" w:cs="Times New Roman" w:eastAsia="Times New Roman" w:hAnsi="Times New Roman"/>
          <w:sz w:val="21"/>
          <w:szCs w:val="21"/>
          <w:b w:val="1"/>
          <w:bCs w:val="1"/>
          <w:color w:val="1F2126"/>
        </w:rPr>
        <w:t>li</w:t>
      </w:r>
      <w:r>
        <w:rPr>
          <w:rFonts w:ascii="Times New Roman" w:cs="Times New Roman" w:eastAsia="Times New Roman" w:hAnsi="Times New Roman"/>
          <w:sz w:val="21"/>
          <w:szCs w:val="21"/>
          <w:b w:val="1"/>
          <w:bCs w:val="1"/>
          <w:color w:val="3B3B42"/>
        </w:rPr>
        <w:t>ef.</w:t>
      </w:r>
      <w:r>
        <w:rPr>
          <w:rFonts w:ascii="Times New Roman" w:cs="Times New Roman" w:eastAsia="Times New Roman" w:hAnsi="Times New Roman"/>
          <w:sz w:val="21"/>
          <w:szCs w:val="21"/>
          <w:b w:val="1"/>
          <w:bCs w:val="1"/>
          <w:color w:val="1F2126"/>
        </w:rPr>
        <w:t xml:space="preserve"> </w:t>
      </w:r>
      <w:r>
        <w:rPr>
          <w:rFonts w:ascii="Times New Roman" w:cs="Times New Roman" w:eastAsia="Times New Roman" w:hAnsi="Times New Roman"/>
          <w:sz w:val="21"/>
          <w:szCs w:val="21"/>
          <w:color w:val="4F4F56"/>
        </w:rPr>
        <w:t>You agree that it would be difficult</w:t>
      </w:r>
      <w:r>
        <w:rPr>
          <w:rFonts w:ascii="Times New Roman" w:cs="Times New Roman" w:eastAsia="Times New Roman" w:hAnsi="Times New Roman"/>
          <w:sz w:val="21"/>
          <w:szCs w:val="21"/>
          <w:b w:val="1"/>
          <w:bCs w:val="1"/>
          <w:color w:val="1F2126"/>
        </w:rPr>
        <w:t xml:space="preserve"> </w:t>
      </w:r>
      <w:r>
        <w:rPr>
          <w:rFonts w:ascii="Times New Roman" w:cs="Times New Roman" w:eastAsia="Times New Roman" w:hAnsi="Times New Roman"/>
          <w:sz w:val="21"/>
          <w:szCs w:val="21"/>
          <w:color w:val="3B3B42"/>
        </w:rPr>
        <w:t>to</w:t>
      </w:r>
      <w:r>
        <w:rPr>
          <w:rFonts w:ascii="Times New Roman" w:cs="Times New Roman" w:eastAsia="Times New Roman" w:hAnsi="Times New Roman"/>
          <w:sz w:val="21"/>
          <w:szCs w:val="21"/>
          <w:b w:val="1"/>
          <w:bCs w:val="1"/>
          <w:color w:val="1F2126"/>
        </w:rPr>
        <w:t xml:space="preserve"> </w:t>
      </w:r>
      <w:r>
        <w:rPr>
          <w:rFonts w:ascii="Times New Roman" w:cs="Times New Roman" w:eastAsia="Times New Roman" w:hAnsi="Times New Roman"/>
          <w:sz w:val="21"/>
          <w:szCs w:val="21"/>
          <w:color w:val="4F4F56"/>
        </w:rPr>
        <w:t>measure any harm caused to the Company that</w:t>
      </w:r>
      <w:r>
        <w:rPr>
          <w:rFonts w:ascii="Times New Roman" w:cs="Times New Roman" w:eastAsia="Times New Roman" w:hAnsi="Times New Roman"/>
          <w:sz w:val="21"/>
          <w:szCs w:val="21"/>
          <w:b w:val="1"/>
          <w:bCs w:val="1"/>
          <w:color w:val="1F2126"/>
        </w:rPr>
        <w:t xml:space="preserve"> </w:t>
      </w:r>
      <w:r>
        <w:rPr>
          <w:rFonts w:ascii="Times New Roman" w:cs="Times New Roman" w:eastAsia="Times New Roman" w:hAnsi="Times New Roman"/>
          <w:sz w:val="21"/>
          <w:szCs w:val="21"/>
          <w:color w:val="3B3B42"/>
        </w:rPr>
        <w:t>might</w:t>
      </w:r>
      <w:r>
        <w:rPr>
          <w:rFonts w:ascii="Times New Roman" w:cs="Times New Roman" w:eastAsia="Times New Roman" w:hAnsi="Times New Roman"/>
          <w:sz w:val="21"/>
          <w:szCs w:val="21"/>
          <w:b w:val="1"/>
          <w:bCs w:val="1"/>
          <w:color w:val="1F2126"/>
        </w:rPr>
        <w:t xml:space="preserve"> </w:t>
      </w:r>
      <w:r>
        <w:rPr>
          <w:rFonts w:ascii="Times New Roman" w:cs="Times New Roman" w:eastAsia="Times New Roman" w:hAnsi="Times New Roman"/>
          <w:sz w:val="21"/>
          <w:szCs w:val="21"/>
          <w:color w:val="3B3B42"/>
        </w:rPr>
        <w:t xml:space="preserve">result </w:t>
      </w:r>
      <w:r>
        <w:rPr>
          <w:rFonts w:ascii="Times New Roman" w:cs="Times New Roman" w:eastAsia="Times New Roman" w:hAnsi="Times New Roman"/>
          <w:sz w:val="21"/>
          <w:szCs w:val="21"/>
          <w:color w:val="4F4F56"/>
        </w:rPr>
        <w:t>from</w:t>
      </w:r>
      <w:r>
        <w:rPr>
          <w:rFonts w:ascii="Times New Roman" w:cs="Times New Roman" w:eastAsia="Times New Roman" w:hAnsi="Times New Roman"/>
          <w:sz w:val="21"/>
          <w:szCs w:val="21"/>
          <w:color w:val="3B3B42"/>
        </w:rPr>
        <w:t xml:space="preserve"> any </w:t>
      </w:r>
      <w:r>
        <w:rPr>
          <w:rFonts w:ascii="Times New Roman" w:cs="Times New Roman" w:eastAsia="Times New Roman" w:hAnsi="Times New Roman"/>
          <w:sz w:val="21"/>
          <w:szCs w:val="21"/>
          <w:color w:val="4F4F56"/>
        </w:rPr>
        <w:t>breach</w:t>
      </w:r>
      <w:r>
        <w:rPr>
          <w:rFonts w:ascii="Times New Roman" w:cs="Times New Roman" w:eastAsia="Times New Roman" w:hAnsi="Times New Roman"/>
          <w:sz w:val="21"/>
          <w:szCs w:val="21"/>
          <w:color w:val="3B3B42"/>
        </w:rPr>
        <w:t xml:space="preserve"> by you of any </w:t>
      </w:r>
      <w:r>
        <w:rPr>
          <w:rFonts w:ascii="Times New Roman" w:cs="Times New Roman" w:eastAsia="Times New Roman" w:hAnsi="Times New Roman"/>
          <w:sz w:val="21"/>
          <w:szCs w:val="21"/>
          <w:color w:val="4F4F56"/>
        </w:rPr>
        <w:t>of</w:t>
      </w:r>
      <w:r>
        <w:rPr>
          <w:rFonts w:ascii="Times New Roman" w:cs="Times New Roman" w:eastAsia="Times New Roman" w:hAnsi="Times New Roman"/>
          <w:sz w:val="21"/>
          <w:szCs w:val="21"/>
          <w:color w:val="3B3B42"/>
        </w:rPr>
        <w:t xml:space="preserve"> the Contin</w:t>
      </w:r>
      <w:r>
        <w:rPr>
          <w:rFonts w:ascii="Times New Roman" w:cs="Times New Roman" w:eastAsia="Times New Roman" w:hAnsi="Times New Roman"/>
          <w:sz w:val="21"/>
          <w:szCs w:val="21"/>
          <w:color w:val="1F2126"/>
        </w:rPr>
        <w:t>u</w:t>
      </w:r>
      <w:r>
        <w:rPr>
          <w:rFonts w:ascii="Times New Roman" w:cs="Times New Roman" w:eastAsia="Times New Roman" w:hAnsi="Times New Roman"/>
          <w:sz w:val="21"/>
          <w:szCs w:val="21"/>
          <w:color w:val="3B3B42"/>
        </w:rPr>
        <w:t xml:space="preserve">ing Obligations. </w:t>
      </w:r>
      <w:r>
        <w:rPr>
          <w:rFonts w:ascii="Times New Roman" w:cs="Times New Roman" w:eastAsia="Times New Roman" w:hAnsi="Times New Roman"/>
          <w:sz w:val="21"/>
          <w:szCs w:val="21"/>
          <w:color w:val="4F4F56"/>
        </w:rPr>
        <w:t>You further agree</w:t>
      </w:r>
      <w:r>
        <w:rPr>
          <w:rFonts w:ascii="Times New Roman" w:cs="Times New Roman" w:eastAsia="Times New Roman" w:hAnsi="Times New Roman"/>
          <w:sz w:val="21"/>
          <w:szCs w:val="21"/>
          <w:color w:val="3B3B42"/>
        </w:rPr>
        <w:t xml:space="preserve"> that money </w:t>
      </w:r>
      <w:r>
        <w:rPr>
          <w:rFonts w:ascii="Times New Roman" w:cs="Times New Roman" w:eastAsia="Times New Roman" w:hAnsi="Times New Roman"/>
          <w:sz w:val="21"/>
          <w:szCs w:val="21"/>
          <w:color w:val="4F4F56"/>
        </w:rPr>
        <w:t>damages would be</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4F56"/>
        </w:rPr>
        <w:t xml:space="preserve">an </w:t>
      </w:r>
      <w:r>
        <w:rPr>
          <w:rFonts w:ascii="Times New Roman" w:cs="Times New Roman" w:eastAsia="Times New Roman" w:hAnsi="Times New Roman"/>
          <w:sz w:val="21"/>
          <w:szCs w:val="21"/>
          <w:color w:val="3B3B42"/>
        </w:rPr>
        <w:t>inadequate remedy</w:t>
      </w:r>
      <w:r>
        <w:rPr>
          <w:rFonts w:ascii="Times New Roman" w:cs="Times New Roman" w:eastAsia="Times New Roman" w:hAnsi="Times New Roman"/>
          <w:sz w:val="21"/>
          <w:szCs w:val="21"/>
          <w:color w:val="4F4F56"/>
        </w:rPr>
        <w:t xml:space="preserve"> for any breach of the Continuing Obligations. Accordingly, you agree that if you </w:t>
      </w:r>
      <w:r>
        <w:rPr>
          <w:rFonts w:ascii="Times New Roman" w:cs="Times New Roman" w:eastAsia="Times New Roman" w:hAnsi="Times New Roman"/>
          <w:sz w:val="21"/>
          <w:szCs w:val="21"/>
          <w:color w:val="3B3B42"/>
        </w:rPr>
        <w:t>breach</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F4F56"/>
        </w:rPr>
        <w:t xml:space="preserve"> or propose </w:t>
      </w:r>
      <w:r>
        <w:rPr>
          <w:rFonts w:ascii="Times New Roman" w:cs="Times New Roman" w:eastAsia="Times New Roman" w:hAnsi="Times New Roman"/>
          <w:sz w:val="21"/>
          <w:szCs w:val="21"/>
          <w:color w:val="3B3B42"/>
        </w:rPr>
        <w:t>to</w:t>
      </w:r>
      <w:r>
        <w:rPr>
          <w:rFonts w:ascii="Times New Roman" w:cs="Times New Roman" w:eastAsia="Times New Roman" w:hAnsi="Times New Roman"/>
          <w:sz w:val="21"/>
          <w:szCs w:val="21"/>
          <w:color w:val="4F4F56"/>
        </w:rPr>
        <w:t xml:space="preserve"> breach, any portion of the Continuing </w:t>
      </w:r>
      <w:r>
        <w:rPr>
          <w:rFonts w:ascii="Times New Roman" w:cs="Times New Roman" w:eastAsia="Times New Roman" w:hAnsi="Times New Roman"/>
          <w:sz w:val="21"/>
          <w:szCs w:val="21"/>
          <w:color w:val="3B3B42"/>
        </w:rPr>
        <w:t>Obligations,</w:t>
      </w:r>
      <w:r>
        <w:rPr>
          <w:rFonts w:ascii="Times New Roman" w:cs="Times New Roman" w:eastAsia="Times New Roman" w:hAnsi="Times New Roman"/>
          <w:sz w:val="21"/>
          <w:szCs w:val="21"/>
          <w:color w:val="4F4F56"/>
        </w:rPr>
        <w:t xml:space="preserve"> the Company shall be </w:t>
      </w:r>
      <w:r>
        <w:rPr>
          <w:rFonts w:ascii="Times New Roman" w:cs="Times New Roman" w:eastAsia="Times New Roman" w:hAnsi="Times New Roman"/>
          <w:sz w:val="21"/>
          <w:szCs w:val="21"/>
          <w:color w:val="3B3B42"/>
        </w:rPr>
        <w:t>entitled, in</w:t>
      </w:r>
      <w:r>
        <w:rPr>
          <w:rFonts w:ascii="Times New Roman" w:cs="Times New Roman" w:eastAsia="Times New Roman" w:hAnsi="Times New Roman"/>
          <w:sz w:val="21"/>
          <w:szCs w:val="21"/>
          <w:color w:val="4F4F56"/>
        </w:rPr>
        <w:t xml:space="preserve"> addition to all other remedies it </w:t>
      </w:r>
      <w:r>
        <w:rPr>
          <w:rFonts w:ascii="Times New Roman" w:cs="Times New Roman" w:eastAsia="Times New Roman" w:hAnsi="Times New Roman"/>
          <w:sz w:val="21"/>
          <w:szCs w:val="21"/>
          <w:color w:val="3B3B42"/>
        </w:rPr>
        <w:t>may have, to an injunction or</w:t>
      </w:r>
      <w:r>
        <w:rPr>
          <w:rFonts w:ascii="Times New Roman" w:cs="Times New Roman" w:eastAsia="Times New Roman" w:hAnsi="Times New Roman"/>
          <w:sz w:val="21"/>
          <w:szCs w:val="21"/>
          <w:color w:val="4F4F56"/>
        </w:rPr>
        <w:t xml:space="preserve"> other appropriate equitable relief to restrain any such </w:t>
      </w:r>
      <w:r>
        <w:rPr>
          <w:rFonts w:ascii="Times New Roman" w:cs="Times New Roman" w:eastAsia="Times New Roman" w:hAnsi="Times New Roman"/>
          <w:sz w:val="21"/>
          <w:szCs w:val="21"/>
          <w:color w:val="3B3B42"/>
        </w:rPr>
        <w:t>breach, without</w:t>
      </w:r>
      <w:r>
        <w:rPr>
          <w:rFonts w:ascii="Times New Roman" w:cs="Times New Roman" w:eastAsia="Times New Roman" w:hAnsi="Times New Roman"/>
          <w:sz w:val="21"/>
          <w:szCs w:val="21"/>
          <w:color w:val="4F4F56"/>
        </w:rPr>
        <w:t xml:space="preserve"> showing or proving any actual damage to the Company and without the</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8</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40" w:top="120" w:right="739" w:bottom="1440" w:gutter="0" w:footer="0" w:header="0"/>
        </w:sectPr>
      </w:pPr>
    </w:p>
    <w:bookmarkStart w:id="140" w:name="page141"/>
    <w:bookmarkEnd w:id="140"/>
    <w:p>
      <w:pPr>
        <w:ind w:left="900" w:right="60"/>
        <w:spacing w:after="0" w:line="248" w:lineRule="auto"/>
        <w:rPr>
          <w:sz w:val="20"/>
          <w:szCs w:val="20"/>
          <w:color w:val="auto"/>
        </w:rPr>
      </w:pPr>
      <w:r>
        <w:rPr>
          <w:rFonts w:ascii="Times New Roman" w:cs="Times New Roman" w:eastAsia="Times New Roman" w:hAnsi="Times New Roman"/>
          <w:sz w:val="21"/>
          <w:szCs w:val="21"/>
          <w:color w:val="3B3B42"/>
        </w:rPr>
        <w:t xml:space="preserve">necessity </w:t>
      </w:r>
      <w:r>
        <w:rPr>
          <w:rFonts w:ascii="Times New Roman" w:cs="Times New Roman" w:eastAsia="Times New Roman" w:hAnsi="Times New Roman"/>
          <w:sz w:val="21"/>
          <w:szCs w:val="21"/>
          <w:color w:val="4F4F56"/>
        </w:rPr>
        <w:t>of</w:t>
      </w:r>
      <w:r>
        <w:rPr>
          <w:rFonts w:ascii="Times New Roman" w:cs="Times New Roman" w:eastAsia="Times New Roman" w:hAnsi="Times New Roman"/>
          <w:sz w:val="21"/>
          <w:szCs w:val="21"/>
          <w:color w:val="3B3B42"/>
        </w:rPr>
        <w:t xml:space="preserve"> posting a </w:t>
      </w:r>
      <w:r>
        <w:rPr>
          <w:rFonts w:ascii="Times New Roman" w:cs="Times New Roman" w:eastAsia="Times New Roman" w:hAnsi="Times New Roman"/>
          <w:sz w:val="21"/>
          <w:szCs w:val="21"/>
          <w:color w:val="4F4F56"/>
        </w:rPr>
        <w:t>bond</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4F56"/>
        </w:rPr>
        <w:t>and to</w:t>
      </w:r>
      <w:r>
        <w:rPr>
          <w:rFonts w:ascii="Times New Roman" w:cs="Times New Roman" w:eastAsia="Times New Roman" w:hAnsi="Times New Roman"/>
          <w:sz w:val="21"/>
          <w:szCs w:val="21"/>
          <w:color w:val="3B3B42"/>
        </w:rPr>
        <w:t xml:space="preserve"> its </w:t>
      </w:r>
      <w:r>
        <w:rPr>
          <w:rFonts w:ascii="Times New Roman" w:cs="Times New Roman" w:eastAsia="Times New Roman" w:hAnsi="Times New Roman"/>
          <w:sz w:val="21"/>
          <w:szCs w:val="21"/>
          <w:color w:val="4F4F56"/>
        </w:rPr>
        <w:t>costs</w:t>
      </w:r>
      <w:r>
        <w:rPr>
          <w:rFonts w:ascii="Times New Roman" w:cs="Times New Roman" w:eastAsia="Times New Roman" w:hAnsi="Times New Roman"/>
          <w:sz w:val="21"/>
          <w:szCs w:val="21"/>
          <w:color w:val="3B3B42"/>
        </w:rPr>
        <w:t xml:space="preserve"> of </w:t>
      </w:r>
      <w:r>
        <w:rPr>
          <w:rFonts w:ascii="Times New Roman" w:cs="Times New Roman" w:eastAsia="Times New Roman" w:hAnsi="Times New Roman"/>
          <w:sz w:val="21"/>
          <w:szCs w:val="21"/>
          <w:color w:val="4F4F56"/>
        </w:rPr>
        <w:t>enforcement of the</w:t>
      </w:r>
      <w:r>
        <w:rPr>
          <w:rFonts w:ascii="Times New Roman" w:cs="Times New Roman" w:eastAsia="Times New Roman" w:hAnsi="Times New Roman"/>
          <w:sz w:val="21"/>
          <w:szCs w:val="21"/>
          <w:color w:val="3B3B42"/>
        </w:rPr>
        <w:t xml:space="preserve"> Continuing Obligations, inclu</w:t>
      </w:r>
      <w:r>
        <w:rPr>
          <w:rFonts w:ascii="Times New Roman" w:cs="Times New Roman" w:eastAsia="Times New Roman" w:hAnsi="Times New Roman"/>
          <w:sz w:val="21"/>
          <w:szCs w:val="21"/>
          <w:color w:val="1F2126"/>
        </w:rPr>
        <w:t>d</w:t>
      </w:r>
      <w:r>
        <w:rPr>
          <w:rFonts w:ascii="Times New Roman" w:cs="Times New Roman" w:eastAsia="Times New Roman" w:hAnsi="Times New Roman"/>
          <w:sz w:val="21"/>
          <w:szCs w:val="21"/>
          <w:color w:val="3B3B42"/>
        </w:rPr>
        <w:t xml:space="preserve">ing its reasonable attorney's </w:t>
      </w:r>
      <w:r>
        <w:rPr>
          <w:rFonts w:ascii="Times New Roman" w:cs="Times New Roman" w:eastAsia="Times New Roman" w:hAnsi="Times New Roman"/>
          <w:sz w:val="21"/>
          <w:szCs w:val="21"/>
          <w:color w:val="4F4F56"/>
        </w:rPr>
        <w:t>fees and expenses. In addition</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4F56"/>
        </w:rPr>
        <w:t>and</w:t>
      </w:r>
      <w:r>
        <w:rPr>
          <w:rFonts w:ascii="Times New Roman" w:cs="Times New Roman" w:eastAsia="Times New Roman" w:hAnsi="Times New Roman"/>
          <w:sz w:val="21"/>
          <w:szCs w:val="21"/>
          <w:color w:val="3B3B42"/>
        </w:rPr>
        <w:t xml:space="preserve"> without limiting </w:t>
      </w:r>
      <w:r>
        <w:rPr>
          <w:rFonts w:ascii="Times New Roman" w:cs="Times New Roman" w:eastAsia="Times New Roman" w:hAnsi="Times New Roman"/>
          <w:sz w:val="21"/>
          <w:szCs w:val="21"/>
          <w:color w:val="4F4F56"/>
        </w:rPr>
        <w:t>the</w:t>
      </w:r>
      <w:r>
        <w:rPr>
          <w:rFonts w:ascii="Times New Roman" w:cs="Times New Roman" w:eastAsia="Times New Roman" w:hAnsi="Times New Roman"/>
          <w:sz w:val="21"/>
          <w:szCs w:val="21"/>
          <w:color w:val="3B3B42"/>
        </w:rPr>
        <w:t xml:space="preserve"> foregoing, in the </w:t>
      </w:r>
      <w:r>
        <w:rPr>
          <w:rFonts w:ascii="Times New Roman" w:cs="Times New Roman" w:eastAsia="Times New Roman" w:hAnsi="Times New Roman"/>
          <w:sz w:val="21"/>
          <w:szCs w:val="21"/>
          <w:color w:val="4F4F56"/>
        </w:rPr>
        <w:t>event that you breach, or propose to</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4F56"/>
        </w:rPr>
        <w:t xml:space="preserve">breach, any portion of the Continuing </w:t>
      </w:r>
      <w:r>
        <w:rPr>
          <w:rFonts w:ascii="Times New Roman" w:cs="Times New Roman" w:eastAsia="Times New Roman" w:hAnsi="Times New Roman"/>
          <w:sz w:val="21"/>
          <w:szCs w:val="21"/>
          <w:color w:val="3B3B42"/>
        </w:rPr>
        <w:t>Obligations</w:t>
      </w:r>
      <w:r>
        <w:rPr>
          <w:rFonts w:ascii="Times New Roman" w:cs="Times New Roman" w:eastAsia="Times New Roman" w:hAnsi="Times New Roman"/>
          <w:sz w:val="21"/>
          <w:szCs w:val="21"/>
          <w:color w:val="6D6E72"/>
        </w:rPr>
        <w:t>,</w:t>
      </w:r>
      <w:r>
        <w:rPr>
          <w:rFonts w:ascii="Times New Roman" w:cs="Times New Roman" w:eastAsia="Times New Roman" w:hAnsi="Times New Roman"/>
          <w:sz w:val="21"/>
          <w:szCs w:val="21"/>
          <w:color w:val="4F4F56"/>
        </w:rPr>
        <w:t xml:space="preserve"> the Company shall </w:t>
      </w:r>
      <w:r>
        <w:rPr>
          <w:rFonts w:ascii="Times New Roman" w:cs="Times New Roman" w:eastAsia="Times New Roman" w:hAnsi="Times New Roman"/>
          <w:sz w:val="21"/>
          <w:szCs w:val="21"/>
          <w:color w:val="3B3B42"/>
        </w:rPr>
        <w:t>be entitled,</w:t>
      </w:r>
      <w:r>
        <w:rPr>
          <w:rFonts w:ascii="Times New Roman" w:cs="Times New Roman" w:eastAsia="Times New Roman" w:hAnsi="Times New Roman"/>
          <w:sz w:val="21"/>
          <w:szCs w:val="21"/>
          <w:color w:val="4F4F56"/>
        </w:rPr>
        <w:t xml:space="preserve"> in addition to all other remedies it may </w:t>
      </w:r>
      <w:r>
        <w:rPr>
          <w:rFonts w:ascii="Times New Roman" w:cs="Times New Roman" w:eastAsia="Times New Roman" w:hAnsi="Times New Roman"/>
          <w:sz w:val="21"/>
          <w:szCs w:val="21"/>
          <w:color w:val="3B3B42"/>
        </w:rPr>
        <w:t>have,</w:t>
      </w:r>
      <w:r>
        <w:rPr>
          <w:rFonts w:ascii="Times New Roman" w:cs="Times New Roman" w:eastAsia="Times New Roman" w:hAnsi="Times New Roman"/>
          <w:sz w:val="21"/>
          <w:szCs w:val="21"/>
          <w:color w:val="4F4F56"/>
        </w:rPr>
        <w:t xml:space="preserve"> to </w:t>
      </w:r>
      <w:r>
        <w:rPr>
          <w:rFonts w:ascii="Times New Roman" w:cs="Times New Roman" w:eastAsia="Times New Roman" w:hAnsi="Times New Roman"/>
          <w:sz w:val="21"/>
          <w:szCs w:val="21"/>
          <w:color w:val="3B3B42"/>
        </w:rPr>
        <w:t>discontinue the</w:t>
      </w:r>
      <w:r>
        <w:rPr>
          <w:rFonts w:ascii="Times New Roman" w:cs="Times New Roman" w:eastAsia="Times New Roman" w:hAnsi="Times New Roman"/>
          <w:sz w:val="21"/>
          <w:szCs w:val="21"/>
          <w:color w:val="4F4F56"/>
        </w:rPr>
        <w:t xml:space="preserve"> severance </w:t>
      </w:r>
      <w:r>
        <w:rPr>
          <w:rFonts w:ascii="Times New Roman" w:cs="Times New Roman" w:eastAsia="Times New Roman" w:hAnsi="Times New Roman"/>
          <w:sz w:val="21"/>
          <w:szCs w:val="21"/>
          <w:color w:val="3B3B42"/>
        </w:rPr>
        <w:t>pay</w:t>
      </w:r>
      <w:r>
        <w:rPr>
          <w:rFonts w:ascii="Times New Roman" w:cs="Times New Roman" w:eastAsia="Times New Roman" w:hAnsi="Times New Roman"/>
          <w:sz w:val="21"/>
          <w:szCs w:val="21"/>
          <w:color w:val="4F4F56"/>
        </w:rPr>
        <w:t xml:space="preserve"> and </w:t>
      </w:r>
      <w:r>
        <w:rPr>
          <w:rFonts w:ascii="Times New Roman" w:cs="Times New Roman" w:eastAsia="Times New Roman" w:hAnsi="Times New Roman"/>
          <w:sz w:val="21"/>
          <w:szCs w:val="21"/>
          <w:color w:val="3B3B42"/>
        </w:rPr>
        <w:t>benefits under</w:t>
      </w:r>
      <w:r>
        <w:rPr>
          <w:rFonts w:ascii="Times New Roman" w:cs="Times New Roman" w:eastAsia="Times New Roman" w:hAnsi="Times New Roman"/>
          <w:sz w:val="21"/>
          <w:szCs w:val="21"/>
          <w:color w:val="4F4F56"/>
        </w:rPr>
        <w:t xml:space="preserve"> Section </w:t>
      </w:r>
      <w:r>
        <w:rPr>
          <w:rFonts w:ascii="Times New Roman" w:cs="Times New Roman" w:eastAsia="Times New Roman" w:hAnsi="Times New Roman"/>
          <w:sz w:val="21"/>
          <w:szCs w:val="21"/>
          <w:color w:val="3B3B42"/>
        </w:rPr>
        <w:t>4</w:t>
      </w:r>
      <w:r>
        <w:rPr>
          <w:rFonts w:ascii="Times New Roman" w:cs="Times New Roman" w:eastAsia="Times New Roman" w:hAnsi="Times New Roman"/>
          <w:sz w:val="21"/>
          <w:szCs w:val="21"/>
          <w:color w:val="4F4F56"/>
        </w:rPr>
        <w:t xml:space="preserve"> and/or </w:t>
      </w:r>
      <w:r>
        <w:rPr>
          <w:rFonts w:ascii="Times New Roman" w:cs="Times New Roman" w:eastAsia="Times New Roman" w:hAnsi="Times New Roman"/>
          <w:sz w:val="21"/>
          <w:szCs w:val="21"/>
          <w:color w:val="3B3B42"/>
        </w:rPr>
        <w:t>to</w:t>
      </w:r>
      <w:r>
        <w:rPr>
          <w:rFonts w:ascii="Times New Roman" w:cs="Times New Roman" w:eastAsia="Times New Roman" w:hAnsi="Times New Roman"/>
          <w:sz w:val="21"/>
          <w:szCs w:val="21"/>
          <w:color w:val="4F4F56"/>
        </w:rPr>
        <w:t xml:space="preserve"> seek </w:t>
      </w:r>
      <w:r>
        <w:rPr>
          <w:rFonts w:ascii="Times New Roman" w:cs="Times New Roman" w:eastAsia="Times New Roman" w:hAnsi="Times New Roman"/>
          <w:sz w:val="21"/>
          <w:szCs w:val="21"/>
          <w:color w:val="3B3B42"/>
        </w:rPr>
        <w:t>recovery of</w:t>
      </w:r>
      <w:r>
        <w:rPr>
          <w:rFonts w:ascii="Times New Roman" w:cs="Times New Roman" w:eastAsia="Times New Roman" w:hAnsi="Times New Roman"/>
          <w:sz w:val="21"/>
          <w:szCs w:val="21"/>
          <w:color w:val="4F4F56"/>
        </w:rPr>
        <w:t xml:space="preserve"> any prev</w:t>
      </w:r>
      <w:r>
        <w:rPr>
          <w:rFonts w:ascii="Times New Roman" w:cs="Times New Roman" w:eastAsia="Times New Roman" w:hAnsi="Times New Roman"/>
          <w:sz w:val="21"/>
          <w:szCs w:val="21"/>
          <w:color w:val="1F2126"/>
        </w:rPr>
        <w:t>i</w:t>
      </w:r>
      <w:r>
        <w:rPr>
          <w:rFonts w:ascii="Times New Roman" w:cs="Times New Roman" w:eastAsia="Times New Roman" w:hAnsi="Times New Roman"/>
          <w:sz w:val="21"/>
          <w:szCs w:val="21"/>
          <w:color w:val="4F4F56"/>
        </w:rPr>
        <w:t>ously paid severance pay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146050</wp:posOffset>
            </wp:positionV>
            <wp:extent cx="2846070" cy="5740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28460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right="400" w:firstLine="750"/>
        <w:spacing w:after="0" w:line="251" w:lineRule="auto"/>
        <w:tabs>
          <w:tab w:leader="none" w:pos="2292" w:val="left"/>
        </w:tabs>
        <w:numPr>
          <w:ilvl w:val="0"/>
          <w:numId w:val="83"/>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3F4146"/>
        </w:rPr>
        <w:t>G</w:t>
      </w:r>
      <w:r>
        <w:rPr>
          <w:rFonts w:ascii="Times New Roman" w:cs="Times New Roman" w:eastAsia="Times New Roman" w:hAnsi="Times New Roman"/>
          <w:sz w:val="21"/>
          <w:szCs w:val="21"/>
          <w:b w:val="1"/>
          <w:bCs w:val="1"/>
          <w:color w:val="21232A"/>
        </w:rPr>
        <w:t>over</w:t>
      </w:r>
      <w:r>
        <w:rPr>
          <w:rFonts w:ascii="Times New Roman" w:cs="Times New Roman" w:eastAsia="Times New Roman" w:hAnsi="Times New Roman"/>
          <w:sz w:val="21"/>
          <w:szCs w:val="21"/>
          <w:b w:val="1"/>
          <w:bCs w:val="1"/>
          <w:color w:val="3F4146"/>
        </w:rPr>
        <w:t>n</w:t>
      </w:r>
      <w:r>
        <w:rPr>
          <w:rFonts w:ascii="Times New Roman" w:cs="Times New Roman" w:eastAsia="Times New Roman" w:hAnsi="Times New Roman"/>
          <w:sz w:val="21"/>
          <w:szCs w:val="21"/>
          <w:b w:val="1"/>
          <w:bCs w:val="1"/>
          <w:color w:val="21232A"/>
        </w:rPr>
        <w:t>i</w:t>
      </w:r>
      <w:r>
        <w:rPr>
          <w:rFonts w:ascii="Times New Roman" w:cs="Times New Roman" w:eastAsia="Times New Roman" w:hAnsi="Times New Roman"/>
          <w:sz w:val="21"/>
          <w:szCs w:val="21"/>
          <w:b w:val="1"/>
          <w:bCs w:val="1"/>
          <w:color w:val="3F4146"/>
        </w:rPr>
        <w:t>ng L</w:t>
      </w:r>
      <w:r>
        <w:rPr>
          <w:rFonts w:ascii="Times New Roman" w:cs="Times New Roman" w:eastAsia="Times New Roman" w:hAnsi="Times New Roman"/>
          <w:sz w:val="21"/>
          <w:szCs w:val="21"/>
          <w:b w:val="1"/>
          <w:bCs w:val="1"/>
          <w:color w:val="21232A"/>
        </w:rPr>
        <w:t>aw</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b w:val="1"/>
          <w:bCs w:val="1"/>
          <w:color w:val="21232A"/>
        </w:rPr>
        <w:t>Interpret</w:t>
      </w:r>
      <w:r>
        <w:rPr>
          <w:rFonts w:ascii="Times New Roman" w:cs="Times New Roman" w:eastAsia="Times New Roman" w:hAnsi="Times New Roman"/>
          <w:sz w:val="21"/>
          <w:szCs w:val="21"/>
          <w:b w:val="1"/>
          <w:bCs w:val="1"/>
          <w:color w:val="3F4146"/>
        </w:rPr>
        <w:t>a</w:t>
      </w:r>
      <w:r>
        <w:rPr>
          <w:rFonts w:ascii="Times New Roman" w:cs="Times New Roman" w:eastAsia="Times New Roman" w:hAnsi="Times New Roman"/>
          <w:sz w:val="21"/>
          <w:szCs w:val="21"/>
          <w:b w:val="1"/>
          <w:bCs w:val="1"/>
          <w:color w:val="21232A"/>
        </w:rPr>
        <w:t>tion</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This Agreement</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shall</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be</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governed</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by the laws of the</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State</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of</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 xml:space="preserve">New </w:t>
      </w:r>
      <w:r>
        <w:rPr>
          <w:rFonts w:ascii="Times New Roman" w:cs="Times New Roman" w:eastAsia="Times New Roman" w:hAnsi="Times New Roman"/>
          <w:sz w:val="21"/>
          <w:szCs w:val="21"/>
          <w:color w:val="3F4146"/>
        </w:rPr>
        <w:t>Jersey, excluding the choice</w:t>
      </w:r>
      <w:r>
        <w:rPr>
          <w:rFonts w:ascii="Times New Roman" w:cs="Times New Roman" w:eastAsia="Times New Roman" w:hAnsi="Times New Roman"/>
          <w:sz w:val="21"/>
          <w:szCs w:val="21"/>
          <w:color w:val="505259"/>
        </w:rPr>
        <w:t xml:space="preserve"> of law </w:t>
      </w:r>
      <w:r>
        <w:rPr>
          <w:rFonts w:ascii="Times New Roman" w:cs="Times New Roman" w:eastAsia="Times New Roman" w:hAnsi="Times New Roman"/>
          <w:sz w:val="21"/>
          <w:szCs w:val="21"/>
          <w:color w:val="3F4146"/>
        </w:rPr>
        <w:t>rules thereof. In the</w:t>
      </w:r>
      <w:r>
        <w:rPr>
          <w:rFonts w:ascii="Times New Roman" w:cs="Times New Roman" w:eastAsia="Times New Roman" w:hAnsi="Times New Roman"/>
          <w:sz w:val="21"/>
          <w:szCs w:val="21"/>
          <w:color w:val="505259"/>
        </w:rPr>
        <w:t xml:space="preserve"> event of </w:t>
      </w:r>
      <w:r>
        <w:rPr>
          <w:rFonts w:ascii="Times New Roman" w:cs="Times New Roman" w:eastAsia="Times New Roman" w:hAnsi="Times New Roman"/>
          <w:sz w:val="21"/>
          <w:szCs w:val="21"/>
          <w:color w:val="3F4146"/>
        </w:rPr>
        <w:t>any dispute,</w:t>
      </w:r>
      <w:r>
        <w:rPr>
          <w:rFonts w:ascii="Times New Roman" w:cs="Times New Roman" w:eastAsia="Times New Roman" w:hAnsi="Times New Roman"/>
          <w:sz w:val="21"/>
          <w:szCs w:val="21"/>
          <w:color w:val="505259"/>
        </w:rPr>
        <w:t xml:space="preserve"> thi</w:t>
      </w:r>
      <w:r>
        <w:rPr>
          <w:rFonts w:ascii="Times New Roman" w:cs="Times New Roman" w:eastAsia="Times New Roman" w:hAnsi="Times New Roman"/>
          <w:sz w:val="21"/>
          <w:szCs w:val="21"/>
          <w:color w:val="6B6B70"/>
        </w:rPr>
        <w:t>s</w:t>
      </w:r>
      <w:r>
        <w:rPr>
          <w:rFonts w:ascii="Times New Roman" w:cs="Times New Roman" w:eastAsia="Times New Roman" w:hAnsi="Times New Roman"/>
          <w:sz w:val="21"/>
          <w:szCs w:val="21"/>
          <w:color w:val="505259"/>
        </w:rPr>
        <w:t xml:space="preserve"> Agreement is intended by the </w:t>
      </w:r>
      <w:r>
        <w:rPr>
          <w:rFonts w:ascii="Times New Roman" w:cs="Times New Roman" w:eastAsia="Times New Roman" w:hAnsi="Times New Roman"/>
          <w:sz w:val="21"/>
          <w:szCs w:val="21"/>
          <w:color w:val="3F4146"/>
        </w:rPr>
        <w:t xml:space="preserve">parties to be construed </w:t>
      </w:r>
      <w:r>
        <w:rPr>
          <w:rFonts w:ascii="Times New Roman" w:cs="Times New Roman" w:eastAsia="Times New Roman" w:hAnsi="Times New Roman"/>
          <w:sz w:val="21"/>
          <w:szCs w:val="21"/>
          <w:color w:val="505259"/>
        </w:rPr>
        <w:t>as a</w:t>
      </w:r>
      <w:r>
        <w:rPr>
          <w:rFonts w:ascii="Times New Roman" w:cs="Times New Roman" w:eastAsia="Times New Roman" w:hAnsi="Times New Roman"/>
          <w:sz w:val="21"/>
          <w:szCs w:val="21"/>
          <w:color w:val="3F4146"/>
        </w:rPr>
        <w:t xml:space="preserve"> whole, </w:t>
      </w:r>
      <w:r>
        <w:rPr>
          <w:rFonts w:ascii="Times New Roman" w:cs="Times New Roman" w:eastAsia="Times New Roman" w:hAnsi="Times New Roman"/>
          <w:sz w:val="21"/>
          <w:szCs w:val="21"/>
          <w:color w:val="505259"/>
        </w:rPr>
        <w:t>to</w:t>
      </w:r>
      <w:r>
        <w:rPr>
          <w:rFonts w:ascii="Times New Roman" w:cs="Times New Roman" w:eastAsia="Times New Roman" w:hAnsi="Times New Roman"/>
          <w:sz w:val="21"/>
          <w:szCs w:val="21"/>
          <w:color w:val="3F4146"/>
        </w:rPr>
        <w:t xml:space="preserve"> be interpreted in accordance with its </w:t>
      </w:r>
      <w:r>
        <w:rPr>
          <w:rFonts w:ascii="Times New Roman" w:cs="Times New Roman" w:eastAsia="Times New Roman" w:hAnsi="Times New Roman"/>
          <w:sz w:val="21"/>
          <w:szCs w:val="21"/>
          <w:color w:val="505259"/>
        </w:rPr>
        <w:t>fair</w:t>
      </w:r>
      <w:r>
        <w:rPr>
          <w:rFonts w:ascii="Times New Roman" w:cs="Times New Roman" w:eastAsia="Times New Roman" w:hAnsi="Times New Roman"/>
          <w:sz w:val="21"/>
          <w:szCs w:val="21"/>
          <w:color w:val="3F4146"/>
        </w:rPr>
        <w:t xml:space="preserve"> meaning, and not to be </w:t>
      </w:r>
      <w:r>
        <w:rPr>
          <w:rFonts w:ascii="Times New Roman" w:cs="Times New Roman" w:eastAsia="Times New Roman" w:hAnsi="Times New Roman"/>
          <w:sz w:val="21"/>
          <w:szCs w:val="21"/>
          <w:color w:val="505259"/>
        </w:rPr>
        <w:t>construed</w:t>
      </w:r>
      <w:r>
        <w:rPr>
          <w:rFonts w:ascii="Times New Roman" w:cs="Times New Roman" w:eastAsia="Times New Roman" w:hAnsi="Times New Roman"/>
          <w:sz w:val="21"/>
          <w:szCs w:val="21"/>
          <w:color w:val="3F4146"/>
        </w:rPr>
        <w:t xml:space="preserve"> </w:t>
      </w:r>
      <w:r>
        <w:rPr>
          <w:rFonts w:ascii="Times New Roman" w:cs="Times New Roman" w:eastAsia="Times New Roman" w:hAnsi="Times New Roman"/>
          <w:sz w:val="21"/>
          <w:szCs w:val="21"/>
          <w:color w:val="505259"/>
        </w:rPr>
        <w:t xml:space="preserve">strictly for </w:t>
      </w:r>
      <w:r>
        <w:rPr>
          <w:rFonts w:ascii="Times New Roman" w:cs="Times New Roman" w:eastAsia="Times New Roman" w:hAnsi="Times New Roman"/>
          <w:sz w:val="21"/>
          <w:szCs w:val="21"/>
          <w:color w:val="3F4146"/>
        </w:rPr>
        <w:t>or</w:t>
      </w:r>
      <w:r>
        <w:rPr>
          <w:rFonts w:ascii="Times New Roman" w:cs="Times New Roman" w:eastAsia="Times New Roman" w:hAnsi="Times New Roman"/>
          <w:sz w:val="21"/>
          <w:szCs w:val="21"/>
          <w:color w:val="505259"/>
        </w:rPr>
        <w:t xml:space="preserve"> against </w:t>
      </w:r>
      <w:r>
        <w:rPr>
          <w:rFonts w:ascii="Times New Roman" w:cs="Times New Roman" w:eastAsia="Times New Roman" w:hAnsi="Times New Roman"/>
          <w:sz w:val="21"/>
          <w:szCs w:val="21"/>
          <w:color w:val="3F4146"/>
        </w:rPr>
        <w:t>either</w:t>
      </w:r>
      <w:r>
        <w:rPr>
          <w:rFonts w:ascii="Times New Roman" w:cs="Times New Roman" w:eastAsia="Times New Roman" w:hAnsi="Times New Roman"/>
          <w:sz w:val="21"/>
          <w:szCs w:val="21"/>
          <w:color w:val="505259"/>
        </w:rPr>
        <w:t xml:space="preserve"> you or </w:t>
      </w:r>
      <w:r>
        <w:rPr>
          <w:rFonts w:ascii="Times New Roman" w:cs="Times New Roman" w:eastAsia="Times New Roman" w:hAnsi="Times New Roman"/>
          <w:sz w:val="21"/>
          <w:szCs w:val="21"/>
          <w:color w:val="3F4146"/>
        </w:rPr>
        <w:t>the Company</w:t>
      </w:r>
      <w:r>
        <w:rPr>
          <w:rFonts w:ascii="Times New Roman" w:cs="Times New Roman" w:eastAsia="Times New Roman" w:hAnsi="Times New Roman"/>
          <w:sz w:val="21"/>
          <w:szCs w:val="21"/>
          <w:color w:val="505259"/>
        </w:rPr>
        <w:t xml:space="preserve"> or </w:t>
      </w:r>
      <w:r>
        <w:rPr>
          <w:rFonts w:ascii="Times New Roman" w:cs="Times New Roman" w:eastAsia="Times New Roman" w:hAnsi="Times New Roman"/>
          <w:sz w:val="21"/>
          <w:szCs w:val="21"/>
          <w:color w:val="3F4146"/>
        </w:rPr>
        <w:t>the "drafter" of</w:t>
      </w:r>
      <w:r>
        <w:rPr>
          <w:rFonts w:ascii="Times New Roman" w:cs="Times New Roman" w:eastAsia="Times New Roman" w:hAnsi="Times New Roman"/>
          <w:sz w:val="21"/>
          <w:szCs w:val="21"/>
          <w:color w:val="505259"/>
        </w:rPr>
        <w:t xml:space="preserve"> all </w:t>
      </w:r>
      <w:r>
        <w:rPr>
          <w:rFonts w:ascii="Times New Roman" w:cs="Times New Roman" w:eastAsia="Times New Roman" w:hAnsi="Times New Roman"/>
          <w:sz w:val="21"/>
          <w:szCs w:val="21"/>
          <w:color w:val="3F4146"/>
        </w:rPr>
        <w:t>or</w:t>
      </w:r>
      <w:r>
        <w:rPr>
          <w:rFonts w:ascii="Times New Roman" w:cs="Times New Roman" w:eastAsia="Times New Roman" w:hAnsi="Times New Roman"/>
          <w:sz w:val="21"/>
          <w:szCs w:val="21"/>
          <w:color w:val="505259"/>
        </w:rPr>
        <w:t xml:space="preserve"> any </w:t>
      </w:r>
      <w:r>
        <w:rPr>
          <w:rFonts w:ascii="Times New Roman" w:cs="Times New Roman" w:eastAsia="Times New Roman" w:hAnsi="Times New Roman"/>
          <w:sz w:val="21"/>
          <w:szCs w:val="21"/>
          <w:color w:val="3F4146"/>
        </w:rPr>
        <w:t>portion</w:t>
      </w:r>
      <w:r>
        <w:rPr>
          <w:rFonts w:ascii="Times New Roman" w:cs="Times New Roman" w:eastAsia="Times New Roman" w:hAnsi="Times New Roman"/>
          <w:sz w:val="21"/>
          <w:szCs w:val="21"/>
          <w:color w:val="505259"/>
        </w:rPr>
        <w:t xml:space="preserve"> of </w:t>
      </w:r>
      <w:r>
        <w:rPr>
          <w:rFonts w:ascii="Times New Roman" w:cs="Times New Roman" w:eastAsia="Times New Roman" w:hAnsi="Times New Roman"/>
          <w:sz w:val="21"/>
          <w:szCs w:val="21"/>
          <w:color w:val="3F4146"/>
        </w:rPr>
        <w:t>this</w:t>
      </w:r>
      <w:r>
        <w:rPr>
          <w:rFonts w:ascii="Times New Roman" w:cs="Times New Roman" w:eastAsia="Times New Roman" w:hAnsi="Times New Roman"/>
          <w:sz w:val="21"/>
          <w:szCs w:val="21"/>
          <w:color w:val="505259"/>
        </w:rPr>
        <w:t xml:space="preserve"> Agreement.</w:t>
      </w:r>
    </w:p>
    <w:p>
      <w:pPr>
        <w:spacing w:after="0" w:line="164" w:lineRule="exact"/>
        <w:rPr>
          <w:sz w:val="20"/>
          <w:szCs w:val="20"/>
          <w:color w:val="auto"/>
        </w:rPr>
      </w:pPr>
    </w:p>
    <w:p>
      <w:pPr>
        <w:ind w:left="840" w:right="340" w:firstLine="736"/>
        <w:spacing w:after="0" w:line="251" w:lineRule="auto"/>
        <w:tabs>
          <w:tab w:leader="none" w:pos="2285" w:val="left"/>
        </w:tabs>
        <w:numPr>
          <w:ilvl w:val="0"/>
          <w:numId w:val="84"/>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21232A"/>
        </w:rPr>
        <w:t>Juri</w:t>
      </w:r>
      <w:r>
        <w:rPr>
          <w:rFonts w:ascii="Times New Roman" w:cs="Times New Roman" w:eastAsia="Times New Roman" w:hAnsi="Times New Roman"/>
          <w:sz w:val="21"/>
          <w:szCs w:val="21"/>
          <w:b w:val="1"/>
          <w:bCs w:val="1"/>
          <w:color w:val="3F4146"/>
        </w:rPr>
        <w:t>s</w:t>
      </w:r>
      <w:r>
        <w:rPr>
          <w:rFonts w:ascii="Times New Roman" w:cs="Times New Roman" w:eastAsia="Times New Roman" w:hAnsi="Times New Roman"/>
          <w:sz w:val="21"/>
          <w:szCs w:val="21"/>
          <w:b w:val="1"/>
          <w:bCs w:val="1"/>
          <w:color w:val="21232A"/>
        </w:rPr>
        <w:t xml:space="preserve">diction. </w:t>
      </w:r>
      <w:r>
        <w:rPr>
          <w:rFonts w:ascii="Times New Roman" w:cs="Times New Roman" w:eastAsia="Times New Roman" w:hAnsi="Times New Roman"/>
          <w:sz w:val="21"/>
          <w:szCs w:val="21"/>
          <w:color w:val="3F4146"/>
        </w:rPr>
        <w:t>You</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and the Company hereby agree that</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3F4146"/>
        </w:rPr>
        <w:t>the</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state</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3F4146"/>
        </w:rPr>
        <w:t>and</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federal courts in</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3F4146"/>
        </w:rPr>
        <w:t>the</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Stat</w:t>
      </w:r>
      <w:r>
        <w:rPr>
          <w:rFonts w:ascii="Times New Roman" w:cs="Times New Roman" w:eastAsia="Times New Roman" w:hAnsi="Times New Roman"/>
          <w:sz w:val="21"/>
          <w:szCs w:val="21"/>
          <w:color w:val="6B6B70"/>
        </w:rPr>
        <w:t>e</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of</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 xml:space="preserve">New Jersey shall have the exclusive jurisdiction to </w:t>
      </w:r>
      <w:r>
        <w:rPr>
          <w:rFonts w:ascii="Times New Roman" w:cs="Times New Roman" w:eastAsia="Times New Roman" w:hAnsi="Times New Roman"/>
          <w:sz w:val="21"/>
          <w:szCs w:val="21"/>
          <w:color w:val="3F4146"/>
        </w:rPr>
        <w:t>consider</w:t>
      </w:r>
      <w:r>
        <w:rPr>
          <w:rFonts w:ascii="Times New Roman" w:cs="Times New Roman" w:eastAsia="Times New Roman" w:hAnsi="Times New Roman"/>
          <w:sz w:val="21"/>
          <w:szCs w:val="21"/>
          <w:color w:val="505259"/>
        </w:rPr>
        <w:t xml:space="preserve"> any </w:t>
      </w:r>
      <w:r>
        <w:rPr>
          <w:rFonts w:ascii="Times New Roman" w:cs="Times New Roman" w:eastAsia="Times New Roman" w:hAnsi="Times New Roman"/>
          <w:sz w:val="21"/>
          <w:szCs w:val="21"/>
          <w:color w:val="3F4146"/>
        </w:rPr>
        <w:t>matters related</w:t>
      </w:r>
      <w:r>
        <w:rPr>
          <w:rFonts w:ascii="Times New Roman" w:cs="Times New Roman" w:eastAsia="Times New Roman" w:hAnsi="Times New Roman"/>
          <w:sz w:val="21"/>
          <w:szCs w:val="21"/>
          <w:color w:val="505259"/>
        </w:rPr>
        <w:t xml:space="preserve"> to this </w:t>
      </w:r>
      <w:r>
        <w:rPr>
          <w:rFonts w:ascii="Times New Roman" w:cs="Times New Roman" w:eastAsia="Times New Roman" w:hAnsi="Times New Roman"/>
          <w:sz w:val="21"/>
          <w:szCs w:val="21"/>
          <w:color w:val="3F4146"/>
        </w:rPr>
        <w:t>Agreement, including without</w:t>
      </w:r>
      <w:r>
        <w:rPr>
          <w:rFonts w:ascii="Times New Roman" w:cs="Times New Roman" w:eastAsia="Times New Roman" w:hAnsi="Times New Roman"/>
          <w:sz w:val="21"/>
          <w:szCs w:val="21"/>
          <w:color w:val="505259"/>
        </w:rPr>
        <w:t xml:space="preserve"> </w:t>
      </w:r>
      <w:r>
        <w:rPr>
          <w:rFonts w:ascii="Times New Roman" w:cs="Times New Roman" w:eastAsia="Times New Roman" w:hAnsi="Times New Roman"/>
          <w:sz w:val="21"/>
          <w:szCs w:val="21"/>
          <w:color w:val="3F4146"/>
        </w:rPr>
        <w:t xml:space="preserve">limitation </w:t>
      </w:r>
      <w:r>
        <w:rPr>
          <w:rFonts w:ascii="Times New Roman" w:cs="Times New Roman" w:eastAsia="Times New Roman" w:hAnsi="Times New Roman"/>
          <w:sz w:val="21"/>
          <w:szCs w:val="21"/>
          <w:color w:val="505259"/>
        </w:rPr>
        <w:t>any</w:t>
      </w:r>
      <w:r>
        <w:rPr>
          <w:rFonts w:ascii="Times New Roman" w:cs="Times New Roman" w:eastAsia="Times New Roman" w:hAnsi="Times New Roman"/>
          <w:sz w:val="21"/>
          <w:szCs w:val="21"/>
          <w:color w:val="3F4146"/>
        </w:rPr>
        <w:t xml:space="preserve"> claim of a v</w:t>
      </w:r>
      <w:r>
        <w:rPr>
          <w:rFonts w:ascii="Times New Roman" w:cs="Times New Roman" w:eastAsia="Times New Roman" w:hAnsi="Times New Roman"/>
          <w:sz w:val="21"/>
          <w:szCs w:val="21"/>
          <w:color w:val="21232A"/>
        </w:rPr>
        <w:t>i</w:t>
      </w:r>
      <w:r>
        <w:rPr>
          <w:rFonts w:ascii="Times New Roman" w:cs="Times New Roman" w:eastAsia="Times New Roman" w:hAnsi="Times New Roman"/>
          <w:sz w:val="21"/>
          <w:szCs w:val="21"/>
          <w:color w:val="3F4146"/>
        </w:rPr>
        <w:t xml:space="preserve">olation of this </w:t>
      </w:r>
      <w:r>
        <w:rPr>
          <w:rFonts w:ascii="Times New Roman" w:cs="Times New Roman" w:eastAsia="Times New Roman" w:hAnsi="Times New Roman"/>
          <w:sz w:val="21"/>
          <w:szCs w:val="21"/>
          <w:color w:val="505259"/>
        </w:rPr>
        <w:t>Agreement.</w:t>
      </w:r>
      <w:r>
        <w:rPr>
          <w:rFonts w:ascii="Times New Roman" w:cs="Times New Roman" w:eastAsia="Times New Roman" w:hAnsi="Times New Roman"/>
          <w:sz w:val="21"/>
          <w:szCs w:val="21"/>
          <w:color w:val="3F4146"/>
        </w:rPr>
        <w:t xml:space="preserve"> With </w:t>
      </w:r>
      <w:r>
        <w:rPr>
          <w:rFonts w:ascii="Times New Roman" w:cs="Times New Roman" w:eastAsia="Times New Roman" w:hAnsi="Times New Roman"/>
          <w:sz w:val="21"/>
          <w:szCs w:val="21"/>
          <w:color w:val="505259"/>
        </w:rPr>
        <w:t>respect to</w:t>
      </w:r>
      <w:r>
        <w:rPr>
          <w:rFonts w:ascii="Times New Roman" w:cs="Times New Roman" w:eastAsia="Times New Roman" w:hAnsi="Times New Roman"/>
          <w:sz w:val="21"/>
          <w:szCs w:val="21"/>
          <w:color w:val="3F4146"/>
        </w:rPr>
        <w:t xml:space="preserve"> any </w:t>
      </w:r>
      <w:r>
        <w:rPr>
          <w:rFonts w:ascii="Times New Roman" w:cs="Times New Roman" w:eastAsia="Times New Roman" w:hAnsi="Times New Roman"/>
          <w:sz w:val="21"/>
          <w:szCs w:val="21"/>
          <w:color w:val="505259"/>
        </w:rPr>
        <w:t>such</w:t>
      </w:r>
      <w:r>
        <w:rPr>
          <w:rFonts w:ascii="Times New Roman" w:cs="Times New Roman" w:eastAsia="Times New Roman" w:hAnsi="Times New Roman"/>
          <w:sz w:val="21"/>
          <w:szCs w:val="21"/>
          <w:color w:val="3F4146"/>
        </w:rPr>
        <w:t xml:space="preserve"> court </w:t>
      </w:r>
      <w:r>
        <w:rPr>
          <w:rFonts w:ascii="Times New Roman" w:cs="Times New Roman" w:eastAsia="Times New Roman" w:hAnsi="Times New Roman"/>
          <w:sz w:val="21"/>
          <w:szCs w:val="21"/>
          <w:color w:val="505259"/>
        </w:rPr>
        <w:t>action</w:t>
      </w:r>
      <w:r>
        <w:rPr>
          <w:rFonts w:ascii="Times New Roman" w:cs="Times New Roman" w:eastAsia="Times New Roman" w:hAnsi="Times New Roman"/>
          <w:sz w:val="21"/>
          <w:szCs w:val="21"/>
          <w:color w:val="6B6B70"/>
        </w:rPr>
        <w:t>,</w:t>
      </w:r>
      <w:r>
        <w:rPr>
          <w:rFonts w:ascii="Times New Roman" w:cs="Times New Roman" w:eastAsia="Times New Roman" w:hAnsi="Times New Roman"/>
          <w:sz w:val="21"/>
          <w:szCs w:val="21"/>
          <w:color w:val="3F4146"/>
        </w:rPr>
        <w:t xml:space="preserve"> </w:t>
      </w:r>
      <w:r>
        <w:rPr>
          <w:rFonts w:ascii="Times New Roman" w:cs="Times New Roman" w:eastAsia="Times New Roman" w:hAnsi="Times New Roman"/>
          <w:sz w:val="21"/>
          <w:szCs w:val="21"/>
          <w:color w:val="505259"/>
        </w:rPr>
        <w:t>you submit</w:t>
      </w:r>
      <w:r>
        <w:rPr>
          <w:rFonts w:ascii="Times New Roman" w:cs="Times New Roman" w:eastAsia="Times New Roman" w:hAnsi="Times New Roman"/>
          <w:sz w:val="21"/>
          <w:szCs w:val="21"/>
          <w:color w:val="3F4146"/>
        </w:rPr>
        <w:t xml:space="preserve"> to </w:t>
      </w:r>
      <w:r>
        <w:rPr>
          <w:rFonts w:ascii="Times New Roman" w:cs="Times New Roman" w:eastAsia="Times New Roman" w:hAnsi="Times New Roman"/>
          <w:sz w:val="21"/>
          <w:szCs w:val="21"/>
          <w:color w:val="505259"/>
        </w:rPr>
        <w:t>the</w:t>
      </w:r>
      <w:r>
        <w:rPr>
          <w:rFonts w:ascii="Times New Roman" w:cs="Times New Roman" w:eastAsia="Times New Roman" w:hAnsi="Times New Roman"/>
          <w:sz w:val="21"/>
          <w:szCs w:val="21"/>
          <w:color w:val="3F4146"/>
        </w:rPr>
        <w:t xml:space="preserve"> jurisdiction of </w:t>
      </w:r>
      <w:r>
        <w:rPr>
          <w:rFonts w:ascii="Times New Roman" w:cs="Times New Roman" w:eastAsia="Times New Roman" w:hAnsi="Times New Roman"/>
          <w:sz w:val="21"/>
          <w:szCs w:val="21"/>
          <w:color w:val="505259"/>
        </w:rPr>
        <w:t>such courts and you acknowledge that venue in such</w:t>
      </w:r>
      <w:r>
        <w:rPr>
          <w:rFonts w:ascii="Times New Roman" w:cs="Times New Roman" w:eastAsia="Times New Roman" w:hAnsi="Times New Roman"/>
          <w:sz w:val="21"/>
          <w:szCs w:val="21"/>
          <w:color w:val="3F4146"/>
        </w:rPr>
        <w:t xml:space="preserve"> courts is proper.</w:t>
      </w:r>
    </w:p>
    <w:p>
      <w:pPr>
        <w:spacing w:after="0" w:line="204" w:lineRule="exact"/>
        <w:rPr>
          <w:rFonts w:ascii="Times New Roman" w:cs="Times New Roman" w:eastAsia="Times New Roman" w:hAnsi="Times New Roman"/>
          <w:sz w:val="21"/>
          <w:szCs w:val="21"/>
          <w:color w:val="505259"/>
        </w:rPr>
      </w:pPr>
    </w:p>
    <w:p>
      <w:pPr>
        <w:ind w:left="880" w:right="220" w:firstLine="741"/>
        <w:spacing w:after="0" w:line="249" w:lineRule="auto"/>
        <w:tabs>
          <w:tab w:leader="none" w:pos="2342" w:val="left"/>
        </w:tabs>
        <w:numPr>
          <w:ilvl w:val="1"/>
          <w:numId w:val="84"/>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21232A"/>
        </w:rPr>
        <w:t>Waiver</w:t>
      </w:r>
      <w:r>
        <w:rPr>
          <w:rFonts w:ascii="Times New Roman" w:cs="Times New Roman" w:eastAsia="Times New Roman" w:hAnsi="Times New Roman"/>
          <w:sz w:val="21"/>
          <w:szCs w:val="21"/>
          <w:b w:val="1"/>
          <w:bCs w:val="1"/>
          <w:color w:val="3F4146"/>
        </w:rPr>
        <w:t>; A</w:t>
      </w:r>
      <w:r>
        <w:rPr>
          <w:rFonts w:ascii="Times New Roman" w:cs="Times New Roman" w:eastAsia="Times New Roman" w:hAnsi="Times New Roman"/>
          <w:sz w:val="21"/>
          <w:szCs w:val="21"/>
          <w:b w:val="1"/>
          <w:bCs w:val="1"/>
          <w:color w:val="21232A"/>
        </w:rPr>
        <w:t>men</w:t>
      </w:r>
      <w:r>
        <w:rPr>
          <w:rFonts w:ascii="Times New Roman" w:cs="Times New Roman" w:eastAsia="Times New Roman" w:hAnsi="Times New Roman"/>
          <w:sz w:val="21"/>
          <w:szCs w:val="21"/>
          <w:b w:val="1"/>
          <w:bCs w:val="1"/>
          <w:color w:val="3F4146"/>
        </w:rPr>
        <w:t>d</w:t>
      </w:r>
      <w:r>
        <w:rPr>
          <w:rFonts w:ascii="Times New Roman" w:cs="Times New Roman" w:eastAsia="Times New Roman" w:hAnsi="Times New Roman"/>
          <w:sz w:val="21"/>
          <w:szCs w:val="21"/>
          <w:b w:val="1"/>
          <w:bCs w:val="1"/>
          <w:color w:val="21232A"/>
        </w:rPr>
        <w:t>ment</w:t>
      </w:r>
      <w:r>
        <w:rPr>
          <w:rFonts w:ascii="Times New Roman" w:cs="Times New Roman" w:eastAsia="Times New Roman" w:hAnsi="Times New Roman"/>
          <w:sz w:val="21"/>
          <w:szCs w:val="21"/>
          <w:b w:val="1"/>
          <w:bCs w:val="1"/>
          <w:color w:val="505259"/>
        </w:rPr>
        <w:t>.</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No waiver of</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3F4146"/>
        </w:rPr>
        <w:t>any provision</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of</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21232A"/>
        </w:rPr>
        <w:t>t</w:t>
      </w:r>
      <w:r>
        <w:rPr>
          <w:rFonts w:ascii="Times New Roman" w:cs="Times New Roman" w:eastAsia="Times New Roman" w:hAnsi="Times New Roman"/>
          <w:sz w:val="21"/>
          <w:szCs w:val="21"/>
          <w:color w:val="3F4146"/>
        </w:rPr>
        <w:t>his</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Agreement shall be effective unles</w:t>
      </w:r>
      <w:r>
        <w:rPr>
          <w:rFonts w:ascii="Times New Roman" w:cs="Times New Roman" w:eastAsia="Times New Roman" w:hAnsi="Times New Roman"/>
          <w:sz w:val="21"/>
          <w:szCs w:val="21"/>
          <w:color w:val="6B6B70"/>
        </w:rPr>
        <w:t>s</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made</w:t>
      </w:r>
      <w:r>
        <w:rPr>
          <w:rFonts w:ascii="Times New Roman" w:cs="Times New Roman" w:eastAsia="Times New Roman" w:hAnsi="Times New Roman"/>
          <w:sz w:val="21"/>
          <w:szCs w:val="21"/>
          <w:b w:val="1"/>
          <w:bCs w:val="1"/>
          <w:color w:val="21232A"/>
        </w:rPr>
        <w:t xml:space="preserve"> </w:t>
      </w:r>
      <w:r>
        <w:rPr>
          <w:rFonts w:ascii="Times New Roman" w:cs="Times New Roman" w:eastAsia="Times New Roman" w:hAnsi="Times New Roman"/>
          <w:sz w:val="21"/>
          <w:szCs w:val="21"/>
          <w:color w:val="505259"/>
        </w:rPr>
        <w:t xml:space="preserve">in writing and signed </w:t>
      </w:r>
      <w:r>
        <w:rPr>
          <w:rFonts w:ascii="Times New Roman" w:cs="Times New Roman" w:eastAsia="Times New Roman" w:hAnsi="Times New Roman"/>
          <w:sz w:val="21"/>
          <w:szCs w:val="21"/>
          <w:color w:val="3F4146"/>
        </w:rPr>
        <w:t>by</w:t>
      </w:r>
      <w:r>
        <w:rPr>
          <w:rFonts w:ascii="Times New Roman" w:cs="Times New Roman" w:eastAsia="Times New Roman" w:hAnsi="Times New Roman"/>
          <w:sz w:val="21"/>
          <w:szCs w:val="21"/>
          <w:color w:val="505259"/>
        </w:rPr>
        <w:t xml:space="preserve"> the wa</w:t>
      </w:r>
      <w:r>
        <w:rPr>
          <w:rFonts w:ascii="Times New Roman" w:cs="Times New Roman" w:eastAsia="Times New Roman" w:hAnsi="Times New Roman"/>
          <w:sz w:val="21"/>
          <w:szCs w:val="21"/>
          <w:color w:val="21232A"/>
        </w:rPr>
        <w:t>i</w:t>
      </w:r>
      <w:r>
        <w:rPr>
          <w:rFonts w:ascii="Times New Roman" w:cs="Times New Roman" w:eastAsia="Times New Roman" w:hAnsi="Times New Roman"/>
          <w:sz w:val="21"/>
          <w:szCs w:val="21"/>
          <w:color w:val="505259"/>
        </w:rPr>
        <w:t xml:space="preserve">ving party. The failure of a </w:t>
      </w:r>
      <w:r>
        <w:rPr>
          <w:rFonts w:ascii="Times New Roman" w:cs="Times New Roman" w:eastAsia="Times New Roman" w:hAnsi="Times New Roman"/>
          <w:sz w:val="21"/>
          <w:szCs w:val="21"/>
          <w:color w:val="3F4146"/>
        </w:rPr>
        <w:t>party to require the</w:t>
      </w:r>
      <w:r>
        <w:rPr>
          <w:rFonts w:ascii="Times New Roman" w:cs="Times New Roman" w:eastAsia="Times New Roman" w:hAnsi="Times New Roman"/>
          <w:sz w:val="21"/>
          <w:szCs w:val="21"/>
          <w:color w:val="505259"/>
        </w:rPr>
        <w:t xml:space="preserve"> performance </w:t>
      </w:r>
      <w:r>
        <w:rPr>
          <w:rFonts w:ascii="Times New Roman" w:cs="Times New Roman" w:eastAsia="Times New Roman" w:hAnsi="Times New Roman"/>
          <w:sz w:val="21"/>
          <w:szCs w:val="21"/>
          <w:color w:val="3F4146"/>
        </w:rPr>
        <w:t>of any</w:t>
      </w:r>
      <w:r>
        <w:rPr>
          <w:rFonts w:ascii="Times New Roman" w:cs="Times New Roman" w:eastAsia="Times New Roman" w:hAnsi="Times New Roman"/>
          <w:sz w:val="21"/>
          <w:szCs w:val="21"/>
          <w:color w:val="505259"/>
        </w:rPr>
        <w:t xml:space="preserve"> term or obligation </w:t>
      </w:r>
      <w:r>
        <w:rPr>
          <w:rFonts w:ascii="Times New Roman" w:cs="Times New Roman" w:eastAsia="Times New Roman" w:hAnsi="Times New Roman"/>
          <w:sz w:val="21"/>
          <w:szCs w:val="21"/>
          <w:color w:val="3F4146"/>
        </w:rPr>
        <w:t xml:space="preserve">of this </w:t>
      </w:r>
      <w:r>
        <w:rPr>
          <w:rFonts w:ascii="Times New Roman" w:cs="Times New Roman" w:eastAsia="Times New Roman" w:hAnsi="Times New Roman"/>
          <w:sz w:val="21"/>
          <w:szCs w:val="21"/>
          <w:color w:val="505259"/>
        </w:rPr>
        <w:t>Agreement,</w:t>
      </w:r>
      <w:r>
        <w:rPr>
          <w:rFonts w:ascii="Times New Roman" w:cs="Times New Roman" w:eastAsia="Times New Roman" w:hAnsi="Times New Roman"/>
          <w:sz w:val="21"/>
          <w:szCs w:val="21"/>
          <w:color w:val="3F4146"/>
        </w:rPr>
        <w:t xml:space="preserve"> or the </w:t>
      </w:r>
      <w:r>
        <w:rPr>
          <w:rFonts w:ascii="Times New Roman" w:cs="Times New Roman" w:eastAsia="Times New Roman" w:hAnsi="Times New Roman"/>
          <w:sz w:val="21"/>
          <w:szCs w:val="21"/>
          <w:color w:val="505259"/>
        </w:rPr>
        <w:t>wa</w:t>
      </w:r>
      <w:r>
        <w:rPr>
          <w:rFonts w:ascii="Times New Roman" w:cs="Times New Roman" w:eastAsia="Times New Roman" w:hAnsi="Times New Roman"/>
          <w:sz w:val="21"/>
          <w:szCs w:val="21"/>
          <w:color w:val="21232A"/>
        </w:rPr>
        <w:t>i</w:t>
      </w:r>
      <w:r>
        <w:rPr>
          <w:rFonts w:ascii="Times New Roman" w:cs="Times New Roman" w:eastAsia="Times New Roman" w:hAnsi="Times New Roman"/>
          <w:sz w:val="21"/>
          <w:szCs w:val="21"/>
          <w:color w:val="3F4146"/>
        </w:rPr>
        <w:t xml:space="preserve">ver by a </w:t>
      </w:r>
      <w:r>
        <w:rPr>
          <w:rFonts w:ascii="Times New Roman" w:cs="Times New Roman" w:eastAsia="Times New Roman" w:hAnsi="Times New Roman"/>
          <w:sz w:val="21"/>
          <w:szCs w:val="21"/>
          <w:color w:val="505259"/>
        </w:rPr>
        <w:t>party</w:t>
      </w:r>
      <w:r>
        <w:rPr>
          <w:rFonts w:ascii="Times New Roman" w:cs="Times New Roman" w:eastAsia="Times New Roman" w:hAnsi="Times New Roman"/>
          <w:sz w:val="21"/>
          <w:szCs w:val="21"/>
          <w:color w:val="3F4146"/>
        </w:rPr>
        <w:t xml:space="preserve"> of </w:t>
      </w:r>
      <w:r>
        <w:rPr>
          <w:rFonts w:ascii="Times New Roman" w:cs="Times New Roman" w:eastAsia="Times New Roman" w:hAnsi="Times New Roman"/>
          <w:sz w:val="21"/>
          <w:szCs w:val="21"/>
          <w:color w:val="505259"/>
        </w:rPr>
        <w:t>any breach of</w:t>
      </w:r>
      <w:r>
        <w:rPr>
          <w:rFonts w:ascii="Times New Roman" w:cs="Times New Roman" w:eastAsia="Times New Roman" w:hAnsi="Times New Roman"/>
          <w:sz w:val="21"/>
          <w:szCs w:val="21"/>
          <w:color w:val="3F4146"/>
        </w:rPr>
        <w:t xml:space="preserve"> this </w:t>
      </w:r>
      <w:r>
        <w:rPr>
          <w:rFonts w:ascii="Times New Roman" w:cs="Times New Roman" w:eastAsia="Times New Roman" w:hAnsi="Times New Roman"/>
          <w:sz w:val="21"/>
          <w:szCs w:val="21"/>
          <w:color w:val="505259"/>
        </w:rPr>
        <w:t>Agreement</w:t>
      </w:r>
      <w:r>
        <w:rPr>
          <w:rFonts w:ascii="Times New Roman" w:cs="Times New Roman" w:eastAsia="Times New Roman" w:hAnsi="Times New Roman"/>
          <w:sz w:val="21"/>
          <w:szCs w:val="21"/>
          <w:color w:val="6B6B70"/>
        </w:rPr>
        <w:t>,</w:t>
      </w:r>
      <w:r>
        <w:rPr>
          <w:rFonts w:ascii="Times New Roman" w:cs="Times New Roman" w:eastAsia="Times New Roman" w:hAnsi="Times New Roman"/>
          <w:sz w:val="21"/>
          <w:szCs w:val="21"/>
          <w:color w:val="3F4146"/>
        </w:rPr>
        <w:t xml:space="preserve"> </w:t>
      </w:r>
      <w:r>
        <w:rPr>
          <w:rFonts w:ascii="Times New Roman" w:cs="Times New Roman" w:eastAsia="Times New Roman" w:hAnsi="Times New Roman"/>
          <w:sz w:val="21"/>
          <w:szCs w:val="21"/>
          <w:color w:val="505259"/>
        </w:rPr>
        <w:t>shall</w:t>
      </w:r>
      <w:r>
        <w:rPr>
          <w:rFonts w:ascii="Times New Roman" w:cs="Times New Roman" w:eastAsia="Times New Roman" w:hAnsi="Times New Roman"/>
          <w:sz w:val="21"/>
          <w:szCs w:val="21"/>
          <w:color w:val="3F4146"/>
        </w:rPr>
        <w:t xml:space="preserve"> not prevent any </w:t>
      </w:r>
      <w:r>
        <w:rPr>
          <w:rFonts w:ascii="Times New Roman" w:cs="Times New Roman" w:eastAsia="Times New Roman" w:hAnsi="Times New Roman"/>
          <w:sz w:val="21"/>
          <w:szCs w:val="21"/>
          <w:color w:val="505259"/>
        </w:rPr>
        <w:t>subsequent</w:t>
      </w:r>
      <w:r>
        <w:rPr>
          <w:rFonts w:ascii="Times New Roman" w:cs="Times New Roman" w:eastAsia="Times New Roman" w:hAnsi="Times New Roman"/>
          <w:sz w:val="21"/>
          <w:szCs w:val="21"/>
          <w:color w:val="3F4146"/>
        </w:rPr>
        <w:t xml:space="preserve"> </w:t>
      </w:r>
      <w:r>
        <w:rPr>
          <w:rFonts w:ascii="Times New Roman" w:cs="Times New Roman" w:eastAsia="Times New Roman" w:hAnsi="Times New Roman"/>
          <w:sz w:val="21"/>
          <w:szCs w:val="21"/>
          <w:color w:val="505259"/>
        </w:rPr>
        <w:t xml:space="preserve">enforcement of such term or obligation or be deemed a waiver </w:t>
      </w:r>
      <w:r>
        <w:rPr>
          <w:rFonts w:ascii="Times New Roman" w:cs="Times New Roman" w:eastAsia="Times New Roman" w:hAnsi="Times New Roman"/>
          <w:sz w:val="21"/>
          <w:szCs w:val="21"/>
          <w:color w:val="3F4146"/>
        </w:rPr>
        <w:t>of</w:t>
      </w:r>
      <w:r>
        <w:rPr>
          <w:rFonts w:ascii="Times New Roman" w:cs="Times New Roman" w:eastAsia="Times New Roman" w:hAnsi="Times New Roman"/>
          <w:sz w:val="21"/>
          <w:szCs w:val="21"/>
          <w:color w:val="505259"/>
        </w:rPr>
        <w:t xml:space="preserve"> any subsequent breach. This Agreement </w:t>
      </w:r>
      <w:r>
        <w:rPr>
          <w:rFonts w:ascii="Times New Roman" w:cs="Times New Roman" w:eastAsia="Times New Roman" w:hAnsi="Times New Roman"/>
          <w:sz w:val="21"/>
          <w:szCs w:val="21"/>
          <w:color w:val="3F4146"/>
        </w:rPr>
        <w:t>may not be</w:t>
      </w:r>
      <w:r>
        <w:rPr>
          <w:rFonts w:ascii="Times New Roman" w:cs="Times New Roman" w:eastAsia="Times New Roman" w:hAnsi="Times New Roman"/>
          <w:sz w:val="21"/>
          <w:szCs w:val="21"/>
          <w:color w:val="505259"/>
        </w:rPr>
        <w:t xml:space="preserve"> </w:t>
      </w:r>
      <w:r>
        <w:rPr>
          <w:rFonts w:ascii="Times New Roman" w:cs="Times New Roman" w:eastAsia="Times New Roman" w:hAnsi="Times New Roman"/>
          <w:sz w:val="21"/>
          <w:szCs w:val="21"/>
          <w:color w:val="3F4146"/>
        </w:rPr>
        <w:t xml:space="preserve">modified </w:t>
      </w:r>
      <w:r>
        <w:rPr>
          <w:rFonts w:ascii="Times New Roman" w:cs="Times New Roman" w:eastAsia="Times New Roman" w:hAnsi="Times New Roman"/>
          <w:sz w:val="21"/>
          <w:szCs w:val="21"/>
          <w:color w:val="505259"/>
        </w:rPr>
        <w:t>or amended</w:t>
      </w:r>
      <w:r>
        <w:rPr>
          <w:rFonts w:ascii="Times New Roman" w:cs="Times New Roman" w:eastAsia="Times New Roman" w:hAnsi="Times New Roman"/>
          <w:sz w:val="21"/>
          <w:szCs w:val="21"/>
          <w:color w:val="3F4146"/>
        </w:rPr>
        <w:t xml:space="preserve"> except in a writing </w:t>
      </w:r>
      <w:r>
        <w:rPr>
          <w:rFonts w:ascii="Times New Roman" w:cs="Times New Roman" w:eastAsia="Times New Roman" w:hAnsi="Times New Roman"/>
          <w:sz w:val="21"/>
          <w:szCs w:val="21"/>
          <w:color w:val="505259"/>
        </w:rPr>
        <w:t>signed</w:t>
      </w:r>
      <w:r>
        <w:rPr>
          <w:rFonts w:ascii="Times New Roman" w:cs="Times New Roman" w:eastAsia="Times New Roman" w:hAnsi="Times New Roman"/>
          <w:sz w:val="21"/>
          <w:szCs w:val="21"/>
          <w:color w:val="3F4146"/>
        </w:rPr>
        <w:t xml:space="preserve"> by both </w:t>
      </w:r>
      <w:r>
        <w:rPr>
          <w:rFonts w:ascii="Times New Roman" w:cs="Times New Roman" w:eastAsia="Times New Roman" w:hAnsi="Times New Roman"/>
          <w:sz w:val="21"/>
          <w:szCs w:val="21"/>
          <w:color w:val="505259"/>
        </w:rPr>
        <w:t>you</w:t>
      </w:r>
      <w:r>
        <w:rPr>
          <w:rFonts w:ascii="Times New Roman" w:cs="Times New Roman" w:eastAsia="Times New Roman" w:hAnsi="Times New Roman"/>
          <w:sz w:val="21"/>
          <w:szCs w:val="21"/>
          <w:color w:val="3F4146"/>
        </w:rPr>
        <w:t xml:space="preserve"> and the CEO.</w:t>
      </w:r>
    </w:p>
    <w:p>
      <w:pPr>
        <w:spacing w:after="0" w:line="164" w:lineRule="exact"/>
        <w:rPr>
          <w:rFonts w:ascii="Times New Roman" w:cs="Times New Roman" w:eastAsia="Times New Roman" w:hAnsi="Times New Roman"/>
          <w:sz w:val="21"/>
          <w:szCs w:val="21"/>
          <w:color w:val="505259"/>
        </w:rPr>
      </w:pPr>
    </w:p>
    <w:p>
      <w:pPr>
        <w:ind w:left="880" w:right="180" w:firstLine="740"/>
        <w:spacing w:after="0" w:line="256" w:lineRule="auto"/>
        <w:tabs>
          <w:tab w:leader="none" w:pos="2346" w:val="left"/>
        </w:tabs>
        <w:numPr>
          <w:ilvl w:val="1"/>
          <w:numId w:val="84"/>
        </w:numPr>
        <w:rPr>
          <w:rFonts w:ascii="Times New Roman" w:cs="Times New Roman" w:eastAsia="Times New Roman" w:hAnsi="Times New Roman"/>
          <w:sz w:val="21"/>
          <w:szCs w:val="21"/>
          <w:color w:val="505259"/>
        </w:rPr>
      </w:pPr>
      <w:r>
        <w:rPr>
          <w:rFonts w:ascii="Times New Roman" w:cs="Times New Roman" w:eastAsia="Times New Roman" w:hAnsi="Times New Roman"/>
          <w:sz w:val="21"/>
          <w:szCs w:val="21"/>
          <w:b w:val="1"/>
          <w:bCs w:val="1"/>
          <w:color w:val="3F4146"/>
        </w:rPr>
        <w:t>C</w:t>
      </w:r>
      <w:r>
        <w:rPr>
          <w:rFonts w:ascii="Times New Roman" w:cs="Times New Roman" w:eastAsia="Times New Roman" w:hAnsi="Times New Roman"/>
          <w:sz w:val="21"/>
          <w:szCs w:val="21"/>
          <w:b w:val="1"/>
          <w:bCs w:val="1"/>
          <w:color w:val="21232A"/>
        </w:rPr>
        <w:t>oun</w:t>
      </w:r>
      <w:r>
        <w:rPr>
          <w:rFonts w:ascii="Times New Roman" w:cs="Times New Roman" w:eastAsia="Times New Roman" w:hAnsi="Times New Roman"/>
          <w:sz w:val="21"/>
          <w:szCs w:val="21"/>
          <w:b w:val="1"/>
          <w:bCs w:val="1"/>
          <w:color w:val="3F4146"/>
        </w:rPr>
        <w:t>ter</w:t>
      </w:r>
      <w:r>
        <w:rPr>
          <w:rFonts w:ascii="Times New Roman" w:cs="Times New Roman" w:eastAsia="Times New Roman" w:hAnsi="Times New Roman"/>
          <w:sz w:val="21"/>
          <w:szCs w:val="21"/>
          <w:b w:val="1"/>
          <w:bCs w:val="1"/>
          <w:color w:val="21232A"/>
        </w:rPr>
        <w:t>p</w:t>
      </w:r>
      <w:r>
        <w:rPr>
          <w:rFonts w:ascii="Times New Roman" w:cs="Times New Roman" w:eastAsia="Times New Roman" w:hAnsi="Times New Roman"/>
          <w:sz w:val="21"/>
          <w:szCs w:val="21"/>
          <w:b w:val="1"/>
          <w:bCs w:val="1"/>
          <w:color w:val="3F4146"/>
        </w:rPr>
        <w:t>a</w:t>
      </w:r>
      <w:r>
        <w:rPr>
          <w:rFonts w:ascii="Times New Roman" w:cs="Times New Roman" w:eastAsia="Times New Roman" w:hAnsi="Times New Roman"/>
          <w:sz w:val="21"/>
          <w:szCs w:val="21"/>
          <w:b w:val="1"/>
          <w:bCs w:val="1"/>
          <w:color w:val="21232A"/>
        </w:rPr>
        <w:t>r</w:t>
      </w:r>
      <w:r>
        <w:rPr>
          <w:rFonts w:ascii="Times New Roman" w:cs="Times New Roman" w:eastAsia="Times New Roman" w:hAnsi="Times New Roman"/>
          <w:sz w:val="21"/>
          <w:szCs w:val="21"/>
          <w:b w:val="1"/>
          <w:bCs w:val="1"/>
          <w:color w:val="3F4146"/>
        </w:rPr>
        <w:t xml:space="preserve">ts. </w:t>
      </w:r>
      <w:r>
        <w:rPr>
          <w:rFonts w:ascii="Times New Roman" w:cs="Times New Roman" w:eastAsia="Times New Roman" w:hAnsi="Times New Roman"/>
          <w:sz w:val="21"/>
          <w:szCs w:val="21"/>
          <w:color w:val="505259"/>
        </w:rPr>
        <w:t>This</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Agreement</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may</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be executed in</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separate</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counterparts. When</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both</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3F4146"/>
        </w:rPr>
        <w:t>counterparts</w:t>
      </w:r>
      <w:r>
        <w:rPr>
          <w:rFonts w:ascii="Times New Roman" w:cs="Times New Roman" w:eastAsia="Times New Roman" w:hAnsi="Times New Roman"/>
          <w:sz w:val="21"/>
          <w:szCs w:val="21"/>
          <w:b w:val="1"/>
          <w:bCs w:val="1"/>
          <w:color w:val="3F4146"/>
        </w:rPr>
        <w:t xml:space="preserve"> </w:t>
      </w:r>
      <w:r>
        <w:rPr>
          <w:rFonts w:ascii="Times New Roman" w:cs="Times New Roman" w:eastAsia="Times New Roman" w:hAnsi="Times New Roman"/>
          <w:sz w:val="21"/>
          <w:szCs w:val="21"/>
          <w:color w:val="505259"/>
        </w:rPr>
        <w:t xml:space="preserve">are signed, </w:t>
      </w:r>
      <w:r>
        <w:rPr>
          <w:rFonts w:ascii="Times New Roman" w:cs="Times New Roman" w:eastAsia="Times New Roman" w:hAnsi="Times New Roman"/>
          <w:sz w:val="21"/>
          <w:szCs w:val="21"/>
          <w:color w:val="3F4146"/>
        </w:rPr>
        <w:t>they</w:t>
      </w:r>
      <w:r>
        <w:rPr>
          <w:rFonts w:ascii="Times New Roman" w:cs="Times New Roman" w:eastAsia="Times New Roman" w:hAnsi="Times New Roman"/>
          <w:sz w:val="21"/>
          <w:szCs w:val="21"/>
          <w:color w:val="505259"/>
        </w:rPr>
        <w:t xml:space="preserve"> shall </w:t>
      </w:r>
      <w:r>
        <w:rPr>
          <w:rFonts w:ascii="Times New Roman" w:cs="Times New Roman" w:eastAsia="Times New Roman" w:hAnsi="Times New Roman"/>
          <w:sz w:val="21"/>
          <w:szCs w:val="21"/>
          <w:color w:val="3F4146"/>
        </w:rPr>
        <w:t>be</w:t>
      </w:r>
      <w:r>
        <w:rPr>
          <w:rFonts w:ascii="Times New Roman" w:cs="Times New Roman" w:eastAsia="Times New Roman" w:hAnsi="Times New Roman"/>
          <w:sz w:val="21"/>
          <w:szCs w:val="21"/>
          <w:color w:val="505259"/>
        </w:rPr>
        <w:t xml:space="preserve"> treated together as </w:t>
      </w:r>
      <w:r>
        <w:rPr>
          <w:rFonts w:ascii="Times New Roman" w:cs="Times New Roman" w:eastAsia="Times New Roman" w:hAnsi="Times New Roman"/>
          <w:sz w:val="21"/>
          <w:szCs w:val="21"/>
          <w:color w:val="3F4146"/>
        </w:rPr>
        <w:t>one</w:t>
      </w:r>
      <w:r>
        <w:rPr>
          <w:rFonts w:ascii="Times New Roman" w:cs="Times New Roman" w:eastAsia="Times New Roman" w:hAnsi="Times New Roman"/>
          <w:sz w:val="21"/>
          <w:szCs w:val="21"/>
          <w:color w:val="505259"/>
        </w:rPr>
        <w:t xml:space="preserve"> and </w:t>
      </w:r>
      <w:r>
        <w:rPr>
          <w:rFonts w:ascii="Times New Roman" w:cs="Times New Roman" w:eastAsia="Times New Roman" w:hAnsi="Times New Roman"/>
          <w:sz w:val="21"/>
          <w:szCs w:val="21"/>
          <w:color w:val="3F4146"/>
        </w:rPr>
        <w:t>the</w:t>
      </w:r>
      <w:r>
        <w:rPr>
          <w:rFonts w:ascii="Times New Roman" w:cs="Times New Roman" w:eastAsia="Times New Roman" w:hAnsi="Times New Roman"/>
          <w:sz w:val="21"/>
          <w:szCs w:val="21"/>
          <w:color w:val="505259"/>
        </w:rPr>
        <w:t xml:space="preserve"> same </w:t>
      </w:r>
      <w:r>
        <w:rPr>
          <w:rFonts w:ascii="Times New Roman" w:cs="Times New Roman" w:eastAsia="Times New Roman" w:hAnsi="Times New Roman"/>
          <w:sz w:val="21"/>
          <w:szCs w:val="21"/>
          <w:color w:val="3F4146"/>
        </w:rPr>
        <w:t>document.</w:t>
      </w:r>
      <w:r>
        <w:rPr>
          <w:rFonts w:ascii="Times New Roman" w:cs="Times New Roman" w:eastAsia="Times New Roman" w:hAnsi="Times New Roman"/>
          <w:sz w:val="21"/>
          <w:szCs w:val="21"/>
          <w:color w:val="505259"/>
        </w:rPr>
        <w:t xml:space="preserve"> El</w:t>
      </w:r>
      <w:r>
        <w:rPr>
          <w:rFonts w:ascii="Times New Roman" w:cs="Times New Roman" w:eastAsia="Times New Roman" w:hAnsi="Times New Roman"/>
          <w:sz w:val="21"/>
          <w:szCs w:val="21"/>
          <w:color w:val="6B6B70"/>
        </w:rPr>
        <w:t>e</w:t>
      </w:r>
      <w:r>
        <w:rPr>
          <w:rFonts w:ascii="Times New Roman" w:cs="Times New Roman" w:eastAsia="Times New Roman" w:hAnsi="Times New Roman"/>
          <w:sz w:val="21"/>
          <w:szCs w:val="21"/>
          <w:color w:val="505259"/>
        </w:rPr>
        <w:t xml:space="preserve">ctronic and pdf </w:t>
      </w:r>
      <w:r>
        <w:rPr>
          <w:rFonts w:ascii="Times New Roman" w:cs="Times New Roman" w:eastAsia="Times New Roman" w:hAnsi="Times New Roman"/>
          <w:sz w:val="21"/>
          <w:szCs w:val="21"/>
          <w:color w:val="6B6B70"/>
        </w:rPr>
        <w:t>s</w:t>
      </w:r>
      <w:r>
        <w:rPr>
          <w:rFonts w:ascii="Times New Roman" w:cs="Times New Roman" w:eastAsia="Times New Roman" w:hAnsi="Times New Roman"/>
          <w:sz w:val="21"/>
          <w:szCs w:val="21"/>
          <w:color w:val="505259"/>
        </w:rPr>
        <w:t xml:space="preserve">ignatures </w:t>
      </w:r>
      <w:r>
        <w:rPr>
          <w:rFonts w:ascii="Times New Roman" w:cs="Times New Roman" w:eastAsia="Times New Roman" w:hAnsi="Times New Roman"/>
          <w:sz w:val="21"/>
          <w:szCs w:val="21"/>
          <w:color w:val="6B6B70"/>
        </w:rPr>
        <w:t>s</w:t>
      </w:r>
      <w:r>
        <w:rPr>
          <w:rFonts w:ascii="Times New Roman" w:cs="Times New Roman" w:eastAsia="Times New Roman" w:hAnsi="Times New Roman"/>
          <w:sz w:val="21"/>
          <w:szCs w:val="21"/>
          <w:color w:val="505259"/>
        </w:rPr>
        <w:t xml:space="preserve">hall be deemed to </w:t>
      </w:r>
      <w:r>
        <w:rPr>
          <w:rFonts w:ascii="Times New Roman" w:cs="Times New Roman" w:eastAsia="Times New Roman" w:hAnsi="Times New Roman"/>
          <w:sz w:val="21"/>
          <w:szCs w:val="21"/>
          <w:color w:val="3F4146"/>
        </w:rPr>
        <w:t>have</w:t>
      </w:r>
      <w:r>
        <w:rPr>
          <w:rFonts w:ascii="Times New Roman" w:cs="Times New Roman" w:eastAsia="Times New Roman" w:hAnsi="Times New Roman"/>
          <w:sz w:val="21"/>
          <w:szCs w:val="21"/>
          <w:color w:val="505259"/>
        </w:rPr>
        <w:t xml:space="preserve"> the same </w:t>
      </w:r>
      <w:r>
        <w:rPr>
          <w:rFonts w:ascii="Times New Roman" w:cs="Times New Roman" w:eastAsia="Times New Roman" w:hAnsi="Times New Roman"/>
          <w:sz w:val="21"/>
          <w:szCs w:val="21"/>
          <w:color w:val="3F4146"/>
        </w:rPr>
        <w:t>legal</w:t>
      </w:r>
      <w:r>
        <w:rPr>
          <w:rFonts w:ascii="Times New Roman" w:cs="Times New Roman" w:eastAsia="Times New Roman" w:hAnsi="Times New Roman"/>
          <w:sz w:val="21"/>
          <w:szCs w:val="21"/>
          <w:color w:val="505259"/>
        </w:rPr>
        <w:t xml:space="preserve"> effect as originals.</w:t>
      </w: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505259"/>
        </w:rPr>
        <w:t xml:space="preserve">[Signature </w:t>
      </w:r>
      <w:r>
        <w:rPr>
          <w:rFonts w:ascii="Times New Roman" w:cs="Times New Roman" w:eastAsia="Times New Roman" w:hAnsi="Times New Roman"/>
          <w:sz w:val="21"/>
          <w:szCs w:val="21"/>
          <w:color w:val="3F4146"/>
        </w:rPr>
        <w:t>page</w:t>
      </w:r>
      <w:r>
        <w:rPr>
          <w:rFonts w:ascii="Times New Roman" w:cs="Times New Roman" w:eastAsia="Times New Roman" w:hAnsi="Times New Roman"/>
          <w:sz w:val="21"/>
          <w:szCs w:val="21"/>
          <w:color w:val="505259"/>
        </w:rPr>
        <w:t xml:space="preserv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167640</wp:posOffset>
            </wp:positionV>
            <wp:extent cx="2846070" cy="5740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28460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0"/>
        <w:spacing w:after="0" w:line="270" w:lineRule="auto"/>
        <w:rPr>
          <w:sz w:val="20"/>
          <w:szCs w:val="20"/>
          <w:color w:val="auto"/>
        </w:rPr>
      </w:pPr>
      <w:r>
        <w:rPr>
          <w:rFonts w:ascii="Times New Roman" w:cs="Times New Roman" w:eastAsia="Times New Roman" w:hAnsi="Times New Roman"/>
          <w:sz w:val="21"/>
          <w:szCs w:val="21"/>
          <w:color w:val="3B3B42"/>
        </w:rPr>
        <w:t xml:space="preserve">Please indicate </w:t>
      </w:r>
      <w:r>
        <w:rPr>
          <w:rFonts w:ascii="Times New Roman" w:cs="Times New Roman" w:eastAsia="Times New Roman" w:hAnsi="Times New Roman"/>
          <w:sz w:val="21"/>
          <w:szCs w:val="21"/>
          <w:color w:val="4F5057"/>
        </w:rPr>
        <w:t>your agreement to the terms of this Agreement by signing and returning</w:t>
      </w:r>
      <w:r>
        <w:rPr>
          <w:rFonts w:ascii="Times New Roman" w:cs="Times New Roman" w:eastAsia="Times New Roman" w:hAnsi="Times New Roman"/>
          <w:sz w:val="21"/>
          <w:szCs w:val="21"/>
          <w:color w:val="3B3B42"/>
        </w:rPr>
        <w:t xml:space="preserve"> thi</w:t>
      </w:r>
      <w:r>
        <w:rPr>
          <w:rFonts w:ascii="Times New Roman" w:cs="Times New Roman" w:eastAsia="Times New Roman" w:hAnsi="Times New Roman"/>
          <w:sz w:val="21"/>
          <w:szCs w:val="21"/>
          <w:color w:val="666970"/>
        </w:rPr>
        <w:t>s</w:t>
      </w:r>
      <w:r>
        <w:rPr>
          <w:rFonts w:ascii="Times New Roman" w:cs="Times New Roman" w:eastAsia="Times New Roman" w:hAnsi="Times New Roman"/>
          <w:sz w:val="21"/>
          <w:szCs w:val="21"/>
          <w:color w:val="3B3B42"/>
        </w:rPr>
        <w:t xml:space="preserve"> Agreement </w:t>
      </w:r>
      <w:r>
        <w:rPr>
          <w:rFonts w:ascii="Times New Roman" w:cs="Times New Roman" w:eastAsia="Times New Roman" w:hAnsi="Times New Roman"/>
          <w:sz w:val="21"/>
          <w:szCs w:val="21"/>
          <w:color w:val="4F5057"/>
        </w:rPr>
        <w:t>within the time</w:t>
      </w:r>
      <w:r>
        <w:rPr>
          <w:rFonts w:ascii="Times New Roman" w:cs="Times New Roman" w:eastAsia="Times New Roman" w:hAnsi="Times New Roman"/>
          <w:sz w:val="21"/>
          <w:szCs w:val="21"/>
          <w:color w:val="3B3B42"/>
        </w:rPr>
        <w:t xml:space="preserve"> period set </w:t>
      </w:r>
      <w:r>
        <w:rPr>
          <w:rFonts w:ascii="Times New Roman" w:cs="Times New Roman" w:eastAsia="Times New Roman" w:hAnsi="Times New Roman"/>
          <w:sz w:val="21"/>
          <w:szCs w:val="21"/>
          <w:color w:val="4F5057"/>
        </w:rPr>
        <w:t>forth above.</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3B3B42"/>
        </w:rPr>
        <w:t xml:space="preserve">The </w:t>
      </w:r>
      <w:r>
        <w:rPr>
          <w:rFonts w:ascii="Times New Roman" w:cs="Times New Roman" w:eastAsia="Times New Roman" w:hAnsi="Times New Roman"/>
          <w:sz w:val="21"/>
          <w:szCs w:val="21"/>
          <w:color w:val="4F5057"/>
        </w:rPr>
        <w:t>Company wishes you the best</w:t>
      </w:r>
      <w:r>
        <w:rPr>
          <w:rFonts w:ascii="Times New Roman" w:cs="Times New Roman" w:eastAsia="Times New Roman" w:hAnsi="Times New Roman"/>
          <w:sz w:val="21"/>
          <w:szCs w:val="21"/>
          <w:color w:val="3B3B42"/>
        </w:rPr>
        <w:t xml:space="preserve"> in </w:t>
      </w:r>
      <w:r>
        <w:rPr>
          <w:rFonts w:ascii="Times New Roman" w:cs="Times New Roman" w:eastAsia="Times New Roman" w:hAnsi="Times New Roman"/>
          <w:sz w:val="21"/>
          <w:szCs w:val="21"/>
          <w:color w:val="666970"/>
        </w:rPr>
        <w:t>your</w:t>
      </w:r>
      <w:r>
        <w:rPr>
          <w:rFonts w:ascii="Times New Roman" w:cs="Times New Roman" w:eastAsia="Times New Roman" w:hAnsi="Times New Roman"/>
          <w:sz w:val="21"/>
          <w:szCs w:val="21"/>
          <w:color w:val="3B3B42"/>
        </w:rPr>
        <w:t xml:space="preserve"> </w:t>
      </w:r>
      <w:r>
        <w:rPr>
          <w:rFonts w:ascii="Times New Roman" w:cs="Times New Roman" w:eastAsia="Times New Roman" w:hAnsi="Times New Roman"/>
          <w:sz w:val="21"/>
          <w:szCs w:val="21"/>
          <w:color w:val="4F5057"/>
        </w:rPr>
        <w:t>future</w:t>
      </w:r>
      <w:r>
        <w:rPr>
          <w:rFonts w:ascii="Times New Roman" w:cs="Times New Roman" w:eastAsia="Times New Roman" w:hAnsi="Times New Roman"/>
          <w:sz w:val="21"/>
          <w:szCs w:val="21"/>
          <w:color w:val="3B3B42"/>
        </w:rPr>
        <w:t xml:space="preserve"> endeavors.</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9</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323" w:right="699" w:bottom="1440" w:gutter="0" w:footer="0" w:header="0"/>
        </w:sectPr>
      </w:pPr>
    </w:p>
    <w:bookmarkStart w:id="141" w:name="page142"/>
    <w:bookmarkEnd w:id="141"/>
    <w:p>
      <w:pPr>
        <w:ind w:left="160"/>
        <w:spacing w:after="0"/>
        <w:rPr>
          <w:sz w:val="20"/>
          <w:szCs w:val="20"/>
          <w:color w:val="auto"/>
        </w:rPr>
      </w:pPr>
      <w:r>
        <w:rPr>
          <w:rFonts w:ascii="Times New Roman" w:cs="Times New Roman" w:eastAsia="Times New Roman" w:hAnsi="Times New Roman"/>
          <w:sz w:val="21"/>
          <w:szCs w:val="21"/>
          <w:color w:val="4F5057"/>
        </w:rPr>
        <w:t xml:space="preserve">Very </w:t>
      </w:r>
      <w:r>
        <w:rPr>
          <w:rFonts w:ascii="Times New Roman" w:cs="Times New Roman" w:eastAsia="Times New Roman" w:hAnsi="Times New Roman"/>
          <w:sz w:val="21"/>
          <w:szCs w:val="21"/>
          <w:color w:val="3B3B42"/>
        </w:rPr>
        <w:t>truly</w:t>
      </w:r>
      <w:r>
        <w:rPr>
          <w:rFonts w:ascii="Times New Roman" w:cs="Times New Roman" w:eastAsia="Times New Roman" w:hAnsi="Times New Roman"/>
          <w:sz w:val="21"/>
          <w:szCs w:val="21"/>
          <w:color w:val="4F5057"/>
        </w:rPr>
        <w:t xml:space="preserve"> yours,</w:t>
      </w: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color w:val="3B3B42"/>
        </w:rPr>
        <w:t>AM</w:t>
      </w:r>
      <w:r>
        <w:rPr>
          <w:rFonts w:ascii="Times New Roman" w:cs="Times New Roman" w:eastAsia="Times New Roman" w:hAnsi="Times New Roman"/>
          <w:sz w:val="21"/>
          <w:szCs w:val="21"/>
          <w:b w:val="1"/>
          <w:bCs w:val="1"/>
          <w:color w:val="232328"/>
        </w:rPr>
        <w:t>ARI</w:t>
      </w:r>
      <w:r>
        <w:rPr>
          <w:rFonts w:ascii="Times New Roman" w:cs="Times New Roman" w:eastAsia="Times New Roman" w:hAnsi="Times New Roman"/>
          <w:sz w:val="21"/>
          <w:szCs w:val="21"/>
          <w:b w:val="1"/>
          <w:bCs w:val="1"/>
          <w:color w:val="3B3B42"/>
        </w:rPr>
        <w:t>N C</w:t>
      </w:r>
      <w:r>
        <w:rPr>
          <w:rFonts w:ascii="Times New Roman" w:cs="Times New Roman" w:eastAsia="Times New Roman" w:hAnsi="Times New Roman"/>
          <w:sz w:val="21"/>
          <w:szCs w:val="21"/>
          <w:b w:val="1"/>
          <w:bCs w:val="1"/>
          <w:color w:val="232328"/>
        </w:rPr>
        <w:t>O</w:t>
      </w:r>
      <w:r>
        <w:rPr>
          <w:rFonts w:ascii="Times New Roman" w:cs="Times New Roman" w:eastAsia="Times New Roman" w:hAnsi="Times New Roman"/>
          <w:sz w:val="21"/>
          <w:szCs w:val="21"/>
          <w:b w:val="1"/>
          <w:bCs w:val="1"/>
          <w:color w:val="3B3B42"/>
        </w:rPr>
        <w:t>RP</w:t>
      </w:r>
      <w:r>
        <w:rPr>
          <w:rFonts w:ascii="Times New Roman" w:cs="Times New Roman" w:eastAsia="Times New Roman" w:hAnsi="Times New Roman"/>
          <w:sz w:val="21"/>
          <w:szCs w:val="21"/>
          <w:b w:val="1"/>
          <w:bCs w:val="1"/>
          <w:color w:val="232328"/>
        </w:rPr>
        <w:t>ORA</w:t>
      </w:r>
      <w:r>
        <w:rPr>
          <w:rFonts w:ascii="Times New Roman" w:cs="Times New Roman" w:eastAsia="Times New Roman" w:hAnsi="Times New Roman"/>
          <w:sz w:val="21"/>
          <w:szCs w:val="21"/>
          <w:b w:val="1"/>
          <w:bCs w:val="1"/>
          <w:color w:val="3B3B42"/>
        </w:rPr>
        <w:t>T</w:t>
      </w:r>
      <w:r>
        <w:rPr>
          <w:rFonts w:ascii="Times New Roman" w:cs="Times New Roman" w:eastAsia="Times New Roman" w:hAnsi="Times New Roman"/>
          <w:sz w:val="21"/>
          <w:szCs w:val="21"/>
          <w:b w:val="1"/>
          <w:bCs w:val="1"/>
          <w:color w:val="232328"/>
        </w:rPr>
        <w:t>IO</w:t>
      </w:r>
      <w:r>
        <w:rPr>
          <w:rFonts w:ascii="Times New Roman" w:cs="Times New Roman" w:eastAsia="Times New Roman" w:hAnsi="Times New Roman"/>
          <w:sz w:val="21"/>
          <w:szCs w:val="21"/>
          <w:b w:val="1"/>
          <w:bCs w:val="1"/>
          <w:color w:val="3B3B42"/>
        </w:rPr>
        <w:t>N P</w:t>
      </w:r>
      <w:r>
        <w:rPr>
          <w:rFonts w:ascii="Times New Roman" w:cs="Times New Roman" w:eastAsia="Times New Roman" w:hAnsi="Times New Roman"/>
          <w:sz w:val="21"/>
          <w:szCs w:val="21"/>
          <w:b w:val="1"/>
          <w:bCs w:val="1"/>
          <w:color w:val="232328"/>
        </w:rPr>
        <w:t>LC</w:t>
      </w:r>
    </w:p>
    <w:p>
      <w:pPr>
        <w:spacing w:after="0" w:line="200" w:lineRule="exact"/>
        <w:rPr>
          <w:sz w:val="20"/>
          <w:szCs w:val="20"/>
          <w:color w:val="auto"/>
        </w:rPr>
      </w:pPr>
    </w:p>
    <w:p>
      <w:pPr>
        <w:spacing w:after="0" w:line="303" w:lineRule="exact"/>
        <w:rPr>
          <w:sz w:val="20"/>
          <w:szCs w:val="20"/>
          <w:color w:val="auto"/>
        </w:rPr>
      </w:pPr>
    </w:p>
    <w:p>
      <w:pPr>
        <w:ind w:left="160"/>
        <w:spacing w:after="0"/>
        <w:tabs>
          <w:tab w:leader="none" w:pos="600" w:val="left"/>
        </w:tabs>
        <w:rPr>
          <w:sz w:val="20"/>
          <w:szCs w:val="20"/>
          <w:color w:val="auto"/>
        </w:rPr>
      </w:pPr>
      <w:r>
        <w:rPr>
          <w:rFonts w:ascii="Times New Roman" w:cs="Times New Roman" w:eastAsia="Times New Roman" w:hAnsi="Times New Roman"/>
          <w:sz w:val="21"/>
          <w:szCs w:val="21"/>
          <w:color w:val="3B3B42"/>
        </w:rPr>
        <w:t>By:</w:t>
      </w:r>
      <w:r>
        <w:rPr>
          <w:rFonts w:ascii="Times New Roman" w:cs="Times New Roman" w:eastAsia="Times New Roman" w:hAnsi="Times New Roman"/>
          <w:sz w:val="21"/>
          <w:szCs w:val="21"/>
          <w:color w:val="777C80"/>
        </w:rPr>
        <w:tab/>
        <w:t>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-12065</wp:posOffset>
            </wp:positionV>
            <wp:extent cx="730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73025" cy="8255"/>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4F5057"/>
        </w:rPr>
        <w:t>Name</w:t>
      </w:r>
      <w:r>
        <w:rPr>
          <w:rFonts w:ascii="Times New Roman" w:cs="Times New Roman" w:eastAsia="Times New Roman" w:hAnsi="Times New Roman"/>
          <w:sz w:val="22"/>
          <w:szCs w:val="22"/>
          <w:color w:val="232328"/>
        </w:rPr>
        <w:t>:</w:t>
      </w:r>
    </w:p>
    <w:p>
      <w:pPr>
        <w:spacing w:after="0" w:line="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3B3B42"/>
        </w:rPr>
        <w:t>Title: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4F5057"/>
        </w:rPr>
        <w:t xml:space="preserve">The </w:t>
      </w:r>
      <w:r>
        <w:rPr>
          <w:rFonts w:ascii="Times New Roman" w:cs="Times New Roman" w:eastAsia="Times New Roman" w:hAnsi="Times New Roman"/>
          <w:sz w:val="21"/>
          <w:szCs w:val="21"/>
          <w:color w:val="3B3B42"/>
        </w:rPr>
        <w:t>foregoing</w:t>
      </w:r>
      <w:r>
        <w:rPr>
          <w:rFonts w:ascii="Times New Roman" w:cs="Times New Roman" w:eastAsia="Times New Roman" w:hAnsi="Times New Roman"/>
          <w:sz w:val="21"/>
          <w:szCs w:val="21"/>
          <w:color w:val="4F5057"/>
        </w:rPr>
        <w:t xml:space="preserve"> is agreed to and accepted by: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3B3B42"/>
        </w:rPr>
        <w:t>Jason Marks</w:t>
      </w: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3B3B42"/>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-12065</wp:posOffset>
            </wp:positionV>
            <wp:extent cx="2406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240665" cy="825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167640</wp:posOffset>
            </wp:positionV>
            <wp:extent cx="2846070" cy="5918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28460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u w:val="single" w:color="auto"/>
          <w:color w:val="282A2F"/>
        </w:rPr>
        <w:t>Exhibit</w:t>
      </w:r>
      <w:r>
        <w:rPr>
          <w:rFonts w:ascii="Times New Roman" w:cs="Times New Roman" w:eastAsia="Times New Roman" w:hAnsi="Times New Roman"/>
          <w:sz w:val="21"/>
          <w:szCs w:val="21"/>
          <w:b w:val="1"/>
          <w:bCs w:val="1"/>
          <w:color w:val="282A2F"/>
        </w:rPr>
        <w:t xml:space="preserve"> </w:t>
      </w:r>
      <w:r>
        <w:rPr>
          <w:rFonts w:ascii="Times New Roman" w:cs="Times New Roman" w:eastAsia="Times New Roman" w:hAnsi="Times New Roman"/>
          <w:sz w:val="21"/>
          <w:szCs w:val="21"/>
          <w:b w:val="1"/>
          <w:bCs w:val="1"/>
          <w:u w:val="single" w:color="auto"/>
          <w:color w:val="1A1A21"/>
        </w:rPr>
        <w:t>A</w:t>
      </w:r>
      <w:r>
        <w:rPr>
          <w:rFonts w:ascii="Times New Roman" w:cs="Times New Roman" w:eastAsia="Times New Roman" w:hAnsi="Times New Roman"/>
          <w:sz w:val="21"/>
          <w:szCs w:val="21"/>
          <w:b w:val="1"/>
          <w:bCs w:val="1"/>
          <w:color w:val="282A2F"/>
        </w:rPr>
        <w:t xml:space="preserve"> Certific</w:t>
      </w:r>
      <w:r>
        <w:rPr>
          <w:rFonts w:ascii="Times New Roman" w:cs="Times New Roman" w:eastAsia="Times New Roman" w:hAnsi="Times New Roman"/>
          <w:sz w:val="21"/>
          <w:szCs w:val="21"/>
          <w:b w:val="1"/>
          <w:bCs w:val="1"/>
          <w:color w:val="44444B"/>
        </w:rPr>
        <w:t>a</w:t>
      </w:r>
      <w:r>
        <w:rPr>
          <w:rFonts w:ascii="Times New Roman" w:cs="Times New Roman" w:eastAsia="Times New Roman" w:hAnsi="Times New Roman"/>
          <w:sz w:val="21"/>
          <w:szCs w:val="21"/>
          <w:b w:val="1"/>
          <w:bCs w:val="1"/>
          <w:color w:val="282A2F"/>
        </w:rPr>
        <w:t>te</w:t>
      </w:r>
    </w:p>
    <w:p>
      <w:pPr>
        <w:spacing w:after="0" w:line="243" w:lineRule="exact"/>
        <w:rPr>
          <w:sz w:val="20"/>
          <w:szCs w:val="20"/>
          <w:color w:val="auto"/>
        </w:rPr>
      </w:pPr>
    </w:p>
    <w:p>
      <w:pPr>
        <w:ind w:left="120" w:right="20" w:firstLine="4"/>
        <w:spacing w:after="0" w:line="258" w:lineRule="auto"/>
        <w:rPr>
          <w:sz w:val="20"/>
          <w:szCs w:val="20"/>
          <w:color w:val="auto"/>
        </w:rPr>
      </w:pP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 Jason Marks, hereby acknowledge and certify that I entere</w:t>
      </w:r>
      <w:r>
        <w:rPr>
          <w:rFonts w:ascii="Times New Roman" w:cs="Times New Roman" w:eastAsia="Times New Roman" w:hAnsi="Times New Roman"/>
          <w:sz w:val="19"/>
          <w:szCs w:val="19"/>
          <w:color w:val="282A2F"/>
        </w:rPr>
        <w:t xml:space="preserve">d </w:t>
      </w:r>
      <w:r>
        <w:rPr>
          <w:rFonts w:ascii="Times New Roman" w:cs="Times New Roman" w:eastAsia="Times New Roman" w:hAnsi="Times New Roman"/>
          <w:sz w:val="19"/>
          <w:szCs w:val="19"/>
          <w:color w:val="44444B"/>
        </w:rPr>
        <w:t>into a</w:t>
      </w:r>
      <w:r>
        <w:rPr>
          <w:rFonts w:ascii="Times New Roman" w:cs="Times New Roman" w:eastAsia="Times New Roman" w:hAnsi="Times New Roman"/>
          <w:sz w:val="19"/>
          <w:szCs w:val="19"/>
          <w:color w:val="282A2F"/>
        </w:rPr>
        <w:t xml:space="preserve"> T</w:t>
      </w:r>
      <w:r>
        <w:rPr>
          <w:rFonts w:ascii="Times New Roman" w:cs="Times New Roman" w:eastAsia="Times New Roman" w:hAnsi="Times New Roman"/>
          <w:sz w:val="19"/>
          <w:szCs w:val="19"/>
          <w:color w:val="44444B"/>
        </w:rPr>
        <w:t>ransition Agreement with Amar</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n Corporation plc (together</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with</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its</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 xml:space="preserve">subsidiaries </w:t>
      </w:r>
      <w:r>
        <w:rPr>
          <w:rFonts w:ascii="Times New Roman" w:cs="Times New Roman" w:eastAsia="Times New Roman" w:hAnsi="Times New Roman"/>
          <w:sz w:val="19"/>
          <w:szCs w:val="19"/>
          <w:color w:val="44444B"/>
        </w:rPr>
        <w:t>and any contro</w:t>
      </w:r>
      <w:r>
        <w:rPr>
          <w:rFonts w:ascii="Times New Roman" w:cs="Times New Roman" w:eastAsia="Times New Roman" w:hAnsi="Times New Roman"/>
          <w:sz w:val="19"/>
          <w:szCs w:val="19"/>
          <w:color w:val="282A2F"/>
        </w:rPr>
        <w:t>ll</w:t>
      </w:r>
      <w:r>
        <w:rPr>
          <w:rFonts w:ascii="Times New Roman" w:cs="Times New Roman" w:eastAsia="Times New Roman" w:hAnsi="Times New Roman"/>
          <w:sz w:val="19"/>
          <w:szCs w:val="19"/>
          <w:color w:val="44444B"/>
        </w:rPr>
        <w:t>ed</w:t>
      </w:r>
      <w:r>
        <w:rPr>
          <w:rFonts w:ascii="Times New Roman" w:cs="Times New Roman" w:eastAsia="Times New Roman" w:hAnsi="Times New Roman"/>
          <w:sz w:val="19"/>
          <w:szCs w:val="19"/>
          <w:color w:val="56575E"/>
        </w:rPr>
        <w:t xml:space="preserve"> affi</w:t>
      </w:r>
      <w:r>
        <w:rPr>
          <w:rFonts w:ascii="Times New Roman" w:cs="Times New Roman" w:eastAsia="Times New Roman" w:hAnsi="Times New Roman"/>
          <w:sz w:val="19"/>
          <w:szCs w:val="19"/>
          <w:color w:val="282A2F"/>
        </w:rPr>
        <w:t>li</w:t>
      </w:r>
      <w:r>
        <w:rPr>
          <w:rFonts w:ascii="Times New Roman" w:cs="Times New Roman" w:eastAsia="Times New Roman" w:hAnsi="Times New Roman"/>
          <w:sz w:val="19"/>
          <w:szCs w:val="19"/>
          <w:color w:val="44444B"/>
        </w:rPr>
        <w:t>ates, the "Company") in connection with</w:t>
      </w:r>
      <w:r>
        <w:rPr>
          <w:rFonts w:ascii="Times New Roman" w:cs="Times New Roman" w:eastAsia="Times New Roman" w:hAnsi="Times New Roman"/>
          <w:sz w:val="19"/>
          <w:szCs w:val="19"/>
          <w:color w:val="56575E"/>
        </w:rPr>
        <w:t xml:space="preserve"> the ending of </w:t>
      </w:r>
      <w:r>
        <w:rPr>
          <w:rFonts w:ascii="Times New Roman" w:cs="Times New Roman" w:eastAsia="Times New Roman" w:hAnsi="Times New Roman"/>
          <w:sz w:val="19"/>
          <w:szCs w:val="19"/>
          <w:color w:val="44444B"/>
        </w:rPr>
        <w:t>my employment</w:t>
      </w:r>
      <w:r>
        <w:rPr>
          <w:rFonts w:ascii="Times New Roman" w:cs="Times New Roman" w:eastAsia="Times New Roman" w:hAnsi="Times New Roman"/>
          <w:sz w:val="19"/>
          <w:szCs w:val="19"/>
          <w:color w:val="56575E"/>
        </w:rPr>
        <w:t xml:space="preserve"> (the "Agreement</w:t>
      </w:r>
      <w:r>
        <w:rPr>
          <w:rFonts w:ascii="Times New Roman" w:cs="Times New Roman" w:eastAsia="Times New Roman" w:hAnsi="Times New Roman"/>
          <w:sz w:val="19"/>
          <w:szCs w:val="19"/>
          <w:color w:val="72747C"/>
        </w:rPr>
        <w:t>"</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Capitalized</w:t>
      </w:r>
      <w:r>
        <w:rPr>
          <w:rFonts w:ascii="Times New Roman" w:cs="Times New Roman" w:eastAsia="Times New Roman" w:hAnsi="Times New Roman"/>
          <w:sz w:val="19"/>
          <w:szCs w:val="19"/>
          <w:color w:val="56575E"/>
        </w:rPr>
        <w:t xml:space="preserve"> terms </w:t>
      </w:r>
      <w:r>
        <w:rPr>
          <w:rFonts w:ascii="Times New Roman" w:cs="Times New Roman" w:eastAsia="Times New Roman" w:hAnsi="Times New Roman"/>
          <w:sz w:val="19"/>
          <w:szCs w:val="19"/>
          <w:color w:val="44444B"/>
        </w:rPr>
        <w:t>used herein</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282A2F"/>
        </w:rPr>
        <w:t>an</w:t>
      </w:r>
      <w:r>
        <w:rPr>
          <w:rFonts w:ascii="Times New Roman" w:cs="Times New Roman" w:eastAsia="Times New Roman" w:hAnsi="Times New Roman"/>
          <w:sz w:val="19"/>
          <w:szCs w:val="19"/>
          <w:color w:val="44444B"/>
        </w:rPr>
        <w:t>d not otherwise defined have the meanings ascr</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bed to such terms</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n the Agreement.</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282A2F"/>
        </w:rPr>
        <w:t>P</w:t>
      </w:r>
      <w:r>
        <w:rPr>
          <w:rFonts w:ascii="Times New Roman" w:cs="Times New Roman" w:eastAsia="Times New Roman" w:hAnsi="Times New Roman"/>
          <w:sz w:val="19"/>
          <w:szCs w:val="19"/>
          <w:color w:val="44444B"/>
        </w:rPr>
        <w:t>ursuan</w:t>
      </w:r>
      <w:r>
        <w:rPr>
          <w:rFonts w:ascii="Times New Roman" w:cs="Times New Roman" w:eastAsia="Times New Roman" w:hAnsi="Times New Roman"/>
          <w:sz w:val="19"/>
          <w:szCs w:val="19"/>
          <w:color w:val="282A2F"/>
        </w:rPr>
        <w:t>t</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to the Agreement, and</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 xml:space="preserve">provided that I have </w:t>
      </w:r>
      <w:r>
        <w:rPr>
          <w:rFonts w:ascii="Times New Roman" w:cs="Times New Roman" w:eastAsia="Times New Roman" w:hAnsi="Times New Roman"/>
          <w:sz w:val="19"/>
          <w:szCs w:val="19"/>
          <w:color w:val="56575E"/>
        </w:rPr>
        <w:t>satisfied</w:t>
      </w:r>
      <w:r>
        <w:rPr>
          <w:rFonts w:ascii="Times New Roman" w:cs="Times New Roman" w:eastAsia="Times New Roman" w:hAnsi="Times New Roman"/>
          <w:sz w:val="19"/>
          <w:szCs w:val="19"/>
          <w:color w:val="44444B"/>
        </w:rPr>
        <w:t xml:space="preserve"> the Conditions</w:t>
      </w:r>
      <w:r>
        <w:rPr>
          <w:rFonts w:ascii="Times New Roman" w:cs="Times New Roman" w:eastAsia="Times New Roman" w:hAnsi="Times New Roman"/>
          <w:sz w:val="19"/>
          <w:szCs w:val="19"/>
          <w:color w:val="72747C"/>
        </w:rPr>
        <w:t>,</w:t>
      </w:r>
      <w:r>
        <w:rPr>
          <w:rFonts w:ascii="Times New Roman" w:cs="Times New Roman" w:eastAsia="Times New Roman" w:hAnsi="Times New Roman"/>
          <w:sz w:val="19"/>
          <w:szCs w:val="19"/>
          <w:color w:val="44444B"/>
        </w:rPr>
        <w:t xml:space="preserve"> I am required to </w:t>
      </w:r>
      <w:r>
        <w:rPr>
          <w:rFonts w:ascii="Times New Roman" w:cs="Times New Roman" w:eastAsia="Times New Roman" w:hAnsi="Times New Roman"/>
          <w:sz w:val="19"/>
          <w:szCs w:val="19"/>
          <w:color w:val="56575E"/>
        </w:rPr>
        <w:t>execute</w:t>
      </w:r>
      <w:r>
        <w:rPr>
          <w:rFonts w:ascii="Times New Roman" w:cs="Times New Roman" w:eastAsia="Times New Roman" w:hAnsi="Times New Roman"/>
          <w:sz w:val="19"/>
          <w:szCs w:val="19"/>
          <w:color w:val="44444B"/>
        </w:rPr>
        <w:t xml:space="preserve"> this certificate, </w:t>
      </w:r>
      <w:r>
        <w:rPr>
          <w:rFonts w:ascii="Times New Roman" w:cs="Times New Roman" w:eastAsia="Times New Roman" w:hAnsi="Times New Roman"/>
          <w:sz w:val="19"/>
          <w:szCs w:val="19"/>
          <w:color w:val="56575E"/>
        </w:rPr>
        <w:t>which</w:t>
      </w:r>
      <w:r>
        <w:rPr>
          <w:rFonts w:ascii="Times New Roman" w:cs="Times New Roman" w:eastAsia="Times New Roman" w:hAnsi="Times New Roman"/>
          <w:sz w:val="19"/>
          <w:szCs w:val="19"/>
          <w:color w:val="44444B"/>
        </w:rPr>
        <w:t xml:space="preserve"> updates </w:t>
      </w:r>
      <w:r>
        <w:rPr>
          <w:rFonts w:ascii="Times New Roman" w:cs="Times New Roman" w:eastAsia="Times New Roman" w:hAnsi="Times New Roman"/>
          <w:sz w:val="19"/>
          <w:szCs w:val="19"/>
          <w:color w:val="56575E"/>
        </w:rPr>
        <w:t>the</w:t>
      </w:r>
      <w:r>
        <w:rPr>
          <w:rFonts w:ascii="Times New Roman" w:cs="Times New Roman" w:eastAsia="Times New Roman" w:hAnsi="Times New Roman"/>
          <w:sz w:val="19"/>
          <w:szCs w:val="19"/>
          <w:color w:val="44444B"/>
        </w:rPr>
        <w:t xml:space="preserve"> release of claims </w:t>
      </w:r>
      <w:r>
        <w:rPr>
          <w:rFonts w:ascii="Times New Roman" w:cs="Times New Roman" w:eastAsia="Times New Roman" w:hAnsi="Times New Roman"/>
          <w:sz w:val="19"/>
          <w:szCs w:val="19"/>
          <w:color w:val="56575E"/>
        </w:rPr>
        <w:t>set</w:t>
      </w:r>
      <w:r>
        <w:rPr>
          <w:rFonts w:ascii="Times New Roman" w:cs="Times New Roman" w:eastAsia="Times New Roman" w:hAnsi="Times New Roman"/>
          <w:sz w:val="19"/>
          <w:szCs w:val="19"/>
          <w:color w:val="44444B"/>
        </w:rPr>
        <w:t xml:space="preserve"> forth </w:t>
      </w:r>
      <w:r>
        <w:rPr>
          <w:rFonts w:ascii="Times New Roman" w:cs="Times New Roman" w:eastAsia="Times New Roman" w:hAnsi="Times New Roman"/>
          <w:sz w:val="19"/>
          <w:szCs w:val="19"/>
          <w:color w:val="56575E"/>
        </w:rPr>
        <w:t>in</w:t>
      </w:r>
      <w:r>
        <w:rPr>
          <w:rFonts w:ascii="Times New Roman" w:cs="Times New Roman" w:eastAsia="Times New Roman" w:hAnsi="Times New Roman"/>
          <w:sz w:val="19"/>
          <w:szCs w:val="19"/>
          <w:color w:val="44444B"/>
        </w:rPr>
        <w:t xml:space="preserve"> Section 5 of </w:t>
      </w:r>
      <w:r>
        <w:rPr>
          <w:rFonts w:ascii="Times New Roman" w:cs="Times New Roman" w:eastAsia="Times New Roman" w:hAnsi="Times New Roman"/>
          <w:sz w:val="19"/>
          <w:szCs w:val="19"/>
          <w:color w:val="56575E"/>
        </w:rPr>
        <w:t>the</w:t>
      </w:r>
      <w:r>
        <w:rPr>
          <w:rFonts w:ascii="Times New Roman" w:cs="Times New Roman" w:eastAsia="Times New Roman" w:hAnsi="Times New Roman"/>
          <w:sz w:val="19"/>
          <w:szCs w:val="19"/>
          <w:color w:val="44444B"/>
        </w:rPr>
        <w:t xml:space="preserve"> Agreement and adds a </w:t>
      </w:r>
      <w:r>
        <w:rPr>
          <w:rFonts w:ascii="Times New Roman" w:cs="Times New Roman" w:eastAsia="Times New Roman" w:hAnsi="Times New Roman"/>
          <w:sz w:val="19"/>
          <w:szCs w:val="19"/>
          <w:color w:val="282A2F"/>
        </w:rPr>
        <w:t>r</w:t>
      </w:r>
      <w:r>
        <w:rPr>
          <w:rFonts w:ascii="Times New Roman" w:cs="Times New Roman" w:eastAsia="Times New Roman" w:hAnsi="Times New Roman"/>
          <w:sz w:val="19"/>
          <w:szCs w:val="19"/>
          <w:color w:val="44444B"/>
        </w:rPr>
        <w:t xml:space="preserve">elease under the Age Discrimination </w:t>
      </w:r>
      <w:r>
        <w:rPr>
          <w:rFonts w:ascii="Times New Roman" w:cs="Times New Roman" w:eastAsia="Times New Roman" w:hAnsi="Times New Roman"/>
          <w:sz w:val="19"/>
          <w:szCs w:val="19"/>
          <w:color w:val="56575E"/>
        </w:rPr>
        <w:t>in Employment</w:t>
      </w:r>
      <w:r>
        <w:rPr>
          <w:rFonts w:ascii="Times New Roman" w:cs="Times New Roman" w:eastAsia="Times New Roman" w:hAnsi="Times New Roman"/>
          <w:sz w:val="19"/>
          <w:szCs w:val="19"/>
          <w:color w:val="44444B"/>
        </w:rPr>
        <w:t xml:space="preserve"> Act (this "Certi</w:t>
      </w:r>
      <w:r>
        <w:rPr>
          <w:rFonts w:ascii="Times New Roman" w:cs="Times New Roman" w:eastAsia="Times New Roman" w:hAnsi="Times New Roman"/>
          <w:sz w:val="19"/>
          <w:szCs w:val="19"/>
          <w:color w:val="282A2F"/>
        </w:rPr>
        <w:t>fi</w:t>
      </w:r>
      <w:r>
        <w:rPr>
          <w:rFonts w:ascii="Times New Roman" w:cs="Times New Roman" w:eastAsia="Times New Roman" w:hAnsi="Times New Roman"/>
          <w:sz w:val="19"/>
          <w:szCs w:val="19"/>
          <w:color w:val="44444B"/>
        </w:rPr>
        <w:t>cate"), i</w:t>
      </w:r>
      <w:r>
        <w:rPr>
          <w:rFonts w:ascii="Times New Roman" w:cs="Times New Roman" w:eastAsia="Times New Roman" w:hAnsi="Times New Roman"/>
          <w:sz w:val="19"/>
          <w:szCs w:val="19"/>
          <w:color w:val="282A2F"/>
        </w:rPr>
        <w:t>n</w:t>
      </w:r>
      <w:r>
        <w:rPr>
          <w:rFonts w:ascii="Times New Roman" w:cs="Times New Roman" w:eastAsia="Times New Roman" w:hAnsi="Times New Roman"/>
          <w:sz w:val="19"/>
          <w:szCs w:val="19"/>
          <w:color w:val="44444B"/>
        </w:rPr>
        <w:t xml:space="preserve"> orde</w:t>
      </w:r>
      <w:r>
        <w:rPr>
          <w:rFonts w:ascii="Times New Roman" w:cs="Times New Roman" w:eastAsia="Times New Roman" w:hAnsi="Times New Roman"/>
          <w:sz w:val="19"/>
          <w:szCs w:val="19"/>
          <w:color w:val="282A2F"/>
        </w:rPr>
        <w:t>r</w:t>
      </w:r>
      <w:r>
        <w:rPr>
          <w:rFonts w:ascii="Times New Roman" w:cs="Times New Roman" w:eastAsia="Times New Roman" w:hAnsi="Times New Roman"/>
          <w:sz w:val="19"/>
          <w:szCs w:val="19"/>
          <w:color w:val="44444B"/>
        </w:rPr>
        <w:t xml:space="preserve"> to be elig</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ble</w:t>
      </w:r>
    </w:p>
    <w:p>
      <w:pPr>
        <w:spacing w:after="0" w:line="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20"/>
          <w:szCs w:val="20"/>
          <w:color w:val="44444B"/>
        </w:rPr>
        <w:t xml:space="preserve">for the Severance Benefits in Section 4 </w:t>
      </w:r>
      <w:r>
        <w:rPr>
          <w:rFonts w:ascii="Times New Roman" w:cs="Times New Roman" w:eastAsia="Times New Roman" w:hAnsi="Times New Roman"/>
          <w:sz w:val="20"/>
          <w:szCs w:val="20"/>
          <w:color w:val="56575E"/>
        </w:rPr>
        <w:t>of</w:t>
      </w:r>
      <w:r>
        <w:rPr>
          <w:rFonts w:ascii="Times New Roman" w:cs="Times New Roman" w:eastAsia="Times New Roman" w:hAnsi="Times New Roman"/>
          <w:sz w:val="20"/>
          <w:szCs w:val="20"/>
          <w:color w:val="44444B"/>
        </w:rPr>
        <w:t xml:space="preserve"> the Agreement. </w:t>
      </w:r>
      <w:r>
        <w:rPr>
          <w:rFonts w:ascii="Times New Roman" w:cs="Times New Roman" w:eastAsia="Times New Roman" w:hAnsi="Times New Roman"/>
          <w:sz w:val="20"/>
          <w:szCs w:val="20"/>
          <w:color w:val="1A1A21"/>
        </w:rPr>
        <w:t>I</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1A1A21"/>
        </w:rPr>
        <w:t>unde</w:t>
      </w:r>
      <w:r>
        <w:rPr>
          <w:rFonts w:ascii="Times New Roman" w:cs="Times New Roman" w:eastAsia="Times New Roman" w:hAnsi="Times New Roman"/>
          <w:sz w:val="20"/>
          <w:szCs w:val="20"/>
          <w:b w:val="1"/>
          <w:bCs w:val="1"/>
          <w:color w:val="44444B"/>
        </w:rPr>
        <w:t>rs</w:t>
      </w:r>
      <w:r>
        <w:rPr>
          <w:rFonts w:ascii="Times New Roman" w:cs="Times New Roman" w:eastAsia="Times New Roman" w:hAnsi="Times New Roman"/>
          <w:sz w:val="20"/>
          <w:szCs w:val="20"/>
          <w:b w:val="1"/>
          <w:bCs w:val="1"/>
          <w:color w:val="282A2F"/>
        </w:rPr>
        <w:t>t</w:t>
      </w:r>
      <w:r>
        <w:rPr>
          <w:rFonts w:ascii="Times New Roman" w:cs="Times New Roman" w:eastAsia="Times New Roman" w:hAnsi="Times New Roman"/>
          <w:sz w:val="20"/>
          <w:szCs w:val="20"/>
          <w:b w:val="1"/>
          <w:bCs w:val="1"/>
          <w:color w:val="44444B"/>
        </w:rPr>
        <w:t>a</w:t>
      </w:r>
      <w:r>
        <w:rPr>
          <w:rFonts w:ascii="Times New Roman" w:cs="Times New Roman" w:eastAsia="Times New Roman" w:hAnsi="Times New Roman"/>
          <w:sz w:val="20"/>
          <w:szCs w:val="20"/>
          <w:b w:val="1"/>
          <w:bCs w:val="1"/>
          <w:color w:val="1A1A21"/>
        </w:rPr>
        <w:t>nd</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282A2F"/>
        </w:rPr>
        <w:t>th</w:t>
      </w:r>
      <w:r>
        <w:rPr>
          <w:rFonts w:ascii="Times New Roman" w:cs="Times New Roman" w:eastAsia="Times New Roman" w:hAnsi="Times New Roman"/>
          <w:sz w:val="20"/>
          <w:szCs w:val="20"/>
          <w:b w:val="1"/>
          <w:bCs w:val="1"/>
          <w:color w:val="44444B"/>
        </w:rPr>
        <w:t>a</w:t>
      </w:r>
      <w:r>
        <w:rPr>
          <w:rFonts w:ascii="Times New Roman" w:cs="Times New Roman" w:eastAsia="Times New Roman" w:hAnsi="Times New Roman"/>
          <w:sz w:val="20"/>
          <w:szCs w:val="20"/>
          <w:b w:val="1"/>
          <w:bCs w:val="1"/>
          <w:color w:val="1A1A21"/>
        </w:rPr>
        <w:t>t</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color w:val="1A1A21"/>
        </w:rPr>
        <w:t>I</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282A2F"/>
        </w:rPr>
        <w:t>ma</w:t>
      </w:r>
      <w:r>
        <w:rPr>
          <w:rFonts w:ascii="Times New Roman" w:cs="Times New Roman" w:eastAsia="Times New Roman" w:hAnsi="Times New Roman"/>
          <w:sz w:val="20"/>
          <w:szCs w:val="20"/>
          <w:b w:val="1"/>
          <w:bCs w:val="1"/>
          <w:color w:val="44444B"/>
        </w:rPr>
        <w:t>y</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1A1A21"/>
        </w:rPr>
        <w:t>not</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282A2F"/>
        </w:rPr>
        <w:t>si</w:t>
      </w:r>
      <w:r>
        <w:rPr>
          <w:rFonts w:ascii="Times New Roman" w:cs="Times New Roman" w:eastAsia="Times New Roman" w:hAnsi="Times New Roman"/>
          <w:sz w:val="20"/>
          <w:szCs w:val="20"/>
          <w:b w:val="1"/>
          <w:bCs w:val="1"/>
          <w:color w:val="44444B"/>
        </w:rPr>
        <w:t>g</w:t>
      </w:r>
      <w:r>
        <w:rPr>
          <w:rFonts w:ascii="Times New Roman" w:cs="Times New Roman" w:eastAsia="Times New Roman" w:hAnsi="Times New Roman"/>
          <w:sz w:val="20"/>
          <w:szCs w:val="20"/>
          <w:b w:val="1"/>
          <w:bCs w:val="1"/>
          <w:color w:val="1A1A21"/>
        </w:rPr>
        <w:t>n this</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282A2F"/>
        </w:rPr>
        <w:t>Certificate</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1A1A21"/>
        </w:rPr>
        <w:t>until on</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282A2F"/>
        </w:rPr>
        <w:t>or after th</w:t>
      </w:r>
      <w:r>
        <w:rPr>
          <w:rFonts w:ascii="Times New Roman" w:cs="Times New Roman" w:eastAsia="Times New Roman" w:hAnsi="Times New Roman"/>
          <w:sz w:val="20"/>
          <w:szCs w:val="20"/>
          <w:b w:val="1"/>
          <w:bCs w:val="1"/>
          <w:color w:val="44444B"/>
        </w:rPr>
        <w:t>e</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1A1A21"/>
        </w:rPr>
        <w:t>Dat</w:t>
      </w:r>
      <w:r>
        <w:rPr>
          <w:rFonts w:ascii="Times New Roman" w:cs="Times New Roman" w:eastAsia="Times New Roman" w:hAnsi="Times New Roman"/>
          <w:sz w:val="20"/>
          <w:szCs w:val="20"/>
          <w:b w:val="1"/>
          <w:bCs w:val="1"/>
          <w:color w:val="44444B"/>
        </w:rPr>
        <w:t>e</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b w:val="1"/>
          <w:bCs w:val="1"/>
          <w:color w:val="44444B"/>
        </w:rPr>
        <w:t>o</w:t>
      </w:r>
      <w:r>
        <w:rPr>
          <w:rFonts w:ascii="Times New Roman" w:cs="Times New Roman" w:eastAsia="Times New Roman" w:hAnsi="Times New Roman"/>
          <w:sz w:val="20"/>
          <w:szCs w:val="20"/>
          <w:b w:val="1"/>
          <w:bCs w:val="1"/>
          <w:color w:val="282A2F"/>
        </w:rPr>
        <w:t>f Termin</w:t>
      </w:r>
      <w:r>
        <w:rPr>
          <w:rFonts w:ascii="Times New Roman" w:cs="Times New Roman" w:eastAsia="Times New Roman" w:hAnsi="Times New Roman"/>
          <w:sz w:val="20"/>
          <w:szCs w:val="20"/>
          <w:b w:val="1"/>
          <w:bCs w:val="1"/>
          <w:color w:val="44444B"/>
        </w:rPr>
        <w:t>a</w:t>
      </w:r>
      <w:r>
        <w:rPr>
          <w:rFonts w:ascii="Times New Roman" w:cs="Times New Roman" w:eastAsia="Times New Roman" w:hAnsi="Times New Roman"/>
          <w:sz w:val="20"/>
          <w:szCs w:val="20"/>
          <w:b w:val="1"/>
          <w:bCs w:val="1"/>
          <w:color w:val="1A1A21"/>
        </w:rPr>
        <w:t>tion</w:t>
      </w:r>
      <w:r>
        <w:rPr>
          <w:rFonts w:ascii="Times New Roman" w:cs="Times New Roman" w:eastAsia="Times New Roman" w:hAnsi="Times New Roman"/>
          <w:sz w:val="20"/>
          <w:szCs w:val="20"/>
          <w:b w:val="1"/>
          <w:bCs w:val="1"/>
          <w:color w:val="44444B"/>
        </w:rPr>
        <w:t xml:space="preserve"> a</w:t>
      </w:r>
      <w:r>
        <w:rPr>
          <w:rFonts w:ascii="Times New Roman" w:cs="Times New Roman" w:eastAsia="Times New Roman" w:hAnsi="Times New Roman"/>
          <w:sz w:val="20"/>
          <w:szCs w:val="20"/>
          <w:b w:val="1"/>
          <w:bCs w:val="1"/>
          <w:color w:val="1A1A21"/>
        </w:rPr>
        <w:t>nd that</w:t>
      </w:r>
      <w:r>
        <w:rPr>
          <w:rFonts w:ascii="Times New Roman" w:cs="Times New Roman" w:eastAsia="Times New Roman" w:hAnsi="Times New Roman"/>
          <w:sz w:val="20"/>
          <w:szCs w:val="20"/>
          <w:b w:val="1"/>
          <w:bCs w:val="1"/>
          <w:color w:val="44444B"/>
        </w:rPr>
        <w:t xml:space="preserve"> </w:t>
      </w:r>
      <w:r>
        <w:rPr>
          <w:rFonts w:ascii="Times New Roman" w:cs="Times New Roman" w:eastAsia="Times New Roman" w:hAnsi="Times New Roman"/>
          <w:sz w:val="21"/>
          <w:szCs w:val="21"/>
          <w:color w:val="282A2F"/>
        </w:rPr>
        <w:t>I</w:t>
      </w:r>
      <w:r>
        <w:rPr>
          <w:rFonts w:ascii="Times New Roman" w:cs="Times New Roman" w:eastAsia="Times New Roman" w:hAnsi="Times New Roman"/>
          <w:sz w:val="20"/>
          <w:szCs w:val="20"/>
          <w:b w:val="1"/>
          <w:bCs w:val="1"/>
          <w:color w:val="44444B"/>
        </w:rPr>
        <w:t xml:space="preserve"> </w:t>
      </w:r>
      <w:r>
        <w:rPr>
          <w:rFonts w:ascii="Times New Roman" w:cs="Times New Roman" w:eastAsia="Times New Roman" w:hAnsi="Times New Roman"/>
          <w:sz w:val="20"/>
          <w:szCs w:val="20"/>
          <w:b w:val="1"/>
          <w:bCs w:val="1"/>
          <w:color w:val="282A2F"/>
        </w:rPr>
        <w:t>mu</w:t>
      </w:r>
      <w:r>
        <w:rPr>
          <w:rFonts w:ascii="Times New Roman" w:cs="Times New Roman" w:eastAsia="Times New Roman" w:hAnsi="Times New Roman"/>
          <w:sz w:val="20"/>
          <w:szCs w:val="20"/>
          <w:b w:val="1"/>
          <w:bCs w:val="1"/>
          <w:color w:val="44444B"/>
        </w:rPr>
        <w:t>s</w:t>
      </w:r>
      <w:r>
        <w:rPr>
          <w:rFonts w:ascii="Times New Roman" w:cs="Times New Roman" w:eastAsia="Times New Roman" w:hAnsi="Times New Roman"/>
          <w:sz w:val="20"/>
          <w:szCs w:val="20"/>
          <w:b w:val="1"/>
          <w:bCs w:val="1"/>
          <w:color w:val="1A1A21"/>
        </w:rPr>
        <w:t>t</w:t>
      </w:r>
      <w:r>
        <w:rPr>
          <w:rFonts w:ascii="Times New Roman" w:cs="Times New Roman" w:eastAsia="Times New Roman" w:hAnsi="Times New Roman"/>
          <w:sz w:val="20"/>
          <w:szCs w:val="20"/>
          <w:b w:val="1"/>
          <w:bCs w:val="1"/>
          <w:color w:val="44444B"/>
        </w:rPr>
        <w:t xml:space="preserve"> </w:t>
      </w:r>
      <w:r>
        <w:rPr>
          <w:rFonts w:ascii="Times New Roman" w:cs="Times New Roman" w:eastAsia="Times New Roman" w:hAnsi="Times New Roman"/>
          <w:sz w:val="20"/>
          <w:szCs w:val="20"/>
          <w:b w:val="1"/>
          <w:bCs w:val="1"/>
          <w:color w:val="282A2F"/>
        </w:rPr>
        <w:t>r</w:t>
      </w:r>
      <w:r>
        <w:rPr>
          <w:rFonts w:ascii="Times New Roman" w:cs="Times New Roman" w:eastAsia="Times New Roman" w:hAnsi="Times New Roman"/>
          <w:sz w:val="20"/>
          <w:szCs w:val="20"/>
          <w:b w:val="1"/>
          <w:bCs w:val="1"/>
          <w:color w:val="44444B"/>
        </w:rPr>
        <w:t>e</w:t>
      </w:r>
      <w:r>
        <w:rPr>
          <w:rFonts w:ascii="Times New Roman" w:cs="Times New Roman" w:eastAsia="Times New Roman" w:hAnsi="Times New Roman"/>
          <w:sz w:val="20"/>
          <w:szCs w:val="20"/>
          <w:b w:val="1"/>
          <w:bCs w:val="1"/>
          <w:color w:val="282A2F"/>
        </w:rPr>
        <w:t>turn it to the</w:t>
      </w:r>
      <w:r>
        <w:rPr>
          <w:rFonts w:ascii="Times New Roman" w:cs="Times New Roman" w:eastAsia="Times New Roman" w:hAnsi="Times New Roman"/>
          <w:sz w:val="20"/>
          <w:szCs w:val="20"/>
          <w:b w:val="1"/>
          <w:bCs w:val="1"/>
          <w:color w:val="44444B"/>
        </w:rPr>
        <w:t xml:space="preserve"> C</w:t>
      </w:r>
      <w:r>
        <w:rPr>
          <w:rFonts w:ascii="Times New Roman" w:cs="Times New Roman" w:eastAsia="Times New Roman" w:hAnsi="Times New Roman"/>
          <w:sz w:val="20"/>
          <w:szCs w:val="20"/>
          <w:b w:val="1"/>
          <w:bCs w:val="1"/>
          <w:color w:val="282A2F"/>
        </w:rPr>
        <w:t>ompany</w:t>
      </w:r>
      <w:r>
        <w:rPr>
          <w:rFonts w:ascii="Times New Roman" w:cs="Times New Roman" w:eastAsia="Times New Roman" w:hAnsi="Times New Roman"/>
          <w:sz w:val="20"/>
          <w:szCs w:val="20"/>
          <w:b w:val="1"/>
          <w:bCs w:val="1"/>
          <w:color w:val="44444B"/>
        </w:rPr>
        <w:t xml:space="preserve"> </w:t>
      </w:r>
      <w:r>
        <w:rPr>
          <w:rFonts w:ascii="Times New Roman" w:cs="Times New Roman" w:eastAsia="Times New Roman" w:hAnsi="Times New Roman"/>
          <w:sz w:val="20"/>
          <w:szCs w:val="20"/>
          <w:b w:val="1"/>
          <w:bCs w:val="1"/>
          <w:color w:val="1A1A21"/>
        </w:rPr>
        <w:t>within</w:t>
      </w:r>
      <w:r>
        <w:rPr>
          <w:rFonts w:ascii="Times New Roman" w:cs="Times New Roman" w:eastAsia="Times New Roman" w:hAnsi="Times New Roman"/>
          <w:sz w:val="20"/>
          <w:szCs w:val="20"/>
          <w:b w:val="1"/>
          <w:bCs w:val="1"/>
          <w:color w:val="44444B"/>
        </w:rPr>
        <w:t xml:space="preserve"> </w:t>
      </w:r>
      <w:r>
        <w:rPr>
          <w:rFonts w:ascii="Times New Roman" w:cs="Times New Roman" w:eastAsia="Times New Roman" w:hAnsi="Times New Roman"/>
          <w:sz w:val="20"/>
          <w:szCs w:val="20"/>
          <w:b w:val="1"/>
          <w:bCs w:val="1"/>
          <w:color w:val="282A2F"/>
        </w:rPr>
        <w:t>twenty-one (21) day</w:t>
      </w:r>
      <w:r>
        <w:rPr>
          <w:rFonts w:ascii="Times New Roman" w:cs="Times New Roman" w:eastAsia="Times New Roman" w:hAnsi="Times New Roman"/>
          <w:sz w:val="20"/>
          <w:szCs w:val="20"/>
          <w:b w:val="1"/>
          <w:bCs w:val="1"/>
          <w:color w:val="44444B"/>
        </w:rPr>
        <w:t>s a</w:t>
      </w:r>
      <w:r>
        <w:rPr>
          <w:rFonts w:ascii="Times New Roman" w:cs="Times New Roman" w:eastAsia="Times New Roman" w:hAnsi="Times New Roman"/>
          <w:sz w:val="20"/>
          <w:szCs w:val="20"/>
          <w:b w:val="1"/>
          <w:bCs w:val="1"/>
          <w:color w:val="282A2F"/>
        </w:rPr>
        <w:t>fter the Date of Termin</w:t>
      </w:r>
      <w:r>
        <w:rPr>
          <w:rFonts w:ascii="Times New Roman" w:cs="Times New Roman" w:eastAsia="Times New Roman" w:hAnsi="Times New Roman"/>
          <w:sz w:val="20"/>
          <w:szCs w:val="20"/>
          <w:b w:val="1"/>
          <w:bCs w:val="1"/>
          <w:color w:val="44444B"/>
        </w:rPr>
        <w:t>a</w:t>
      </w:r>
      <w:r>
        <w:rPr>
          <w:rFonts w:ascii="Times New Roman" w:cs="Times New Roman" w:eastAsia="Times New Roman" w:hAnsi="Times New Roman"/>
          <w:sz w:val="20"/>
          <w:szCs w:val="20"/>
          <w:b w:val="1"/>
          <w:bCs w:val="1"/>
          <w:color w:val="282A2F"/>
        </w:rPr>
        <w:t>tion.</w:t>
      </w:r>
    </w:p>
    <w:p>
      <w:pPr>
        <w:spacing w:after="0" w:line="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1A1A21"/>
        </w:rPr>
        <w:t>I</w:t>
      </w:r>
      <w:r>
        <w:rPr>
          <w:rFonts w:ascii="Times New Roman" w:cs="Times New Roman" w:eastAsia="Times New Roman" w:hAnsi="Times New Roman"/>
          <w:sz w:val="20"/>
          <w:szCs w:val="20"/>
          <w:color w:val="44444B"/>
        </w:rPr>
        <w:t>, therefore,</w:t>
      </w:r>
      <w:r>
        <w:rPr>
          <w:rFonts w:ascii="Times New Roman" w:cs="Times New Roman" w:eastAsia="Times New Roman" w:hAnsi="Times New Roman"/>
          <w:sz w:val="20"/>
          <w:szCs w:val="20"/>
          <w:color w:val="1A1A21"/>
        </w:rPr>
        <w:t xml:space="preserve"> </w:t>
      </w:r>
      <w:r>
        <w:rPr>
          <w:rFonts w:ascii="Times New Roman" w:cs="Times New Roman" w:eastAsia="Times New Roman" w:hAnsi="Times New Roman"/>
          <w:sz w:val="20"/>
          <w:szCs w:val="20"/>
          <w:color w:val="56575E"/>
        </w:rPr>
        <w:t>agree as follows:</w:t>
      </w:r>
    </w:p>
    <w:p>
      <w:pPr>
        <w:spacing w:after="0" w:line="135" w:lineRule="exact"/>
        <w:rPr>
          <w:sz w:val="20"/>
          <w:szCs w:val="20"/>
          <w:color w:val="auto"/>
        </w:rPr>
      </w:pPr>
    </w:p>
    <w:p>
      <w:pPr>
        <w:ind w:left="520" w:hanging="368"/>
        <w:spacing w:after="0"/>
        <w:tabs>
          <w:tab w:leader="none" w:pos="520" w:val="left"/>
        </w:tabs>
        <w:numPr>
          <w:ilvl w:val="0"/>
          <w:numId w:val="85"/>
        </w:numPr>
        <w:rPr>
          <w:rFonts w:ascii="Times New Roman" w:cs="Times New Roman" w:eastAsia="Times New Roman" w:hAnsi="Times New Roman"/>
          <w:sz w:val="20"/>
          <w:szCs w:val="20"/>
          <w:color w:val="44444B"/>
        </w:rPr>
      </w:pPr>
      <w:r>
        <w:rPr>
          <w:rFonts w:ascii="Times New Roman" w:cs="Times New Roman" w:eastAsia="Times New Roman" w:hAnsi="Times New Roman"/>
          <w:sz w:val="20"/>
          <w:szCs w:val="20"/>
          <w:color w:val="44444B"/>
        </w:rPr>
        <w:t xml:space="preserve">A copy of this Certificate was attached </w:t>
      </w:r>
      <w:r>
        <w:rPr>
          <w:rFonts w:ascii="Times New Roman" w:cs="Times New Roman" w:eastAsia="Times New Roman" w:hAnsi="Times New Roman"/>
          <w:sz w:val="20"/>
          <w:szCs w:val="20"/>
          <w:color w:val="282A2F"/>
        </w:rPr>
        <w:t>to</w:t>
      </w:r>
      <w:r>
        <w:rPr>
          <w:rFonts w:ascii="Times New Roman" w:cs="Times New Roman" w:eastAsia="Times New Roman" w:hAnsi="Times New Roman"/>
          <w:sz w:val="20"/>
          <w:szCs w:val="20"/>
          <w:color w:val="44444B"/>
        </w:rPr>
        <w:t xml:space="preserve"> the Agreement as Exh</w:t>
      </w:r>
      <w:r>
        <w:rPr>
          <w:rFonts w:ascii="Times New Roman" w:cs="Times New Roman" w:eastAsia="Times New Roman" w:hAnsi="Times New Roman"/>
          <w:sz w:val="20"/>
          <w:szCs w:val="20"/>
          <w:color w:val="282A2F"/>
        </w:rPr>
        <w:t>ibi</w:t>
      </w:r>
      <w:r>
        <w:rPr>
          <w:rFonts w:ascii="Times New Roman" w:cs="Times New Roman" w:eastAsia="Times New Roman" w:hAnsi="Times New Roman"/>
          <w:sz w:val="20"/>
          <w:szCs w:val="20"/>
          <w:color w:val="44444B"/>
        </w:rPr>
        <w:t>t A.</w:t>
      </w:r>
    </w:p>
    <w:p>
      <w:pPr>
        <w:spacing w:after="0" w:line="28" w:lineRule="exact"/>
        <w:rPr>
          <w:rFonts w:ascii="Times New Roman" w:cs="Times New Roman" w:eastAsia="Times New Roman" w:hAnsi="Times New Roman"/>
          <w:sz w:val="20"/>
          <w:szCs w:val="20"/>
          <w:color w:val="44444B"/>
        </w:rPr>
      </w:pPr>
    </w:p>
    <w:p>
      <w:pPr>
        <w:ind w:left="520" w:right="560" w:hanging="368"/>
        <w:spacing w:after="0" w:line="242" w:lineRule="auto"/>
        <w:tabs>
          <w:tab w:leader="none" w:pos="520" w:val="left"/>
        </w:tabs>
        <w:numPr>
          <w:ilvl w:val="0"/>
          <w:numId w:val="85"/>
        </w:numPr>
        <w:rPr>
          <w:rFonts w:ascii="Times New Roman" w:cs="Times New Roman" w:eastAsia="Times New Roman" w:hAnsi="Times New Roman"/>
          <w:sz w:val="20"/>
          <w:szCs w:val="20"/>
          <w:color w:val="44444B"/>
        </w:rPr>
      </w:pPr>
      <w:r>
        <w:rPr>
          <w:rFonts w:ascii="Times New Roman" w:cs="Times New Roman" w:eastAsia="Times New Roman" w:hAnsi="Times New Roman"/>
          <w:sz w:val="20"/>
          <w:szCs w:val="20"/>
          <w:color w:val="44444B"/>
        </w:rPr>
        <w:t xml:space="preserve">In consideration of the benefits contained in </w:t>
      </w:r>
      <w:r>
        <w:rPr>
          <w:rFonts w:ascii="Times New Roman" w:cs="Times New Roman" w:eastAsia="Times New Roman" w:hAnsi="Times New Roman"/>
          <w:sz w:val="20"/>
          <w:szCs w:val="20"/>
          <w:color w:val="56575E"/>
        </w:rPr>
        <w:t>the</w:t>
      </w:r>
      <w:r>
        <w:rPr>
          <w:rFonts w:ascii="Times New Roman" w:cs="Times New Roman" w:eastAsia="Times New Roman" w:hAnsi="Times New Roman"/>
          <w:sz w:val="20"/>
          <w:szCs w:val="20"/>
          <w:color w:val="44444B"/>
        </w:rPr>
        <w:t xml:space="preserve"> Agreement</w:t>
      </w:r>
      <w:r>
        <w:rPr>
          <w:rFonts w:ascii="Times New Roman" w:cs="Times New Roman" w:eastAsia="Times New Roman" w:hAnsi="Times New Roman"/>
          <w:sz w:val="20"/>
          <w:szCs w:val="20"/>
          <w:color w:val="72747C"/>
        </w:rPr>
        <w:t>,</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color w:val="56575E"/>
        </w:rPr>
        <w:t>including</w:t>
      </w:r>
      <w:r>
        <w:rPr>
          <w:rFonts w:ascii="Times New Roman" w:cs="Times New Roman" w:eastAsia="Times New Roman" w:hAnsi="Times New Roman"/>
          <w:sz w:val="20"/>
          <w:szCs w:val="20"/>
          <w:color w:val="44444B"/>
        </w:rPr>
        <w:t xml:space="preserve"> but not </w:t>
      </w:r>
      <w:r>
        <w:rPr>
          <w:rFonts w:ascii="Times New Roman" w:cs="Times New Roman" w:eastAsia="Times New Roman" w:hAnsi="Times New Roman"/>
          <w:sz w:val="20"/>
          <w:szCs w:val="20"/>
          <w:color w:val="56575E"/>
        </w:rPr>
        <w:t>limited</w:t>
      </w:r>
      <w:r>
        <w:rPr>
          <w:rFonts w:ascii="Times New Roman" w:cs="Times New Roman" w:eastAsia="Times New Roman" w:hAnsi="Times New Roman"/>
          <w:sz w:val="20"/>
          <w:szCs w:val="20"/>
          <w:color w:val="44444B"/>
        </w:rPr>
        <w:t xml:space="preserve"> to the </w:t>
      </w:r>
      <w:r>
        <w:rPr>
          <w:rFonts w:ascii="Times New Roman" w:cs="Times New Roman" w:eastAsia="Times New Roman" w:hAnsi="Times New Roman"/>
          <w:sz w:val="20"/>
          <w:szCs w:val="20"/>
          <w:color w:val="56575E"/>
        </w:rPr>
        <w:t>Severance</w:t>
      </w:r>
      <w:r>
        <w:rPr>
          <w:rFonts w:ascii="Times New Roman" w:cs="Times New Roman" w:eastAsia="Times New Roman" w:hAnsi="Times New Roman"/>
          <w:sz w:val="20"/>
          <w:szCs w:val="20"/>
          <w:color w:val="44444B"/>
        </w:rPr>
        <w:t xml:space="preserve"> Benefits </w:t>
      </w:r>
      <w:r>
        <w:rPr>
          <w:rFonts w:ascii="Times New Roman" w:cs="Times New Roman" w:eastAsia="Times New Roman" w:hAnsi="Times New Roman"/>
          <w:sz w:val="20"/>
          <w:szCs w:val="20"/>
          <w:color w:val="56575E"/>
        </w:rPr>
        <w:t>set</w:t>
      </w:r>
      <w:r>
        <w:rPr>
          <w:rFonts w:ascii="Times New Roman" w:cs="Times New Roman" w:eastAsia="Times New Roman" w:hAnsi="Times New Roman"/>
          <w:sz w:val="20"/>
          <w:szCs w:val="20"/>
          <w:color w:val="44444B"/>
        </w:rPr>
        <w:t xml:space="preserve"> forth </w:t>
      </w:r>
      <w:r>
        <w:rPr>
          <w:rFonts w:ascii="Times New Roman" w:cs="Times New Roman" w:eastAsia="Times New Roman" w:hAnsi="Times New Roman"/>
          <w:sz w:val="20"/>
          <w:szCs w:val="20"/>
          <w:color w:val="56575E"/>
        </w:rPr>
        <w:t>in</w:t>
      </w:r>
      <w:r>
        <w:rPr>
          <w:rFonts w:ascii="Times New Roman" w:cs="Times New Roman" w:eastAsia="Times New Roman" w:hAnsi="Times New Roman"/>
          <w:sz w:val="20"/>
          <w:szCs w:val="20"/>
          <w:color w:val="44444B"/>
        </w:rPr>
        <w:t xml:space="preserve"> Section 4 </w:t>
      </w:r>
      <w:r>
        <w:rPr>
          <w:rFonts w:ascii="Times New Roman" w:cs="Times New Roman" w:eastAsia="Times New Roman" w:hAnsi="Times New Roman"/>
          <w:sz w:val="20"/>
          <w:szCs w:val="20"/>
          <w:color w:val="56575E"/>
        </w:rPr>
        <w:t>of the</w:t>
      </w:r>
      <w:r>
        <w:rPr>
          <w:rFonts w:ascii="Times New Roman" w:cs="Times New Roman" w:eastAsia="Times New Roman" w:hAnsi="Times New Roman"/>
          <w:sz w:val="20"/>
          <w:szCs w:val="20"/>
          <w:color w:val="44444B"/>
        </w:rPr>
        <w:t xml:space="preserve"> Agreement, </w:t>
      </w:r>
      <w:r>
        <w:rPr>
          <w:rFonts w:ascii="Times New Roman" w:cs="Times New Roman" w:eastAsia="Times New Roman" w:hAnsi="Times New Roman"/>
          <w:sz w:val="20"/>
          <w:szCs w:val="20"/>
          <w:color w:val="56575E"/>
        </w:rPr>
        <w:t>for</w:t>
      </w:r>
      <w:r>
        <w:rPr>
          <w:rFonts w:ascii="Times New Roman" w:cs="Times New Roman" w:eastAsia="Times New Roman" w:hAnsi="Times New Roman"/>
          <w:sz w:val="20"/>
          <w:szCs w:val="20"/>
          <w:color w:val="44444B"/>
        </w:rPr>
        <w:t xml:space="preserve"> which I become eligible </w:t>
      </w:r>
      <w:r>
        <w:rPr>
          <w:rFonts w:ascii="Times New Roman" w:cs="Times New Roman" w:eastAsia="Times New Roman" w:hAnsi="Times New Roman"/>
          <w:sz w:val="20"/>
          <w:szCs w:val="20"/>
          <w:color w:val="56575E"/>
        </w:rPr>
        <w:t>only</w:t>
      </w:r>
      <w:r>
        <w:rPr>
          <w:rFonts w:ascii="Times New Roman" w:cs="Times New Roman" w:eastAsia="Times New Roman" w:hAnsi="Times New Roman"/>
          <w:sz w:val="20"/>
          <w:szCs w:val="20"/>
          <w:color w:val="44444B"/>
        </w:rPr>
        <w:t xml:space="preserve"> if I sign </w:t>
      </w:r>
      <w:r>
        <w:rPr>
          <w:rFonts w:ascii="Times New Roman" w:cs="Times New Roman" w:eastAsia="Times New Roman" w:hAnsi="Times New Roman"/>
          <w:sz w:val="20"/>
          <w:szCs w:val="20"/>
          <w:color w:val="56575E"/>
        </w:rPr>
        <w:t>this</w:t>
      </w:r>
      <w:r>
        <w:rPr>
          <w:rFonts w:ascii="Times New Roman" w:cs="Times New Roman" w:eastAsia="Times New Roman" w:hAnsi="Times New Roman"/>
          <w:sz w:val="20"/>
          <w:szCs w:val="20"/>
          <w:color w:val="44444B"/>
        </w:rPr>
        <w:t xml:space="preserve"> Certificate, I hereby extend the release of cl</w:t>
      </w:r>
      <w:r>
        <w:rPr>
          <w:rFonts w:ascii="Times New Roman" w:cs="Times New Roman" w:eastAsia="Times New Roman" w:hAnsi="Times New Roman"/>
          <w:sz w:val="20"/>
          <w:szCs w:val="20"/>
          <w:color w:val="282A2F"/>
        </w:rPr>
        <w:t>a</w:t>
      </w:r>
      <w:r>
        <w:rPr>
          <w:rFonts w:ascii="Times New Roman" w:cs="Times New Roman" w:eastAsia="Times New Roman" w:hAnsi="Times New Roman"/>
          <w:sz w:val="20"/>
          <w:szCs w:val="20"/>
          <w:color w:val="44444B"/>
        </w:rPr>
        <w:t xml:space="preserve">ims </w:t>
      </w:r>
      <w:r>
        <w:rPr>
          <w:rFonts w:ascii="Times New Roman" w:cs="Times New Roman" w:eastAsia="Times New Roman" w:hAnsi="Times New Roman"/>
          <w:sz w:val="20"/>
          <w:szCs w:val="20"/>
          <w:color w:val="56575E"/>
        </w:rPr>
        <w:t>set</w:t>
      </w:r>
      <w:r>
        <w:rPr>
          <w:rFonts w:ascii="Times New Roman" w:cs="Times New Roman" w:eastAsia="Times New Roman" w:hAnsi="Times New Roman"/>
          <w:sz w:val="20"/>
          <w:szCs w:val="20"/>
          <w:color w:val="44444B"/>
        </w:rPr>
        <w:t xml:space="preserve"> fort</w:t>
      </w:r>
      <w:r>
        <w:rPr>
          <w:rFonts w:ascii="Times New Roman" w:cs="Times New Roman" w:eastAsia="Times New Roman" w:hAnsi="Times New Roman"/>
          <w:sz w:val="20"/>
          <w:szCs w:val="20"/>
          <w:color w:val="282A2F"/>
        </w:rPr>
        <w:t>h</w:t>
      </w:r>
      <w:r>
        <w:rPr>
          <w:rFonts w:ascii="Times New Roman" w:cs="Times New Roman" w:eastAsia="Times New Roman" w:hAnsi="Times New Roman"/>
          <w:sz w:val="20"/>
          <w:szCs w:val="20"/>
          <w:color w:val="44444B"/>
        </w:rPr>
        <w:t xml:space="preserve"> in Section 5 of the Agreement </w:t>
      </w:r>
      <w:r>
        <w:rPr>
          <w:rFonts w:ascii="Times New Roman" w:cs="Times New Roman" w:eastAsia="Times New Roman" w:hAnsi="Times New Roman"/>
          <w:sz w:val="20"/>
          <w:szCs w:val="20"/>
          <w:color w:val="56575E"/>
        </w:rPr>
        <w:t>to</w:t>
      </w:r>
      <w:r>
        <w:rPr>
          <w:rFonts w:ascii="Times New Roman" w:cs="Times New Roman" w:eastAsia="Times New Roman" w:hAnsi="Times New Roman"/>
          <w:sz w:val="20"/>
          <w:szCs w:val="20"/>
          <w:color w:val="44444B"/>
        </w:rPr>
        <w:t xml:space="preserve"> any </w:t>
      </w:r>
      <w:r>
        <w:rPr>
          <w:rFonts w:ascii="Times New Roman" w:cs="Times New Roman" w:eastAsia="Times New Roman" w:hAnsi="Times New Roman"/>
          <w:sz w:val="20"/>
          <w:szCs w:val="20"/>
          <w:color w:val="56575E"/>
        </w:rPr>
        <w:t>and</w:t>
      </w:r>
      <w:r>
        <w:rPr>
          <w:rFonts w:ascii="Times New Roman" w:cs="Times New Roman" w:eastAsia="Times New Roman" w:hAnsi="Times New Roman"/>
          <w:sz w:val="20"/>
          <w:szCs w:val="20"/>
          <w:color w:val="44444B"/>
        </w:rPr>
        <w:t xml:space="preserve"> all claims that arose </w:t>
      </w:r>
      <w:r>
        <w:rPr>
          <w:rFonts w:ascii="Times New Roman" w:cs="Times New Roman" w:eastAsia="Times New Roman" w:hAnsi="Times New Roman"/>
          <w:sz w:val="20"/>
          <w:szCs w:val="20"/>
          <w:color w:val="56575E"/>
        </w:rPr>
        <w:t>after</w:t>
      </w:r>
      <w:r>
        <w:rPr>
          <w:rFonts w:ascii="Times New Roman" w:cs="Times New Roman" w:eastAsia="Times New Roman" w:hAnsi="Times New Roman"/>
          <w:sz w:val="20"/>
          <w:szCs w:val="20"/>
          <w:color w:val="44444B"/>
        </w:rPr>
        <w:t xml:space="preserve"> the date I </w:t>
      </w:r>
      <w:r>
        <w:rPr>
          <w:rFonts w:ascii="Times New Roman" w:cs="Times New Roman" w:eastAsia="Times New Roman" w:hAnsi="Times New Roman"/>
          <w:sz w:val="20"/>
          <w:szCs w:val="20"/>
          <w:color w:val="56575E"/>
        </w:rPr>
        <w:t>signed</w:t>
      </w:r>
      <w:r>
        <w:rPr>
          <w:rFonts w:ascii="Times New Roman" w:cs="Times New Roman" w:eastAsia="Times New Roman" w:hAnsi="Times New Roman"/>
          <w:sz w:val="20"/>
          <w:szCs w:val="20"/>
          <w:color w:val="44444B"/>
        </w:rPr>
        <w:t xml:space="preserve"> the Agreement through the date I </w:t>
      </w:r>
      <w:r>
        <w:rPr>
          <w:rFonts w:ascii="Times New Roman" w:cs="Times New Roman" w:eastAsia="Times New Roman" w:hAnsi="Times New Roman"/>
          <w:sz w:val="20"/>
          <w:szCs w:val="20"/>
          <w:color w:val="56575E"/>
        </w:rPr>
        <w:t>sign</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color w:val="56575E"/>
        </w:rPr>
        <w:t xml:space="preserve">this </w:t>
      </w:r>
      <w:r>
        <w:rPr>
          <w:rFonts w:ascii="Times New Roman" w:cs="Times New Roman" w:eastAsia="Times New Roman" w:hAnsi="Times New Roman"/>
          <w:sz w:val="20"/>
          <w:szCs w:val="20"/>
          <w:color w:val="44444B"/>
        </w:rPr>
        <w:t>Certificate</w:t>
      </w:r>
      <w:r>
        <w:rPr>
          <w:rFonts w:ascii="Times New Roman" w:cs="Times New Roman" w:eastAsia="Times New Roman" w:hAnsi="Times New Roman"/>
          <w:sz w:val="20"/>
          <w:szCs w:val="20"/>
          <w:color w:val="72747C"/>
        </w:rPr>
        <w:t>,</w:t>
      </w:r>
      <w:r>
        <w:rPr>
          <w:rFonts w:ascii="Times New Roman" w:cs="Times New Roman" w:eastAsia="Times New Roman" w:hAnsi="Times New Roman"/>
          <w:sz w:val="20"/>
          <w:szCs w:val="20"/>
          <w:color w:val="56575E"/>
        </w:rPr>
        <w:t xml:space="preserve"> subject </w:t>
      </w:r>
      <w:r>
        <w:rPr>
          <w:rFonts w:ascii="Times New Roman" w:cs="Times New Roman" w:eastAsia="Times New Roman" w:hAnsi="Times New Roman"/>
          <w:sz w:val="20"/>
          <w:szCs w:val="20"/>
          <w:color w:val="44444B"/>
        </w:rPr>
        <w:t>to all other exclusions and terms</w:t>
      </w:r>
      <w:r>
        <w:rPr>
          <w:rFonts w:ascii="Times New Roman" w:cs="Times New Roman" w:eastAsia="Times New Roman" w:hAnsi="Times New Roman"/>
          <w:sz w:val="20"/>
          <w:szCs w:val="20"/>
          <w:color w:val="56575E"/>
        </w:rPr>
        <w:t xml:space="preserve"> set </w:t>
      </w:r>
      <w:r>
        <w:rPr>
          <w:rFonts w:ascii="Times New Roman" w:cs="Times New Roman" w:eastAsia="Times New Roman" w:hAnsi="Times New Roman"/>
          <w:sz w:val="20"/>
          <w:szCs w:val="20"/>
          <w:color w:val="44444B"/>
        </w:rPr>
        <w:t>forth in the Agreement, and I</w:t>
      </w:r>
      <w:r>
        <w:rPr>
          <w:rFonts w:ascii="Times New Roman" w:cs="Times New Roman" w:eastAsia="Times New Roman" w:hAnsi="Times New Roman"/>
          <w:sz w:val="20"/>
          <w:szCs w:val="20"/>
          <w:color w:val="56575E"/>
        </w:rPr>
        <w:t xml:space="preserve"> release </w:t>
      </w:r>
      <w:r>
        <w:rPr>
          <w:rFonts w:ascii="Times New Roman" w:cs="Times New Roman" w:eastAsia="Times New Roman" w:hAnsi="Times New Roman"/>
          <w:sz w:val="20"/>
          <w:szCs w:val="20"/>
          <w:color w:val="44444B"/>
        </w:rPr>
        <w:t>any claims un</w:t>
      </w:r>
      <w:r>
        <w:rPr>
          <w:rFonts w:ascii="Times New Roman" w:cs="Times New Roman" w:eastAsia="Times New Roman" w:hAnsi="Times New Roman"/>
          <w:sz w:val="20"/>
          <w:szCs w:val="20"/>
          <w:color w:val="282A2F"/>
        </w:rPr>
        <w:t>d</w:t>
      </w:r>
      <w:r>
        <w:rPr>
          <w:rFonts w:ascii="Times New Roman" w:cs="Times New Roman" w:eastAsia="Times New Roman" w:hAnsi="Times New Roman"/>
          <w:sz w:val="20"/>
          <w:szCs w:val="20"/>
          <w:color w:val="44444B"/>
        </w:rPr>
        <w:t>er the Age</w:t>
      </w:r>
      <w:r>
        <w:rPr>
          <w:rFonts w:ascii="Times New Roman" w:cs="Times New Roman" w:eastAsia="Times New Roman" w:hAnsi="Times New Roman"/>
          <w:sz w:val="20"/>
          <w:szCs w:val="20"/>
          <w:color w:val="56575E"/>
        </w:rPr>
        <w:t xml:space="preserve"> </w:t>
      </w:r>
      <w:r>
        <w:rPr>
          <w:rFonts w:ascii="Times New Roman" w:cs="Times New Roman" w:eastAsia="Times New Roman" w:hAnsi="Times New Roman"/>
          <w:sz w:val="20"/>
          <w:szCs w:val="20"/>
          <w:color w:val="44444B"/>
        </w:rPr>
        <w:t>Discr</w:t>
      </w:r>
      <w:r>
        <w:rPr>
          <w:rFonts w:ascii="Times New Roman" w:cs="Times New Roman" w:eastAsia="Times New Roman" w:hAnsi="Times New Roman"/>
          <w:sz w:val="20"/>
          <w:szCs w:val="20"/>
          <w:color w:val="282A2F"/>
        </w:rPr>
        <w:t>i</w:t>
      </w:r>
      <w:r>
        <w:rPr>
          <w:rFonts w:ascii="Times New Roman" w:cs="Times New Roman" w:eastAsia="Times New Roman" w:hAnsi="Times New Roman"/>
          <w:sz w:val="20"/>
          <w:szCs w:val="20"/>
          <w:color w:val="44444B"/>
        </w:rPr>
        <w:t>minatio</w:t>
      </w:r>
      <w:r>
        <w:rPr>
          <w:rFonts w:ascii="Times New Roman" w:cs="Times New Roman" w:eastAsia="Times New Roman" w:hAnsi="Times New Roman"/>
          <w:sz w:val="20"/>
          <w:szCs w:val="20"/>
          <w:color w:val="282A2F"/>
        </w:rPr>
        <w:t>n</w:t>
      </w:r>
      <w:r>
        <w:rPr>
          <w:rFonts w:ascii="Times New Roman" w:cs="Times New Roman" w:eastAsia="Times New Roman" w:hAnsi="Times New Roman"/>
          <w:sz w:val="20"/>
          <w:szCs w:val="20"/>
          <w:color w:val="44444B"/>
        </w:rPr>
        <w:t xml:space="preserve"> in Em</w:t>
      </w:r>
      <w:r>
        <w:rPr>
          <w:rFonts w:ascii="Times New Roman" w:cs="Times New Roman" w:eastAsia="Times New Roman" w:hAnsi="Times New Roman"/>
          <w:sz w:val="20"/>
          <w:szCs w:val="20"/>
          <w:color w:val="282A2F"/>
        </w:rPr>
        <w:t>pl</w:t>
      </w:r>
      <w:r>
        <w:rPr>
          <w:rFonts w:ascii="Times New Roman" w:cs="Times New Roman" w:eastAsia="Times New Roman" w:hAnsi="Times New Roman"/>
          <w:sz w:val="20"/>
          <w:szCs w:val="20"/>
          <w:color w:val="44444B"/>
        </w:rPr>
        <w:t xml:space="preserve">oyment </w:t>
      </w:r>
      <w:r>
        <w:rPr>
          <w:rFonts w:ascii="Times New Roman" w:cs="Times New Roman" w:eastAsia="Times New Roman" w:hAnsi="Times New Roman"/>
          <w:sz w:val="20"/>
          <w:szCs w:val="20"/>
          <w:color w:val="282A2F"/>
        </w:rPr>
        <w:t>A</w:t>
      </w:r>
      <w:r>
        <w:rPr>
          <w:rFonts w:ascii="Times New Roman" w:cs="Times New Roman" w:eastAsia="Times New Roman" w:hAnsi="Times New Roman"/>
          <w:sz w:val="20"/>
          <w:szCs w:val="20"/>
          <w:color w:val="44444B"/>
        </w:rPr>
        <w:t>ct.</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10</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33" w:right="359" w:bottom="1440" w:gutter="0" w:footer="0" w:header="0"/>
        </w:sectPr>
      </w:pPr>
    </w:p>
    <w:bookmarkStart w:id="142" w:name="page143"/>
    <w:bookmarkEnd w:id="142"/>
    <w:p>
      <w:pPr>
        <w:ind w:left="500" w:right="380" w:hanging="348"/>
        <w:spacing w:after="0" w:line="245" w:lineRule="auto"/>
        <w:tabs>
          <w:tab w:leader="none" w:pos="500" w:val="left"/>
        </w:tabs>
        <w:numPr>
          <w:ilvl w:val="0"/>
          <w:numId w:val="86"/>
        </w:numPr>
        <w:rPr>
          <w:rFonts w:ascii="Times New Roman" w:cs="Times New Roman" w:eastAsia="Times New Roman" w:hAnsi="Times New Roman"/>
          <w:sz w:val="20"/>
          <w:szCs w:val="20"/>
          <w:color w:val="44444B"/>
        </w:rPr>
      </w:pPr>
      <w:r>
        <w:rPr>
          <w:rFonts w:ascii="Times New Roman" w:cs="Times New Roman" w:eastAsia="Times New Roman" w:hAnsi="Times New Roman"/>
          <w:sz w:val="20"/>
          <w:szCs w:val="20"/>
          <w:color w:val="44444B"/>
        </w:rPr>
        <w:t xml:space="preserve">I </w:t>
      </w:r>
      <w:r>
        <w:rPr>
          <w:rFonts w:ascii="Times New Roman" w:cs="Times New Roman" w:eastAsia="Times New Roman" w:hAnsi="Times New Roman"/>
          <w:sz w:val="20"/>
          <w:szCs w:val="20"/>
          <w:color w:val="56575E"/>
        </w:rPr>
        <w:t>have</w:t>
      </w:r>
      <w:r>
        <w:rPr>
          <w:rFonts w:ascii="Times New Roman" w:cs="Times New Roman" w:eastAsia="Times New Roman" w:hAnsi="Times New Roman"/>
          <w:sz w:val="20"/>
          <w:szCs w:val="20"/>
          <w:color w:val="44444B"/>
        </w:rPr>
        <w:t xml:space="preserve"> carefully read and </w:t>
      </w:r>
      <w:r>
        <w:rPr>
          <w:rFonts w:ascii="Times New Roman" w:cs="Times New Roman" w:eastAsia="Times New Roman" w:hAnsi="Times New Roman"/>
          <w:sz w:val="20"/>
          <w:szCs w:val="20"/>
          <w:color w:val="56575E"/>
        </w:rPr>
        <w:t>fully</w:t>
      </w:r>
      <w:r>
        <w:rPr>
          <w:rFonts w:ascii="Times New Roman" w:cs="Times New Roman" w:eastAsia="Times New Roman" w:hAnsi="Times New Roman"/>
          <w:sz w:val="20"/>
          <w:szCs w:val="20"/>
          <w:color w:val="44444B"/>
        </w:rPr>
        <w:t xml:space="preserve"> understand all of the provisions of this Certificate</w:t>
      </w:r>
      <w:r>
        <w:rPr>
          <w:rFonts w:ascii="Times New Roman" w:cs="Times New Roman" w:eastAsia="Times New Roman" w:hAnsi="Times New Roman"/>
          <w:sz w:val="20"/>
          <w:szCs w:val="20"/>
          <w:color w:val="72747C"/>
        </w:rPr>
        <w:t>,</w:t>
      </w:r>
      <w:r>
        <w:rPr>
          <w:rFonts w:ascii="Times New Roman" w:cs="Times New Roman" w:eastAsia="Times New Roman" w:hAnsi="Times New Roman"/>
          <w:sz w:val="20"/>
          <w:szCs w:val="20"/>
          <w:color w:val="44444B"/>
        </w:rPr>
        <w:t xml:space="preserve"> </w:t>
      </w:r>
      <w:r>
        <w:rPr>
          <w:rFonts w:ascii="Times New Roman" w:cs="Times New Roman" w:eastAsia="Times New Roman" w:hAnsi="Times New Roman"/>
          <w:sz w:val="20"/>
          <w:szCs w:val="20"/>
          <w:color w:val="282A2F"/>
        </w:rPr>
        <w:t>I</w:t>
      </w:r>
      <w:r>
        <w:rPr>
          <w:rFonts w:ascii="Times New Roman" w:cs="Times New Roman" w:eastAsia="Times New Roman" w:hAnsi="Times New Roman"/>
          <w:sz w:val="20"/>
          <w:szCs w:val="20"/>
          <w:color w:val="44444B"/>
        </w:rPr>
        <w:t xml:space="preserve"> knowingly and </w:t>
      </w:r>
      <w:r>
        <w:rPr>
          <w:rFonts w:ascii="Times New Roman" w:cs="Times New Roman" w:eastAsia="Times New Roman" w:hAnsi="Times New Roman"/>
          <w:sz w:val="20"/>
          <w:szCs w:val="20"/>
          <w:color w:val="56575E"/>
        </w:rPr>
        <w:t>voluntarily agree to all</w:t>
      </w:r>
      <w:r>
        <w:rPr>
          <w:rFonts w:ascii="Times New Roman" w:cs="Times New Roman" w:eastAsia="Times New Roman" w:hAnsi="Times New Roman"/>
          <w:sz w:val="20"/>
          <w:szCs w:val="20"/>
          <w:color w:val="44444B"/>
        </w:rPr>
        <w:t xml:space="preserve"> of the </w:t>
      </w:r>
      <w:r>
        <w:rPr>
          <w:rFonts w:ascii="Times New Roman" w:cs="Times New Roman" w:eastAsia="Times New Roman" w:hAnsi="Times New Roman"/>
          <w:sz w:val="20"/>
          <w:szCs w:val="20"/>
          <w:color w:val="56575E"/>
        </w:rPr>
        <w:t>terms set forth</w:t>
      </w:r>
      <w:r>
        <w:rPr>
          <w:rFonts w:ascii="Times New Roman" w:cs="Times New Roman" w:eastAsia="Times New Roman" w:hAnsi="Times New Roman"/>
          <w:sz w:val="20"/>
          <w:szCs w:val="20"/>
          <w:color w:val="44444B"/>
        </w:rPr>
        <w:t xml:space="preserve"> in this Certificate, </w:t>
      </w:r>
      <w:r>
        <w:rPr>
          <w:rFonts w:ascii="Times New Roman" w:cs="Times New Roman" w:eastAsia="Times New Roman" w:hAnsi="Times New Roman"/>
          <w:sz w:val="20"/>
          <w:szCs w:val="20"/>
          <w:color w:val="56575E"/>
        </w:rPr>
        <w:t>and</w:t>
      </w:r>
      <w:r>
        <w:rPr>
          <w:rFonts w:ascii="Times New Roman" w:cs="Times New Roman" w:eastAsia="Times New Roman" w:hAnsi="Times New Roman"/>
          <w:sz w:val="20"/>
          <w:szCs w:val="20"/>
          <w:color w:val="44444B"/>
        </w:rPr>
        <w:t xml:space="preserve"> I </w:t>
      </w:r>
      <w:r>
        <w:rPr>
          <w:rFonts w:ascii="Times New Roman" w:cs="Times New Roman" w:eastAsia="Times New Roman" w:hAnsi="Times New Roman"/>
          <w:sz w:val="20"/>
          <w:szCs w:val="20"/>
          <w:color w:val="56575E"/>
        </w:rPr>
        <w:t>acknowledge</w:t>
      </w:r>
      <w:r>
        <w:rPr>
          <w:rFonts w:ascii="Times New Roman" w:cs="Times New Roman" w:eastAsia="Times New Roman" w:hAnsi="Times New Roman"/>
          <w:sz w:val="20"/>
          <w:szCs w:val="20"/>
          <w:color w:val="44444B"/>
        </w:rPr>
        <w:t xml:space="preserve"> that </w:t>
      </w:r>
      <w:r>
        <w:rPr>
          <w:rFonts w:ascii="Times New Roman" w:cs="Times New Roman" w:eastAsia="Times New Roman" w:hAnsi="Times New Roman"/>
          <w:sz w:val="20"/>
          <w:szCs w:val="20"/>
          <w:color w:val="56575E"/>
        </w:rPr>
        <w:t>in</w:t>
      </w:r>
      <w:r>
        <w:rPr>
          <w:rFonts w:ascii="Times New Roman" w:cs="Times New Roman" w:eastAsia="Times New Roman" w:hAnsi="Times New Roman"/>
          <w:sz w:val="20"/>
          <w:szCs w:val="20"/>
          <w:color w:val="44444B"/>
        </w:rPr>
        <w:t xml:space="preserve"> entering into this Certificate, I am not relying on </w:t>
      </w:r>
      <w:r>
        <w:rPr>
          <w:rFonts w:ascii="Times New Roman" w:cs="Times New Roman" w:eastAsia="Times New Roman" w:hAnsi="Times New Roman"/>
          <w:sz w:val="20"/>
          <w:szCs w:val="20"/>
          <w:color w:val="56575E"/>
        </w:rPr>
        <w:t>any</w:t>
      </w:r>
      <w:r>
        <w:rPr>
          <w:rFonts w:ascii="Times New Roman" w:cs="Times New Roman" w:eastAsia="Times New Roman" w:hAnsi="Times New Roman"/>
          <w:sz w:val="20"/>
          <w:szCs w:val="20"/>
          <w:color w:val="44444B"/>
        </w:rPr>
        <w:t xml:space="preserve"> representation, promise </w:t>
      </w:r>
      <w:r>
        <w:rPr>
          <w:rFonts w:ascii="Times New Roman" w:cs="Times New Roman" w:eastAsia="Times New Roman" w:hAnsi="Times New Roman"/>
          <w:sz w:val="20"/>
          <w:szCs w:val="20"/>
          <w:color w:val="56575E"/>
        </w:rPr>
        <w:t>or</w:t>
      </w:r>
      <w:r>
        <w:rPr>
          <w:rFonts w:ascii="Times New Roman" w:cs="Times New Roman" w:eastAsia="Times New Roman" w:hAnsi="Times New Roman"/>
          <w:sz w:val="20"/>
          <w:szCs w:val="20"/>
          <w:color w:val="44444B"/>
        </w:rPr>
        <w:t xml:space="preserve"> inducement made by the </w:t>
      </w:r>
      <w:r>
        <w:rPr>
          <w:rFonts w:ascii="Times New Roman" w:cs="Times New Roman" w:eastAsia="Times New Roman" w:hAnsi="Times New Roman"/>
          <w:sz w:val="20"/>
          <w:szCs w:val="20"/>
          <w:color w:val="56575E"/>
        </w:rPr>
        <w:t>Company</w:t>
      </w:r>
      <w:r>
        <w:rPr>
          <w:rFonts w:ascii="Times New Roman" w:cs="Times New Roman" w:eastAsia="Times New Roman" w:hAnsi="Times New Roman"/>
          <w:sz w:val="20"/>
          <w:szCs w:val="20"/>
          <w:color w:val="44444B"/>
        </w:rPr>
        <w:t xml:space="preserve"> or </w:t>
      </w:r>
      <w:r>
        <w:rPr>
          <w:rFonts w:ascii="Times New Roman" w:cs="Times New Roman" w:eastAsia="Times New Roman" w:hAnsi="Times New Roman"/>
          <w:sz w:val="20"/>
          <w:szCs w:val="20"/>
          <w:color w:val="56575E"/>
        </w:rPr>
        <w:t>its</w:t>
      </w:r>
      <w:r>
        <w:rPr>
          <w:rFonts w:ascii="Times New Roman" w:cs="Times New Roman" w:eastAsia="Times New Roman" w:hAnsi="Times New Roman"/>
          <w:sz w:val="20"/>
          <w:szCs w:val="20"/>
          <w:color w:val="44444B"/>
        </w:rPr>
        <w:t xml:space="preserve"> representatives with the </w:t>
      </w:r>
      <w:r>
        <w:rPr>
          <w:rFonts w:ascii="Times New Roman" w:cs="Times New Roman" w:eastAsia="Times New Roman" w:hAnsi="Times New Roman"/>
          <w:sz w:val="20"/>
          <w:szCs w:val="20"/>
          <w:color w:val="56575E"/>
        </w:rPr>
        <w:t>exception of those</w:t>
      </w:r>
      <w:r>
        <w:rPr>
          <w:rFonts w:ascii="Times New Roman" w:cs="Times New Roman" w:eastAsia="Times New Roman" w:hAnsi="Times New Roman"/>
          <w:sz w:val="20"/>
          <w:szCs w:val="20"/>
          <w:color w:val="44444B"/>
        </w:rPr>
        <w:t xml:space="preserve"> promises contained in this </w:t>
      </w:r>
      <w:r>
        <w:rPr>
          <w:rFonts w:ascii="Times New Roman" w:cs="Times New Roman" w:eastAsia="Times New Roman" w:hAnsi="Times New Roman"/>
          <w:sz w:val="20"/>
          <w:szCs w:val="20"/>
          <w:color w:val="56575E"/>
        </w:rPr>
        <w:t>Certificate and</w:t>
      </w:r>
      <w:r>
        <w:rPr>
          <w:rFonts w:ascii="Times New Roman" w:cs="Times New Roman" w:eastAsia="Times New Roman" w:hAnsi="Times New Roman"/>
          <w:sz w:val="20"/>
          <w:szCs w:val="20"/>
          <w:color w:val="44444B"/>
        </w:rPr>
        <w:t xml:space="preserve"> the </w:t>
      </w:r>
      <w:r>
        <w:rPr>
          <w:rFonts w:ascii="Times New Roman" w:cs="Times New Roman" w:eastAsia="Times New Roman" w:hAnsi="Times New Roman"/>
          <w:sz w:val="20"/>
          <w:szCs w:val="20"/>
          <w:color w:val="56575E"/>
        </w:rPr>
        <w:t>Agreement.</w:t>
      </w:r>
    </w:p>
    <w:p>
      <w:pPr>
        <w:ind w:left="520" w:hanging="368"/>
        <w:spacing w:after="0" w:line="252" w:lineRule="auto"/>
        <w:tabs>
          <w:tab w:leader="none" w:pos="520" w:val="left"/>
        </w:tabs>
        <w:numPr>
          <w:ilvl w:val="0"/>
          <w:numId w:val="86"/>
        </w:numPr>
        <w:rPr>
          <w:rFonts w:ascii="Times New Roman" w:cs="Times New Roman" w:eastAsia="Times New Roman" w:hAnsi="Times New Roman"/>
          <w:sz w:val="19"/>
          <w:szCs w:val="19"/>
          <w:color w:val="44444B"/>
        </w:rPr>
      </w:pPr>
      <w:r>
        <w:rPr>
          <w:rFonts w:ascii="Times New Roman" w:cs="Times New Roman" w:eastAsia="Times New Roman" w:hAnsi="Times New Roman"/>
          <w:sz w:val="19"/>
          <w:szCs w:val="19"/>
          <w:color w:val="282A2F"/>
        </w:rPr>
        <w:t xml:space="preserve">I </w:t>
      </w:r>
      <w:r>
        <w:rPr>
          <w:rFonts w:ascii="Times New Roman" w:cs="Times New Roman" w:eastAsia="Times New Roman" w:hAnsi="Times New Roman"/>
          <w:sz w:val="19"/>
          <w:szCs w:val="19"/>
          <w:color w:val="44444B"/>
        </w:rPr>
        <w:t>acknowledge that I have know</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ngly and volu</w:t>
      </w:r>
      <w:r>
        <w:rPr>
          <w:rFonts w:ascii="Times New Roman" w:cs="Times New Roman" w:eastAsia="Times New Roman" w:hAnsi="Times New Roman"/>
          <w:sz w:val="19"/>
          <w:szCs w:val="19"/>
          <w:color w:val="282A2F"/>
        </w:rPr>
        <w:t>n</w:t>
      </w:r>
      <w:r>
        <w:rPr>
          <w:rFonts w:ascii="Times New Roman" w:cs="Times New Roman" w:eastAsia="Times New Roman" w:hAnsi="Times New Roman"/>
          <w:sz w:val="19"/>
          <w:szCs w:val="19"/>
          <w:color w:val="44444B"/>
        </w:rPr>
        <w:t>tari</w:t>
      </w:r>
      <w:r>
        <w:rPr>
          <w:rFonts w:ascii="Times New Roman" w:cs="Times New Roman" w:eastAsia="Times New Roman" w:hAnsi="Times New Roman"/>
          <w:sz w:val="19"/>
          <w:szCs w:val="19"/>
          <w:color w:val="282A2F"/>
        </w:rPr>
        <w:t>l</w:t>
      </w:r>
      <w:r>
        <w:rPr>
          <w:rFonts w:ascii="Times New Roman" w:cs="Times New Roman" w:eastAsia="Times New Roman" w:hAnsi="Times New Roman"/>
          <w:sz w:val="19"/>
          <w:szCs w:val="19"/>
          <w:color w:val="44444B"/>
        </w:rPr>
        <w:t>y ent</w:t>
      </w:r>
      <w:r>
        <w:rPr>
          <w:rFonts w:ascii="Times New Roman" w:cs="Times New Roman" w:eastAsia="Times New Roman" w:hAnsi="Times New Roman"/>
          <w:sz w:val="19"/>
          <w:szCs w:val="19"/>
          <w:color w:val="282A2F"/>
        </w:rPr>
        <w:t>e</w:t>
      </w:r>
      <w:r>
        <w:rPr>
          <w:rFonts w:ascii="Times New Roman" w:cs="Times New Roman" w:eastAsia="Times New Roman" w:hAnsi="Times New Roman"/>
          <w:sz w:val="19"/>
          <w:szCs w:val="19"/>
          <w:color w:val="44444B"/>
        </w:rPr>
        <w:t>red into th</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56575E"/>
        </w:rPr>
        <w:t>s</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Certificate and that the Company</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advises me</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to consult</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with an attorney before s</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 xml:space="preserve">gning </w:t>
      </w:r>
      <w:r>
        <w:rPr>
          <w:rFonts w:ascii="Times New Roman" w:cs="Times New Roman" w:eastAsia="Times New Roman" w:hAnsi="Times New Roman"/>
          <w:sz w:val="19"/>
          <w:szCs w:val="19"/>
          <w:color w:val="282A2F"/>
        </w:rPr>
        <w:t>t</w:t>
      </w:r>
      <w:r>
        <w:rPr>
          <w:rFonts w:ascii="Times New Roman" w:cs="Times New Roman" w:eastAsia="Times New Roman" w:hAnsi="Times New Roman"/>
          <w:sz w:val="19"/>
          <w:szCs w:val="19"/>
          <w:color w:val="44444B"/>
        </w:rPr>
        <w:t xml:space="preserve">his </w:t>
      </w:r>
      <w:r>
        <w:rPr>
          <w:rFonts w:ascii="Times New Roman" w:cs="Times New Roman" w:eastAsia="Times New Roman" w:hAnsi="Times New Roman"/>
          <w:sz w:val="19"/>
          <w:szCs w:val="19"/>
          <w:color w:val="56575E"/>
        </w:rPr>
        <w:t>Cert</w:t>
      </w:r>
      <w:r>
        <w:rPr>
          <w:rFonts w:ascii="Times New Roman" w:cs="Times New Roman" w:eastAsia="Times New Roman" w:hAnsi="Times New Roman"/>
          <w:sz w:val="19"/>
          <w:szCs w:val="19"/>
          <w:color w:val="282A2F"/>
        </w:rPr>
        <w:t>ifi</w:t>
      </w:r>
      <w:r>
        <w:rPr>
          <w:rFonts w:ascii="Times New Roman" w:cs="Times New Roman" w:eastAsia="Times New Roman" w:hAnsi="Times New Roman"/>
          <w:sz w:val="19"/>
          <w:szCs w:val="19"/>
          <w:color w:val="44444B"/>
        </w:rPr>
        <w:t>cate. I understan</w:t>
      </w:r>
      <w:r>
        <w:rPr>
          <w:rFonts w:ascii="Times New Roman" w:cs="Times New Roman" w:eastAsia="Times New Roman" w:hAnsi="Times New Roman"/>
          <w:sz w:val="19"/>
          <w:szCs w:val="19"/>
          <w:color w:val="282A2F"/>
        </w:rPr>
        <w:t>d</w:t>
      </w:r>
      <w:r>
        <w:rPr>
          <w:rFonts w:ascii="Times New Roman" w:cs="Times New Roman" w:eastAsia="Times New Roman" w:hAnsi="Times New Roman"/>
          <w:sz w:val="19"/>
          <w:szCs w:val="19"/>
          <w:color w:val="44444B"/>
        </w:rPr>
        <w:t xml:space="preserve"> and acknowledge </w:t>
      </w:r>
      <w:r>
        <w:rPr>
          <w:rFonts w:ascii="Times New Roman" w:cs="Times New Roman" w:eastAsia="Times New Roman" w:hAnsi="Times New Roman"/>
          <w:sz w:val="19"/>
          <w:szCs w:val="19"/>
          <w:color w:val="56575E"/>
        </w:rPr>
        <w:t>that</w:t>
      </w:r>
      <w:r>
        <w:rPr>
          <w:rFonts w:ascii="Times New Roman" w:cs="Times New Roman" w:eastAsia="Times New Roman" w:hAnsi="Times New Roman"/>
          <w:sz w:val="19"/>
          <w:szCs w:val="19"/>
          <w:color w:val="44444B"/>
        </w:rPr>
        <w:t xml:space="preserve"> I have been </w:t>
      </w:r>
      <w:r>
        <w:rPr>
          <w:rFonts w:ascii="Times New Roman" w:cs="Times New Roman" w:eastAsia="Times New Roman" w:hAnsi="Times New Roman"/>
          <w:sz w:val="19"/>
          <w:szCs w:val="19"/>
          <w:color w:val="56575E"/>
        </w:rPr>
        <w:t>given</w:t>
      </w:r>
      <w:r>
        <w:rPr>
          <w:rFonts w:ascii="Times New Roman" w:cs="Times New Roman" w:eastAsia="Times New Roman" w:hAnsi="Times New Roman"/>
          <w:sz w:val="19"/>
          <w:szCs w:val="19"/>
          <w:color w:val="44444B"/>
        </w:rPr>
        <w:t xml:space="preserve"> the </w:t>
      </w:r>
      <w:r>
        <w:rPr>
          <w:rFonts w:ascii="Times New Roman" w:cs="Times New Roman" w:eastAsia="Times New Roman" w:hAnsi="Times New Roman"/>
          <w:sz w:val="19"/>
          <w:szCs w:val="19"/>
          <w:color w:val="56575E"/>
        </w:rPr>
        <w:t>opportunity to</w:t>
      </w:r>
      <w:r>
        <w:rPr>
          <w:rFonts w:ascii="Times New Roman" w:cs="Times New Roman" w:eastAsia="Times New Roman" w:hAnsi="Times New Roman"/>
          <w:sz w:val="19"/>
          <w:szCs w:val="19"/>
          <w:color w:val="44444B"/>
        </w:rPr>
        <w:t xml:space="preserve"> conside</w:t>
      </w:r>
      <w:r>
        <w:rPr>
          <w:rFonts w:ascii="Times New Roman" w:cs="Times New Roman" w:eastAsia="Times New Roman" w:hAnsi="Times New Roman"/>
          <w:sz w:val="19"/>
          <w:szCs w:val="19"/>
          <w:color w:val="282A2F"/>
        </w:rPr>
        <w:t>r</w:t>
      </w:r>
      <w:r>
        <w:rPr>
          <w:rFonts w:ascii="Times New Roman" w:cs="Times New Roman" w:eastAsia="Times New Roman" w:hAnsi="Times New Roman"/>
          <w:sz w:val="19"/>
          <w:szCs w:val="19"/>
          <w:color w:val="44444B"/>
        </w:rPr>
        <w:t xml:space="preserve"> this Certificate </w:t>
      </w:r>
      <w:r>
        <w:rPr>
          <w:rFonts w:ascii="Times New Roman" w:cs="Times New Roman" w:eastAsia="Times New Roman" w:hAnsi="Times New Roman"/>
          <w:sz w:val="19"/>
          <w:szCs w:val="19"/>
          <w:color w:val="56575E"/>
        </w:rPr>
        <w:t>for</w:t>
      </w:r>
      <w:r>
        <w:rPr>
          <w:rFonts w:ascii="Times New Roman" w:cs="Times New Roman" w:eastAsia="Times New Roman" w:hAnsi="Times New Roman"/>
          <w:sz w:val="19"/>
          <w:szCs w:val="19"/>
          <w:color w:val="44444B"/>
        </w:rPr>
        <w:t xml:space="preserve"> twenty-one (21) days following the Date of </w:t>
      </w:r>
      <w:r>
        <w:rPr>
          <w:rFonts w:ascii="Times New Roman" w:cs="Times New Roman" w:eastAsia="Times New Roman" w:hAnsi="Times New Roman"/>
          <w:sz w:val="19"/>
          <w:szCs w:val="19"/>
          <w:color w:val="56575E"/>
        </w:rPr>
        <w:t>Terminat</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o</w:t>
      </w:r>
      <w:r>
        <w:rPr>
          <w:rFonts w:ascii="Times New Roman" w:cs="Times New Roman" w:eastAsia="Times New Roman" w:hAnsi="Times New Roman"/>
          <w:sz w:val="19"/>
          <w:szCs w:val="19"/>
          <w:color w:val="282A2F"/>
        </w:rPr>
        <w:t>n</w:t>
      </w:r>
      <w:r>
        <w:rPr>
          <w:rFonts w:ascii="Times New Roman" w:cs="Times New Roman" w:eastAsia="Times New Roman" w:hAnsi="Times New Roman"/>
          <w:sz w:val="19"/>
          <w:szCs w:val="19"/>
          <w:color w:val="44444B"/>
        </w:rPr>
        <w:t xml:space="preserve"> (the "Co</w:t>
      </w:r>
      <w:r>
        <w:rPr>
          <w:rFonts w:ascii="Times New Roman" w:cs="Times New Roman" w:eastAsia="Times New Roman" w:hAnsi="Times New Roman"/>
          <w:sz w:val="19"/>
          <w:szCs w:val="19"/>
          <w:color w:val="282A2F"/>
        </w:rPr>
        <w:t>n</w:t>
      </w:r>
      <w:r>
        <w:rPr>
          <w:rFonts w:ascii="Times New Roman" w:cs="Times New Roman" w:eastAsia="Times New Roman" w:hAnsi="Times New Roman"/>
          <w:sz w:val="19"/>
          <w:szCs w:val="19"/>
          <w:color w:val="44444B"/>
        </w:rPr>
        <w:t>sidera</w:t>
      </w:r>
      <w:r>
        <w:rPr>
          <w:rFonts w:ascii="Times New Roman" w:cs="Times New Roman" w:eastAsia="Times New Roman" w:hAnsi="Times New Roman"/>
          <w:sz w:val="19"/>
          <w:szCs w:val="19"/>
          <w:color w:val="282A2F"/>
        </w:rPr>
        <w:t>t</w:t>
      </w:r>
      <w:r>
        <w:rPr>
          <w:rFonts w:ascii="Times New Roman" w:cs="Times New Roman" w:eastAsia="Times New Roman" w:hAnsi="Times New Roman"/>
          <w:sz w:val="19"/>
          <w:szCs w:val="19"/>
          <w:color w:val="44444B"/>
        </w:rPr>
        <w:t>i</w:t>
      </w:r>
      <w:r>
        <w:rPr>
          <w:rFonts w:ascii="Times New Roman" w:cs="Times New Roman" w:eastAsia="Times New Roman" w:hAnsi="Times New Roman"/>
          <w:sz w:val="19"/>
          <w:szCs w:val="19"/>
          <w:color w:val="282A2F"/>
        </w:rPr>
        <w:t>on</w:t>
      </w:r>
      <w:r>
        <w:rPr>
          <w:rFonts w:ascii="Times New Roman" w:cs="Times New Roman" w:eastAsia="Times New Roman" w:hAnsi="Times New Roman"/>
          <w:sz w:val="19"/>
          <w:szCs w:val="19"/>
          <w:color w:val="44444B"/>
        </w:rPr>
        <w:t xml:space="preserve"> Peri</w:t>
      </w:r>
      <w:r>
        <w:rPr>
          <w:rFonts w:ascii="Times New Roman" w:cs="Times New Roman" w:eastAsia="Times New Roman" w:hAnsi="Times New Roman"/>
          <w:sz w:val="19"/>
          <w:szCs w:val="19"/>
          <w:color w:val="282A2F"/>
        </w:rPr>
        <w:t>od</w:t>
      </w:r>
      <w:r>
        <w:rPr>
          <w:rFonts w:ascii="Times New Roman" w:cs="Times New Roman" w:eastAsia="Times New Roman" w:hAnsi="Times New Roman"/>
          <w:sz w:val="19"/>
          <w:szCs w:val="19"/>
          <w:color w:val="44444B"/>
        </w:rPr>
        <w:t xml:space="preserve">"). To receive the Severance </w:t>
      </w:r>
      <w:r>
        <w:rPr>
          <w:rFonts w:ascii="Times New Roman" w:cs="Times New Roman" w:eastAsia="Times New Roman" w:hAnsi="Times New Roman"/>
          <w:sz w:val="19"/>
          <w:szCs w:val="19"/>
          <w:color w:val="282A2F"/>
        </w:rPr>
        <w:t>B</w:t>
      </w:r>
      <w:r>
        <w:rPr>
          <w:rFonts w:ascii="Times New Roman" w:cs="Times New Roman" w:eastAsia="Times New Roman" w:hAnsi="Times New Roman"/>
          <w:sz w:val="19"/>
          <w:szCs w:val="19"/>
          <w:color w:val="56575E"/>
        </w:rPr>
        <w:t>enefits,</w:t>
      </w:r>
      <w:r>
        <w:rPr>
          <w:rFonts w:ascii="Times New Roman" w:cs="Times New Roman" w:eastAsia="Times New Roman" w:hAnsi="Times New Roman"/>
          <w:sz w:val="19"/>
          <w:szCs w:val="19"/>
          <w:color w:val="44444B"/>
        </w:rPr>
        <w:t xml:space="preserve"> I </w:t>
      </w:r>
      <w:r>
        <w:rPr>
          <w:rFonts w:ascii="Times New Roman" w:cs="Times New Roman" w:eastAsia="Times New Roman" w:hAnsi="Times New Roman"/>
          <w:sz w:val="19"/>
          <w:szCs w:val="19"/>
          <w:color w:val="56575E"/>
        </w:rPr>
        <w:t>must</w:t>
      </w:r>
      <w:r>
        <w:rPr>
          <w:rFonts w:ascii="Times New Roman" w:cs="Times New Roman" w:eastAsia="Times New Roman" w:hAnsi="Times New Roman"/>
          <w:sz w:val="19"/>
          <w:szCs w:val="19"/>
          <w:color w:val="44444B"/>
        </w:rPr>
        <w:t xml:space="preserve"> return a signed</w:t>
      </w:r>
      <w:r>
        <w:rPr>
          <w:rFonts w:ascii="Times New Roman" w:cs="Times New Roman" w:eastAsia="Times New Roman" w:hAnsi="Times New Roman"/>
          <w:sz w:val="19"/>
          <w:szCs w:val="19"/>
          <w:color w:val="72747C"/>
        </w:rPr>
        <w:t>,</w:t>
      </w:r>
      <w:r>
        <w:rPr>
          <w:rFonts w:ascii="Times New Roman" w:cs="Times New Roman" w:eastAsia="Times New Roman" w:hAnsi="Times New Roman"/>
          <w:sz w:val="19"/>
          <w:szCs w:val="19"/>
          <w:color w:val="44444B"/>
        </w:rPr>
        <w:t xml:space="preserve"> unmodified original or PDF copy </w:t>
      </w:r>
      <w:r>
        <w:rPr>
          <w:rFonts w:ascii="Times New Roman" w:cs="Times New Roman" w:eastAsia="Times New Roman" w:hAnsi="Times New Roman"/>
          <w:sz w:val="19"/>
          <w:szCs w:val="19"/>
          <w:color w:val="56575E"/>
        </w:rPr>
        <w:t>of</w:t>
      </w:r>
      <w:r>
        <w:rPr>
          <w:rFonts w:ascii="Times New Roman" w:cs="Times New Roman" w:eastAsia="Times New Roman" w:hAnsi="Times New Roman"/>
          <w:sz w:val="19"/>
          <w:szCs w:val="19"/>
          <w:color w:val="44444B"/>
        </w:rPr>
        <w:t xml:space="preserve"> this Certificate </w:t>
      </w:r>
      <w:r>
        <w:rPr>
          <w:rFonts w:ascii="Times New Roman" w:cs="Times New Roman" w:eastAsia="Times New Roman" w:hAnsi="Times New Roman"/>
          <w:sz w:val="19"/>
          <w:szCs w:val="19"/>
          <w:color w:val="56575E"/>
        </w:rPr>
        <w:t>so that</w:t>
      </w:r>
      <w:r>
        <w:rPr>
          <w:rFonts w:ascii="Times New Roman" w:cs="Times New Roman" w:eastAsia="Times New Roman" w:hAnsi="Times New Roman"/>
          <w:sz w:val="19"/>
          <w:szCs w:val="19"/>
          <w:color w:val="44444B"/>
        </w:rPr>
        <w:t xml:space="preserve"> it is </w:t>
      </w:r>
      <w:r>
        <w:rPr>
          <w:rFonts w:ascii="Times New Roman" w:cs="Times New Roman" w:eastAsia="Times New Roman" w:hAnsi="Times New Roman"/>
          <w:sz w:val="19"/>
          <w:szCs w:val="19"/>
          <w:color w:val="56575E"/>
        </w:rPr>
        <w:t>received</w:t>
      </w:r>
      <w:r>
        <w:rPr>
          <w:rFonts w:ascii="Times New Roman" w:cs="Times New Roman" w:eastAsia="Times New Roman" w:hAnsi="Times New Roman"/>
          <w:sz w:val="19"/>
          <w:szCs w:val="19"/>
          <w:color w:val="44444B"/>
        </w:rPr>
        <w:t xml:space="preserve"> by Donna Pasek </w:t>
      </w:r>
      <w:r>
        <w:rPr>
          <w:rFonts w:ascii="Times New Roman" w:cs="Times New Roman" w:eastAsia="Times New Roman" w:hAnsi="Times New Roman"/>
          <w:sz w:val="19"/>
          <w:szCs w:val="19"/>
          <w:color w:val="56575E"/>
        </w:rPr>
        <w:t>(donna.pasek@amarincorp.com) at</w:t>
      </w:r>
      <w:r>
        <w:rPr>
          <w:rFonts w:ascii="Times New Roman" w:cs="Times New Roman" w:eastAsia="Times New Roman" w:hAnsi="Times New Roman"/>
          <w:sz w:val="19"/>
          <w:szCs w:val="19"/>
          <w:color w:val="44444B"/>
        </w:rPr>
        <w:t xml:space="preserve"> or befo</w:t>
      </w:r>
      <w:r>
        <w:rPr>
          <w:rFonts w:ascii="Times New Roman" w:cs="Times New Roman" w:eastAsia="Times New Roman" w:hAnsi="Times New Roman"/>
          <w:sz w:val="19"/>
          <w:szCs w:val="19"/>
          <w:color w:val="282A2F"/>
        </w:rPr>
        <w:t>r</w:t>
      </w:r>
      <w:r>
        <w:rPr>
          <w:rFonts w:ascii="Times New Roman" w:cs="Times New Roman" w:eastAsia="Times New Roman" w:hAnsi="Times New Roman"/>
          <w:sz w:val="19"/>
          <w:szCs w:val="19"/>
          <w:color w:val="44444B"/>
        </w:rPr>
        <w:t>e the expiration of the Consideration Period. For the perio</w:t>
      </w:r>
      <w:r>
        <w:rPr>
          <w:rFonts w:ascii="Times New Roman" w:cs="Times New Roman" w:eastAsia="Times New Roman" w:hAnsi="Times New Roman"/>
          <w:sz w:val="19"/>
          <w:szCs w:val="19"/>
          <w:color w:val="282A2F"/>
        </w:rPr>
        <w:t>d o</w:t>
      </w:r>
      <w:r>
        <w:rPr>
          <w:rFonts w:ascii="Times New Roman" w:cs="Times New Roman" w:eastAsia="Times New Roman" w:hAnsi="Times New Roman"/>
          <w:sz w:val="19"/>
          <w:szCs w:val="19"/>
          <w:color w:val="44444B"/>
        </w:rPr>
        <w:t xml:space="preserve">f </w:t>
      </w:r>
      <w:r>
        <w:rPr>
          <w:rFonts w:ascii="Times New Roman" w:cs="Times New Roman" w:eastAsia="Times New Roman" w:hAnsi="Times New Roman"/>
          <w:sz w:val="19"/>
          <w:szCs w:val="19"/>
          <w:color w:val="56575E"/>
        </w:rPr>
        <w:t>seve</w:t>
      </w:r>
      <w:r>
        <w:rPr>
          <w:rFonts w:ascii="Times New Roman" w:cs="Times New Roman" w:eastAsia="Times New Roman" w:hAnsi="Times New Roman"/>
          <w:sz w:val="19"/>
          <w:szCs w:val="19"/>
          <w:color w:val="282A2F"/>
        </w:rPr>
        <w:t>n</w:t>
      </w:r>
      <w:r>
        <w:rPr>
          <w:rFonts w:ascii="Times New Roman" w:cs="Times New Roman" w:eastAsia="Times New Roman" w:hAnsi="Times New Roman"/>
          <w:sz w:val="19"/>
          <w:szCs w:val="19"/>
          <w:color w:val="44444B"/>
        </w:rPr>
        <w:t xml:space="preserve"> (7) days </w:t>
      </w:r>
      <w:r>
        <w:rPr>
          <w:rFonts w:ascii="Times New Roman" w:cs="Times New Roman" w:eastAsia="Times New Roman" w:hAnsi="Times New Roman"/>
          <w:sz w:val="19"/>
          <w:szCs w:val="19"/>
          <w:color w:val="282A2F"/>
        </w:rPr>
        <w:t>fr</w:t>
      </w:r>
      <w:r>
        <w:rPr>
          <w:rFonts w:ascii="Times New Roman" w:cs="Times New Roman" w:eastAsia="Times New Roman" w:hAnsi="Times New Roman"/>
          <w:sz w:val="19"/>
          <w:szCs w:val="19"/>
          <w:color w:val="44444B"/>
        </w:rPr>
        <w:t>om th</w:t>
      </w:r>
      <w:r>
        <w:rPr>
          <w:rFonts w:ascii="Times New Roman" w:cs="Times New Roman" w:eastAsia="Times New Roman" w:hAnsi="Times New Roman"/>
          <w:sz w:val="19"/>
          <w:szCs w:val="19"/>
          <w:color w:val="282A2F"/>
        </w:rPr>
        <w:t xml:space="preserve">e </w:t>
      </w:r>
      <w:r>
        <w:rPr>
          <w:rFonts w:ascii="Times New Roman" w:cs="Times New Roman" w:eastAsia="Times New Roman" w:hAnsi="Times New Roman"/>
          <w:sz w:val="19"/>
          <w:szCs w:val="19"/>
          <w:color w:val="44444B"/>
        </w:rPr>
        <w:t>date when I sign this Certificate, I have the righ</w:t>
      </w:r>
      <w:r>
        <w:rPr>
          <w:rFonts w:ascii="Times New Roman" w:cs="Times New Roman" w:eastAsia="Times New Roman" w:hAnsi="Times New Roman"/>
          <w:sz w:val="19"/>
          <w:szCs w:val="19"/>
          <w:color w:val="282A2F"/>
        </w:rPr>
        <w:t xml:space="preserve">t </w:t>
      </w:r>
      <w:r>
        <w:rPr>
          <w:rFonts w:ascii="Times New Roman" w:cs="Times New Roman" w:eastAsia="Times New Roman" w:hAnsi="Times New Roman"/>
          <w:sz w:val="19"/>
          <w:szCs w:val="19"/>
          <w:color w:val="44444B"/>
        </w:rPr>
        <w:t>to revoke this Certificate</w:t>
      </w:r>
      <w:r>
        <w:rPr>
          <w:rFonts w:ascii="Times New Roman" w:cs="Times New Roman" w:eastAsia="Times New Roman" w:hAnsi="Times New Roman"/>
          <w:sz w:val="19"/>
          <w:szCs w:val="19"/>
          <w:color w:val="282A2F"/>
        </w:rPr>
        <w:t xml:space="preserve"> b</w:t>
      </w:r>
      <w:r>
        <w:rPr>
          <w:rFonts w:ascii="Times New Roman" w:cs="Times New Roman" w:eastAsia="Times New Roman" w:hAnsi="Times New Roman"/>
          <w:sz w:val="19"/>
          <w:szCs w:val="19"/>
          <w:color w:val="56575E"/>
        </w:rPr>
        <w:t>y wr</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tten notice</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to Ms.</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Pasek.</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For such</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44444B"/>
        </w:rPr>
        <w:t>a</w:t>
      </w:r>
      <w:r>
        <w:rPr>
          <w:rFonts w:ascii="Times New Roman" w:cs="Times New Roman" w:eastAsia="Times New Roman" w:hAnsi="Times New Roman"/>
          <w:sz w:val="19"/>
          <w:szCs w:val="19"/>
          <w:color w:val="282A2F"/>
        </w:rPr>
        <w:t xml:space="preserve"> </w:t>
      </w:r>
      <w:r>
        <w:rPr>
          <w:rFonts w:ascii="Times New Roman" w:cs="Times New Roman" w:eastAsia="Times New Roman" w:hAnsi="Times New Roman"/>
          <w:sz w:val="19"/>
          <w:szCs w:val="19"/>
          <w:color w:val="56575E"/>
        </w:rPr>
        <w:t xml:space="preserve">revocation </w:t>
      </w:r>
      <w:r>
        <w:rPr>
          <w:rFonts w:ascii="Times New Roman" w:cs="Times New Roman" w:eastAsia="Times New Roman" w:hAnsi="Times New Roman"/>
          <w:sz w:val="19"/>
          <w:szCs w:val="19"/>
          <w:color w:val="44444B"/>
        </w:rPr>
        <w:t>to be effect</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56575E"/>
        </w:rPr>
        <w:t xml:space="preserve">ve, </w:t>
      </w:r>
      <w:r>
        <w:rPr>
          <w:rFonts w:ascii="Times New Roman" w:cs="Times New Roman" w:eastAsia="Times New Roman" w:hAnsi="Times New Roman"/>
          <w:sz w:val="19"/>
          <w:szCs w:val="19"/>
          <w:color w:val="44444B"/>
        </w:rPr>
        <w:t>it must be del</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vered so</w:t>
      </w:r>
      <w:r>
        <w:rPr>
          <w:rFonts w:ascii="Times New Roman" w:cs="Times New Roman" w:eastAsia="Times New Roman" w:hAnsi="Times New Roman"/>
          <w:sz w:val="19"/>
          <w:szCs w:val="19"/>
          <w:color w:val="56575E"/>
        </w:rPr>
        <w:t xml:space="preserve"> that </w:t>
      </w:r>
      <w:r>
        <w:rPr>
          <w:rFonts w:ascii="Times New Roman" w:cs="Times New Roman" w:eastAsia="Times New Roman" w:hAnsi="Times New Roman"/>
          <w:sz w:val="19"/>
          <w:szCs w:val="19"/>
          <w:color w:val="44444B"/>
        </w:rPr>
        <w:t>it is received by Ms</w:t>
      </w:r>
      <w:r>
        <w:rPr>
          <w:rFonts w:ascii="Times New Roman" w:cs="Times New Roman" w:eastAsia="Times New Roman" w:hAnsi="Times New Roman"/>
          <w:sz w:val="19"/>
          <w:szCs w:val="19"/>
          <w:color w:val="282A2F"/>
        </w:rPr>
        <w:t>.</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Pasek a</w:t>
      </w:r>
      <w:r>
        <w:rPr>
          <w:rFonts w:ascii="Times New Roman" w:cs="Times New Roman" w:eastAsia="Times New Roman" w:hAnsi="Times New Roman"/>
          <w:sz w:val="19"/>
          <w:szCs w:val="19"/>
          <w:color w:val="282A2F"/>
        </w:rPr>
        <w:t>t</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or before the expiration of the seven (7)</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282A2F"/>
        </w:rPr>
        <w:t>d</w:t>
      </w:r>
      <w:r>
        <w:rPr>
          <w:rFonts w:ascii="Times New Roman" w:cs="Times New Roman" w:eastAsia="Times New Roman" w:hAnsi="Times New Roman"/>
          <w:sz w:val="19"/>
          <w:szCs w:val="19"/>
          <w:color w:val="44444B"/>
        </w:rPr>
        <w:t>ay</w:t>
      </w:r>
      <w:r>
        <w:rPr>
          <w:rFonts w:ascii="Times New Roman" w:cs="Times New Roman" w:eastAsia="Times New Roman" w:hAnsi="Times New Roman"/>
          <w:sz w:val="19"/>
          <w:szCs w:val="19"/>
          <w:color w:val="56575E"/>
        </w:rPr>
        <w:t xml:space="preserve"> </w:t>
      </w:r>
      <w:r>
        <w:rPr>
          <w:rFonts w:ascii="Times New Roman" w:cs="Times New Roman" w:eastAsia="Times New Roman" w:hAnsi="Times New Roman"/>
          <w:sz w:val="19"/>
          <w:szCs w:val="19"/>
          <w:color w:val="44444B"/>
        </w:rPr>
        <w:t>rev</w:t>
      </w:r>
      <w:r>
        <w:rPr>
          <w:rFonts w:ascii="Times New Roman" w:cs="Times New Roman" w:eastAsia="Times New Roman" w:hAnsi="Times New Roman"/>
          <w:sz w:val="19"/>
          <w:szCs w:val="19"/>
          <w:color w:val="282A2F"/>
        </w:rPr>
        <w:t>oc</w:t>
      </w:r>
      <w:r>
        <w:rPr>
          <w:rFonts w:ascii="Times New Roman" w:cs="Times New Roman" w:eastAsia="Times New Roman" w:hAnsi="Times New Roman"/>
          <w:sz w:val="19"/>
          <w:szCs w:val="19"/>
          <w:color w:val="44444B"/>
        </w:rPr>
        <w:t>at</w:t>
      </w:r>
      <w:r>
        <w:rPr>
          <w:rFonts w:ascii="Times New Roman" w:cs="Times New Roman" w:eastAsia="Times New Roman" w:hAnsi="Times New Roman"/>
          <w:sz w:val="19"/>
          <w:szCs w:val="19"/>
          <w:color w:val="282A2F"/>
        </w:rPr>
        <w:t>i</w:t>
      </w:r>
      <w:r>
        <w:rPr>
          <w:rFonts w:ascii="Times New Roman" w:cs="Times New Roman" w:eastAsia="Times New Roman" w:hAnsi="Times New Roman"/>
          <w:sz w:val="19"/>
          <w:szCs w:val="19"/>
          <w:color w:val="44444B"/>
        </w:rPr>
        <w:t xml:space="preserve">on </w:t>
      </w:r>
      <w:r>
        <w:rPr>
          <w:rFonts w:ascii="Times New Roman" w:cs="Times New Roman" w:eastAsia="Times New Roman" w:hAnsi="Times New Roman"/>
          <w:sz w:val="19"/>
          <w:szCs w:val="19"/>
          <w:color w:val="282A2F"/>
        </w:rPr>
        <w:t>peri</w:t>
      </w:r>
      <w:r>
        <w:rPr>
          <w:rFonts w:ascii="Times New Roman" w:cs="Times New Roman" w:eastAsia="Times New Roman" w:hAnsi="Times New Roman"/>
          <w:sz w:val="19"/>
          <w:szCs w:val="19"/>
          <w:color w:val="44444B"/>
        </w:rPr>
        <w:t>od. T</w:t>
      </w:r>
      <w:r>
        <w:rPr>
          <w:rFonts w:ascii="Times New Roman" w:cs="Times New Roman" w:eastAsia="Times New Roman" w:hAnsi="Times New Roman"/>
          <w:sz w:val="19"/>
          <w:szCs w:val="19"/>
          <w:color w:val="282A2F"/>
        </w:rPr>
        <w:t>hi</w:t>
      </w:r>
      <w:r>
        <w:rPr>
          <w:rFonts w:ascii="Times New Roman" w:cs="Times New Roman" w:eastAsia="Times New Roman" w:hAnsi="Times New Roman"/>
          <w:sz w:val="19"/>
          <w:szCs w:val="19"/>
          <w:color w:val="44444B"/>
        </w:rPr>
        <w:t xml:space="preserve">s Certificate </w:t>
      </w:r>
      <w:r>
        <w:rPr>
          <w:rFonts w:ascii="Times New Roman" w:cs="Times New Roman" w:eastAsia="Times New Roman" w:hAnsi="Times New Roman"/>
          <w:sz w:val="19"/>
          <w:szCs w:val="19"/>
          <w:color w:val="56575E"/>
        </w:rPr>
        <w:t>shall</w:t>
      </w:r>
      <w:r>
        <w:rPr>
          <w:rFonts w:ascii="Times New Roman" w:cs="Times New Roman" w:eastAsia="Times New Roman" w:hAnsi="Times New Roman"/>
          <w:sz w:val="19"/>
          <w:szCs w:val="19"/>
          <w:color w:val="44444B"/>
        </w:rPr>
        <w:t xml:space="preserve"> not become </w:t>
      </w:r>
      <w:r>
        <w:rPr>
          <w:rFonts w:ascii="Times New Roman" w:cs="Times New Roman" w:eastAsia="Times New Roman" w:hAnsi="Times New Roman"/>
          <w:sz w:val="19"/>
          <w:szCs w:val="19"/>
          <w:color w:val="56575E"/>
        </w:rPr>
        <w:t>effective</w:t>
      </w:r>
      <w:r>
        <w:rPr>
          <w:rFonts w:ascii="Times New Roman" w:cs="Times New Roman" w:eastAsia="Times New Roman" w:hAnsi="Times New Roman"/>
          <w:sz w:val="19"/>
          <w:szCs w:val="19"/>
          <w:color w:val="44444B"/>
        </w:rPr>
        <w:t xml:space="preserve"> or enforceable during the revocation period. This </w:t>
      </w:r>
      <w:r>
        <w:rPr>
          <w:rFonts w:ascii="Times New Roman" w:cs="Times New Roman" w:eastAsia="Times New Roman" w:hAnsi="Times New Roman"/>
          <w:sz w:val="19"/>
          <w:szCs w:val="19"/>
          <w:color w:val="56575E"/>
        </w:rPr>
        <w:t>Certificate shall</w:t>
      </w:r>
      <w:r>
        <w:rPr>
          <w:rFonts w:ascii="Times New Roman" w:cs="Times New Roman" w:eastAsia="Times New Roman" w:hAnsi="Times New Roman"/>
          <w:sz w:val="19"/>
          <w:szCs w:val="19"/>
          <w:color w:val="44444B"/>
        </w:rPr>
        <w:t xml:space="preserve"> become </w:t>
      </w:r>
      <w:r>
        <w:rPr>
          <w:rFonts w:ascii="Times New Roman" w:cs="Times New Roman" w:eastAsia="Times New Roman" w:hAnsi="Times New Roman"/>
          <w:sz w:val="19"/>
          <w:szCs w:val="19"/>
          <w:color w:val="56575E"/>
        </w:rPr>
        <w:t>effective on the</w:t>
      </w:r>
      <w:r>
        <w:rPr>
          <w:rFonts w:ascii="Times New Roman" w:cs="Times New Roman" w:eastAsia="Times New Roman" w:hAnsi="Times New Roman"/>
          <w:sz w:val="19"/>
          <w:szCs w:val="19"/>
          <w:color w:val="44444B"/>
        </w:rPr>
        <w:t xml:space="preserve"> first business day following the expiration of the revocation pe</w:t>
      </w:r>
      <w:r>
        <w:rPr>
          <w:rFonts w:ascii="Times New Roman" w:cs="Times New Roman" w:eastAsia="Times New Roman" w:hAnsi="Times New Roman"/>
          <w:sz w:val="19"/>
          <w:szCs w:val="19"/>
          <w:color w:val="282A2F"/>
        </w:rPr>
        <w:t>r</w:t>
      </w:r>
      <w:r>
        <w:rPr>
          <w:rFonts w:ascii="Times New Roman" w:cs="Times New Roman" w:eastAsia="Times New Roman" w:hAnsi="Times New Roman"/>
          <w:sz w:val="19"/>
          <w:szCs w:val="19"/>
          <w:color w:val="44444B"/>
        </w:rPr>
        <w:t>iod (the "Effective Date of Certificate")</w:t>
      </w:r>
      <w:r>
        <w:rPr>
          <w:rFonts w:ascii="Times New Roman" w:cs="Times New Roman" w:eastAsia="Times New Roman" w:hAnsi="Times New Roman"/>
          <w:sz w:val="19"/>
          <w:szCs w:val="19"/>
          <w:color w:val="282A2F"/>
        </w:rPr>
        <w:t>.</w:t>
      </w:r>
    </w:p>
    <w:p>
      <w:pPr>
        <w:spacing w:after="0" w:line="7" w:lineRule="exact"/>
        <w:rPr>
          <w:rFonts w:ascii="Times New Roman" w:cs="Times New Roman" w:eastAsia="Times New Roman" w:hAnsi="Times New Roman"/>
          <w:sz w:val="19"/>
          <w:szCs w:val="19"/>
          <w:color w:val="44444B"/>
        </w:rPr>
      </w:pPr>
    </w:p>
    <w:p>
      <w:pPr>
        <w:ind w:left="560" w:hanging="378"/>
        <w:spacing w:after="0"/>
        <w:tabs>
          <w:tab w:leader="none" w:pos="560" w:val="left"/>
        </w:tabs>
        <w:numPr>
          <w:ilvl w:val="1"/>
          <w:numId w:val="86"/>
        </w:numPr>
        <w:rPr>
          <w:rFonts w:ascii="Times New Roman" w:cs="Times New Roman" w:eastAsia="Times New Roman" w:hAnsi="Times New Roman"/>
          <w:sz w:val="20"/>
          <w:szCs w:val="20"/>
          <w:color w:val="44444B"/>
        </w:rPr>
      </w:pPr>
      <w:r>
        <w:rPr>
          <w:rFonts w:ascii="Times New Roman" w:cs="Times New Roman" w:eastAsia="Times New Roman" w:hAnsi="Times New Roman"/>
          <w:sz w:val="20"/>
          <w:szCs w:val="20"/>
          <w:color w:val="44444B"/>
        </w:rPr>
        <w:t xml:space="preserve">I </w:t>
      </w:r>
      <w:r>
        <w:rPr>
          <w:rFonts w:ascii="Times New Roman" w:cs="Times New Roman" w:eastAsia="Times New Roman" w:hAnsi="Times New Roman"/>
          <w:sz w:val="20"/>
          <w:szCs w:val="20"/>
          <w:color w:val="56575E"/>
        </w:rPr>
        <w:t>agree</w:t>
      </w:r>
      <w:r>
        <w:rPr>
          <w:rFonts w:ascii="Times New Roman" w:cs="Times New Roman" w:eastAsia="Times New Roman" w:hAnsi="Times New Roman"/>
          <w:sz w:val="20"/>
          <w:szCs w:val="20"/>
          <w:color w:val="44444B"/>
        </w:rPr>
        <w:t xml:space="preserve"> that this </w:t>
      </w:r>
      <w:r>
        <w:rPr>
          <w:rFonts w:ascii="Times New Roman" w:cs="Times New Roman" w:eastAsia="Times New Roman" w:hAnsi="Times New Roman"/>
          <w:sz w:val="20"/>
          <w:szCs w:val="20"/>
          <w:color w:val="56575E"/>
        </w:rPr>
        <w:t>Certificate</w:t>
      </w:r>
      <w:r>
        <w:rPr>
          <w:rFonts w:ascii="Times New Roman" w:cs="Times New Roman" w:eastAsia="Times New Roman" w:hAnsi="Times New Roman"/>
          <w:sz w:val="20"/>
          <w:szCs w:val="20"/>
          <w:color w:val="44444B"/>
        </w:rPr>
        <w:t xml:space="preserve"> is part </w:t>
      </w:r>
      <w:r>
        <w:rPr>
          <w:rFonts w:ascii="Times New Roman" w:cs="Times New Roman" w:eastAsia="Times New Roman" w:hAnsi="Times New Roman"/>
          <w:sz w:val="20"/>
          <w:szCs w:val="20"/>
          <w:color w:val="56575E"/>
        </w:rPr>
        <w:t>of</w:t>
      </w:r>
      <w:r>
        <w:rPr>
          <w:rFonts w:ascii="Times New Roman" w:cs="Times New Roman" w:eastAsia="Times New Roman" w:hAnsi="Times New Roman"/>
          <w:sz w:val="20"/>
          <w:szCs w:val="20"/>
          <w:color w:val="44444B"/>
        </w:rPr>
        <w:t xml:space="preserve"> the Agreement.</w:t>
      </w:r>
    </w:p>
    <w:p>
      <w:pPr>
        <w:spacing w:after="0" w:line="200" w:lineRule="exact"/>
        <w:rPr>
          <w:sz w:val="20"/>
          <w:szCs w:val="20"/>
          <w:color w:val="auto"/>
        </w:rPr>
      </w:pPr>
    </w:p>
    <w:p>
      <w:pPr>
        <w:spacing w:after="0" w:line="297"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20"/>
          <w:szCs w:val="20"/>
          <w:color w:val="282A2F"/>
        </w:rPr>
        <w:t>Ja</w:t>
      </w:r>
      <w:r>
        <w:rPr>
          <w:rFonts w:ascii="Times New Roman" w:cs="Times New Roman" w:eastAsia="Times New Roman" w:hAnsi="Times New Roman"/>
          <w:sz w:val="20"/>
          <w:szCs w:val="20"/>
          <w:color w:val="44444B"/>
        </w:rPr>
        <w:t>son Marks</w:t>
        <w:tab/>
        <w:t>Date</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3B3B42"/>
        </w:rPr>
        <w:t>11</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4D4D54"/>
        </w:rPr>
        <w:t>ACTIVE/120151144.1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50165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40" w:top="118" w:right="859" w:bottom="1440" w:gutter="0" w:footer="0" w:header="0"/>
        </w:sectPr>
      </w:pPr>
    </w:p>
    <w:bookmarkStart w:id="143" w:name="page144"/>
    <w:bookmarkEnd w:id="143"/>
    <w:p>
      <w:pPr>
        <w:jc w:val="right"/>
        <w:spacing w:after="0"/>
        <w:rPr>
          <w:sz w:val="20"/>
          <w:szCs w:val="20"/>
          <w:color w:val="auto"/>
        </w:rPr>
      </w:pPr>
      <w:r>
        <w:rPr>
          <w:rFonts w:ascii="Calibri" w:cs="Calibri" w:eastAsia="Calibri" w:hAnsi="Calibri"/>
          <w:sz w:val="18"/>
          <w:szCs w:val="18"/>
          <w:b w:val="1"/>
          <w:bCs w:val="1"/>
          <w:color w:val="auto"/>
        </w:rPr>
        <w:t>Exhibit 10.44</w:t>
      </w: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LANDLORD TO SUBLEASE</w:t>
      </w:r>
    </w:p>
    <w:p>
      <w:pPr>
        <w:spacing w:after="0" w:line="210" w:lineRule="exact"/>
        <w:rPr>
          <w:sz w:val="20"/>
          <w:szCs w:val="20"/>
          <w:color w:val="auto"/>
        </w:rPr>
      </w:pPr>
    </w:p>
    <w:p>
      <w:pPr>
        <w:jc w:val="both"/>
        <w:ind w:left="120" w:right="120" w:firstLine="749"/>
        <w:spacing w:after="0" w:line="241" w:lineRule="auto"/>
        <w:rPr>
          <w:sz w:val="20"/>
          <w:szCs w:val="20"/>
          <w:color w:val="auto"/>
        </w:rPr>
      </w:pPr>
      <w:r>
        <w:rPr>
          <w:rFonts w:ascii="Times New Roman" w:cs="Times New Roman" w:eastAsia="Times New Roman" w:hAnsi="Times New Roman"/>
          <w:sz w:val="22"/>
          <w:szCs w:val="22"/>
          <w:color w:val="auto"/>
        </w:rPr>
        <w:t>THIS CONSENT OF LANDLORD TO SUBLEASE (this “</w:t>
      </w:r>
      <w:r>
        <w:rPr>
          <w:rFonts w:ascii="Times New Roman" w:cs="Times New Roman" w:eastAsia="Times New Roman" w:hAnsi="Times New Roman"/>
          <w:sz w:val="22"/>
          <w:szCs w:val="22"/>
          <w:b w:val="1"/>
          <w:bCs w:val="1"/>
          <w:i w:val="1"/>
          <w:iCs w:val="1"/>
          <w:color w:val="auto"/>
        </w:rPr>
        <w:t>Consent</w:t>
      </w:r>
      <w:r>
        <w:rPr>
          <w:rFonts w:ascii="Times New Roman" w:cs="Times New Roman" w:eastAsia="Times New Roman" w:hAnsi="Times New Roman"/>
          <w:sz w:val="22"/>
          <w:szCs w:val="22"/>
          <w:color w:val="auto"/>
        </w:rPr>
        <w:t xml:space="preserve">”) is made as of January 20, 2023, among </w:t>
      </w:r>
      <w:r>
        <w:rPr>
          <w:rFonts w:ascii="Times New Roman" w:cs="Times New Roman" w:eastAsia="Times New Roman" w:hAnsi="Times New Roman"/>
          <w:sz w:val="22"/>
          <w:szCs w:val="22"/>
          <w:b w:val="1"/>
          <w:bCs w:val="1"/>
          <w:color w:val="auto"/>
        </w:rPr>
        <w:t>AMARIN PHARMA, INC.</w:t>
      </w:r>
      <w:r>
        <w:rPr>
          <w:rFonts w:ascii="Times New Roman" w:cs="Times New Roman" w:eastAsia="Times New Roman" w:hAnsi="Times New Roman"/>
          <w:sz w:val="22"/>
          <w:szCs w:val="22"/>
          <w:color w:val="auto"/>
        </w:rPr>
        <w:t>, a Delaware corporation (“</w:t>
      </w:r>
      <w:r>
        <w:rPr>
          <w:rFonts w:ascii="Times New Roman" w:cs="Times New Roman" w:eastAsia="Times New Roman" w:hAnsi="Times New Roman"/>
          <w:sz w:val="22"/>
          <w:szCs w:val="22"/>
          <w:b w:val="1"/>
          <w:bCs w:val="1"/>
          <w:i w:val="1"/>
          <w:iCs w:val="1"/>
          <w:color w:val="auto"/>
        </w:rPr>
        <w:t>Sublessor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ST SHARED SERVICES LLC</w:t>
      </w:r>
      <w:r>
        <w:rPr>
          <w:rFonts w:ascii="Times New Roman" w:cs="Times New Roman" w:eastAsia="Times New Roman" w:hAnsi="Times New Roman"/>
          <w:sz w:val="22"/>
          <w:szCs w:val="22"/>
          <w:color w:val="auto"/>
        </w:rPr>
        <w:t>, a New Jersey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w:t>
      </w:r>
      <w:r>
        <w:rPr>
          <w:rFonts w:ascii="Times New Roman" w:cs="Times New Roman" w:eastAsia="Times New Roman" w:hAnsi="Times New Roman"/>
          <w:sz w:val="22"/>
          <w:szCs w:val="22"/>
          <w:b w:val="1"/>
          <w:bCs w:val="1"/>
          <w:i w:val="1"/>
          <w:iCs w:val="1"/>
          <w:color w:val="auto"/>
        </w:rPr>
        <w:t>Sublessee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LIBERTY DENVER WOOD LLC</w:t>
      </w:r>
      <w:r>
        <w:rPr>
          <w:rFonts w:ascii="Times New Roman" w:cs="Times New Roman" w:eastAsia="Times New Roman" w:hAnsi="Times New Roman"/>
          <w:sz w:val="22"/>
          <w:szCs w:val="22"/>
          <w:color w:val="auto"/>
        </w:rPr>
        <w:t>, a New Jersey limited liability company (“</w:t>
      </w:r>
      <w:r>
        <w:rPr>
          <w:rFonts w:ascii="Times New Roman" w:cs="Times New Roman" w:eastAsia="Times New Roman" w:hAnsi="Times New Roman"/>
          <w:sz w:val="22"/>
          <w:szCs w:val="22"/>
          <w:b w:val="1"/>
          <w:bCs w:val="1"/>
          <w:i w:val="1"/>
          <w:iCs w:val="1"/>
          <w:color w:val="auto"/>
        </w:rPr>
        <w:t>Landlord</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jc w:val="both"/>
        <w:ind w:left="120" w:right="140" w:firstLine="749"/>
        <w:spacing w:after="0" w:line="244" w:lineRule="auto"/>
        <w:rPr>
          <w:sz w:val="20"/>
          <w:szCs w:val="20"/>
          <w:color w:val="auto"/>
        </w:rPr>
      </w:pPr>
      <w:r>
        <w:rPr>
          <w:rFonts w:ascii="Times New Roman" w:cs="Times New Roman" w:eastAsia="Times New Roman" w:hAnsi="Times New Roman"/>
          <w:sz w:val="22"/>
          <w:szCs w:val="22"/>
          <w:color w:val="auto"/>
        </w:rPr>
        <w:t>WHEREAS, Sublessor is the tenant under the Lease made with Landlord (as successor-in- interest to 440 Route 22 LLC), dated February 15, 2019 (the “</w:t>
      </w:r>
      <w:r>
        <w:rPr>
          <w:rFonts w:ascii="Times New Roman" w:cs="Times New Roman" w:eastAsia="Times New Roman" w:hAnsi="Times New Roman"/>
          <w:sz w:val="22"/>
          <w:szCs w:val="22"/>
          <w:b w:val="1"/>
          <w:bCs w:val="1"/>
          <w:i w:val="1"/>
          <w:iCs w:val="1"/>
          <w:color w:val="auto"/>
        </w:rPr>
        <w:t>Lease</w:t>
      </w:r>
      <w:r>
        <w:rPr>
          <w:rFonts w:ascii="Times New Roman" w:cs="Times New Roman" w:eastAsia="Times New Roman" w:hAnsi="Times New Roman"/>
          <w:sz w:val="22"/>
          <w:szCs w:val="22"/>
          <w:color w:val="auto"/>
        </w:rPr>
        <w:t>”), regarding certain premises located at 440 US Highway 22, Bridgewater, New Jersey 08807, as more particularly described in the Lease (the “</w:t>
      </w:r>
      <w:r>
        <w:rPr>
          <w:rFonts w:ascii="Times New Roman" w:cs="Times New Roman" w:eastAsia="Times New Roman" w:hAnsi="Times New Roman"/>
          <w:sz w:val="22"/>
          <w:szCs w:val="22"/>
          <w:b w:val="1"/>
          <w:bCs w:val="1"/>
          <w:i w:val="1"/>
          <w:iCs w:val="1"/>
          <w:color w:val="auto"/>
        </w:rPr>
        <w:t>Premises</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ind w:left="120" w:right="120" w:firstLine="749"/>
        <w:spacing w:after="0" w:line="239" w:lineRule="auto"/>
        <w:rPr>
          <w:sz w:val="20"/>
          <w:szCs w:val="20"/>
          <w:color w:val="auto"/>
        </w:rPr>
      </w:pPr>
      <w:r>
        <w:rPr>
          <w:rFonts w:ascii="Times New Roman" w:cs="Times New Roman" w:eastAsia="Times New Roman" w:hAnsi="Times New Roman"/>
          <w:sz w:val="22"/>
          <w:szCs w:val="22"/>
          <w:color w:val="auto"/>
        </w:rPr>
        <w:t>WHEREAS, pursuant to that certain Sublease Agreement dated as of January 20, 2023, between Sublessor and Sublessee (the “</w:t>
      </w:r>
      <w:r>
        <w:rPr>
          <w:rFonts w:ascii="Times New Roman" w:cs="Times New Roman" w:eastAsia="Times New Roman" w:hAnsi="Times New Roman"/>
          <w:sz w:val="22"/>
          <w:szCs w:val="22"/>
          <w:b w:val="1"/>
          <w:bCs w:val="1"/>
          <w:i w:val="1"/>
          <w:iCs w:val="1"/>
          <w:color w:val="auto"/>
        </w:rPr>
        <w:t>Sublease</w:t>
      </w:r>
      <w:r>
        <w:rPr>
          <w:rFonts w:ascii="Times New Roman" w:cs="Times New Roman" w:eastAsia="Times New Roman" w:hAnsi="Times New Roman"/>
          <w:sz w:val="22"/>
          <w:szCs w:val="22"/>
          <w:color w:val="auto"/>
        </w:rPr>
        <w:t xml:space="preserve">”) attached hereto and made a part hereof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Sublessor desires to sublease, and Sublessee desires to sublet, a portion of the Premises from Sublessor, which portion (the “</w:t>
      </w:r>
      <w:r>
        <w:rPr>
          <w:rFonts w:ascii="Times New Roman" w:cs="Times New Roman" w:eastAsia="Times New Roman" w:hAnsi="Times New Roman"/>
          <w:sz w:val="22"/>
          <w:szCs w:val="22"/>
          <w:b w:val="1"/>
          <w:bCs w:val="1"/>
          <w:i w:val="1"/>
          <w:iCs w:val="1"/>
          <w:color w:val="auto"/>
        </w:rPr>
        <w:t>Subleased Premises</w:t>
      </w:r>
      <w:r>
        <w:rPr>
          <w:rFonts w:ascii="Times New Roman" w:cs="Times New Roman" w:eastAsia="Times New Roman" w:hAnsi="Times New Roman"/>
          <w:sz w:val="22"/>
          <w:szCs w:val="22"/>
          <w:color w:val="auto"/>
        </w:rPr>
        <w:t>”) contains approximately 50,000 rentable square feet.</w:t>
      </w:r>
    </w:p>
    <w:p>
      <w:pPr>
        <w:spacing w:after="0" w:line="207" w:lineRule="exact"/>
        <w:rPr>
          <w:sz w:val="20"/>
          <w:szCs w:val="20"/>
          <w:color w:val="auto"/>
        </w:rPr>
      </w:pPr>
    </w:p>
    <w:p>
      <w:pPr>
        <w:jc w:val="both"/>
        <w:ind w:left="120" w:right="140" w:firstLine="749"/>
        <w:spacing w:after="0" w:line="241" w:lineRule="auto"/>
        <w:rPr>
          <w:sz w:val="20"/>
          <w:szCs w:val="20"/>
          <w:color w:val="auto"/>
        </w:rPr>
      </w:pPr>
      <w:r>
        <w:rPr>
          <w:rFonts w:ascii="Times New Roman" w:cs="Times New Roman" w:eastAsia="Times New Roman" w:hAnsi="Times New Roman"/>
          <w:sz w:val="22"/>
          <w:szCs w:val="22"/>
          <w:color w:val="auto"/>
        </w:rPr>
        <w:t>WHEREAS, Landlord hereby consents to the act of subletting of the Subleased Premises to Sublessee (not to the terms and conditions of the Sublease) in accordance with, and subject to:</w:t>
      </w:r>
    </w:p>
    <w:p>
      <w:pPr>
        <w:spacing w:after="0" w:line="2" w:lineRule="exact"/>
        <w:rPr>
          <w:sz w:val="20"/>
          <w:szCs w:val="20"/>
          <w:color w:val="auto"/>
        </w:rPr>
      </w:pPr>
    </w:p>
    <w:p>
      <w:pPr>
        <w:ind w:left="120" w:hanging="8"/>
        <w:spacing w:after="0" w:line="237" w:lineRule="auto"/>
        <w:tabs>
          <w:tab w:leader="none" w:pos="37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set forth in the Sublease; (ii) compliance with the terms set forth in the Lease; and (iii) subject to the terms and conditions set forth herein.</w:t>
      </w:r>
    </w:p>
    <w:p>
      <w:pPr>
        <w:spacing w:after="0" w:line="219" w:lineRule="exact"/>
        <w:rPr>
          <w:sz w:val="20"/>
          <w:szCs w:val="20"/>
          <w:color w:val="auto"/>
        </w:rPr>
      </w:pPr>
    </w:p>
    <w:p>
      <w:pPr>
        <w:ind w:left="120" w:right="1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other good and valuable consideration, the sufficiency and receipt of which is hereby acknowledged, the parties hereto agree as follows:</w:t>
      </w:r>
    </w:p>
    <w:p>
      <w:pPr>
        <w:spacing w:after="0" w:line="185" w:lineRule="exact"/>
        <w:rPr>
          <w:sz w:val="20"/>
          <w:szCs w:val="20"/>
          <w:color w:val="auto"/>
        </w:rPr>
      </w:pPr>
    </w:p>
    <w:p>
      <w:pPr>
        <w:ind w:left="100" w:right="120" w:firstLine="748"/>
        <w:spacing w:after="0" w:line="258" w:lineRule="auto"/>
        <w:tabs>
          <w:tab w:leader="none" w:pos="158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recitals are hereby incorporated in this First Amendment and made a part hereof by reference. All capitalized terms used herein but undefined shall have the meaning as defined in the Lease.</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2.</w:t>
      </w:r>
    </w:p>
    <w:p>
      <w:pPr>
        <w:spacing w:after="0" w:line="233" w:lineRule="exact"/>
        <w:rPr>
          <w:sz w:val="20"/>
          <w:szCs w:val="20"/>
          <w:color w:val="auto"/>
        </w:rPr>
      </w:pPr>
    </w:p>
    <w:p>
      <w:pPr>
        <w:jc w:val="both"/>
        <w:ind w:left="100" w:right="120" w:firstLine="748"/>
        <w:spacing w:after="0" w:line="248" w:lineRule="auto"/>
        <w:tabs>
          <w:tab w:leader="none" w:pos="158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contained in the Sublease to the contrary, Landlord’s granting of the within consent shall not be deemed a waiver of Landlord’s rights under </w:t>
      </w:r>
      <w:r>
        <w:rPr>
          <w:rFonts w:ascii="Times New Roman" w:cs="Times New Roman" w:eastAsia="Times New Roman" w:hAnsi="Times New Roman"/>
          <w:sz w:val="21"/>
          <w:szCs w:val="21"/>
          <w:u w:val="single" w:color="auto"/>
          <w:color w:val="auto"/>
        </w:rPr>
        <w:t>Article 17</w:t>
      </w:r>
      <w:r>
        <w:rPr>
          <w:rFonts w:ascii="Times New Roman" w:cs="Times New Roman" w:eastAsia="Times New Roman" w:hAnsi="Times New Roman"/>
          <w:sz w:val="21"/>
          <w:szCs w:val="21"/>
          <w:color w:val="auto"/>
        </w:rPr>
        <w:t xml:space="preserve"> of the Lease to consent to or approve (a) any further or additional subletting(s) of the Premises or of the Subleased Premises or any portions thereof by Sublessor, Sublessee or any person or entity claiming by, through or under Sublessor or Sublessee, (b) any assignment or amendment of the Lease or the Sublease, or (c) any modifications, alterations or changes to the Premises. Except in connection with a Permitted Transfer, Sublessor and Sublessee hereby agree that without Landlord’s prior written consent in each instance (which consent may not be unreasonably withheld, conditioned or delayed), Sublessee shall not assign or encumber the Sublease, or further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2"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89" w:right="1440" w:bottom="1440" w:gutter="0" w:footer="0" w:header="0"/>
        </w:sectPr>
      </w:pPr>
    </w:p>
    <w:bookmarkStart w:id="145" w:name="page146"/>
    <w:bookmarkEnd w:id="145"/>
    <w:p>
      <w:pPr>
        <w:jc w:val="both"/>
        <w:ind w:left="120"/>
        <w:spacing w:after="0" w:line="248" w:lineRule="auto"/>
        <w:rPr>
          <w:sz w:val="20"/>
          <w:szCs w:val="20"/>
          <w:color w:val="auto"/>
        </w:rPr>
      </w:pPr>
      <w:r>
        <w:rPr>
          <w:rFonts w:ascii="Times New Roman" w:cs="Times New Roman" w:eastAsia="Times New Roman" w:hAnsi="Times New Roman"/>
          <w:sz w:val="21"/>
          <w:szCs w:val="21"/>
          <w:color w:val="auto"/>
        </w:rPr>
        <w:t xml:space="preserve">sublet all or any portion of the Subleased Premises, or otherwise suffer or permit the Subleased Premises, or any part thereof, to be used or occupied by others. Any person or legal representative of Sublessor and/or Sublessee, to whom Sublessor’s and/or Sublessee’s, as the case may be, interest under the Sublease passes by operation of law, or otherwise, shall be bound by the provisions of this Consent. As used in this Paragraph the word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control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(including the derivations of the word “</w:t>
      </w:r>
      <w:r>
        <w:rPr>
          <w:rFonts w:ascii="Times New Roman" w:cs="Times New Roman" w:eastAsia="Times New Roman" w:hAnsi="Times New Roman"/>
          <w:sz w:val="21"/>
          <w:szCs w:val="21"/>
          <w:b w:val="1"/>
          <w:bCs w:val="1"/>
          <w:i w:val="1"/>
          <w:iCs w:val="1"/>
          <w:color w:val="auto"/>
        </w:rPr>
        <w:t>control</w:t>
      </w:r>
      <w:r>
        <w:rPr>
          <w:rFonts w:ascii="Times New Roman" w:cs="Times New Roman" w:eastAsia="Times New Roman" w:hAnsi="Times New Roman"/>
          <w:sz w:val="21"/>
          <w:szCs w:val="21"/>
          <w:color w:val="auto"/>
        </w:rPr>
        <w:t>,” such as “</w:t>
      </w:r>
      <w:r>
        <w:rPr>
          <w:rFonts w:ascii="Times New Roman" w:cs="Times New Roman" w:eastAsia="Times New Roman" w:hAnsi="Times New Roman"/>
          <w:sz w:val="21"/>
          <w:szCs w:val="21"/>
          <w:b w:val="1"/>
          <w:bCs w:val="1"/>
          <w:i w:val="1"/>
          <w:iCs w:val="1"/>
          <w:color w:val="auto"/>
        </w:rPr>
        <w:t>controlling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controlled by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under common control with</w:t>
      </w:r>
      <w:r>
        <w:rPr>
          <w:rFonts w:ascii="Times New Roman" w:cs="Times New Roman" w:eastAsia="Times New Roman" w:hAnsi="Times New Roman"/>
          <w:sz w:val="21"/>
          <w:szCs w:val="21"/>
          <w:color w:val="auto"/>
        </w:rPr>
        <w:t xml:space="preserve">” or words of like import) shall mean: (i) ownership of more than 50% of the outstanding voting capital stock of a corporation or more than 50% of the beneficial interests of any other entity </w:t>
      </w:r>
      <w:r>
        <w:rPr>
          <w:rFonts w:ascii="Times New Roman" w:cs="Times New Roman" w:eastAsia="Times New Roman" w:hAnsi="Times New Roman"/>
          <w:sz w:val="21"/>
          <w:szCs w:val="21"/>
          <w:u w:val="single" w:color="auto"/>
          <w:color w:val="auto"/>
        </w:rPr>
        <w:t>or</w:t>
      </w:r>
      <w:r>
        <w:rPr>
          <w:rFonts w:ascii="Times New Roman" w:cs="Times New Roman" w:eastAsia="Times New Roman" w:hAnsi="Times New Roman"/>
          <w:sz w:val="21"/>
          <w:szCs w:val="21"/>
          <w:color w:val="auto"/>
        </w:rPr>
        <w:t xml:space="preserve"> (ii) the ability effectively to control or direct the business decisions of such corporation or entity; and</w:t>
      </w:r>
    </w:p>
    <w:p>
      <w:pPr>
        <w:spacing w:after="0" w:line="211" w:lineRule="exact"/>
        <w:rPr>
          <w:sz w:val="20"/>
          <w:szCs w:val="20"/>
          <w:color w:val="auto"/>
        </w:rPr>
      </w:pPr>
    </w:p>
    <w:p>
      <w:pPr>
        <w:jc w:val="both"/>
        <w:ind w:left="100" w:firstLine="748"/>
        <w:spacing w:after="0" w:line="235" w:lineRule="auto"/>
        <w:tabs>
          <w:tab w:leader="none" w:pos="15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waiving Landlord’s right to consent to an assignment of the Sublease by Sublessee or to the further subletting by Sublessee of the Subleased Premises (or portions thereof), if the interest of Sublessee in the Sublease is assigned (as defined in the Lease), or if Sublessee further sublets the Subleased Premises or any portion thereof (as defined in the Lease), Sublessor shall pay to Landlord, as additional rent under the Lease, the amounts described in Section 17.08 of the Lease to the extent received by Sublessor from Sublessee in connection with any such assignments or sublettings contemplated under </w:t>
      </w:r>
      <w:r>
        <w:rPr>
          <w:rFonts w:ascii="Times New Roman" w:cs="Times New Roman" w:eastAsia="Times New Roman" w:hAnsi="Times New Roman"/>
          <w:sz w:val="22"/>
          <w:szCs w:val="22"/>
          <w:u w:val="single" w:color="auto"/>
          <w:color w:val="auto"/>
        </w:rPr>
        <w:t>Article 17</w:t>
      </w:r>
      <w:r>
        <w:rPr>
          <w:rFonts w:ascii="Times New Roman" w:cs="Times New Roman" w:eastAsia="Times New Roman" w:hAnsi="Times New Roman"/>
          <w:sz w:val="22"/>
          <w:szCs w:val="22"/>
          <w:color w:val="auto"/>
        </w:rPr>
        <w:t xml:space="preserve"> of the Lease, within ten (10) days after Sublessor’s receipt of such amounts from time to time in accordance with and as further described in Section 17.08 of the Lease.</w:t>
      </w:r>
    </w:p>
    <w:p>
      <w:pPr>
        <w:spacing w:after="0" w:line="183" w:lineRule="exact"/>
        <w:rPr>
          <w:sz w:val="20"/>
          <w:szCs w:val="20"/>
          <w:color w:val="auto"/>
        </w:rPr>
      </w:pPr>
    </w:p>
    <w:p>
      <w:pPr>
        <w:jc w:val="both"/>
        <w:ind w:left="100" w:firstLine="748"/>
        <w:spacing w:after="0" w:line="235" w:lineRule="auto"/>
        <w:tabs>
          <w:tab w:leader="none" w:pos="15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contained in this Consent or in the Sublease shall be construed to modify, waive, impair or affect any of the provisions, covenants, terms or conditions contained in the Lease, or to waive any breach thereof, or any rights of Landlord against any person, firm, association, company or corporation liable or responsible for the performance thereof, or to enlarge or increase Landlord’s obligations or liabilities under the Lease at law or in equity, or to expand or increase any of Sublessor’s rights under the Lease, and all provisions, covenants, agreements terms and conditions of the Lease are hereby declared to be in full force and effect, and by execution of this Consent, as of the effective date of said Consent, Sublessor confirms such and that to Sublessor’s knowledge that Landlord has performed its obligations thereunder without default.</w:t>
      </w:r>
    </w:p>
    <w:p>
      <w:pPr>
        <w:spacing w:after="0" w:line="223" w:lineRule="exact"/>
        <w:rPr>
          <w:rFonts w:ascii="Times New Roman" w:cs="Times New Roman" w:eastAsia="Times New Roman" w:hAnsi="Times New Roman"/>
          <w:sz w:val="22"/>
          <w:szCs w:val="22"/>
          <w:color w:val="auto"/>
        </w:rPr>
      </w:pPr>
    </w:p>
    <w:p>
      <w:pPr>
        <w:jc w:val="both"/>
        <w:ind w:left="100" w:firstLine="748"/>
        <w:spacing w:after="0" w:line="236" w:lineRule="auto"/>
        <w:tabs>
          <w:tab w:leader="none" w:pos="15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alterations, improvements or additions to the Subleased Premises, or any portion thereof, shall be made by or on behalf of Sublessor or Sublessee except in accordance with the provisions of the Lease, notwithstanding anything contained in the Sublease which may be deemed to the contrary. Nothing contained in this Consent or otherwise shall be deemed a waiver by Landlord of Sublessor’s removal and restoration obligations under the Lease with respect to alterations and improvements installed or otherwise made in or to the Premises or other portions of the Building by or on behalf of Sublessor (or any person or entity, including, without limitation, Sublessee, claiming by, through or under Sublessor).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46" w:name="page147"/>
    <w:bookmarkEnd w:id="146"/>
    <w:p>
      <w:pPr>
        <w:jc w:val="both"/>
        <w:ind w:left="100" w:firstLine="748"/>
        <w:spacing w:after="0" w:line="233" w:lineRule="auto"/>
        <w:tabs>
          <w:tab w:leader="none" w:pos="15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Consent or in the Sublease, nor any amendment or modification of the Sublease (whether made with or without Landlord’s consent), shall be deemed to constitute a release of Sublessor from any of its obligations as tenant under the Lease, and Sublessor shall remain fully liable for the performance of all of its obligations as tenant under the Lease, and shall be fully responsible for all the acts and omissions of Sublessee or anyone claiming by, under or through Sublessor or Sublessee that shall be a violation of, or default under, any of the obligations or liabilities of tenant under the Lease,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nothing stated herein shall operate to limit or negate any indemnification obligation of Sublessee to Sublessor under the Sublease. Both Sublessor and Sublessee shall be and continue to be jointly and severally liable for all unpaid bills rendered by Landlord for charges incurred or imposed for services rendered and material supplied to the Subleased Premises, during the term of the Sublease, by Landlord whether requested by Sublessor on Sublessee’s behalf and/or Sublessee. The execution of this Consent by Sublessee and any acceptance by Landlord of any base rent or additional rent under the Lease directly from Sublessee shall not be deemed to create privity of title or contract but an election of mitigation of Sublessor’s obligations as tenant and shall be deemed received on behalf of Sublessor as tenant under the Lease and shall be credited against Sublessor’s obligation as tenant to pay the full amount of such Base Rent and Additional Rent, provided, however, that nothing contained in this Consent or in the Lease or otherwise shall require Landlord to accept from Sublessee any such Base Rent and Additional Rent.</w:t>
      </w:r>
    </w:p>
    <w:p>
      <w:pPr>
        <w:spacing w:after="0" w:line="217" w:lineRule="exact"/>
        <w:rPr>
          <w:rFonts w:ascii="Times New Roman" w:cs="Times New Roman" w:eastAsia="Times New Roman" w:hAnsi="Times New Roman"/>
          <w:sz w:val="22"/>
          <w:szCs w:val="22"/>
          <w:color w:val="auto"/>
        </w:rPr>
      </w:pPr>
    </w:p>
    <w:p>
      <w:pPr>
        <w:jc w:val="both"/>
        <w:ind w:left="100" w:firstLine="748"/>
        <w:spacing w:after="0" w:line="244" w:lineRule="auto"/>
        <w:tabs>
          <w:tab w:leader="none" w:pos="158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Sublease shall be subject and subordinate at all times to the Lease, to all of the terms, covenants, conditions, provisions and agreements (collectively, “</w:t>
      </w:r>
      <w:r>
        <w:rPr>
          <w:rFonts w:ascii="Times New Roman" w:cs="Times New Roman" w:eastAsia="Times New Roman" w:hAnsi="Times New Roman"/>
          <w:sz w:val="21"/>
          <w:szCs w:val="21"/>
          <w:b w:val="1"/>
          <w:bCs w:val="1"/>
          <w:i w:val="1"/>
          <w:iCs w:val="1"/>
          <w:color w:val="auto"/>
        </w:rPr>
        <w:t>Provisions</w:t>
      </w:r>
      <w:r>
        <w:rPr>
          <w:rFonts w:ascii="Times New Roman" w:cs="Times New Roman" w:eastAsia="Times New Roman" w:hAnsi="Times New Roman"/>
          <w:sz w:val="21"/>
          <w:szCs w:val="21"/>
          <w:color w:val="auto"/>
        </w:rPr>
        <w:t>”) contained therein (notwithstanding anything contained in the Sublease which may be deemed to the contrary), and to all instruments, agreements and other matters to which the Lease is or shall be subject and subordinate, and to any renewals, extensions, modifications or replacements of any of the foregoing. Sublessee shall not do any act or thing which violates, or is a default under, the Lease. Any breach or violation of any Provision of the Lease by Sublessee shall be deemed to be and shall constitute a default by Sublessor in fulfilling such Provisions and, in such event, Landlord shall have all of the rights, powers and remedies provided in the Lease or at law or in equity or by state or otherwise with respect to defaults. In the event the Lease expires or terminates for any reason or in the event of re-entry or dispossess by Landlord under the Lease, then, notwithstanding anything contained in the Sublease which may be deemed to the contrary, provided that Sublessee is not then in default under the Sublease, upon the termination of Lease, the Sublease shall automatically become a direct lease between Landlord and Sublessee, and Sublessee shall attorn to Landlord pursuant to the then executory provisions of the Sublease, except that (i) the annual Fixed Rent under the Sublease shall be increased for the balance of the Term to the annual Base Rent per square foot under the Lease (by way of example, if the Sublease becomes a direct lease with Landlord during the last six months of the Term, then the Fixed Annual Rent would be increased from $25.50 per RSF to $30.50 per RSF, resulting in the Monthly Fixed Rent for such period being increased from $106,250.00 to $127,083.33), and (ii) the Landlord shall not be (except as otherwise provided below):</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47" w:name="page148"/>
    <w:bookmarkEnd w:id="147"/>
    <w:p>
      <w:pPr>
        <w:ind w:left="2360" w:hanging="755"/>
        <w:spacing w:after="0"/>
        <w:tabs>
          <w:tab w:leader="none" w:pos="236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any previous act or omission of Sublessor under the Sublease;</w:t>
      </w:r>
    </w:p>
    <w:p>
      <w:pPr>
        <w:spacing w:after="0" w:line="246" w:lineRule="exact"/>
        <w:rPr>
          <w:rFonts w:ascii="Times New Roman" w:cs="Times New Roman" w:eastAsia="Times New Roman" w:hAnsi="Times New Roman"/>
          <w:sz w:val="22"/>
          <w:szCs w:val="22"/>
          <w:color w:val="auto"/>
        </w:rPr>
      </w:pPr>
    </w:p>
    <w:p>
      <w:pPr>
        <w:jc w:val="both"/>
        <w:ind w:left="100" w:firstLine="1489"/>
        <w:spacing w:after="0" w:line="239" w:lineRule="auto"/>
        <w:tabs>
          <w:tab w:leader="none" w:pos="2322"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credits, offsets, claims, counterclaims, demands or defenses which Sublessee may have against Sublessor, except for a claim or defense that Sublessee paid the Base Rent, Additional Rent, or other charges payable under the Sublease in accordance with the provisions thereof (excluding any prepayment of more than one month’s such rent, additional rent or other charges);</w:t>
      </w:r>
    </w:p>
    <w:p>
      <w:pPr>
        <w:spacing w:after="0" w:line="207" w:lineRule="exact"/>
        <w:rPr>
          <w:rFonts w:ascii="Times New Roman" w:cs="Times New Roman" w:eastAsia="Times New Roman" w:hAnsi="Times New Roman"/>
          <w:sz w:val="22"/>
          <w:szCs w:val="22"/>
          <w:color w:val="auto"/>
        </w:rPr>
      </w:pPr>
    </w:p>
    <w:p>
      <w:pPr>
        <w:jc w:val="both"/>
        <w:ind w:left="100" w:firstLine="1489"/>
        <w:spacing w:after="0" w:line="239" w:lineRule="auto"/>
        <w:tabs>
          <w:tab w:leader="none" w:pos="232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previous modification of the Sublease or by any previous prepayment of more than one month’s rent or other Additional Rent (notwithstanding anything contained in subsection (b) above to the contrary), unless such modification or prepayment shall have been expressly approved in writing by Landlord, Sublessor and Sublessee hereby agreeing that Landlord has not approved any prepayment of Rental;</w:t>
      </w:r>
    </w:p>
    <w:p>
      <w:pPr>
        <w:spacing w:after="0" w:line="180" w:lineRule="exact"/>
        <w:rPr>
          <w:rFonts w:ascii="Times New Roman" w:cs="Times New Roman" w:eastAsia="Times New Roman" w:hAnsi="Times New Roman"/>
          <w:sz w:val="22"/>
          <w:szCs w:val="22"/>
          <w:color w:val="auto"/>
        </w:rPr>
      </w:pPr>
    </w:p>
    <w:p>
      <w:pPr>
        <w:jc w:val="both"/>
        <w:ind w:left="100" w:firstLine="1489"/>
        <w:spacing w:after="0" w:line="235" w:lineRule="auto"/>
        <w:tabs>
          <w:tab w:leader="none" w:pos="232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covenant to undertake or complete any construction of the Subleased Premises or any portion thereof or to perform any other work that Sublessor is obligated to perform (except to the extent Landlord is expressly obligated to undertake or complete such construction or to perform any other work under the terms of the Lease) or to pay for or reimburse Sublessee for any costs incurred in connection with any construction or work, Sublessor and Sublessee hereby agreeing that Landlord is not in this Consent approving, nor has Landlord heretofore approved, the performance of any work on behalf of Sublessee or with respect to the Subleased Premises unless expressly contained in a fully executed agreement among Landlord, Sublessor and Sublessee;</w:t>
      </w:r>
    </w:p>
    <w:p>
      <w:pPr>
        <w:spacing w:after="0" w:line="223" w:lineRule="exact"/>
        <w:rPr>
          <w:rFonts w:ascii="Times New Roman" w:cs="Times New Roman" w:eastAsia="Times New Roman" w:hAnsi="Times New Roman"/>
          <w:sz w:val="22"/>
          <w:szCs w:val="22"/>
          <w:color w:val="auto"/>
        </w:rPr>
      </w:pPr>
    </w:p>
    <w:p>
      <w:pPr>
        <w:ind w:left="100" w:firstLine="1489"/>
        <w:spacing w:after="0" w:line="241" w:lineRule="auto"/>
        <w:tabs>
          <w:tab w:leader="none" w:pos="2322"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to account for any security deposit of Sublessee other than any security deposit actually received by Landlord, notwithstanding anything contained in subsection</w:t>
      </w:r>
    </w:p>
    <w:p>
      <w:pPr>
        <w:spacing w:after="0" w:line="1" w:lineRule="exact"/>
        <w:rPr>
          <w:rFonts w:ascii="Times New Roman" w:cs="Times New Roman" w:eastAsia="Times New Roman" w:hAnsi="Times New Roman"/>
          <w:sz w:val="22"/>
          <w:szCs w:val="22"/>
          <w:color w:val="auto"/>
        </w:rPr>
      </w:pPr>
    </w:p>
    <w:p>
      <w:pPr>
        <w:ind w:left="420" w:hanging="308"/>
        <w:spacing w:after="0"/>
        <w:tabs>
          <w:tab w:leader="none" w:pos="4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to the contrary;</w:t>
      </w:r>
    </w:p>
    <w:p>
      <w:pPr>
        <w:spacing w:after="0" w:line="209" w:lineRule="exact"/>
        <w:rPr>
          <w:rFonts w:ascii="Times New Roman" w:cs="Times New Roman" w:eastAsia="Times New Roman" w:hAnsi="Times New Roman"/>
          <w:sz w:val="22"/>
          <w:szCs w:val="22"/>
          <w:color w:val="auto"/>
        </w:rPr>
      </w:pPr>
    </w:p>
    <w:p>
      <w:pPr>
        <w:ind w:left="100" w:firstLine="1489"/>
        <w:spacing w:after="0" w:line="258" w:lineRule="auto"/>
        <w:tabs>
          <w:tab w:leader="none" w:pos="232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liable for the obligations of Sublessor under the Sublease for any period of time other than such period as Landlord holds such interest;</w:t>
      </w:r>
    </w:p>
    <w:p>
      <w:pPr>
        <w:spacing w:after="0" w:line="198" w:lineRule="exact"/>
        <w:rPr>
          <w:rFonts w:ascii="Times New Roman" w:cs="Times New Roman" w:eastAsia="Times New Roman" w:hAnsi="Times New Roman"/>
          <w:sz w:val="22"/>
          <w:szCs w:val="22"/>
          <w:color w:val="auto"/>
        </w:rPr>
      </w:pPr>
    </w:p>
    <w:p>
      <w:pPr>
        <w:ind w:left="2320" w:hanging="731"/>
        <w:spacing w:after="0"/>
        <w:tabs>
          <w:tab w:leader="none" w:pos="232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subsection (e) above, responsible for any monies owing by Sublessor to</w:t>
      </w:r>
    </w:p>
    <w:p>
      <w:pPr>
        <w:spacing w:after="0" w:line="14"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of Sublessee;</w:t>
      </w:r>
    </w:p>
    <w:p>
      <w:pPr>
        <w:spacing w:after="0" w:line="209" w:lineRule="exact"/>
        <w:rPr>
          <w:rFonts w:ascii="Times New Roman" w:cs="Times New Roman" w:eastAsia="Times New Roman" w:hAnsi="Times New Roman"/>
          <w:sz w:val="22"/>
          <w:szCs w:val="22"/>
          <w:color w:val="auto"/>
        </w:rPr>
      </w:pPr>
    </w:p>
    <w:p>
      <w:pPr>
        <w:ind w:left="100" w:firstLine="1489"/>
        <w:spacing w:after="0" w:line="258" w:lineRule="auto"/>
        <w:tabs>
          <w:tab w:leader="none" w:pos="232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obligation to make any payment to Sublessee or grant or be subject to any credits arising prior to the date on which such takeover and attornment became effective;</w:t>
      </w:r>
    </w:p>
    <w:p>
      <w:pPr>
        <w:spacing w:after="0" w:line="198" w:lineRule="exact"/>
        <w:rPr>
          <w:rFonts w:ascii="Times New Roman" w:cs="Times New Roman" w:eastAsia="Times New Roman" w:hAnsi="Times New Roman"/>
          <w:sz w:val="22"/>
          <w:szCs w:val="22"/>
          <w:color w:val="auto"/>
        </w:rPr>
      </w:pPr>
    </w:p>
    <w:p>
      <w:pPr>
        <w:ind w:left="100" w:firstLine="1489"/>
        <w:spacing w:after="0" w:line="258" w:lineRule="auto"/>
        <w:tabs>
          <w:tab w:leader="none" w:pos="232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obligation to provide any service or furnish any utility that Landlord is not obligated to provide or furnish under the Lease;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48" w:name="page149"/>
    <w:bookmarkEnd w:id="148"/>
    <w:p>
      <w:pPr>
        <w:jc w:val="both"/>
        <w:ind w:left="100" w:firstLine="1489"/>
        <w:spacing w:after="0" w:line="244" w:lineRule="auto"/>
        <w:tabs>
          <w:tab w:leader="none" w:pos="2322"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Base Rent and Additional Rent payable by Sublessee under the Sublease prior to acceptance of Sublessee as a direct tenant under the terms of the Sublease upon recognition of Sublessee and Sublessee’s attornment as required hereby; and</w:t>
      </w:r>
    </w:p>
    <w:p>
      <w:pPr>
        <w:spacing w:after="0" w:line="213" w:lineRule="exact"/>
        <w:rPr>
          <w:rFonts w:ascii="Times New Roman" w:cs="Times New Roman" w:eastAsia="Times New Roman" w:hAnsi="Times New Roman"/>
          <w:sz w:val="22"/>
          <w:szCs w:val="22"/>
          <w:color w:val="auto"/>
        </w:rPr>
      </w:pPr>
    </w:p>
    <w:p>
      <w:pPr>
        <w:ind w:left="100" w:firstLine="1489"/>
        <w:spacing w:after="0" w:line="258" w:lineRule="auto"/>
        <w:tabs>
          <w:tab w:leader="none" w:pos="2322"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bound by any limitations on Sublessee’s obligation to restore the Premises, but rather Sublessee shall be liable for all restoration obligations set forth under the Lease.</w:t>
      </w:r>
    </w:p>
    <w:p>
      <w:pPr>
        <w:spacing w:after="0" w:line="198" w:lineRule="exact"/>
        <w:rPr>
          <w:rFonts w:ascii="Times New Roman" w:cs="Times New Roman" w:eastAsia="Times New Roman" w:hAnsi="Times New Roman"/>
          <w:sz w:val="22"/>
          <w:szCs w:val="22"/>
          <w:color w:val="auto"/>
        </w:rPr>
      </w:pPr>
    </w:p>
    <w:p>
      <w:pPr>
        <w:jc w:val="both"/>
        <w:ind w:left="100" w:firstLine="748"/>
        <w:spacing w:after="0" w:line="244" w:lineRule="auto"/>
        <w:tabs>
          <w:tab w:leader="none" w:pos="158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 minimum, and in addition to Sublessor’s insurance obligations under the Lease, Sublessee shall maintain all insurance coverage in forms and manner that Sublessor is required to maintain under the Lease. In addition, all insurance maintained (or required to be maintained) by Sublessee for the benefit of Sublessor shall also be maintained for the benefit of Landlord. Landlord (and all other persons and entities designated by Landlord) shall be named as an additional insured on all insurance policies maintained by Sublessee with respect to the Subleased Premises and the Sublease, and copies of all insurance certificates evidencing such insurance shall be in form and substance reasonably acceptable to Landlord, delivered to Landlord prior to the commencement of the term of the Sublease, from time to time thereafter, within five</w:t>
      </w:r>
    </w:p>
    <w:p>
      <w:pPr>
        <w:spacing w:after="0" w:line="6" w:lineRule="exact"/>
        <w:rPr>
          <w:rFonts w:ascii="Times New Roman" w:cs="Times New Roman" w:eastAsia="Times New Roman" w:hAnsi="Times New Roman"/>
          <w:sz w:val="21"/>
          <w:szCs w:val="21"/>
          <w:color w:val="auto"/>
        </w:rPr>
      </w:pPr>
    </w:p>
    <w:p>
      <w:pPr>
        <w:jc w:val="both"/>
        <w:ind w:left="120" w:hanging="8"/>
        <w:spacing w:after="0" w:line="232" w:lineRule="auto"/>
        <w:tabs>
          <w:tab w:leader="none" w:pos="44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Landlord’s request therefor, and within ten (10) days after any of the insurance coverage maintained by or on behalf of Sublessee is renewed, extended or modified. Sublessee shall cause to be included in each of its property insurance policies (including business interruption) a waiver of the insurer’s right of subrogation against Landlord and Sublessor, and Sublessee hereby releases Landlord and Sublessor from any claim (including a claim for negligence) which Sublessee might otherwise have for loss, damage or destruction to Sublessee’s property (including business interruption) to the extent to which such loss, damage or destruction is insured by Sublessee or would have been required to be insured by Sublessee if Sublessee were the tenant under the Lease. Landlord shall cause its managing agent to include a waiver of insurer’s right of subrogation as against Sublessee.</w:t>
      </w:r>
    </w:p>
    <w:p>
      <w:pPr>
        <w:spacing w:after="0" w:line="18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8.</w:t>
      </w:r>
    </w:p>
    <w:p>
      <w:pPr>
        <w:spacing w:after="0" w:line="233" w:lineRule="exact"/>
        <w:rPr>
          <w:sz w:val="20"/>
          <w:szCs w:val="20"/>
          <w:color w:val="auto"/>
        </w:rPr>
      </w:pPr>
    </w:p>
    <w:p>
      <w:pPr>
        <w:ind w:left="100" w:firstLine="748"/>
        <w:spacing w:after="0" w:line="258" w:lineRule="auto"/>
        <w:tabs>
          <w:tab w:leader="none" w:pos="15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of the Sublease shall end no later than one day prior to the last day of the term of the Lease, and Sublessee shall have no right or option to renew or extend the term of the Lease; and</w:t>
      </w:r>
    </w:p>
    <w:p>
      <w:pPr>
        <w:spacing w:after="0" w:line="198" w:lineRule="exact"/>
        <w:rPr>
          <w:rFonts w:ascii="Times New Roman" w:cs="Times New Roman" w:eastAsia="Times New Roman" w:hAnsi="Times New Roman"/>
          <w:sz w:val="22"/>
          <w:szCs w:val="22"/>
          <w:color w:val="auto"/>
        </w:rPr>
      </w:pPr>
    </w:p>
    <w:p>
      <w:pPr>
        <w:jc w:val="both"/>
        <w:ind w:left="100" w:firstLine="748"/>
        <w:spacing w:after="0" w:line="235" w:lineRule="auto"/>
        <w:tabs>
          <w:tab w:leader="none" w:pos="15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Sublessee is permitted to remain in occupancy of the Subleased Premises pursuant to </w:t>
      </w:r>
      <w:r>
        <w:rPr>
          <w:rFonts w:ascii="Times New Roman" w:cs="Times New Roman" w:eastAsia="Times New Roman" w:hAnsi="Times New Roman"/>
          <w:sz w:val="22"/>
          <w:szCs w:val="22"/>
          <w:u w:val="single" w:color="auto"/>
          <w:color w:val="auto"/>
        </w:rPr>
        <w:t>Paragraph 5</w:t>
      </w:r>
      <w:r>
        <w:rPr>
          <w:rFonts w:ascii="Times New Roman" w:cs="Times New Roman" w:eastAsia="Times New Roman" w:hAnsi="Times New Roman"/>
          <w:sz w:val="22"/>
          <w:szCs w:val="22"/>
          <w:color w:val="auto"/>
        </w:rPr>
        <w:t xml:space="preserve"> above, Sublessee’s failure to vacate and surrender the Subleased Premises in accordance with the applicable provisions of the Lease on or before the last day of the term of the Lease shall be deemed Sublessor’s failure to vacate and surrender the entire Premises, entitling Landlord to exercise and enforce against Sublessee any and all of its rights and remedies under the Lease, at law and in equity. In addition, subject to the provisions of Section 3 of this Consent, if Sublessee fails to vacate and surrender the Subleased Premises in accordance with the applicable provisions of the Lease on or before the last day of the term of the Lease, Sublessee agrees that it will not seek, and it expressly waives any right to seek, any stay of prosecution of,</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49" w:name="page150"/>
    <w:bookmarkEnd w:id="149"/>
    <w:p>
      <w:pPr>
        <w:jc w:val="both"/>
        <w:ind w:left="120"/>
        <w:spacing w:after="0" w:line="236" w:lineRule="auto"/>
        <w:rPr>
          <w:sz w:val="20"/>
          <w:szCs w:val="20"/>
          <w:color w:val="auto"/>
        </w:rPr>
      </w:pPr>
      <w:r>
        <w:rPr>
          <w:rFonts w:ascii="Times New Roman" w:cs="Times New Roman" w:eastAsia="Times New Roman" w:hAnsi="Times New Roman"/>
          <w:sz w:val="22"/>
          <w:szCs w:val="22"/>
          <w:color w:val="auto"/>
        </w:rPr>
        <w:t xml:space="preserve">or the execution of any judgment awarded in, any action by Landlord to recover possession of the Premises or any part thereof and Sublessee shall indemnify, defend and hold harmless Landlord from any reasonable costs or damages resulting from the breach hereof or the enforcement by Landlord of the terms of this Consent or the Lease, including reasonable legal fees and all related court costs and experts fees. Subject to the provisions of Section 6 of this Consent, nothing contained in this </w:t>
      </w:r>
      <w:r>
        <w:rPr>
          <w:rFonts w:ascii="Times New Roman" w:cs="Times New Roman" w:eastAsia="Times New Roman" w:hAnsi="Times New Roman"/>
          <w:sz w:val="22"/>
          <w:szCs w:val="22"/>
          <w:u w:val="single" w:color="auto"/>
          <w:color w:val="auto"/>
        </w:rPr>
        <w:t>Paragraph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7(b)</w:t>
      </w:r>
      <w:r>
        <w:rPr>
          <w:rFonts w:ascii="Times New Roman" w:cs="Times New Roman" w:eastAsia="Times New Roman" w:hAnsi="Times New Roman"/>
          <w:sz w:val="22"/>
          <w:szCs w:val="22"/>
          <w:color w:val="auto"/>
        </w:rPr>
        <w:t xml:space="preserve"> shall be deemed to give Sublessee the right to remain in possession or occupancy of any portion of the Subleased Premises beyond the last day of the term of the Sublease.</w:t>
      </w:r>
    </w:p>
    <w:p>
      <w:pPr>
        <w:spacing w:after="0" w:line="222" w:lineRule="exact"/>
        <w:rPr>
          <w:sz w:val="20"/>
          <w:szCs w:val="20"/>
          <w:color w:val="auto"/>
        </w:rPr>
      </w:pPr>
    </w:p>
    <w:p>
      <w:pPr>
        <w:jc w:val="both"/>
        <w:ind w:left="100" w:firstLine="748"/>
        <w:spacing w:after="0" w:line="243" w:lineRule="auto"/>
        <w:tabs>
          <w:tab w:leader="none" w:pos="158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Landlord’s obligations to Sublessor are governed only by the Lease and this Consent. Landlord shall be deemed not to have any obligations directly to Sublessee and shall have no obligations to Sublessee under the Lease, Sublease or this Consent and there shall be deemed to be no privity of contract or estate created between Landlord and Sublessee in fact or inferred from this Consent; provided, however that (a) Sublessee may deal directly with Landlord (and/or the manager of the Building) with respect to requesting overtime services and other services provided by or through Landlord, and (b) Landlord agrees that Sublessee shall have the right to directly enforce the rights of the Sublessor as Tenant under the Lease and the obligations of Landlord under the Lease with respect to the Subleased Premises. Notwithstanding the fact that a copy of the Sublease has been delivered to Landlord for its information and is annexed hereto, Sublessor and Sublessee acknowledge and agree that Landlord is not a party thereto and is not bound by any of its provisions and is approving the act of the subleasing and not the contents of the Sublease document or terms thereof. Nothing contained in this Consent shall be construed as a consent to, or approval or ratification by Landlord of, any of the particular provisions of the Sublease or as a representation, certification or warranty by or of Landlord. Except as expressly provided in this Consent, neither the acceptance by Landlord of any Base Rent or Additional Rent or other charges or sums under the Lease or Sublease from Sublessee, nor Sublessee’s execution of this Consent, nor anything else contained in the Sublease or in this Consent, nor any other act or deed, shall create or be deemed to have created any privity of estate or privity of contract between Landlord and Sublessee. Landlord shall be deemed to be a third-party beneficiary of Sublessee’s obligations and liabilities under this Consent. (For the purposes of illustration and not limitation, if Sublessee requests that Landlord provide any building service for which Landlord imposes a separate charge, and if such service is provided by Landlord from time to time, Sublessee and Sublessor shall remain primarily liable for payment of such charges pursuant to the terms of the Lease, provided that nothing stated herein shall operate to limit or negate any payment obligation of Sublessee to Sublessor under the Sublease).</w:t>
      </w:r>
    </w:p>
    <w:p>
      <w:pPr>
        <w:spacing w:after="0" w:line="226" w:lineRule="exact"/>
        <w:rPr>
          <w:rFonts w:ascii="Times New Roman" w:cs="Times New Roman" w:eastAsia="Times New Roman" w:hAnsi="Times New Roman"/>
          <w:sz w:val="21"/>
          <w:szCs w:val="21"/>
          <w:color w:val="auto"/>
        </w:rPr>
      </w:pPr>
    </w:p>
    <w:p>
      <w:pPr>
        <w:jc w:val="both"/>
        <w:ind w:left="100" w:firstLine="748"/>
        <w:spacing w:after="0" w:line="239" w:lineRule="auto"/>
        <w:tabs>
          <w:tab w:leader="none" w:pos="15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on the part of Sublessor or Sublessee to observe, perform or comply with any of the terms, covenants or conditions in this Consent on their respective parts to observe, perform or comply with, or any representation or warranty of Sublessor or Sublessee in this Consent being are false, incorrect or misleading, in any material respect, or any action taken by Sublessee which would constitute a default under the Lease, shall be a default by Sublessor under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50" w:name="page151"/>
    <w:bookmarkEnd w:id="150"/>
    <w:p>
      <w:pPr>
        <w:ind w:left="120"/>
        <w:spacing w:after="0"/>
        <w:rPr>
          <w:sz w:val="20"/>
          <w:szCs w:val="20"/>
          <w:color w:val="auto"/>
        </w:rPr>
      </w:pPr>
      <w:r>
        <w:rPr>
          <w:rFonts w:ascii="Times New Roman" w:cs="Times New Roman" w:eastAsia="Times New Roman" w:hAnsi="Times New Roman"/>
          <w:sz w:val="22"/>
          <w:szCs w:val="22"/>
          <w:color w:val="auto"/>
        </w:rPr>
        <w:t>the Lease, entitling Landlord to exercise any or all of its rights and remedies thereunder, at law and in equity.</w:t>
      </w:r>
    </w:p>
    <w:p>
      <w:pPr>
        <w:spacing w:after="0" w:line="247" w:lineRule="exact"/>
        <w:rPr>
          <w:sz w:val="20"/>
          <w:szCs w:val="20"/>
          <w:color w:val="auto"/>
        </w:rPr>
      </w:pPr>
    </w:p>
    <w:p>
      <w:pPr>
        <w:jc w:val="both"/>
        <w:ind w:left="100" w:firstLine="748"/>
        <w:spacing w:after="0" w:line="233" w:lineRule="auto"/>
        <w:tabs>
          <w:tab w:leader="none" w:pos="1581"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and Sublessee jointly and severally shall indemnify and hold Landlord harmless from and against all costs, expenses, commissions, fees, compensation and damages paid or incurred by Landlord (including, without limitation, all legal, litigation and courts costs, expenses and disbursements for which Landlord is liable) arising under or out of, or in connection with, or resulting from (a) any and all claims, actions or proceedings made or brought by any brokers (including, without any limitation, Jones Lang LaSalle Brokerage, Inc.), finders or consultants with whom Sublessor or Sublessee has dealt, or is claimed to have dealt, in connection with this Consent, the Sublease or the subletting of any portion of the Premises to Sublessee, and/or</w:t>
      </w:r>
    </w:p>
    <w:p>
      <w:pPr>
        <w:spacing w:after="0" w:line="5" w:lineRule="exact"/>
        <w:rPr>
          <w:rFonts w:ascii="Times New Roman" w:cs="Times New Roman" w:eastAsia="Times New Roman" w:hAnsi="Times New Roman"/>
          <w:sz w:val="22"/>
          <w:szCs w:val="22"/>
          <w:color w:val="auto"/>
        </w:rPr>
      </w:pPr>
    </w:p>
    <w:p>
      <w:pPr>
        <w:jc w:val="both"/>
        <w:ind w:left="120" w:hanging="8"/>
        <w:spacing w:after="0" w:line="235" w:lineRule="auto"/>
        <w:tabs>
          <w:tab w:leader="none" w:pos="47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dispute between Sublessor and Sublessee regarding this Consent, the Lease, the Subleased Premises and/or the Sublease, only to the extent said dispute does not arise out of the gross negligence, willful misconduct or intentional or bad faith breach of a term or provision of the Lease by Landlord.</w:t>
      </w:r>
    </w:p>
    <w:p>
      <w:pPr>
        <w:spacing w:after="0" w:line="2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12.</w:t>
      </w:r>
    </w:p>
    <w:p>
      <w:pPr>
        <w:spacing w:after="0" w:line="233" w:lineRule="exact"/>
        <w:rPr>
          <w:sz w:val="20"/>
          <w:szCs w:val="20"/>
          <w:color w:val="auto"/>
        </w:rPr>
      </w:pPr>
    </w:p>
    <w:p>
      <w:pPr>
        <w:jc w:val="both"/>
        <w:ind w:left="100" w:firstLine="748"/>
        <w:spacing w:after="0" w:line="245" w:lineRule="auto"/>
        <w:tabs>
          <w:tab w:leader="none" w:pos="158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and Sublessee represent and warrant that: (i) no Base Rent, Additional Rent or other consideration of any kind (directly or indirectly) has been paid, is being paid or is payable to, or at the direction of, Sublessor or any person or entity which is affiliated or related to Sublessor, by, or on behalf of, or any person or entity which is affiliated or related to Sublessee, directly or indirectly in respect of the Sublease or for the right to use or occupy the Subleased Premises or for the use, sale or rental of fixtures, leasehold improvements, equipment, furniture or other personal property, except as expressly set forth in the Sublease, and (ii) the copy of the Sublease attached to this Consent is a complete, true and correct copy thereof and there are no other agreements or understandings (oral or written) relating to the subletting of the Subleased Premises by Sublessor to Sublessee, including, without limitation, any agreements or understandings relating to the payment of any rent, additional rental or other consideration of any kind (directly or indirectly) to, or at the direction of, Sublessor or any person or entity which is affiliated or related to Sublessor, by, or on behalf of, or any person or entity which is affiliated or related to Sublessee. For the purposes of illustration and not limitation, the full or partial release by Sublessee of an obligation owed by Sublessor would be deemed a payment by Sublessee to Sublessor; and</w:t>
      </w:r>
    </w:p>
    <w:p>
      <w:pPr>
        <w:spacing w:after="0" w:line="214" w:lineRule="exact"/>
        <w:rPr>
          <w:rFonts w:ascii="Times New Roman" w:cs="Times New Roman" w:eastAsia="Times New Roman" w:hAnsi="Times New Roman"/>
          <w:sz w:val="21"/>
          <w:szCs w:val="21"/>
          <w:color w:val="auto"/>
        </w:rPr>
      </w:pPr>
    </w:p>
    <w:p>
      <w:pPr>
        <w:jc w:val="both"/>
        <w:ind w:left="100" w:firstLine="748"/>
        <w:spacing w:after="0" w:line="238" w:lineRule="auto"/>
        <w:tabs>
          <w:tab w:leader="none" w:pos="158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Sublessor nor Sublessee shall change, modify, amend, cancel or terminate the Sublease or enter into any additional agreements relating to or affecting the use or occupancy of the Subleased Premises or any other portion of the Premises or the use, sale or rental of fixtures, or leasehold improvements, without first notifying Landlord in writing, and neither Sublessor nor Sublessee shall change, modify or amend the Sublease in any material manner or enter into any additional material agreements relating to or affecting the use or occupancy of the Subleased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51" w:name="page152"/>
    <w:bookmarkEnd w:id="151"/>
    <w:p>
      <w:pPr>
        <w:jc w:val="both"/>
        <w:ind w:left="120"/>
        <w:spacing w:after="0" w:line="235" w:lineRule="auto"/>
        <w:rPr>
          <w:sz w:val="20"/>
          <w:szCs w:val="20"/>
          <w:color w:val="auto"/>
        </w:rPr>
      </w:pPr>
      <w:r>
        <w:rPr>
          <w:rFonts w:ascii="Times New Roman" w:cs="Times New Roman" w:eastAsia="Times New Roman" w:hAnsi="Times New Roman"/>
          <w:sz w:val="22"/>
          <w:szCs w:val="22"/>
          <w:color w:val="auto"/>
        </w:rPr>
        <w:t>Premises or any other portion of the Premises or the use, sale or rental of fixtures, or leasehold improvements, or enter into any agreement renewing or extending the term of the Sublease, without first obtaining Landlord’s prior written consent thereto, which consent shall be granted or denied in accordance with, and subject to, the applicable provisions of the Lease, as if the modification, amendment or agreement in question had been a part of the original Sublease. Notwithstanding the foregoing, Sublessor and Sublessee shall have the right, upon prior written notice to Landlord, to terminate or cancel the Sublease, without prior consent of Landlord, but any such termination or cancellation shall not release or relieve Sublessor from any of its obligations or liabilities under the Lease or this Consent, and any such termination or cancellation shall not release or relieve Sublessee from any of its obligations or liabilities under this Consent.</w:t>
      </w:r>
    </w:p>
    <w:p>
      <w:pPr>
        <w:spacing w:after="0" w:line="219" w:lineRule="exact"/>
        <w:rPr>
          <w:sz w:val="20"/>
          <w:szCs w:val="20"/>
          <w:color w:val="auto"/>
        </w:rPr>
      </w:pPr>
    </w:p>
    <w:p>
      <w:pPr>
        <w:ind w:left="1600" w:hanging="744"/>
        <w:spacing w:after="0"/>
        <w:tabs>
          <w:tab w:leader="none" w:pos="16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warrants and represents to Landlord that:</w:t>
      </w:r>
    </w:p>
    <w:p>
      <w:pPr>
        <w:spacing w:after="0" w:line="233" w:lineRule="exact"/>
        <w:rPr>
          <w:rFonts w:ascii="Times New Roman" w:cs="Times New Roman" w:eastAsia="Times New Roman" w:hAnsi="Times New Roman"/>
          <w:sz w:val="22"/>
          <w:szCs w:val="22"/>
          <w:color w:val="auto"/>
        </w:rPr>
      </w:pPr>
    </w:p>
    <w:p>
      <w:pPr>
        <w:jc w:val="both"/>
        <w:ind w:left="860" w:firstLine="745"/>
        <w:spacing w:after="0" w:line="235" w:lineRule="auto"/>
        <w:tabs>
          <w:tab w:leader="none" w:pos="23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 is in full force and effect; to Sublessor’s actual knowledge no default exists on the part of Landlord under the Lease; Sublessor has neither received nor given any notice of default thereunder which continues at the date hereof; Sublessor has no actual knowledge of the existence of any condition which constitutes a default under the Lease or which, with the giving of notice or the passage of time, or both, would constitute a default under the Lease; Sublessor has no actual knowledge of any defense or counterclaim to the enforcement of the Lease; and to Sublessor’s actual knowledge, Sublessor is not entitled to any reduction, offset or abatement of the rents payable under the Lease;</w:t>
      </w:r>
    </w:p>
    <w:p>
      <w:pPr>
        <w:spacing w:after="0" w:line="223" w:lineRule="exact"/>
        <w:rPr>
          <w:rFonts w:ascii="Times New Roman" w:cs="Times New Roman" w:eastAsia="Times New Roman" w:hAnsi="Times New Roman"/>
          <w:sz w:val="22"/>
          <w:szCs w:val="22"/>
          <w:color w:val="auto"/>
        </w:rPr>
      </w:pPr>
    </w:p>
    <w:p>
      <w:pPr>
        <w:ind w:left="860" w:firstLine="745"/>
        <w:spacing w:after="0" w:line="258" w:lineRule="auto"/>
        <w:tabs>
          <w:tab w:leader="none" w:pos="23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is the present tenant under the Lease, has a valid and subsisting leasehold estate to the Premises under the Lease;</w:t>
      </w:r>
    </w:p>
    <w:p>
      <w:pPr>
        <w:spacing w:after="0" w:line="198" w:lineRule="exact"/>
        <w:rPr>
          <w:rFonts w:ascii="Times New Roman" w:cs="Times New Roman" w:eastAsia="Times New Roman" w:hAnsi="Times New Roman"/>
          <w:sz w:val="22"/>
          <w:szCs w:val="22"/>
          <w:color w:val="auto"/>
        </w:rPr>
      </w:pPr>
    </w:p>
    <w:p>
      <w:pPr>
        <w:ind w:left="860" w:firstLine="745"/>
        <w:spacing w:after="0" w:line="258" w:lineRule="auto"/>
        <w:tabs>
          <w:tab w:leader="none" w:pos="23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Sublessor nor any Sublessor Entity (as hereinafter defined) has introduced hazardous substances in or to the Premises in violation of the Lease other than customary and typical office cleaning products;</w:t>
      </w:r>
    </w:p>
    <w:p>
      <w:pPr>
        <w:spacing w:after="0" w:line="185" w:lineRule="exact"/>
        <w:rPr>
          <w:rFonts w:ascii="Times New Roman" w:cs="Times New Roman" w:eastAsia="Times New Roman" w:hAnsi="Times New Roman"/>
          <w:sz w:val="22"/>
          <w:szCs w:val="22"/>
          <w:color w:val="auto"/>
        </w:rPr>
      </w:pPr>
    </w:p>
    <w:p>
      <w:pPr>
        <w:jc w:val="both"/>
        <w:ind w:left="860" w:firstLine="745"/>
        <w:spacing w:after="0" w:line="239" w:lineRule="auto"/>
        <w:tabs>
          <w:tab w:leader="none" w:pos="23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has not committed, permitted or suffered, and shall not commit, permit or suffer, any act or deed whereby the Premises (or any portion(s) thereof), the Lease, or the security deposited thereunder, have been, or may be, or will be, pledged, hypothecated, encumbered, assigned, conveyed or otherwise transferred, except as set forth in this Consent or in accordance with the Lease;</w:t>
      </w:r>
    </w:p>
    <w:p>
      <w:pPr>
        <w:spacing w:after="0" w:line="220" w:lineRule="exact"/>
        <w:rPr>
          <w:rFonts w:ascii="Times New Roman" w:cs="Times New Roman" w:eastAsia="Times New Roman" w:hAnsi="Times New Roman"/>
          <w:sz w:val="22"/>
          <w:szCs w:val="22"/>
          <w:color w:val="auto"/>
        </w:rPr>
      </w:pPr>
    </w:p>
    <w:p>
      <w:pPr>
        <w:jc w:val="both"/>
        <w:ind w:left="860" w:firstLine="745"/>
        <w:spacing w:after="0" w:line="238" w:lineRule="auto"/>
        <w:tabs>
          <w:tab w:leader="none" w:pos="2349"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Sublessor’s knowledge, there are no liens, security interests, chattel mortgages or other encumbrances against the Premises, the Building, Landlord, or any interest in the Premises, the Building or Landlord, created by, or otherwise directly or indirectly resulting from, the act or omission of Sublessor or of any person or entity claiming by, through and under Sublessor, including subtenants, licensees and concessionaires of any portion of the Premises, and the employees, invitees, agents and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9" w:right="459" w:bottom="1440" w:gutter="0" w:footer="0" w:header="0"/>
        </w:sectPr>
      </w:pPr>
    </w:p>
    <w:bookmarkStart w:id="152" w:name="page153"/>
    <w:bookmarkEnd w:id="152"/>
    <w:p>
      <w:pPr>
        <w:ind w:left="860"/>
        <w:spacing w:after="0" w:line="258" w:lineRule="auto"/>
        <w:rPr>
          <w:sz w:val="20"/>
          <w:szCs w:val="20"/>
          <w:color w:val="auto"/>
        </w:rPr>
      </w:pPr>
      <w:r>
        <w:rPr>
          <w:rFonts w:ascii="Times New Roman" w:cs="Times New Roman" w:eastAsia="Times New Roman" w:hAnsi="Times New Roman"/>
          <w:sz w:val="22"/>
          <w:szCs w:val="22"/>
          <w:color w:val="auto"/>
        </w:rPr>
        <w:t>contractors of Sublessor or of any such subtenants, licensees or concessionaires (any such person or entity being herein referred to as a “</w:t>
      </w:r>
      <w:r>
        <w:rPr>
          <w:rFonts w:ascii="Times New Roman" w:cs="Times New Roman" w:eastAsia="Times New Roman" w:hAnsi="Times New Roman"/>
          <w:sz w:val="22"/>
          <w:szCs w:val="22"/>
          <w:b w:val="1"/>
          <w:bCs w:val="1"/>
          <w:i w:val="1"/>
          <w:iCs w:val="1"/>
          <w:color w:val="auto"/>
        </w:rPr>
        <w:t>Sublessor Entity</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left="860" w:right="60" w:firstLine="745"/>
        <w:spacing w:after="0" w:line="244" w:lineRule="auto"/>
        <w:tabs>
          <w:tab w:leader="none" w:pos="2349"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Sublessor’s agreement to sublease the Premises to Sublessee, Sublessor has not sublet, underlet, assigned, pledged, encumbered or otherwise transferred any present or future possessory, use or occupancy right in or to all or any portions of the Lease or the Premises;</w:t>
      </w:r>
    </w:p>
    <w:p>
      <w:pPr>
        <w:spacing w:after="0" w:line="213" w:lineRule="exact"/>
        <w:rPr>
          <w:rFonts w:ascii="Times New Roman" w:cs="Times New Roman" w:eastAsia="Times New Roman" w:hAnsi="Times New Roman"/>
          <w:sz w:val="22"/>
          <w:szCs w:val="22"/>
          <w:color w:val="auto"/>
        </w:rPr>
      </w:pPr>
    </w:p>
    <w:p>
      <w:pPr>
        <w:ind w:left="860" w:right="80" w:firstLine="745"/>
        <w:spacing w:after="0" w:line="282" w:lineRule="auto"/>
        <w:tabs>
          <w:tab w:leader="none" w:pos="2349"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is not insolvent and has not filed a voluntary petition under any bankruptcy or insolvency law and no involuntary petition under any bankruptcy or insolvency law has been filed against Sublessor; and</w:t>
      </w:r>
    </w:p>
    <w:p>
      <w:pPr>
        <w:spacing w:after="0" w:line="161" w:lineRule="exact"/>
        <w:rPr>
          <w:rFonts w:ascii="Times New Roman" w:cs="Times New Roman" w:eastAsia="Times New Roman" w:hAnsi="Times New Roman"/>
          <w:sz w:val="21"/>
          <w:szCs w:val="21"/>
          <w:color w:val="auto"/>
        </w:rPr>
      </w:pPr>
    </w:p>
    <w:p>
      <w:pPr>
        <w:jc w:val="both"/>
        <w:ind w:left="860" w:right="60" w:firstLine="745"/>
        <w:spacing w:after="0" w:line="244" w:lineRule="auto"/>
        <w:tabs>
          <w:tab w:leader="none" w:pos="2349"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work hereto performed by or on behalf of Sublessor and all Sublessor Entities in or to any portion of the Premises or any other portion of the Building has been paid for in full and there are no liens outstanding in respect thereof.</w:t>
      </w:r>
    </w:p>
    <w:p>
      <w:pPr>
        <w:spacing w:after="0" w:line="213" w:lineRule="exact"/>
        <w:rPr>
          <w:rFonts w:ascii="Times New Roman" w:cs="Times New Roman" w:eastAsia="Times New Roman" w:hAnsi="Times New Roman"/>
          <w:sz w:val="22"/>
          <w:szCs w:val="22"/>
          <w:color w:val="auto"/>
        </w:rPr>
      </w:pPr>
    </w:p>
    <w:p>
      <w:pPr>
        <w:ind w:left="1580" w:hanging="732"/>
        <w:spacing w:after="0"/>
        <w:tabs>
          <w:tab w:leader="none" w:pos="15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and Sublessee each hereby separately represent and warrant to Landlord as to itself, but not the</w:t>
      </w:r>
    </w:p>
    <w:p>
      <w:pPr>
        <w:spacing w:after="0" w:line="14"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that:</w:t>
      </w:r>
    </w:p>
    <w:p>
      <w:pPr>
        <w:spacing w:after="0" w:line="209" w:lineRule="exact"/>
        <w:rPr>
          <w:rFonts w:ascii="Times New Roman" w:cs="Times New Roman" w:eastAsia="Times New Roman" w:hAnsi="Times New Roman"/>
          <w:sz w:val="22"/>
          <w:szCs w:val="22"/>
          <w:color w:val="auto"/>
        </w:rPr>
      </w:pPr>
    </w:p>
    <w:p>
      <w:pPr>
        <w:jc w:val="both"/>
        <w:ind w:left="100" w:right="60" w:firstLine="1489"/>
        <w:spacing w:after="0" w:line="239" w:lineRule="auto"/>
        <w:tabs>
          <w:tab w:leader="none" w:pos="232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acting, directly or indirectly, for or on behalf of any person, group, entity, or nation named by any Executive Order or the United State Treasury Department as a terrorist, “Specially Designated National and Blocked Person,” or other banned or blocked person, entity, nation, or transaction pursuant to any law, order, rule, or regulation that is enforced or administered by the Office of Foreign Assets Control;</w:t>
      </w:r>
    </w:p>
    <w:p>
      <w:pPr>
        <w:spacing w:after="0" w:line="193" w:lineRule="exact"/>
        <w:rPr>
          <w:rFonts w:ascii="Times New Roman" w:cs="Times New Roman" w:eastAsia="Times New Roman" w:hAnsi="Times New Roman"/>
          <w:sz w:val="22"/>
          <w:szCs w:val="22"/>
          <w:color w:val="auto"/>
        </w:rPr>
      </w:pPr>
    </w:p>
    <w:p>
      <w:pPr>
        <w:ind w:left="100" w:right="60" w:firstLine="1489"/>
        <w:spacing w:after="0" w:line="258" w:lineRule="auto"/>
        <w:tabs>
          <w:tab w:leader="none" w:pos="232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engaged in this transaction, directly or indirectly on behalf of, or instigating or facilitating this transaction, directly or indirectly on behalf of, any such person, group, entity, or nation; and</w:t>
      </w:r>
    </w:p>
    <w:p>
      <w:pPr>
        <w:spacing w:after="0" w:line="185" w:lineRule="exact"/>
        <w:rPr>
          <w:rFonts w:ascii="Times New Roman" w:cs="Times New Roman" w:eastAsia="Times New Roman" w:hAnsi="Times New Roman"/>
          <w:sz w:val="22"/>
          <w:szCs w:val="22"/>
          <w:color w:val="auto"/>
        </w:rPr>
      </w:pPr>
    </w:p>
    <w:p>
      <w:pPr>
        <w:jc w:val="both"/>
        <w:ind w:left="100" w:right="60" w:firstLine="1489"/>
        <w:spacing w:after="0" w:line="236" w:lineRule="auto"/>
        <w:tabs>
          <w:tab w:leader="none" w:pos="2322"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Sublessor nor Sublessee nor any person, group, entity or nation who owns any direct or indirect beneficial interest in Sublessor or Sublessee or any of them is in violation of any anti-money laundering or anti-terrorism statute, including, without limitation, the Uniting and Strengthening America by Providing Appropriate Tools Required to Intercept and Obstruct Terrorism Act of 2001, U.S. Public Law 107-56 (commonly known as the USA PATRIOT Act) and the related regulations issued thereunder, including, without limitation, temporary regulations, all as amended from time to time.</w:t>
      </w:r>
    </w:p>
    <w:p>
      <w:pPr>
        <w:spacing w:after="0" w:line="222" w:lineRule="exact"/>
        <w:rPr>
          <w:sz w:val="20"/>
          <w:szCs w:val="20"/>
          <w:color w:val="auto"/>
        </w:rPr>
      </w:pPr>
    </w:p>
    <w:p>
      <w:pPr>
        <w:jc w:val="both"/>
        <w:ind w:left="120" w:right="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Sublessor and Sublessee each hereby agree to defend, indemnify, and hold harmless Landlord and its respective partners, lenders, shareholders, directors, officers, agents and employees from and against any and all claims, damages, losses, liabilities and expenses (including reasonable attorney’s fees and costs) arising from or related to any breach by it of its own representations contained in this </w:t>
      </w:r>
      <w:r>
        <w:rPr>
          <w:rFonts w:ascii="Times New Roman" w:cs="Times New Roman" w:eastAsia="Times New Roman" w:hAnsi="Times New Roman"/>
          <w:sz w:val="22"/>
          <w:szCs w:val="22"/>
          <w:u w:val="single" w:color="auto"/>
          <w:color w:val="auto"/>
        </w:rPr>
        <w:t>Paragraph 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80" w:right="399" w:bottom="1440" w:gutter="0" w:footer="0" w:header="0"/>
        </w:sectPr>
      </w:pPr>
    </w:p>
    <w:bookmarkStart w:id="153" w:name="page154"/>
    <w:bookmarkEnd w:id="153"/>
    <w:p>
      <w:pPr>
        <w:jc w:val="both"/>
        <w:ind w:left="100" w:firstLine="748"/>
        <w:spacing w:after="0" w:line="233" w:lineRule="auto"/>
        <w:tabs>
          <w:tab w:leader="none" w:pos="15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Subleased Premises and each part thereof shall be occupied and used by Sublessee solely for general, executive and administrative offices and for no other purpose, and such use and occupancy shall be conducted in accordance with all applicable provisions of the Lease. Neither Sublessor nor Sublessee shall use or permit the use of the Subleased Premises or any part thereof for any purpose which is inconsistent with the first-class character of the Building, and neither Sublessor nor Sublessee shall suffer or permit the Subleased Premises or any part thereof to be used in any manner, or permit anything to be done therein or suffer or permit anything to be brought into or kept in the Subleased Premises or any part thereof, which creates excessive elevator use, exceeds the floor loads for which the Building was designed, materially impairs or interferes with any of the Building operations or the proper and economic operation of the Building systems, cleaning or other servicing of the Building (other than to a de minimis extent), interferes with the use of the other areas of the Building by any other tenants, or impairs the appearance of the Building. Neither Sublessor nor Sublessee shall install or permit to be installed in the Subleased Premises or any part thereof any electrical or other similar or dissimilar equipment of any kind which, in the reasonable judgment of Landlord, might foreseeably cause any such interference or impairment.</w:t>
      </w:r>
    </w:p>
    <w:p>
      <w:pPr>
        <w:spacing w:after="0" w:line="265" w:lineRule="exact"/>
        <w:rPr>
          <w:rFonts w:ascii="Times New Roman" w:cs="Times New Roman" w:eastAsia="Times New Roman" w:hAnsi="Times New Roman"/>
          <w:sz w:val="22"/>
          <w:szCs w:val="22"/>
          <w:color w:val="auto"/>
        </w:rPr>
      </w:pPr>
    </w:p>
    <w:p>
      <w:pPr>
        <w:jc w:val="both"/>
        <w:ind w:left="100" w:firstLine="748"/>
        <w:spacing w:after="0" w:line="235" w:lineRule="auto"/>
        <w:tabs>
          <w:tab w:leader="none" w:pos="15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Landlord’s granting of the within consent is conditioned upon (a) the delivery to Landlord of a fully executed counterpart of the Sublease between Sublessor and Sublessee, (b) the payment by Sublessor to Landlord of any amounts payable under </w:t>
      </w:r>
      <w:r>
        <w:rPr>
          <w:rFonts w:ascii="Times New Roman" w:cs="Times New Roman" w:eastAsia="Times New Roman" w:hAnsi="Times New Roman"/>
          <w:sz w:val="22"/>
          <w:szCs w:val="22"/>
          <w:u w:val="single" w:color="auto"/>
          <w:color w:val="auto"/>
        </w:rPr>
        <w:t>Section 17.08</w:t>
      </w:r>
      <w:r>
        <w:rPr>
          <w:rFonts w:ascii="Times New Roman" w:cs="Times New Roman" w:eastAsia="Times New Roman" w:hAnsi="Times New Roman"/>
          <w:sz w:val="22"/>
          <w:szCs w:val="22"/>
          <w:color w:val="auto"/>
        </w:rPr>
        <w:t xml:space="preserve"> of the Lease, if applicable, and (c) the payment by Sublessor of said counsel’s reasonable legal fee and disbursements and all other reasonable costs, fees and expenses paid or incurred by Landlord in connection with this Consent and/or the Sublease review as set forth in </w:t>
      </w:r>
      <w:r>
        <w:rPr>
          <w:rFonts w:ascii="Times New Roman" w:cs="Times New Roman" w:eastAsia="Times New Roman" w:hAnsi="Times New Roman"/>
          <w:sz w:val="22"/>
          <w:szCs w:val="22"/>
          <w:u w:val="single" w:color="auto"/>
          <w:color w:val="auto"/>
        </w:rPr>
        <w:t>Section 17.07</w:t>
      </w:r>
      <w:r>
        <w:rPr>
          <w:rFonts w:ascii="Times New Roman" w:cs="Times New Roman" w:eastAsia="Times New Roman" w:hAnsi="Times New Roman"/>
          <w:sz w:val="22"/>
          <w:szCs w:val="22"/>
          <w:color w:val="auto"/>
        </w:rPr>
        <w:t xml:space="preserve"> of the Lease; which amounts hereinabove reflected in (b) through (c) shall be deemed to be Additional Rent under the Lease and shall be paid to Landlord upon Sublessor’s execution of this Consent.</w:t>
      </w:r>
    </w:p>
    <w:p>
      <w:pPr>
        <w:spacing w:after="0" w:line="250" w:lineRule="exact"/>
        <w:rPr>
          <w:rFonts w:ascii="Times New Roman" w:cs="Times New Roman" w:eastAsia="Times New Roman" w:hAnsi="Times New Roman"/>
          <w:sz w:val="22"/>
          <w:szCs w:val="22"/>
          <w:color w:val="auto"/>
        </w:rPr>
      </w:pPr>
    </w:p>
    <w:p>
      <w:pPr>
        <w:jc w:val="both"/>
        <w:ind w:left="100" w:firstLine="748"/>
        <w:spacing w:after="0" w:line="234" w:lineRule="auto"/>
        <w:tabs>
          <w:tab w:leader="none" w:pos="158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the Lease or Sublease to the contrary, as it relates to Sublessee, Section 13.01 of the Lease shall not apply. Landlord agrees, at its expense, place identification for Sublessee in the internal building directories, if any. Subject to Landlord’s prior written consent, not to be unreasonably withheld, Sublessee, at its own expense, shall have the right to install a sign identifying Sublessee at the entrance to the Subleased Premises. Sublessee shall not otherwise have the right to install any signage at the Subleased Premises or at the Building without first obtaining Landlord’s prior written consent, which may be withheld in Landlord’s sole discretion. Sublessee shall maintain all signs installed by Sublessee in good condition and in compliance with all applicable Laws and the Building’s Rules and Regulations. Sublessee shall remove its signs at the termination of the Sublease, shall repair any resulting damage, and shall restore the Property to its condition existing prior to the installation of Sublessee’s signs. Nothing herein shall affect Sublessor’s rights under Section 13.01 as Tenant and such rights shall remain in full force and effect.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80" w:right="459" w:bottom="1440" w:gutter="0" w:footer="0" w:header="0"/>
        </w:sectPr>
      </w:pPr>
    </w:p>
    <w:bookmarkStart w:id="154" w:name="page155"/>
    <w:bookmarkEnd w:id="154"/>
    <w:p>
      <w:pPr>
        <w:jc w:val="both"/>
        <w:ind w:left="100" w:firstLine="748"/>
        <w:spacing w:after="0" w:line="239" w:lineRule="auto"/>
        <w:tabs>
          <w:tab w:leader="none" w:pos="158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the Lease or Sublease to the contrary, as it relates to Sublessee, Section 22.04 of the Lease shall be modified to reflect that all Landlord’s reasonable out-of-pocket costs associated with providing Sublessee subordination non-disturbance and attornment agreements shall be paid by Sublessee to Landlord within fifteen (15) days after Landlord’s request.</w:t>
      </w:r>
    </w:p>
    <w:p>
      <w:pPr>
        <w:spacing w:after="0" w:line="2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18.</w:t>
      </w:r>
    </w:p>
    <w:p>
      <w:pPr>
        <w:spacing w:after="0" w:line="301" w:lineRule="exact"/>
        <w:rPr>
          <w:sz w:val="20"/>
          <w:szCs w:val="20"/>
          <w:color w:val="auto"/>
        </w:rPr>
      </w:pPr>
    </w:p>
    <w:p>
      <w:pPr>
        <w:jc w:val="both"/>
        <w:ind w:left="100" w:firstLine="748"/>
        <w:spacing w:after="0" w:line="244"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constitutes the entire agreement between the parties with respect to the subject matter hereof, and all understandings and agreements heretofore or simultaneously had between the parties are merged in and are contained in this Consent.</w:t>
      </w:r>
    </w:p>
    <w:p>
      <w:pPr>
        <w:spacing w:after="0" w:line="254" w:lineRule="exact"/>
        <w:rPr>
          <w:rFonts w:ascii="Times New Roman" w:cs="Times New Roman" w:eastAsia="Times New Roman" w:hAnsi="Times New Roman"/>
          <w:sz w:val="22"/>
          <w:szCs w:val="22"/>
          <w:color w:val="auto"/>
        </w:rPr>
      </w:pPr>
    </w:p>
    <w:p>
      <w:pPr>
        <w:ind w:left="100" w:firstLine="748"/>
        <w:spacing w:after="0" w:line="258"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and Sublessee each separately represent and warrant that it has not relied upon any representation or warranty of Landlord (or any of Landlord’s agents or employees), express or implied, in entering into this Consent.</w:t>
      </w:r>
    </w:p>
    <w:p>
      <w:pPr>
        <w:spacing w:after="0" w:line="225" w:lineRule="exact"/>
        <w:rPr>
          <w:rFonts w:ascii="Times New Roman" w:cs="Times New Roman" w:eastAsia="Times New Roman" w:hAnsi="Times New Roman"/>
          <w:sz w:val="22"/>
          <w:szCs w:val="22"/>
          <w:color w:val="auto"/>
        </w:rPr>
      </w:pPr>
    </w:p>
    <w:p>
      <w:pPr>
        <w:ind w:left="100" w:firstLine="748"/>
        <w:spacing w:after="0" w:line="258"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shall be governed by and construed in accordance with the laws of the State of New Jersey applicable to agreements made and to be performed in that State.</w:t>
      </w:r>
    </w:p>
    <w:p>
      <w:pPr>
        <w:spacing w:after="0" w:line="198" w:lineRule="exact"/>
        <w:rPr>
          <w:rFonts w:ascii="Times New Roman" w:cs="Times New Roman" w:eastAsia="Times New Roman" w:hAnsi="Times New Roman"/>
          <w:sz w:val="22"/>
          <w:szCs w:val="22"/>
          <w:color w:val="auto"/>
        </w:rPr>
      </w:pPr>
    </w:p>
    <w:p>
      <w:pPr>
        <w:jc w:val="both"/>
        <w:ind w:left="100" w:firstLine="748"/>
        <w:spacing w:after="0" w:line="238"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may not be changed orally, and shall be binding upon and inure to the benefit of the parties to it, their respective successors and assigns. If any provision of this Consent, or its application to any situation, shall be invalid or unenforceable to any extent, the remainder of this Consent, or the application thereof to situations other than that as to which it is invalid or unenforceable, shall not be affected thereby, and every provision of this Consent shall be valid and enforceable to the fullest extent permitted by law.</w:t>
      </w:r>
    </w:p>
    <w:p>
      <w:pPr>
        <w:spacing w:after="0" w:line="203" w:lineRule="exact"/>
        <w:rPr>
          <w:rFonts w:ascii="Times New Roman" w:cs="Times New Roman" w:eastAsia="Times New Roman" w:hAnsi="Times New Roman"/>
          <w:sz w:val="22"/>
          <w:szCs w:val="22"/>
          <w:color w:val="auto"/>
        </w:rPr>
      </w:pPr>
    </w:p>
    <w:p>
      <w:pPr>
        <w:jc w:val="both"/>
        <w:ind w:left="100" w:firstLine="748"/>
        <w:spacing w:after="0" w:line="238"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shall be construed without regard to any presumption or other rule requiring construction against the party causing this Consent to be drafted. In the event of any action, suit, arbitration, dispute or proceeding affecting the terms of this Consent, no weight shall be given to any deletions or striking out of any of the terms of this Consent contained in any draft of this Consent and no such deletion or strike out shall be entered into evidence in any such action, suit, arbitration, dispute or proceeding nor given any weight therein.</w:t>
      </w:r>
    </w:p>
    <w:p>
      <w:pPr>
        <w:spacing w:after="0" w:line="217" w:lineRule="exact"/>
        <w:rPr>
          <w:rFonts w:ascii="Times New Roman" w:cs="Times New Roman" w:eastAsia="Times New Roman" w:hAnsi="Times New Roman"/>
          <w:sz w:val="22"/>
          <w:szCs w:val="22"/>
          <w:color w:val="auto"/>
        </w:rPr>
      </w:pPr>
    </w:p>
    <w:p>
      <w:pPr>
        <w:jc w:val="both"/>
        <w:ind w:left="100" w:right="20" w:firstLine="748"/>
        <w:spacing w:after="0" w:line="244"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shall be any conflict or inconsistency between the terms, covenants and conditions of this Consent or the Lease and the Sublease, then the terms, covenants and conditions of this Consent or the Lease shall prevail. If there shall be any conflict or inconsistency between this Consent and the Lease, this Consent will control.</w:t>
      </w:r>
    </w:p>
    <w:p>
      <w:pPr>
        <w:spacing w:after="0" w:line="200" w:lineRule="exact"/>
        <w:rPr>
          <w:rFonts w:ascii="Times New Roman" w:cs="Times New Roman" w:eastAsia="Times New Roman" w:hAnsi="Times New Roman"/>
          <w:sz w:val="22"/>
          <w:szCs w:val="22"/>
          <w:color w:val="auto"/>
        </w:rPr>
      </w:pPr>
    </w:p>
    <w:p>
      <w:pPr>
        <w:jc w:val="both"/>
        <w:ind w:left="100" w:firstLine="748"/>
        <w:spacing w:after="0" w:line="244" w:lineRule="auto"/>
        <w:tabs>
          <w:tab w:leader="none" w:pos="158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right and remedy of Landlord provided for in this Consent or in the Lease shall be cumulative and shall be in addition to every other right and remedy provided for therein or now or hereafter existing at law or in equity or by statute or otherwise, and the exercise or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80" w:right="459" w:bottom="1440" w:gutter="0" w:footer="0" w:header="0"/>
        </w:sectPr>
      </w:pPr>
    </w:p>
    <w:bookmarkStart w:id="155" w:name="page156"/>
    <w:bookmarkEnd w:id="155"/>
    <w:p>
      <w:pPr>
        <w:ind w:left="120"/>
        <w:spacing w:after="0" w:line="258" w:lineRule="auto"/>
        <w:rPr>
          <w:sz w:val="20"/>
          <w:szCs w:val="20"/>
          <w:color w:val="auto"/>
        </w:rPr>
      </w:pPr>
      <w:r>
        <w:rPr>
          <w:rFonts w:ascii="Times New Roman" w:cs="Times New Roman" w:eastAsia="Times New Roman" w:hAnsi="Times New Roman"/>
          <w:sz w:val="22"/>
          <w:szCs w:val="22"/>
          <w:color w:val="auto"/>
        </w:rPr>
        <w:t>beginning of the exercise by Landlord of any one or more of the rights or remedies so provided for or existing shall not preclude the simultaneous or later exercise by Landlord of any or all other rights or remedies so provided for or so existing.</w:t>
      </w:r>
    </w:p>
    <w:p>
      <w:pPr>
        <w:spacing w:after="0" w:line="181" w:lineRule="exact"/>
        <w:rPr>
          <w:sz w:val="20"/>
          <w:szCs w:val="20"/>
          <w:color w:val="auto"/>
        </w:rPr>
      </w:pPr>
    </w:p>
    <w:p>
      <w:pPr>
        <w:jc w:val="both"/>
        <w:ind w:left="100" w:firstLine="748"/>
        <w:spacing w:after="0" w:line="244" w:lineRule="auto"/>
        <w:tabs>
          <w:tab w:leader="none" w:pos="158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TO THE EXTENT THAT LANDLORD HAS ANY LIABILITY UNDER THIS CONSENT, SUCH LIABILITY SHALL BE LIMITED TO LANDLORD’S ESTATE AND PROPERTY INTEREST IN THE BUILDING ONLY, AND NO OTHER PROPERTY OR ASSETS OF LANDLORD OR ANY PARTNER, MEMBER, OFFICER OR DIRECTOR THEREOF, DISCLOSED OR UNDISCLOSED SHALL BE SUBJECT TO LEVY, EXECUTION OR OTHER ENFORCEMENT PROCEDURE FOR THE SATISFACTION OF ANY REMEDIES UNDER OR WITH RESPECT TO THIS CONSENT. LANDLORD SHALL IN NO EVENT BE LIABLE FOR ANY LOSS OF BUSINESS OR ANY INDIRECT OR CONSEQUENTIAL DAMAGES UNDER OR WITH RESPECT TO THIS CONSENT OR THE SUBLETTING OF THE SUBLEASED PREMISES. THE OBLIGATIONS, IF ANY, OF LANDLORD UNDER THIS CONSENT SHALL NOT BE BINDING UPON LANDLORD HEREIN NAMED WITH RESPECT TO ANY PERIOD SUBSEQUENT TO THE TRANSFER OF ITS INTEREST IN THE BUILDING AS OWNER OR LESSEE THEREOF AND IN EVENT OF SUCH TRANSFER SAID OBLIGATIONS SHALL THEREAFTER BE BINDING UPON EACH TRANSFEREE OF THE INTEREST OF LANDLORD HEREIN NAMED AS SUCH OWNER OR LESSEE OF THE BUILDING, BUT ONLY WITH RESPECT TO THE PERIOD ENDING WITH A SUBSEQUENT TRANSFER WITHIN THE MEANING OF THIS SUBPARAGRAPH</w:t>
      </w:r>
      <w:r>
        <w:rPr>
          <w:rFonts w:ascii="Times New Roman" w:cs="Times New Roman" w:eastAsia="Times New Roman" w:hAnsi="Times New Roman"/>
          <w:sz w:val="21"/>
          <w:szCs w:val="21"/>
          <w:color w:val="auto"/>
        </w:rPr>
        <w:t>.</w:t>
      </w:r>
    </w:p>
    <w:p>
      <w:pPr>
        <w:spacing w:after="0" w:line="261" w:lineRule="exact"/>
        <w:rPr>
          <w:rFonts w:ascii="Times New Roman" w:cs="Times New Roman" w:eastAsia="Times New Roman" w:hAnsi="Times New Roman"/>
          <w:sz w:val="21"/>
          <w:szCs w:val="21"/>
          <w:color w:val="auto"/>
        </w:rPr>
      </w:pPr>
    </w:p>
    <w:p>
      <w:pPr>
        <w:jc w:val="both"/>
        <w:ind w:left="100" w:firstLine="748"/>
        <w:spacing w:after="0" w:line="246" w:lineRule="auto"/>
        <w:tabs>
          <w:tab w:leader="none" w:pos="15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LANDLORD, SUBLESSOR AND SUBLESSEE HEREBY WAIVE TRIAL BY JURY IN ANY ACTION, PROCEEDING OR COUNTERCLAIM BROUGHT BY EITHER AGAINST THE OTHER ON ANY MATTER WHATSOEVER ARISING OUT OF OR IN ANY WAY CONNECTED WITH THIS CONSENT.</w:t>
      </w:r>
    </w:p>
    <w:p>
      <w:pPr>
        <w:spacing w:after="0" w:line="198" w:lineRule="exact"/>
        <w:rPr>
          <w:rFonts w:ascii="Times New Roman" w:cs="Times New Roman" w:eastAsia="Times New Roman" w:hAnsi="Times New Roman"/>
          <w:sz w:val="22"/>
          <w:szCs w:val="22"/>
          <w:color w:val="auto"/>
        </w:rPr>
      </w:pPr>
    </w:p>
    <w:p>
      <w:pPr>
        <w:ind w:left="100" w:firstLine="748"/>
        <w:spacing w:after="0" w:line="282" w:lineRule="auto"/>
        <w:tabs>
          <w:tab w:leader="none" w:pos="1581"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Sublessor’s and Sublessee’s respective obligations and liabilities under and with respect to this Consent shall survive the expiration and/or termination of the Lease and the Sublease, for a period of no less than three (3) years.</w:t>
      </w:r>
    </w:p>
    <w:p>
      <w:pPr>
        <w:spacing w:after="0" w:line="161" w:lineRule="exact"/>
        <w:rPr>
          <w:rFonts w:ascii="Times New Roman" w:cs="Times New Roman" w:eastAsia="Times New Roman" w:hAnsi="Times New Roman"/>
          <w:sz w:val="21"/>
          <w:szCs w:val="21"/>
          <w:color w:val="auto"/>
        </w:rPr>
      </w:pPr>
    </w:p>
    <w:p>
      <w:pPr>
        <w:jc w:val="both"/>
        <w:ind w:left="100" w:firstLine="748"/>
        <w:spacing w:after="0" w:line="238" w:lineRule="auto"/>
        <w:tabs>
          <w:tab w:leader="none" w:pos="158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may be executed in one or more counterparts, each of which shall be deemed an original. Said counterparts shall constitute but one and the same instrument and shall be binding upon each of the undersigned individually as fully and completely as if all had signed but one instrument. The signature of any party on a copy of this Consent forwarded by facsimile transmission or other electronic transmission (e.g., in Portable Document Format) shall be deemed to be an original signature.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THE BALANCE OF THIS PAGE HAS BEEN INTENTIONALLY LEFT BLANK</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80" w:right="459" w:bottom="1440" w:gutter="0" w:footer="0" w:header="0"/>
        </w:sectPr>
      </w:pPr>
    </w:p>
    <w:bookmarkStart w:id="156" w:name="page157"/>
    <w:bookmarkEnd w:id="156"/>
    <w:p>
      <w:pPr>
        <w:ind w:left="12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Consent to be duly executed as of the effective date hereinabove stated.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w:t>
      </w:r>
    </w:p>
    <w:p>
      <w:pPr>
        <w:spacing w:after="0" w:line="2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LIBERTY DENVER WOOD LLC</w:t>
      </w:r>
    </w:p>
    <w:p>
      <w:pPr>
        <w:spacing w:after="0" w:line="200" w:lineRule="exact"/>
        <w:rPr>
          <w:sz w:val="20"/>
          <w:szCs w:val="20"/>
          <w:color w:val="auto"/>
        </w:rPr>
      </w:pPr>
    </w:p>
    <w:p>
      <w:pPr>
        <w:spacing w:after="0" w:line="344" w:lineRule="exact"/>
        <w:rPr>
          <w:sz w:val="20"/>
          <w:szCs w:val="20"/>
          <w:color w:val="auto"/>
        </w:rPr>
      </w:pPr>
    </w:p>
    <w:p>
      <w:pPr>
        <w:ind w:left="5360"/>
        <w:spacing w:after="0"/>
        <w:tabs>
          <w:tab w:leader="none" w:pos="5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419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jc w:val="center"/>
        <w:ind w:right="-43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SUBLESSOR:</w:t>
      </w:r>
    </w:p>
    <w:p>
      <w:pPr>
        <w:spacing w:after="0" w:line="2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AMARIN PHARMA,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360"/>
        <w:spacing w:after="0"/>
        <w:tabs>
          <w:tab w:leader="none" w:pos="58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419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jc w:val="center"/>
        <w:ind w:right="-43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SUBLESSEE:</w:t>
      </w:r>
    </w:p>
    <w:p>
      <w:pPr>
        <w:spacing w:after="0" w:line="23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ST SHARED SERVICES LLC</w:t>
      </w:r>
    </w:p>
    <w:p>
      <w:pPr>
        <w:spacing w:after="0" w:line="200" w:lineRule="exact"/>
        <w:rPr>
          <w:sz w:val="20"/>
          <w:szCs w:val="20"/>
          <w:color w:val="auto"/>
        </w:rPr>
      </w:pPr>
    </w:p>
    <w:p>
      <w:pPr>
        <w:spacing w:after="0" w:line="344" w:lineRule="exact"/>
        <w:rPr>
          <w:sz w:val="20"/>
          <w:szCs w:val="20"/>
          <w:color w:val="auto"/>
        </w:rPr>
      </w:pPr>
    </w:p>
    <w:p>
      <w:pPr>
        <w:ind w:left="5420"/>
        <w:spacing w:after="0"/>
        <w:tabs>
          <w:tab w:leader="none" w:pos="5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-13970</wp:posOffset>
            </wp:positionV>
            <wp:extent cx="4191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41910" cy="8890"/>
                    </a:xfrm>
                    <a:prstGeom prst="rect">
                      <a:avLst/>
                    </a:prstGeom>
                    <a:noFill/>
                  </pic:spPr>
                </pic:pic>
              </a:graphicData>
            </a:graphic>
          </wp:anchor>
        </w:drawing>
      </w:r>
    </w:p>
    <w:p>
      <w:pPr>
        <w:jc w:val="center"/>
        <w:ind w:right="-43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Page to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40" w:top="180" w:right="819" w:bottom="1440" w:gutter="0" w:footer="0" w:header="0"/>
        </w:sectPr>
      </w:pPr>
    </w:p>
    <w:bookmarkStart w:id="157" w:name="page158"/>
    <w:bookmarkEnd w:id="157"/>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 xml:space="preserve">EXHIBIT A. </w:t>
      </w:r>
      <w:r>
        <w:rPr>
          <w:rFonts w:ascii="Times New Roman" w:cs="Times New Roman" w:eastAsia="Times New Roman" w:hAnsi="Times New Roman"/>
          <w:sz w:val="21"/>
          <w:szCs w:val="21"/>
          <w:b w:val="1"/>
          <w:bCs w:val="1"/>
          <w:u w:val="single" w:color="auto"/>
          <w:color w:val="auto"/>
        </w:rPr>
        <w:t>SUBLEASE</w:t>
      </w:r>
    </w:p>
    <w:p>
      <w:pPr>
        <w:spacing w:after="0" w:line="24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(follows this cover page)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to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76" w:right="1440" w:bottom="1440" w:gutter="0" w:footer="0" w:header="0"/>
        </w:sectPr>
      </w:pPr>
    </w:p>
    <w:bookmarkStart w:id="158" w:name="page159"/>
    <w:bookmarkEnd w:id="158"/>
    <w:p>
      <w:pPr>
        <w:ind w:left="10160"/>
        <w:spacing w:after="0"/>
        <w:rPr>
          <w:sz w:val="20"/>
          <w:szCs w:val="20"/>
          <w:color w:val="auto"/>
        </w:rPr>
      </w:pPr>
      <w:r>
        <w:rPr>
          <w:rFonts w:ascii="Calibri" w:cs="Calibri" w:eastAsia="Calibri" w:hAnsi="Calibri"/>
          <w:sz w:val="20"/>
          <w:szCs w:val="20"/>
          <w:b w:val="1"/>
          <w:bCs w:val="1"/>
          <w:color w:val="auto"/>
        </w:rPr>
        <w:t>Exhibit 10.45</w:t>
      </w:r>
    </w:p>
    <w:p>
      <w:pPr>
        <w:spacing w:after="0" w:line="7"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GUARANTY</w:t>
      </w:r>
    </w:p>
    <w:p>
      <w:pPr>
        <w:spacing w:after="0" w:line="228" w:lineRule="exact"/>
        <w:rPr>
          <w:sz w:val="20"/>
          <w:szCs w:val="20"/>
          <w:color w:val="auto"/>
        </w:rPr>
      </w:pPr>
    </w:p>
    <w:p>
      <w:pPr>
        <w:jc w:val="both"/>
        <w:ind w:firstLine="791"/>
        <w:spacing w:after="0" w:line="252" w:lineRule="auto"/>
        <w:rPr>
          <w:sz w:val="20"/>
          <w:szCs w:val="20"/>
          <w:color w:val="auto"/>
        </w:rPr>
      </w:pPr>
      <w:r>
        <w:rPr>
          <w:rFonts w:ascii="Calibri" w:cs="Calibri" w:eastAsia="Calibri" w:hAnsi="Calibri"/>
          <w:sz w:val="21"/>
          <w:szCs w:val="21"/>
          <w:b w:val="1"/>
          <w:bCs w:val="1"/>
          <w:color w:val="auto"/>
        </w:rPr>
        <w:t xml:space="preserve">MEH, INC., </w:t>
      </w:r>
      <w:r>
        <w:rPr>
          <w:rFonts w:ascii="Calibri" w:cs="Calibri" w:eastAsia="Calibri" w:hAnsi="Calibri"/>
          <w:sz w:val="21"/>
          <w:szCs w:val="21"/>
          <w:color w:val="auto"/>
        </w:rPr>
        <w:t>a corporaton organized under the laws of the state of Nevada, having an address of 675 McDonnell Blvd.,</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Hazelwood, MO 63042, Atn: Jefrey Hunter (the “Guarantor”) has requested that </w:t>
      </w:r>
      <w:r>
        <w:rPr>
          <w:rFonts w:ascii="Calibri" w:cs="Calibri" w:eastAsia="Calibri" w:hAnsi="Calibri"/>
          <w:sz w:val="21"/>
          <w:szCs w:val="21"/>
          <w:b w:val="1"/>
          <w:bCs w:val="1"/>
          <w:color w:val="auto"/>
        </w:rPr>
        <w:t>AMARIN PHARMA, INC.,</w:t>
      </w:r>
      <w:r>
        <w:rPr>
          <w:rFonts w:ascii="Calibri" w:cs="Calibri" w:eastAsia="Calibri" w:hAnsi="Calibri"/>
          <w:sz w:val="21"/>
          <w:szCs w:val="21"/>
          <w:color w:val="auto"/>
        </w:rPr>
        <w:t xml:space="preserve"> a Delaware corporaton, having an address at 440 Route 22, Suite 300, Bridgewater, New Jersey 08807 (“Sublessor”) to enter into a Sublease Agreement of even date herewith (the “Sublease”) with </w:t>
      </w:r>
      <w:r>
        <w:rPr>
          <w:rFonts w:ascii="Calibri" w:cs="Calibri" w:eastAsia="Calibri" w:hAnsi="Calibri"/>
          <w:sz w:val="21"/>
          <w:szCs w:val="21"/>
          <w:b w:val="1"/>
          <w:bCs w:val="1"/>
          <w:color w:val="auto"/>
        </w:rPr>
        <w:t>ST SHARED SERVICES LLC,</w:t>
      </w:r>
      <w:r>
        <w:rPr>
          <w:rFonts w:ascii="Calibri" w:cs="Calibri" w:eastAsia="Calibri" w:hAnsi="Calibri"/>
          <w:sz w:val="21"/>
          <w:szCs w:val="21"/>
          <w:color w:val="auto"/>
        </w:rPr>
        <w:t xml:space="preserve"> a New Jersey limited liability company, having an address of 675 McDonnell Blvd., Hazelwood, MO 63042 (the “Sublessee”) covering certain premises located at 440 US Highway 22, Bridgewater, New Jersey, as more partcularly described in the Sublease. In order to induce Sublessor to enter into the Sublease and in consideraton of Sublessor’s entering into the Sublease, Guarantor hereby guarantees, unconditonally and absolutely, to Sublessor, its successors and assigns (without requiring any notce of non-payment, non-keeping, non-performance or non-observance or proof of notce or demand whereby to charge Guarantor all of which Guarantor hereby waives, other than such notce as required to be given to Sublessee under the Lease which notce may be delivered simultaneously to Guarantor and Sublessee and for purposes of which shall be deemed given to Guarantor if given to Sublessee so long as Guarantor remains afliates with Sublessee) the full and faithful keeping, performance and observance of all the covenants, agreements, terms, provisions and conditons provided to be kept by Sublessee under the Sublease, including, without limitaton, the payment as and when due of all Fixed Rent, Additonal Rent, charges and damages payable by Sublessee under the Sublease. All capitalized terms not defned herein shall have the meanings ascribed to them in the Sublease.</w:t>
      </w:r>
    </w:p>
    <w:p>
      <w:pPr>
        <w:spacing w:after="0" w:line="228" w:lineRule="exact"/>
        <w:rPr>
          <w:sz w:val="20"/>
          <w:szCs w:val="20"/>
          <w:color w:val="auto"/>
        </w:rPr>
      </w:pPr>
    </w:p>
    <w:p>
      <w:pPr>
        <w:jc w:val="both"/>
        <w:ind w:firstLine="791"/>
        <w:spacing w:after="0" w:line="235" w:lineRule="auto"/>
        <w:rPr>
          <w:sz w:val="20"/>
          <w:szCs w:val="20"/>
          <w:color w:val="auto"/>
        </w:rPr>
      </w:pPr>
      <w:r>
        <w:rPr>
          <w:rFonts w:ascii="Calibri" w:cs="Calibri" w:eastAsia="Calibri" w:hAnsi="Calibri"/>
          <w:sz w:val="22"/>
          <w:szCs w:val="22"/>
          <w:color w:val="auto"/>
        </w:rPr>
        <w:t>As a further inducement to Sublessor to enter into the Sublease and in consideraton thereof, Guarantor hereby covenants and acknowledges as follows:</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(1)</w:t>
      </w:r>
      <w:r>
        <w:rPr>
          <w:rFonts w:ascii="Calibri" w:cs="Calibri" w:eastAsia="Calibri" w:hAnsi="Calibri"/>
          <w:sz w:val="22"/>
          <w:szCs w:val="22"/>
          <w:color w:val="auto"/>
        </w:rPr>
        <w:t>Guarantor is the indirect owner of an equity interest in Sublessee.</w:t>
      </w:r>
    </w:p>
    <w:p>
      <w:pPr>
        <w:spacing w:after="0" w:line="217"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(2)</w:t>
      </w:r>
      <w:r>
        <w:rPr>
          <w:rFonts w:ascii="Calibri" w:cs="Calibri" w:eastAsia="Calibri" w:hAnsi="Calibri"/>
          <w:sz w:val="22"/>
          <w:szCs w:val="22"/>
          <w:color w:val="auto"/>
        </w:rPr>
        <w:t>The obligatons of Guarantor shall not be terminated or afected in any way or manner whatsoever by</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reason of Sublessor’s failure to resort to any summary or other proceedings, actons or remedies for the enforcement of any of Sublessor’s rights under the Sublease or by reason of any extensions of tme or indulgences granted by Sublessor, or by reason of the assignment or surrender of all or any part of the Sublease or the term and estate thereby granted or all or part of the Subleased Premises. The liability of Guarantor is co extensive with that of Sublessee and also joint and several, and acton or suit may be brought against Guarantor and carried to fnal judgment and/or completon and recovery had, either with or without making Sublessee or any other guarantor a party thereto. Insofar as the payment by Sublessee of any sums of money to Sublessor is involved, this Guaranty is a guaranty of payment and not of collecton and shall remain in full force and efect untl payment in full to Sublessor of all sums payable under this Guaranty. Guarantor waives any right to require that any acton be brought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21"/>
          <w:szCs w:val="21"/>
          <w:color w:val="auto"/>
        </w:rPr>
        <w:t>against Sublessee or to require that resort be had to any secured interest, security or to any other credit in favor of Sublessee.</w:t>
      </w:r>
    </w:p>
    <w:p>
      <w:pPr>
        <w:spacing w:after="0" w:line="217"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(3)</w:t>
      </w:r>
      <w:r>
        <w:rPr>
          <w:rFonts w:ascii="Calibri" w:cs="Calibri" w:eastAsia="Calibri" w:hAnsi="Calibri"/>
          <w:sz w:val="22"/>
          <w:szCs w:val="22"/>
          <w:color w:val="auto"/>
        </w:rPr>
        <w:t>If the Sublease be modifed by agreement between Sublessor and Sublessee in any other respect,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obligatons of Guarantor shall extend and apply with respect to the full and faithful keeping, performance and observance of all of the covenants, agreements, terms, provisions and conditons which under such renewal of the Sublease or extension of its terms or which under any new sublease or amendment or modifcaton agreement, entered into for the purpose of express or confrming any such renewal, extension, inclusion, substtuton or modifcaton, are to be kept, performed and observed by Sublessee (including, without being limited to, the payment as and when due of Fixed Rent, Additonal Rent, charges and damages provided for thereunder).</w:t>
      </w:r>
    </w:p>
    <w:p>
      <w:pPr>
        <w:spacing w:after="0" w:line="218"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(4)</w:t>
      </w:r>
      <w:r>
        <w:rPr>
          <w:rFonts w:ascii="Calibri" w:cs="Calibri" w:eastAsia="Calibri" w:hAnsi="Calibri"/>
          <w:sz w:val="22"/>
          <w:szCs w:val="22"/>
          <w:color w:val="auto"/>
        </w:rPr>
        <w:t>Neither Guarantor’s obligaton to make payment in accordance with the terms of this Guaranty nor any</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remedy for the enforcement thereof shall be impaired, modifed, changed, stayed, released or limited in any manner whatsoever by any impairment, modifcaton, change, release, limitaton or stay of the liability of Sublessee or its estate in bankruptcy or any remedy for the enforcement thereof, resultng from the operaton of any present or future provision of the Bankruptcy Act of the United States or other statute or from the decision of any court interpretng any of the same, and Guarantor shall be obligated under this Guaranty as if no such impairment, stay, modifcaton, change, release or limitaton has occurred.</w:t>
      </w:r>
    </w:p>
    <w:p>
      <w:pPr>
        <w:spacing w:after="0" w:line="218"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2"/>
          <w:szCs w:val="22"/>
          <w:color w:val="auto"/>
        </w:rPr>
        <w:t>(5)</w:t>
      </w:r>
      <w:r>
        <w:rPr>
          <w:rFonts w:ascii="Calibri" w:cs="Calibri" w:eastAsia="Calibri" w:hAnsi="Calibri"/>
          <w:sz w:val="22"/>
          <w:szCs w:val="22"/>
          <w:color w:val="auto"/>
        </w:rPr>
        <w:t>This Guaranty shall be binding on Guarantor and its successors and assigns and inure to the beneft of</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Sublessor and its successors and assigns.</w:t>
      </w:r>
    </w:p>
    <w:p>
      <w:pPr>
        <w:spacing w:after="0" w:line="21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1"/>
          <w:szCs w:val="21"/>
          <w:color w:val="auto"/>
        </w:rPr>
        <w:t>(6)</w:t>
      </w:r>
      <w:r>
        <w:rPr>
          <w:rFonts w:ascii="Calibri" w:cs="Calibri" w:eastAsia="Calibri" w:hAnsi="Calibri"/>
          <w:sz w:val="21"/>
          <w:szCs w:val="21"/>
          <w:color w:val="auto"/>
        </w:rPr>
        <w:t>Guarantor and Sublessor each waives the right to trial by jury in any acton or proceeding in respect of this</w:t>
      </w:r>
    </w:p>
    <w:p>
      <w:pPr>
        <w:spacing w:after="0" w:line="16" w:lineRule="exact"/>
        <w:rPr>
          <w:sz w:val="20"/>
          <w:szCs w:val="20"/>
          <w:color w:val="auto"/>
        </w:rPr>
      </w:pPr>
    </w:p>
    <w:p>
      <w:pPr>
        <w:spacing w:after="0"/>
        <w:rPr>
          <w:sz w:val="20"/>
          <w:szCs w:val="20"/>
          <w:color w:val="auto"/>
        </w:rPr>
      </w:pPr>
      <w:r>
        <w:rPr>
          <w:rFonts w:ascii="Calibri" w:cs="Calibri" w:eastAsia="Calibri" w:hAnsi="Calibri"/>
          <w:sz w:val="22"/>
          <w:szCs w:val="22"/>
          <w:color w:val="auto"/>
        </w:rPr>
        <w:t>Guaranty.</w:t>
      </w:r>
    </w:p>
    <w:p>
      <w:pPr>
        <w:spacing w:after="0" w:line="216"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(7)</w:t>
      </w:r>
      <w:r>
        <w:rPr>
          <w:rFonts w:ascii="Calibri" w:cs="Calibri" w:eastAsia="Calibri" w:hAnsi="Calibri"/>
          <w:sz w:val="22"/>
          <w:szCs w:val="22"/>
          <w:color w:val="auto"/>
        </w:rPr>
        <w:t>It is expressly understood and agreed by Guarantor and Sublessor that all maters arising out of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Sublease and this Guaranty, including the validity or any provisions hereof, are to be governed by, interpreted and construed in accordance with the laws of the State of New Jersey (without giving regard or efect to any conficts of law rules or other choice of law rules).</w:t>
      </w:r>
    </w:p>
    <w:p>
      <w:pPr>
        <w:spacing w:after="0" w:line="217"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(8)</w:t>
      </w:r>
      <w:r>
        <w:rPr>
          <w:rFonts w:ascii="Calibri" w:cs="Calibri" w:eastAsia="Calibri" w:hAnsi="Calibri"/>
          <w:sz w:val="22"/>
          <w:szCs w:val="22"/>
          <w:color w:val="auto"/>
        </w:rPr>
        <w:t>With respect to any dispute or legal acton of any kind arising from the terms of this Guaranty that any</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party may have, either during the term of this Guaranty or thereafer, it is expressly agreed that such acton shall be brought either in the state courts of the State of New Jersey (or in the United States District Court for the District of New Jersey, to the extent such court has jurisdicton thereof), and that such court shall be deemed to be the court of sole and exclusive jurisdicton and venue for the bringing of such acton. The foregoing consent to jurisdicton and venue shall not consttute general consent by Guarantor to jurisdicton and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0" w:name="page161"/>
    <w:bookmarkEnd w:id="160"/>
    <w:p>
      <w:pPr>
        <w:jc w:val="both"/>
        <w:spacing w:after="0" w:line="235" w:lineRule="auto"/>
        <w:rPr>
          <w:sz w:val="20"/>
          <w:szCs w:val="20"/>
          <w:color w:val="auto"/>
        </w:rPr>
      </w:pPr>
      <w:r>
        <w:rPr>
          <w:rFonts w:ascii="Calibri" w:cs="Calibri" w:eastAsia="Calibri" w:hAnsi="Calibri"/>
          <w:sz w:val="22"/>
          <w:szCs w:val="22"/>
          <w:color w:val="auto"/>
        </w:rPr>
        <w:t>in the State of New Jersey for any purpose except as provided herein and shall not be deemed to confer rights on any other person or entty.</w:t>
      </w:r>
    </w:p>
    <w:p>
      <w:pPr>
        <w:spacing w:after="0" w:line="312" w:lineRule="exact"/>
        <w:rPr>
          <w:sz w:val="20"/>
          <w:szCs w:val="20"/>
          <w:color w:val="auto"/>
        </w:rPr>
      </w:pPr>
    </w:p>
    <w:p>
      <w:pPr>
        <w:jc w:val="both"/>
        <w:ind w:firstLine="1542"/>
        <w:spacing w:after="0" w:line="259" w:lineRule="auto"/>
        <w:rPr>
          <w:sz w:val="20"/>
          <w:szCs w:val="20"/>
          <w:color w:val="auto"/>
        </w:rPr>
      </w:pPr>
      <w:r>
        <w:rPr>
          <w:rFonts w:ascii="Times New Roman" w:cs="Times New Roman" w:eastAsia="Times New Roman" w:hAnsi="Times New Roman"/>
          <w:sz w:val="21"/>
          <w:szCs w:val="21"/>
          <w:color w:val="auto"/>
        </w:rPr>
        <w:t>(9)</w:t>
      </w:r>
      <w:r>
        <w:rPr>
          <w:rFonts w:ascii="Calibri" w:cs="Calibri" w:eastAsia="Calibri" w:hAnsi="Calibri"/>
          <w:sz w:val="21"/>
          <w:szCs w:val="21"/>
          <w:color w:val="auto"/>
        </w:rPr>
        <w:t>Guarantor consents that Sublessee shall hereafer have full authority and be duly empowered to accept</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service of process on behalf of Guarantor in connecton with the enforcement of this Guaranty, and Guarantor hereby appoints Sublessee as its agent for purposes of acceptance of service of process in connecton with the enforcement of this Guaranty.</w:t>
      </w:r>
    </w:p>
    <w:p>
      <w:pPr>
        <w:spacing w:after="0" w:line="48"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2"/>
          <w:szCs w:val="22"/>
          <w:color w:val="auto"/>
        </w:rPr>
        <w:t>(10)</w:t>
      </w:r>
      <w:r>
        <w:rPr>
          <w:rFonts w:ascii="Calibri" w:cs="Calibri" w:eastAsia="Calibri" w:hAnsi="Calibri"/>
          <w:sz w:val="22"/>
          <w:szCs w:val="22"/>
          <w:color w:val="auto"/>
        </w:rPr>
        <w:t>Provided that Sublessor is the prevailing party in any acton brought to enforce this Sublease Guaranty,</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Guarantor shall pay to Sublessor all of Sublessor’s reasonable expenses, including, without limitaton, reasonable third-party out of pocket atorneys’ fees and disbursements, in enforcing this Sublease Guaranty following an event of default by Sublessee under the Sublease, beyond any applicable notce and cure periods.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20, 2023</w:t>
      </w:r>
    </w:p>
    <w:p>
      <w:pPr>
        <w:spacing w:after="0" w:line="2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u w:val="single" w:color="auto"/>
          <w:color w:val="auto"/>
        </w:rPr>
        <w:t>GUARANTOR: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MEH, INC.</w:t>
      </w:r>
      <w:r>
        <w:rPr>
          <w:rFonts w:ascii="Times New Roman" w:cs="Times New Roman" w:eastAsia="Times New Roman" w:hAnsi="Times New Roman"/>
          <w:sz w:val="22"/>
          <w:szCs w:val="22"/>
          <w:color w:val="auto"/>
        </w:rPr>
        <w:t>, a Nevada corporation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w:t>
      </w:r>
    </w:p>
    <w:p>
      <w:pPr>
        <w:ind w:left="30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1" w:name="page162"/>
    <w:bookmarkEnd w:id="161"/>
    <w:p>
      <w:pPr>
        <w:jc w:val="right"/>
        <w:spacing w:after="0"/>
        <w:rPr>
          <w:sz w:val="20"/>
          <w:szCs w:val="20"/>
          <w:color w:val="auto"/>
        </w:rPr>
      </w:pPr>
      <w:r>
        <w:rPr>
          <w:rFonts w:ascii="Calibri" w:cs="Calibri" w:eastAsia="Calibri" w:hAnsi="Calibri"/>
          <w:sz w:val="18"/>
          <w:szCs w:val="18"/>
          <w:b w:val="1"/>
          <w:bCs w:val="1"/>
          <w:color w:val="auto"/>
        </w:rPr>
        <w:t>Exhibit 10.46</w:t>
      </w:r>
    </w:p>
    <w:p>
      <w:pPr>
        <w:jc w:val="center"/>
        <w:spacing w:after="0"/>
        <w:rPr>
          <w:sz w:val="20"/>
          <w:szCs w:val="20"/>
          <w:color w:val="auto"/>
        </w:rPr>
      </w:pPr>
      <w:r>
        <w:rPr>
          <w:rFonts w:ascii="Times New Roman" w:cs="Times New Roman" w:eastAsia="Times New Roman" w:hAnsi="Times New Roman"/>
          <w:sz w:val="22"/>
          <w:szCs w:val="22"/>
          <w:b w:val="1"/>
          <w:bCs w:val="1"/>
          <w:color w:val="auto"/>
        </w:rPr>
        <w:t>SUBLEASE AGREEMENT</w:t>
      </w:r>
    </w:p>
    <w:p>
      <w:pPr>
        <w:spacing w:after="0" w:line="200" w:lineRule="exact"/>
        <w:rPr>
          <w:sz w:val="20"/>
          <w:szCs w:val="20"/>
          <w:color w:val="auto"/>
        </w:rPr>
      </w:pPr>
    </w:p>
    <w:p>
      <w:pPr>
        <w:spacing w:after="0" w:line="268" w:lineRule="exact"/>
        <w:rPr>
          <w:sz w:val="20"/>
          <w:szCs w:val="20"/>
          <w:color w:val="auto"/>
        </w:rPr>
      </w:pPr>
    </w:p>
    <w:p>
      <w:pPr>
        <w:jc w:val="both"/>
        <w:ind w:firstLine="877"/>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SUBLEASE AGREEMENT </w:t>
      </w:r>
      <w:r>
        <w:rPr>
          <w:rFonts w:ascii="Times New Roman" w:cs="Times New Roman" w:eastAsia="Times New Roman" w:hAnsi="Times New Roman"/>
          <w:sz w:val="22"/>
          <w:szCs w:val="22"/>
          <w:color w:val="auto"/>
        </w:rPr>
        <w:t>(the “Sublease”) made this 20th day of January, 2023 by and between</w:t>
      </w:r>
      <w:r>
        <w:rPr>
          <w:rFonts w:ascii="Times New Roman" w:cs="Times New Roman" w:eastAsia="Times New Roman" w:hAnsi="Times New Roman"/>
          <w:sz w:val="22"/>
          <w:szCs w:val="22"/>
          <w:b w:val="1"/>
          <w:bCs w:val="1"/>
          <w:color w:val="auto"/>
        </w:rPr>
        <w:t xml:space="preserve"> AMARIN PHARMA, INC.</w:t>
      </w:r>
      <w:r>
        <w:rPr>
          <w:rFonts w:ascii="Times New Roman" w:cs="Times New Roman" w:eastAsia="Times New Roman" w:hAnsi="Times New Roman"/>
          <w:sz w:val="22"/>
          <w:szCs w:val="22"/>
          <w:color w:val="auto"/>
        </w:rPr>
        <w:t>, a Delaware corporation, having an address at 440 Route 22, Suite 300, Bridgewater, New Jersey 08807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“Sublessor”), and </w:t>
      </w:r>
      <w:r>
        <w:rPr>
          <w:rFonts w:ascii="Times New Roman" w:cs="Times New Roman" w:eastAsia="Times New Roman" w:hAnsi="Times New Roman"/>
          <w:sz w:val="22"/>
          <w:szCs w:val="22"/>
          <w:b w:val="1"/>
          <w:bCs w:val="1"/>
          <w:color w:val="auto"/>
        </w:rPr>
        <w:t>ST SHARED SERVICES LLC</w:t>
      </w:r>
      <w:r>
        <w:rPr>
          <w:rFonts w:ascii="Times New Roman" w:cs="Times New Roman" w:eastAsia="Times New Roman" w:hAnsi="Times New Roman"/>
          <w:sz w:val="22"/>
          <w:szCs w:val="22"/>
          <w:color w:val="auto"/>
        </w:rPr>
        <w:t>, a Delaware limited liability company, having an address at 675 McDonnell Blvd. St. Louis, MO 63042 (the “Sublessee”).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229" w:lineRule="exact"/>
        <w:rPr>
          <w:sz w:val="20"/>
          <w:szCs w:val="20"/>
          <w:color w:val="auto"/>
        </w:rPr>
      </w:pPr>
    </w:p>
    <w:p>
      <w:pPr>
        <w:jc w:val="both"/>
        <w:ind w:firstLine="440"/>
        <w:spacing w:after="0" w:line="238" w:lineRule="auto"/>
        <w:tabs>
          <w:tab w:leader="none" w:pos="86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lease dated February 5, 2019 (the “Prime Lease”), </w:t>
      </w:r>
      <w:r>
        <w:rPr>
          <w:rFonts w:ascii="Times New Roman" w:cs="Times New Roman" w:eastAsia="Times New Roman" w:hAnsi="Times New Roman"/>
          <w:sz w:val="22"/>
          <w:szCs w:val="22"/>
          <w:b w:val="1"/>
          <w:bCs w:val="1"/>
          <w:color w:val="auto"/>
        </w:rPr>
        <w:t>LIBERTY DENVER WOOD, LLC</w:t>
      </w:r>
      <w:r>
        <w:rPr>
          <w:rFonts w:ascii="Times New Roman" w:cs="Times New Roman" w:eastAsia="Times New Roman" w:hAnsi="Times New Roman"/>
          <w:sz w:val="22"/>
          <w:szCs w:val="22"/>
          <w:color w:val="auto"/>
        </w:rPr>
        <w:t xml:space="preserve">, a New Jersey limited liability company, having an address at 950 Airport Road, Lakewood, New Jersey 08701, as successor-in-interest to </w:t>
      </w:r>
      <w:r>
        <w:rPr>
          <w:rFonts w:ascii="Times New Roman" w:cs="Times New Roman" w:eastAsia="Times New Roman" w:hAnsi="Times New Roman"/>
          <w:sz w:val="22"/>
          <w:szCs w:val="22"/>
          <w:b w:val="1"/>
          <w:bCs w:val="1"/>
          <w:color w:val="auto"/>
        </w:rPr>
        <w:t>440 ROUTE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22 LLC </w:t>
      </w:r>
      <w:r>
        <w:rPr>
          <w:rFonts w:ascii="Times New Roman" w:cs="Times New Roman" w:eastAsia="Times New Roman" w:hAnsi="Times New Roman"/>
          <w:sz w:val="22"/>
          <w:szCs w:val="22"/>
          <w:color w:val="auto"/>
        </w:rPr>
        <w:t>(the “Prime Landlord”) leased to Sublessor certain premises (the “Premises”) in an office building located at 440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Highway 22, Bridgewater, New Jersey 08807 (the “Property”). The Premises consists of approximately 67,747 rentable square feet located on the third floor of the Property and is shown on the plan attached to this Sublease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firstLine="440"/>
        <w:spacing w:after="0" w:line="262" w:lineRule="auto"/>
        <w:tabs>
          <w:tab w:leader="none" w:pos="86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copy of the Prime Lease is attached to this Sublease as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Capitalized terms which are used but not otherwise defined in this Sublease shall have the meanings ascribed to them in the Prime Lease.</w:t>
      </w:r>
    </w:p>
    <w:p>
      <w:pPr>
        <w:spacing w:after="0" w:line="180" w:lineRule="exact"/>
        <w:rPr>
          <w:rFonts w:ascii="Times New Roman" w:cs="Times New Roman" w:eastAsia="Times New Roman" w:hAnsi="Times New Roman"/>
          <w:sz w:val="22"/>
          <w:szCs w:val="22"/>
          <w:color w:val="auto"/>
        </w:rPr>
      </w:pPr>
    </w:p>
    <w:p>
      <w:pPr>
        <w:ind w:right="80" w:firstLine="440"/>
        <w:spacing w:after="0" w:line="258" w:lineRule="auto"/>
        <w:tabs>
          <w:tab w:leader="none" w:pos="86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Sublessee desires to sublease a portion of the Premises from Sublessor, which portion (the “Subleased Premises”) contains approximately 50,000 rentable square feet and is shown by hatching on </w:t>
      </w:r>
      <w:r>
        <w:rPr>
          <w:rFonts w:ascii="Times New Roman" w:cs="Times New Roman" w:eastAsia="Times New Roman" w:hAnsi="Times New Roman"/>
          <w:sz w:val="22"/>
          <w:szCs w:val="22"/>
          <w:b w:val="1"/>
          <w:bCs w:val="1"/>
          <w:u w:val="single" w:color="auto"/>
          <w:color w:val="auto"/>
        </w:rPr>
        <w:t>Exhibit A-1</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for and in consideration of the covenants and agreements set forth in this Sublease, and intending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legally bound, Sublessor and Sublessee agree as follows:</w:t>
      </w:r>
    </w:p>
    <w:p>
      <w:pPr>
        <w:spacing w:after="0" w:line="177" w:lineRule="exact"/>
        <w:rPr>
          <w:sz w:val="20"/>
          <w:szCs w:val="20"/>
          <w:color w:val="auto"/>
        </w:rPr>
      </w:pPr>
    </w:p>
    <w:p>
      <w:pPr>
        <w:ind w:left="1500" w:hanging="743"/>
        <w:spacing w:after="0"/>
        <w:tabs>
          <w:tab w:leader="none" w:pos="150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Demise; Term.</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Demise</w:t>
      </w:r>
      <w:r>
        <w:rPr>
          <w:rFonts w:ascii="Times New Roman" w:cs="Times New Roman" w:eastAsia="Times New Roman" w:hAnsi="Times New Roman"/>
          <w:sz w:val="22"/>
          <w:szCs w:val="22"/>
          <w:color w:val="auto"/>
        </w:rPr>
        <w:t>. Sublessor hereby subleases the Subleased Premises to Sublessee, and Sublessee hereby subleases the Subleased Premises from Sublessor, together with all fixtures installed in the Subleased Premises by or for the benefit of Sublessor, and also together with all appurtenances and rights ancillary to the Subleased Premises.</w:t>
      </w:r>
    </w:p>
    <w:p>
      <w:pPr>
        <w:spacing w:after="0" w:line="200" w:lineRule="exact"/>
        <w:rPr>
          <w:sz w:val="20"/>
          <w:szCs w:val="20"/>
          <w:color w:val="auto"/>
        </w:rPr>
      </w:pPr>
    </w:p>
    <w:p>
      <w:pPr>
        <w:ind w:left="1500"/>
        <w:spacing w:after="0"/>
        <w:tabs>
          <w:tab w:leader="none" w:pos="20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1.2.1. The term of this Sublease (the “Sublease Term”) shall begin on the later of (A) February 1, 2023, or (B) the date that Sublessor receives the Prime Landlord’s Consent (as defined in Section 23.1 of this Sublease) (the “Sublease Commencement Date”). It shall be a condition of the Sublease Commencement Date that Sublessor delivers possession of the Subleased Premises to Sublessee in the condition required pursuant to this Sublease. The Sublease Term shall expire on August 30, 2030, unless sooner terminated by either party as provided in this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2" w:name="page163"/>
    <w:bookmarkEnd w:id="162"/>
    <w:p>
      <w:pPr>
        <w:jc w:val="both"/>
        <w:spacing w:after="0" w:line="244" w:lineRule="auto"/>
        <w:rPr>
          <w:sz w:val="20"/>
          <w:szCs w:val="20"/>
          <w:color w:val="auto"/>
        </w:rPr>
      </w:pPr>
      <w:r>
        <w:rPr>
          <w:rFonts w:ascii="Times New Roman" w:cs="Times New Roman" w:eastAsia="Times New Roman" w:hAnsi="Times New Roman"/>
          <w:sz w:val="22"/>
          <w:szCs w:val="22"/>
          <w:color w:val="auto"/>
        </w:rPr>
        <w:t>Sublease. The term “Lease Year” as used in this Sublease shall mean the period of twelve (12) full calendar months commencing on the Sublease Commencement Date plus any partial month following the Sublease Commencement Date if the Sublease Commencement Date is not the first day of a month and each twelve (12) month period thereafter.</w:t>
      </w:r>
    </w:p>
    <w:p>
      <w:pPr>
        <w:spacing w:after="0" w:line="174"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1"/>
          <w:szCs w:val="21"/>
          <w:color w:val="auto"/>
        </w:rPr>
        <w:t>1.2.2. In the event that Sublessor fails to deliver possession of the Subleased Premises in the condition required hereunder within the later of (i) thirty (30) days after Sublessor receives the Prime Landlord’s Consent; and, (ii) March 1, 2023, in each case subject to day-for-day extensions for matters outside Sublessor’s reasonable control (the “Outside Delivery Date”), for any reason or no reason, the Sublease Commencement Date shall be postponed and Sublessee shall receive an abatement of Fixed Rent (in addition to the six (6) month abatement of Fixed Rent set forth in Section 4.1 hereof) equal to one</w:t>
      </w:r>
    </w:p>
    <w:p>
      <w:pPr>
        <w:spacing w:after="0" w:line="1"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of Fixed Rent for each day of delay between the Outside Delivery Date and the Sublease Commencement Date.</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Prime Lease.</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Terms of Sublease Identical With Prime Lease</w:t>
      </w:r>
      <w:r>
        <w:rPr>
          <w:rFonts w:ascii="Times New Roman" w:cs="Times New Roman" w:eastAsia="Times New Roman" w:hAnsi="Times New Roman"/>
          <w:sz w:val="22"/>
          <w:szCs w:val="22"/>
          <w:color w:val="auto"/>
        </w:rPr>
        <w:t>. It is intended that the terms and conditions of this Sublease shall be identical to the terms and conditions of the Prime Lease as they relate to the Subleased Premises, except to the extent inconsistent with the express terms of this Sublease and except as set forth in Section 2.2 of this Sublease. Therefore, Sublessor and Sublessee agree that:</w:t>
      </w:r>
    </w:p>
    <w:p>
      <w:pPr>
        <w:spacing w:after="0" w:line="207"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2.1.1. each and every term, condition, covenant and agreement of the Prime Lease, as it relates to the Subleased Premises, is a term, condition, covenant and agreement of this Sublease, and is incorporated in this Sublease by reference, except to the extent inconsistent with the express terms of this Sublease and except as set forth in Section 2.2 of this Sublease;</w:t>
      </w:r>
    </w:p>
    <w:p>
      <w:pPr>
        <w:spacing w:after="0" w:line="207"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2.1.2. Sublessee shall perform all obligations and comply with all terms, conditions, covenants and agreements of Sublessor as tenant under the Prime Lease for the Sublease Term, as they relate to the Subleased Premises, except to the extent inconsistent with the express terms of this Sublease and except as set forth in Section 2.2 of this Sublease. Sublessee shall have no obligation to perform any of the obligations of Sublessor as “tenant” under the Prime Lease that accrue prior to the Sublease Commencement Date except those that relate to the Subleased Premises and that are ongoing after the Sublease Commencement Date.</w:t>
      </w:r>
    </w:p>
    <w:p>
      <w:pPr>
        <w:spacing w:after="0" w:line="20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2.1.3. For avoidance of doubt, Sublessor shall remain solely responsible for the obligations of the Tenant under the Prime Lease with respect to that portion of the Premises not subleased to Sublessee pursuant to this Sublease (the “Remaining Premises”), and Sublessor shall perform all obligations and comply with all terms, conditions, covenants and agreements of Sublessor as tenant under the Prime Lease for the Sublease Term, as they relate to the Remaining Premises.</w:t>
      </w:r>
    </w:p>
    <w:p>
      <w:pPr>
        <w:spacing w:after="0" w:line="207"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2.1.4. The term “Landlord” as set forth in the Prime Lease shall mean Sublessor in this Sublease and the term “Tenant” as set forth in the Prime Lease shall mean Sublessee in this Sublease.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3" w:name="page164"/>
    <w:bookmarkEnd w:id="163"/>
    <w:p>
      <w:pPr>
        <w:ind w:firstLine="1497"/>
        <w:spacing w:after="0" w:line="259"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Terms Not Incorporated</w:t>
      </w:r>
      <w:r>
        <w:rPr>
          <w:rFonts w:ascii="Times New Roman" w:cs="Times New Roman" w:eastAsia="Times New Roman" w:hAnsi="Times New Roman"/>
          <w:sz w:val="22"/>
          <w:szCs w:val="22"/>
          <w:color w:val="auto"/>
        </w:rPr>
        <w:t>. Notwithstanding the provisions of Section 2.1 of this Sublease, the following provisions of the Prime Lease are not incorporated in or made part of this Sublease or otherwise are amended as follows:</w:t>
      </w:r>
    </w:p>
    <w:p>
      <w:pPr>
        <w:spacing w:after="0" w:line="180" w:lineRule="exact"/>
        <w:rPr>
          <w:sz w:val="20"/>
          <w:szCs w:val="20"/>
          <w:color w:val="auto"/>
        </w:rPr>
      </w:pPr>
    </w:p>
    <w:p>
      <w:pPr>
        <w:ind w:left="2620" w:hanging="366"/>
        <w:spacing w:after="0"/>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1.01. Basic Data and Definitions. Subsections (d), (e), (f), (g), (h), (i), (j), (k), (l), (m).</w:t>
      </w:r>
    </w:p>
    <w:p>
      <w:pPr>
        <w:spacing w:after="0" w:line="18" w:lineRule="exact"/>
        <w:rPr>
          <w:rFonts w:ascii="Times New Roman" w:cs="Times New Roman" w:eastAsia="Times New Roman" w:hAnsi="Times New Roman"/>
          <w:sz w:val="22"/>
          <w:szCs w:val="22"/>
          <w:color w:val="auto"/>
        </w:rPr>
      </w:pP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2.02. Term and Lease Year.</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2.04. Renewal Option.</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2.05. Right of First Offer.</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3.01. Rental</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4.01. Base Rent</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7.05(c) (with respect to the NAICS Code)</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6. Landlord’s Work.</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13. Signs</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27. Security Deposit</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29. Brokerage Claims</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31. Termination Right</w:t>
      </w:r>
    </w:p>
    <w:p>
      <w:pPr>
        <w:ind w:left="2620" w:hanging="366"/>
        <w:spacing w:after="0" w:line="230" w:lineRule="auto"/>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33. Guaranty</w:t>
      </w:r>
    </w:p>
    <w:p>
      <w:pPr>
        <w:ind w:left="2620" w:hanging="366"/>
        <w:spacing w:after="0"/>
        <w:tabs>
          <w:tab w:leader="none" w:pos="26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Exhibit G. Guaranty</w:t>
      </w:r>
    </w:p>
    <w:p>
      <w:pPr>
        <w:spacing w:after="0" w:line="200" w:lineRule="exact"/>
        <w:rPr>
          <w:sz w:val="20"/>
          <w:szCs w:val="20"/>
          <w:color w:val="auto"/>
        </w:rPr>
      </w:pPr>
    </w:p>
    <w:p>
      <w:pPr>
        <w:spacing w:after="0" w:line="22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Sublease Controls</w:t>
      </w:r>
      <w:r>
        <w:rPr>
          <w:rFonts w:ascii="Times New Roman" w:cs="Times New Roman" w:eastAsia="Times New Roman" w:hAnsi="Times New Roman"/>
          <w:sz w:val="22"/>
          <w:szCs w:val="22"/>
          <w:color w:val="auto"/>
        </w:rPr>
        <w:t>. If there is a conflict between the stated terms and conditions in this Sublease and those set forth in the Prime Lease, the terms and conditions set forth in this Sublease shall control.</w:t>
      </w:r>
    </w:p>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Performance To Be Tendered To Prime Landlord.</w:t>
      </w:r>
      <w:r>
        <w:rPr>
          <w:rFonts w:ascii="Times New Roman" w:cs="Times New Roman" w:eastAsia="Times New Roman" w:hAnsi="Times New Roman"/>
          <w:sz w:val="22"/>
          <w:szCs w:val="22"/>
          <w:color w:val="auto"/>
        </w:rPr>
        <w:t xml:space="preserve"> Except as otherwise provided in this Sublease, Sublessee shall tender performance of its obligations under this Sublease (other than the payment of Fixed Rent and Additional Rent for Operating Expenses and taxes) directly to Prime Landlord so that all of Sublessor’s obligations under the Prime Lease accruing during the Sublease Term with respect to the Subleased Premises (other than Sublessor’s obligation for the payment of Basic Rent and Additional Rent for Operating Expenses and taxes) shall be satisfied and discharged by Sublessee’s performance to the extent such obligation of Sublessor under the Prime Lease is an obligation of Sublessee under this Sublease.</w:t>
      </w:r>
    </w:p>
    <w:p>
      <w:pPr>
        <w:spacing w:after="0" w:line="20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Covenant Against Actions Causing Default Under Prime Lease</w:t>
      </w:r>
      <w:r>
        <w:rPr>
          <w:rFonts w:ascii="Times New Roman" w:cs="Times New Roman" w:eastAsia="Times New Roman" w:hAnsi="Times New Roman"/>
          <w:sz w:val="22"/>
          <w:szCs w:val="22"/>
          <w:color w:val="auto"/>
        </w:rPr>
        <w:t>. Sublessee shall not do or cause to be done or, with respect to the Subleased Premises, suffer or permit to be done, any act or thing which would constitute a default under the Prime Lease or which would cause the Prime Lease or any of Sublessor’s rights under the Prime Lease to be cancelled, terminated, forfeited or prejudiced or which would render Sublessor liable for any damages, fines, claims, penalties, costs or expenses under the Prime Lease.</w:t>
      </w:r>
    </w:p>
    <w:p>
      <w:pPr>
        <w:spacing w:after="0" w:line="177" w:lineRule="exact"/>
        <w:rPr>
          <w:sz w:val="20"/>
          <w:szCs w:val="20"/>
          <w:color w:val="auto"/>
        </w:rPr>
      </w:pPr>
    </w:p>
    <w:p>
      <w:pPr>
        <w:ind w:left="1500"/>
        <w:spacing w:after="0"/>
        <w:tabs>
          <w:tab w:leader="none" w:pos="20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Sublessor Covenants/Representations and Warranties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2.6.1. Sublessor agrees to reasonably cooperate with Sublessee in obtaining the consent of the Prime Landlord where any such consent is required by this Sublease or the Prime Lease (at no out-of-pocket cost to Sublessor other than the cost of obtaining Prime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4" w:name="page165"/>
    <w:bookmarkEnd w:id="164"/>
    <w:p>
      <w:pPr>
        <w:jc w:val="both"/>
        <w:spacing w:after="0" w:line="244" w:lineRule="auto"/>
        <w:rPr>
          <w:sz w:val="20"/>
          <w:szCs w:val="20"/>
          <w:color w:val="auto"/>
        </w:rPr>
      </w:pPr>
      <w:r>
        <w:rPr>
          <w:rFonts w:ascii="Times New Roman" w:cs="Times New Roman" w:eastAsia="Times New Roman" w:hAnsi="Times New Roman"/>
          <w:sz w:val="22"/>
          <w:szCs w:val="22"/>
          <w:color w:val="auto"/>
        </w:rPr>
        <w:t>Landlord’s consent to this Sublease). Without limiting the generality of the foregoing, if Sublessee shall submit to Sublessor a request for Prime Landlord’s consent or approval with respect to any given matter required by this Sublease or the Prime Lease, then Sublessor shall promptly forward such request on to Prime Landlord for its consent or approval.</w:t>
      </w:r>
    </w:p>
    <w:p>
      <w:pPr>
        <w:spacing w:after="0" w:line="174" w:lineRule="exact"/>
        <w:rPr>
          <w:sz w:val="20"/>
          <w:szCs w:val="20"/>
          <w:color w:val="auto"/>
        </w:rPr>
      </w:pPr>
    </w:p>
    <w:p>
      <w:pPr>
        <w:jc w:val="both"/>
        <w:ind w:firstLine="2246"/>
        <w:spacing w:after="0" w:line="234" w:lineRule="auto"/>
        <w:rPr>
          <w:sz w:val="20"/>
          <w:szCs w:val="20"/>
          <w:color w:val="auto"/>
        </w:rPr>
      </w:pPr>
      <w:r>
        <w:rPr>
          <w:rFonts w:ascii="Times New Roman" w:cs="Times New Roman" w:eastAsia="Times New Roman" w:hAnsi="Times New Roman"/>
          <w:sz w:val="22"/>
          <w:szCs w:val="22"/>
          <w:color w:val="auto"/>
        </w:rPr>
        <w:t>2.6.2. Sublessor covenants and agrees not to act or, with respect to the Subleased Premises, suffer or permit anything to be done which results in a default under the Prime Lease beyond any applicable notice and cure periods, unless prevented from doing so or otherwise caused by Sublessee’s default under this Sublease. Sublessor further covenants and agrees that it will not (i) exercise its early termination right under Section 31 of the Prime Lease, or (ii) terminate, modify or amend the Prime Lease during the Term of the Sublease if such modification or amendment would materially affect the rights of Sublessee. Without limiting the foregoing, provided that Sublessee pays all Rent and Additional Rent due hereunder as and when such amounts become due and payable hereunder, Sublessor covenants and agrees to pay Prime Landlord all Rental and other charges that may become due and payable by Sublessor pursuant to the Prime Lease, as and when such amounts become due and payable thereunder.</w:t>
      </w:r>
    </w:p>
    <w:p>
      <w:pPr>
        <w:spacing w:after="0" w:line="18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1"/>
          <w:szCs w:val="21"/>
          <w:color w:val="auto"/>
        </w:rPr>
        <w:t>2.6.3. Sublessor represents and warrants to Sublessee that: (i) Exhibit B to this Sublease is a true, correct and complete copy of the Prime Lease, as may be redacted; (ii) the Prime Lease is unmodified (except for any amendments or modifications of the Prime Lease set forth on Exhibit B); (iii) the Prime Lease is in full force and effect; (iv) Sublessor has received no written notice from Prime Landlord of default by Sublessor under the Prime Lease which remains uncured; (v) to Sublessor’s knowledge, Sublessor is not now in default or breach of any of the provisions of the Prime Lease and Sublessor has no knowledge of any claim by Prime Landlord that Sublessor is in default or breach of any of the provisions of the Prime Lease; (vi) Sublessor has no knowledge that Prime Landlord is in default or breach of any provisions of the Prime Lease;</w:t>
      </w:r>
    </w:p>
    <w:p>
      <w:pPr>
        <w:spacing w:after="0" w:line="6" w:lineRule="exact"/>
        <w:rPr>
          <w:sz w:val="20"/>
          <w:szCs w:val="20"/>
          <w:color w:val="auto"/>
        </w:rPr>
      </w:pPr>
    </w:p>
    <w:p>
      <w:pPr>
        <w:jc w:val="both"/>
        <w:ind w:firstLine="8"/>
        <w:spacing w:after="0" w:line="232" w:lineRule="auto"/>
        <w:tabs>
          <w:tab w:leader="none" w:pos="43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Sublessor holds the entire tenant’s interest in the Subleased Premises under the Prime Lease, free and clear of any leasehold mortgages, subleases and occupancies, other than this Sublease; (viii) to Sublessor’s knowledge, Sublessor holds the entire tenant’s interest in the Subleased Premises under the Prime Lease, free and clear of any liens and claims; and (ix) Sublessor has full right, power and authority to enter into this Sublease and the person signing this Sublease on behalf of Sublessor is vested with authority to act on behalf of Sublessor with respect to this Sublease, and the execution of this Sublease has been duly executed by all appropriate corporate action(s). Sublessee shall not be responsible for any liens or claims determined to exist against the Subleased Premises to the extent arising prior to the Sublease Commencement Date, except to the extent arising from the acts or omissions of Sublessee.</w:t>
      </w:r>
    </w:p>
    <w:p>
      <w:pPr>
        <w:spacing w:after="0" w:line="180"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2.6.4. Sublessor shall use its reasonable and diligent efforts to cause Prime Landlord to provide such services, amenities and rights that Sublessee is entitled under this Sublease, provided that the failure by the Prime Landlord to provide such services, amenities and rights shall not constitute a default by Sublessor under this Sublease, except if such failure by Prime Landlord is a result of the default by Sublandlord under the Prime Lease that is not otherwise caused by Sublessee’s default under this Sublease. Subject to the foregoing and Section 3.1 below, Sublessee shall be entitled to: (x) receive the services (including, without limitation, electricity, water, sewer, heat, air conditioning, cleaning, security and elevators) that Landlord has agreed to provide pursuant to the Prime Lease; and (y) the repairs, replacements, restorations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5" w:name="page166"/>
    <w:bookmarkEnd w:id="165"/>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maintenance or other work that Landlord has agreed to make or perform in the Prime Lease, in each case with respect to the Subleased Premises.</w:t>
      </w:r>
    </w:p>
    <w:p>
      <w:pPr>
        <w:spacing w:after="0" w:line="157"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2.6.5. Sublessor agrees that Sublessee may deal directly with Prime Landlord (and/or the manager of the building) with respect to requesting overtime services and other services provided by or through Prime Landlord and such items may (at Prime Landlord’s option) be billed directly from Prime Landlord to Sublessee provided, however, that Sublessee shall be responsible to pay Sublessor for any such charges incurred but not billed directly from Prime Landlord to Sublessee. Any such charges shall constitute “Rent” under this Sublease.</w:t>
      </w:r>
    </w:p>
    <w:p>
      <w:pPr>
        <w:spacing w:after="0" w:line="177"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2.6.6. Without Sublessee’s prior written consent, which consent will not be unreasonably withheld, conditioned, or delayed, Sublessor shall not amend, modify, supplement or grant waivers under the Prime Lease if such waivers would materially affect the rights of Sublessee.</w:t>
      </w:r>
    </w:p>
    <w:p>
      <w:pPr>
        <w:spacing w:after="0" w:line="173"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2.6.7. Sublessor will provide to Sublessee copies of default notices received from Prime Landlord within three (3) business days of receiving the same.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Abatement of Rental</w:t>
      </w:r>
      <w:r>
        <w:rPr>
          <w:rFonts w:ascii="Times New Roman" w:cs="Times New Roman" w:eastAsia="Times New Roman" w:hAnsi="Times New Roman"/>
          <w:sz w:val="22"/>
          <w:szCs w:val="22"/>
          <w:color w:val="auto"/>
        </w:rPr>
        <w:t>. If Sublessor at any time during the term is entitled an abatement of Rental applicable to the Subleased Premises pursuant to the terms of the Prime Lease, then Sublessee shall be entitled to receive a proportionate share of such abated Rental under this Sublease (such proportionate share based on the Fixed Rent owed by Sublessee under this Sublease over the Base Rent due) to the extent the abated Rental is attributable to the Subleased Premises.</w:t>
      </w:r>
    </w:p>
    <w:p>
      <w:pPr>
        <w:spacing w:after="0" w:line="203" w:lineRule="exact"/>
        <w:rPr>
          <w:sz w:val="20"/>
          <w:szCs w:val="20"/>
          <w:color w:val="auto"/>
        </w:rPr>
      </w:pPr>
    </w:p>
    <w:p>
      <w:pPr>
        <w:ind w:left="1500" w:hanging="743"/>
        <w:spacing w:after="0"/>
        <w:tabs>
          <w:tab w:leader="none" w:pos="150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w:t>
      </w:r>
    </w:p>
    <w:p>
      <w:pPr>
        <w:spacing w:after="0" w:line="210"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Sublessor Not Liable For Prime Landlord’s Obligations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3.1.1. Although the terms, conditions, covenants and agreements of the Prime Lease are incorporated as terms and agreement of this Sublease, Sublessor shall not be liable to Sublessee for performance or non-performance of obligations of Sublessor under this Sublease which are also the obligations of Prime Landlord under the Prime Lease (the “Prime Landlord’s Obligations”). It is intended that Sublessee shall look solely to and hold solely responsible Prime Landlord for the performance of the Prime Landlord’s Obligations under the Prime Lease.</w:t>
      </w:r>
    </w:p>
    <w:p>
      <w:pPr>
        <w:spacing w:after="0" w:line="204"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3.1.2. Without limiting the generality of Section 3.1.1 of this Sublease, Sublessor shall have no obligation or responsibility for any of the following: (A) maintenance or repair of the Subleased Premises, or the common areas or mechanical systems of the Property; (B) providing heating, ventilating, air conditioning or any utility service; or (C) providing building services, such as janitorial or security services. Sublessor shall have no liability by reason of any failure by Prime Landlord to provide any of the foregoing services or to otherwise perform any of the Prime Landlord’s Obligations except to the extent such failure is due to Sublessor’s failure to comply with its obligations under this Sublease or to the extent attributable to Sublessor’s default under the Prime Lease which is not caused by Sublessee’s default under this Sublease, provided, however, that to the extent Sublessor actually receives an abatement of Rental as a result of such Prime Landlord default, Sublessee shall be entitled to a corresponding abatement of Rent to the</w:t>
      </w:r>
    </w:p>
    <w:p>
      <w:pPr>
        <w:jc w:val="center"/>
        <w:spacing w:after="0" w:line="228" w:lineRule="auto"/>
        <w:rPr>
          <w:sz w:val="20"/>
          <w:szCs w:val="20"/>
          <w:color w:val="auto"/>
        </w:rPr>
      </w:pPr>
      <w:r>
        <w:rPr>
          <w:rFonts w:ascii="Times New Roman" w:cs="Times New Roman" w:eastAsia="Times New Roman" w:hAnsi="Times New Roman"/>
          <w:sz w:val="22"/>
          <w:szCs w:val="22"/>
          <w:color w:val="auto"/>
        </w:rPr>
        <w:t>5</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extent attributable to the Subleased Premises including, without limitation, as a result of a Service Interruption.</w:t>
      </w:r>
    </w:p>
    <w:p>
      <w:pPr>
        <w:spacing w:after="0" w:line="234"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3.1.3. Notwithstanding anything to the contrary in this Sublease, Subtenant shall be entitled to exercise those self-help rights as provided in Section 11.05 of the Prime Lease for any non-performance of the obligations of Landlord under Article 11 of the Prime Lease, and shall be entitled to the benefit of the reimbursement obligations contained therein; provided, Sublessee shall indemnify, defend, and hold Sublessor harmless from any liabilities and damages, including, without limitation, reasonable attorneys’ fees resulting from any claim by Prime Landlord that the exercise of such rights was made in violation of the Prime Lease.</w:t>
      </w:r>
    </w:p>
    <w:p>
      <w:pPr>
        <w:spacing w:after="0" w:line="208" w:lineRule="exact"/>
        <w:rPr>
          <w:sz w:val="20"/>
          <w:szCs w:val="20"/>
          <w:color w:val="auto"/>
        </w:rPr>
      </w:pPr>
    </w:p>
    <w:p>
      <w:pPr>
        <w:ind w:left="1500"/>
        <w:spacing w:after="0"/>
        <w:tabs>
          <w:tab w:leader="none" w:pos="20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1"/>
          <w:szCs w:val="21"/>
          <w:u w:val="single" w:color="auto"/>
          <w:color w:val="auto"/>
        </w:rPr>
        <w:t>Assignment of Remedies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2246"/>
        <w:spacing w:after="0" w:line="247" w:lineRule="auto"/>
        <w:rPr>
          <w:sz w:val="20"/>
          <w:szCs w:val="20"/>
          <w:color w:val="auto"/>
        </w:rPr>
      </w:pPr>
      <w:r>
        <w:rPr>
          <w:rFonts w:ascii="Times New Roman" w:cs="Times New Roman" w:eastAsia="Times New Roman" w:hAnsi="Times New Roman"/>
          <w:sz w:val="21"/>
          <w:szCs w:val="21"/>
          <w:color w:val="auto"/>
        </w:rPr>
        <w:t>3.2.1. In order to enable Sublessee to enforce the Prime Landlord’s Obligations as they relate to the Subleased Premises, Sublessor hereby assigns to Sublessee the rights and remedies of Sublessor under the Prime Lease for the enforcement of the Prime Landlord’s Obligations, as they relate to the Subleased Premises. Sublessee’s right to enforce the Prime Landlord’s Obligations shall be non-exclusive, and Sublessor reserves to itself also the right to exercise any rights and remedies under the Prime Lease for the enforcement of the Prime Landlord’s Obligations. In the event the foregoing assignment of remedies is not recognized or enforceable, Sublessor shall, upon the written request of Sublessee, use diligent efforts to enforce the Prime Lease and obtain the compliance of the Prime Landlord with its obligations thereunder at no out-of-pocket cost to Sublessor and provided further that Sublessor shall not be obligated to commence litigation against Prime Landlord.</w:t>
      </w:r>
    </w:p>
    <w:p>
      <w:pPr>
        <w:spacing w:after="0" w:line="199"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3.2.2. Notwithstanding the provisions of Subsection 3.2.1 of this Sublease, except as expressly provided in this Sublease, Sublessee shall not have the right to:</w:t>
      </w:r>
    </w:p>
    <w:p>
      <w:pPr>
        <w:spacing w:after="0" w:line="185"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3.2.2.1.</w:t>
      </w:r>
      <w:r>
        <w:rPr>
          <w:sz w:val="20"/>
          <w:szCs w:val="20"/>
          <w:color w:val="auto"/>
        </w:rPr>
        <w:tab/>
      </w:r>
      <w:r>
        <w:rPr>
          <w:rFonts w:ascii="Times New Roman" w:cs="Times New Roman" w:eastAsia="Times New Roman" w:hAnsi="Times New Roman"/>
          <w:sz w:val="21"/>
          <w:szCs w:val="21"/>
          <w:color w:val="auto"/>
        </w:rPr>
        <w:t>terminate, alter or amend the Prime Lease;</w:t>
      </w:r>
    </w:p>
    <w:p>
      <w:pPr>
        <w:spacing w:after="0" w:line="233"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3.2.2.2.</w:t>
      </w:r>
      <w:r>
        <w:rPr>
          <w:sz w:val="20"/>
          <w:szCs w:val="20"/>
          <w:color w:val="auto"/>
        </w:rPr>
        <w:tab/>
      </w:r>
      <w:r>
        <w:rPr>
          <w:rFonts w:ascii="Times New Roman" w:cs="Times New Roman" w:eastAsia="Times New Roman" w:hAnsi="Times New Roman"/>
          <w:sz w:val="21"/>
          <w:szCs w:val="21"/>
          <w:color w:val="auto"/>
        </w:rPr>
        <w:t>withhold Rent or any other sum payable under this Sublease; or</w:t>
      </w:r>
    </w:p>
    <w:p>
      <w:pPr>
        <w:spacing w:after="0" w:line="233" w:lineRule="exact"/>
        <w:rPr>
          <w:sz w:val="20"/>
          <w:szCs w:val="20"/>
          <w:color w:val="auto"/>
        </w:rPr>
      </w:pPr>
    </w:p>
    <w:p>
      <w:pPr>
        <w:ind w:left="4200" w:hanging="1197"/>
        <w:spacing w:after="0" w:line="258" w:lineRule="auto"/>
        <w:tabs>
          <w:tab w:leader="none" w:pos="4180" w:val="left"/>
        </w:tabs>
        <w:rPr>
          <w:sz w:val="20"/>
          <w:szCs w:val="20"/>
          <w:color w:val="auto"/>
        </w:rPr>
      </w:pPr>
      <w:r>
        <w:rPr>
          <w:rFonts w:ascii="Times New Roman" w:cs="Times New Roman" w:eastAsia="Times New Roman" w:hAnsi="Times New Roman"/>
          <w:sz w:val="22"/>
          <w:szCs w:val="22"/>
          <w:color w:val="auto"/>
        </w:rPr>
        <w:t>3.2.2.3.</w:t>
      </w:r>
      <w:r>
        <w:rPr>
          <w:sz w:val="20"/>
          <w:szCs w:val="20"/>
          <w:color w:val="auto"/>
        </w:rPr>
        <w:tab/>
      </w:r>
      <w:r>
        <w:rPr>
          <w:rFonts w:ascii="Times New Roman" w:cs="Times New Roman" w:eastAsia="Times New Roman" w:hAnsi="Times New Roman"/>
          <w:sz w:val="22"/>
          <w:szCs w:val="22"/>
          <w:color w:val="auto"/>
        </w:rPr>
        <w:t>set off or deduct any amount from Rent or any other sum payable under this Sublease.</w:t>
      </w:r>
    </w:p>
    <w:p>
      <w:pPr>
        <w:spacing w:after="0" w:line="181" w:lineRule="exact"/>
        <w:rPr>
          <w:sz w:val="20"/>
          <w:szCs w:val="20"/>
          <w:color w:val="auto"/>
        </w:rPr>
      </w:pPr>
    </w:p>
    <w:p>
      <w:pPr>
        <w:ind w:left="1500" w:hanging="743"/>
        <w:spacing w:after="0"/>
        <w:tabs>
          <w:tab w:leader="none" w:pos="1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Rent.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Fixed Rent</w:t>
      </w:r>
      <w:r>
        <w:rPr>
          <w:rFonts w:ascii="Times New Roman" w:cs="Times New Roman" w:eastAsia="Times New Roman" w:hAnsi="Times New Roman"/>
          <w:sz w:val="22"/>
          <w:szCs w:val="22"/>
          <w:color w:val="auto"/>
        </w:rPr>
        <w:t xml:space="preserve">. Sublessee shall pay rent (“Fixed Rent”) at the times and in the amounts set forth in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Notwithstanding anything to the contrary contained herein, in consideration of Sublessee entering into this Sublease and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long as there is no Default under this Sublease, monthly Fixed Rent shall abate for the first six (6) full calendar months of the Sublease Term (the “Rent Abatement Period”). The total amount of monthly Fixed Rent during the Rent Abatement Period shall be referred to herein as the “Abated Rent.” During the Rent Abatement Period all other costs and charges specified in this Sublease other than the Abated Rent shall remain as due and payable pursuant to the provisions of this Sublease. If a Default by Sublessee shall occur while the foregoing Rent Abatement Period is still in effect, such abatement shall be</w:t>
      </w:r>
    </w:p>
    <w:p>
      <w:pPr>
        <w:jc w:val="center"/>
        <w:spacing w:after="0" w:line="229" w:lineRule="auto"/>
        <w:rPr>
          <w:sz w:val="20"/>
          <w:szCs w:val="20"/>
          <w:color w:val="auto"/>
        </w:rPr>
      </w:pPr>
      <w:r>
        <w:rPr>
          <w:rFonts w:ascii="Times New Roman" w:cs="Times New Roman" w:eastAsia="Times New Roman" w:hAnsi="Times New Roman"/>
          <w:sz w:val="22"/>
          <w:szCs w:val="22"/>
          <w:color w:val="auto"/>
        </w:rPr>
        <w:t>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7" w:name="page168"/>
    <w:bookmarkEnd w:id="167"/>
    <w:p>
      <w:pPr>
        <w:jc w:val="both"/>
        <w:spacing w:after="0" w:line="235" w:lineRule="auto"/>
        <w:rPr>
          <w:sz w:val="20"/>
          <w:szCs w:val="20"/>
          <w:color w:val="auto"/>
        </w:rPr>
      </w:pPr>
      <w:r>
        <w:rPr>
          <w:rFonts w:ascii="Times New Roman" w:cs="Times New Roman" w:eastAsia="Times New Roman" w:hAnsi="Times New Roman"/>
          <w:sz w:val="22"/>
          <w:szCs w:val="22"/>
          <w:color w:val="auto"/>
        </w:rPr>
        <w:t>suspended during any period in which Sublessee is in default under this Sublease beyond any applicable notice and cure periods and shall resume when such default has been cured, if Sublessor elects to accept such cure, and thereafter remain in effect until Sublessee has received the full 6 months of abated Fixed Rent. If a Default by Sublessee shall occur at any time during the Sublease Term which results in a termination of this Sublease or Sublessee’s right to possession of the Subleased Premises hereunder, the portion of the Abated Rent unamortized as of the date such Default occurs (with the Abated Rent being deemed to have been amortized in equal monthly installments together with interest thereon at the rate of eight percent (8%) per annum over the number of full calendar months in the Sublease Term following such abatement period) shall become due and payable by Sublessee to Sublessor within thirty (30) days of such termination.</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Additional Rent</w:t>
      </w:r>
      <w:r>
        <w:rPr>
          <w:rFonts w:ascii="Times New Roman" w:cs="Times New Roman" w:eastAsia="Times New Roman" w:hAnsi="Times New Roman"/>
          <w:sz w:val="22"/>
          <w:szCs w:val="22"/>
          <w:color w:val="auto"/>
        </w:rPr>
        <w:t xml:space="preserve">. In addition to Fixed Rent, Sublessee shall pay as additional rent for Electricity and Operating Expenses (collectively, the “Additional Rent”) in the amounts set forth in </w:t>
      </w:r>
      <w:r>
        <w:rPr>
          <w:rFonts w:ascii="Times New Roman" w:cs="Times New Roman" w:eastAsia="Times New Roman" w:hAnsi="Times New Roman"/>
          <w:sz w:val="22"/>
          <w:szCs w:val="22"/>
          <w:b w:val="1"/>
          <w:bCs w:val="1"/>
          <w:u w:val="single" w:color="auto"/>
          <w:color w:val="auto"/>
        </w:rPr>
        <w:t>Exhibit D</w:t>
      </w:r>
      <w:r>
        <w:rPr>
          <w:rFonts w:ascii="Times New Roman" w:cs="Times New Roman" w:eastAsia="Times New Roman" w:hAnsi="Times New Roman"/>
          <w:sz w:val="22"/>
          <w:szCs w:val="22"/>
          <w:color w:val="auto"/>
        </w:rPr>
        <w:t>, in accordance with the Prime Lease. Sublessee’s payment of Additional Rent shall be subject to the provisions of Article 9 and Article 10 of the Prime Lease as amended pursuant to Exhibit D and may be adjusted throughout the Sublease Term in accordance with the terms of the Prime Lease. Sublessor shall have the same rights and remedies for nonpayment of Additional Rent as Sublessor has for nonpayment of Fixed Rent.</w:t>
      </w:r>
    </w:p>
    <w:p>
      <w:pPr>
        <w:spacing w:after="0" w:line="208" w:lineRule="exact"/>
        <w:rPr>
          <w:sz w:val="20"/>
          <w:szCs w:val="20"/>
          <w:color w:val="auto"/>
        </w:rPr>
      </w:pPr>
    </w:p>
    <w:p>
      <w:pPr>
        <w:ind w:left="1500"/>
        <w:spacing w:after="0"/>
        <w:tabs>
          <w:tab w:leader="none" w:pos="20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Rent In General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4.3.1. All Fixed Rent, Additional Rent, and any other amounts due from Sublessee to Sublessor under this Sublease (collectively, “Rent”) shall be paid to Sublessor at the following address, or at such other address as Sublessor may direct from time to time: Amarin Pharma, Inc., 440 Route 22 East, Suite 300, Bridgewater, New Jersey 08807 (Attn: Accounts Payable). Notwithstanding anything to the contrary contained herein, Sublessor will complete and return a W-9 form and forward its banking account information to Sublessee, and Sublessee shall have the option to make all required payments of Rent by electronic funds transfer.</w:t>
      </w:r>
    </w:p>
    <w:p>
      <w:pPr>
        <w:spacing w:after="0" w:line="208"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4.3.2. All Rent shall be paid without notice or demand and without any setoff or deduction whatsoever, except as expressly provided herein or as expressly provided in the Prime Lease.</w:t>
      </w:r>
    </w:p>
    <w:p>
      <w:pPr>
        <w:spacing w:after="0" w:line="200" w:lineRule="exact"/>
        <w:rPr>
          <w:sz w:val="20"/>
          <w:szCs w:val="20"/>
          <w:color w:val="auto"/>
        </w:rPr>
      </w:pPr>
    </w:p>
    <w:p>
      <w:pPr>
        <w:spacing w:after="0" w:line="228"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4.3.3. Any payment of Rent which is not paid within five (5) days of the date due shall bear interest from the date due until the date paid at the rate of five percent (5%) per annum over the rate announced by JP Morgan Chase Bank, N.A., or its successor as its prime or corporate based lending rate from time to time, but no more than the maximum rate permitted by law (the “Overdue Interest Rate”).</w:t>
      </w:r>
    </w:p>
    <w:p>
      <w:pPr>
        <w:spacing w:after="0" w:line="203" w:lineRule="exact"/>
        <w:rPr>
          <w:sz w:val="20"/>
          <w:szCs w:val="20"/>
          <w:color w:val="auto"/>
        </w:rPr>
      </w:pPr>
    </w:p>
    <w:p>
      <w:pPr>
        <w:ind w:left="1320" w:hanging="563"/>
        <w:spacing w:after="0"/>
        <w:tabs>
          <w:tab w:leader="none" w:pos="13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Use.  </w:t>
      </w:r>
      <w:r>
        <w:rPr>
          <w:rFonts w:ascii="Times New Roman" w:cs="Times New Roman" w:eastAsia="Times New Roman" w:hAnsi="Times New Roman"/>
          <w:sz w:val="22"/>
          <w:szCs w:val="22"/>
          <w:color w:val="auto"/>
        </w:rPr>
        <w:t>Sublessee shall use and occupy the Subleased Premises for the following purposes only and for no other</w:t>
      </w:r>
    </w:p>
    <w:p>
      <w:pPr>
        <w:spacing w:after="0" w:line="18"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purpose: executive, general and administrative offices, training and any other lawfully permitted use consistent with a Class A office building, all subject to applicable laws as set forth in the Prime Lease. Sublessee shall be responsible to secure, at its sole cost and expense, any and all certificates of occupancy or permits required for Sublessee’s use and occupancy of the Subleased Premises.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jc w:val="both"/>
        <w:ind w:left="1500" w:firstLine="754"/>
        <w:spacing w:after="0" w:line="245" w:lineRule="auto"/>
        <w:tabs>
          <w:tab w:leader="none" w:pos="273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Subleased Premises Accepted “AS-IS”. </w:t>
      </w:r>
      <w:r>
        <w:rPr>
          <w:rFonts w:ascii="Times New Roman" w:cs="Times New Roman" w:eastAsia="Times New Roman" w:hAnsi="Times New Roman"/>
          <w:sz w:val="21"/>
          <w:szCs w:val="21"/>
          <w:color w:val="auto"/>
        </w:rPr>
        <w:t>The Subleased Premises are accepted by Sublessee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their present condition, </w:t>
      </w:r>
      <w:r>
        <w:rPr>
          <w:rFonts w:ascii="Times New Roman" w:cs="Times New Roman" w:eastAsia="Times New Roman" w:hAnsi="Times New Roman"/>
          <w:sz w:val="21"/>
          <w:szCs w:val="21"/>
          <w:b w:val="1"/>
          <w:bCs w:val="1"/>
          <w:color w:val="auto"/>
        </w:rPr>
        <w:t>“AS-IS,”</w:t>
      </w:r>
      <w:r>
        <w:rPr>
          <w:rFonts w:ascii="Times New Roman" w:cs="Times New Roman" w:eastAsia="Times New Roman" w:hAnsi="Times New Roman"/>
          <w:sz w:val="21"/>
          <w:szCs w:val="21"/>
          <w:color w:val="auto"/>
        </w:rPr>
        <w:t xml:space="preserve"> without any representation or warranty by Sublessor, except as expressly provided for in this Sublease, subject to the state of title on the date of this Sublease, and also subject to all applicable legal requirements and any violation of legal requirements which may exist on the date of this Sublease. Sublessee has visually examined and approved the Subleased Premises, subject to Sublessor’s obligation to deliver the Subleased Premises in clean, vacant condition (except for the Sublessor’s Property, as hereinafter defined). Sublessor shall have no obligation to make any improvements to the Subleased Premises or provide Sublessee any allowance for so doing. Upon Prime Landlord’s consent and the full-execution of this Sublease, Sublessee shall be permitted to enter the Subleased Premises in order to commence installing its equipment, racking systems, fixtures, and furniture, subject to Sublessee obtaining, at Sublessee’s sole cost and expense, all permits required in connection with the installation thereof (if any). With respect to such early access, all provisions of this Sublease shall then be in full force and effect, including Sections 8 and 11 hereof (excluding, however, Sublessor’s obligations to pay Fixed Rent or Additional Rent, including electricity).</w:t>
      </w:r>
    </w:p>
    <w:p>
      <w:pPr>
        <w:spacing w:after="0" w:line="170" w:lineRule="exact"/>
        <w:rPr>
          <w:rFonts w:ascii="Times New Roman" w:cs="Times New Roman" w:eastAsia="Times New Roman" w:hAnsi="Times New Roman"/>
          <w:sz w:val="21"/>
          <w:szCs w:val="21"/>
          <w:color w:val="auto"/>
        </w:rPr>
      </w:pPr>
    </w:p>
    <w:p>
      <w:pPr>
        <w:ind w:left="1500" w:hanging="743"/>
        <w:spacing w:after="0"/>
        <w:tabs>
          <w:tab w:leader="none" w:pos="15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and Subletting.</w:t>
      </w:r>
    </w:p>
    <w:p>
      <w:pPr>
        <w:spacing w:after="0" w:line="210"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Sublessor’s Consent Required</w:t>
      </w:r>
      <w:r>
        <w:rPr>
          <w:rFonts w:ascii="Times New Roman" w:cs="Times New Roman" w:eastAsia="Times New Roman" w:hAnsi="Times New Roman"/>
          <w:sz w:val="22"/>
          <w:szCs w:val="22"/>
          <w:color w:val="auto"/>
        </w:rPr>
        <w:t>.  Except as expressly provided herein, Sublessee shall not assign this</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Sublease or sublet all or any part of the Subleased Premises, or mortgage, pledge or encumber the subleasehold interest created by this Sublease, without the prior written consent of Sublessor, which consent shall not be unreasonably withheld, conditioned or delayed, and the prior written consent of Prime Landlord, to the extent Prime Landlord’s consent is required pursuant to the Prime Lease.</w:t>
      </w:r>
    </w:p>
    <w:p>
      <w:pPr>
        <w:spacing w:after="0" w:line="20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Permitted Transfers</w:t>
      </w:r>
      <w:r>
        <w:rPr>
          <w:rFonts w:ascii="Times New Roman" w:cs="Times New Roman" w:eastAsia="Times New Roman" w:hAnsi="Times New Roman"/>
          <w:sz w:val="22"/>
          <w:szCs w:val="22"/>
          <w:color w:val="auto"/>
        </w:rPr>
        <w:t>. Notwithstanding anything set forth in this Sublease to the contrary, Sublessor’s consent shall not be required for a Permitted Transfer (as defined in the Prime Lease).</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Transfers By Legal Process or Operation of Law</w:t>
      </w:r>
      <w:r>
        <w:rPr>
          <w:rFonts w:ascii="Times New Roman" w:cs="Times New Roman" w:eastAsia="Times New Roman" w:hAnsi="Times New Roman"/>
          <w:sz w:val="22"/>
          <w:szCs w:val="22"/>
          <w:color w:val="auto"/>
        </w:rPr>
        <w:t>. For purposes of this Article 7, any transfer by levy or sale on execution, by other legal process, by operation of law, and any transfer in bankruptcy or insolvency, or under any other compulsory procedure or order of court shall be deemed to be an assignment of this Sublease.</w:t>
      </w:r>
    </w:p>
    <w:p>
      <w:pPr>
        <w:spacing w:after="0" w:line="196" w:lineRule="exact"/>
        <w:rPr>
          <w:sz w:val="20"/>
          <w:szCs w:val="20"/>
          <w:color w:val="auto"/>
        </w:rPr>
      </w:pPr>
    </w:p>
    <w:p>
      <w:pPr>
        <w:ind w:left="1500" w:hanging="743"/>
        <w:spacing w:after="0"/>
        <w:tabs>
          <w:tab w:leader="none" w:pos="15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Alterations.</w:t>
      </w:r>
    </w:p>
    <w:p>
      <w:pPr>
        <w:spacing w:after="0" w:line="210"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General Requirements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8.1.1. Sublessee shall not make any alterations, additions or improvements to the Subleased Premises (“Alterations”) without the prior written consent of Sublessor, which consent may be withheld in Sublessor’s sole and uncontrolled discretion as to any Structural or Exterior Change (as defined in the Prime Lease), and which consent shall not be unreasonably withheld, conditioned or delayed in relation to approval for other Alterations and</w:t>
      </w:r>
    </w:p>
    <w:p>
      <w:pPr>
        <w:jc w:val="center"/>
        <w:spacing w:after="0" w:line="228" w:lineRule="auto"/>
        <w:rPr>
          <w:sz w:val="20"/>
          <w:szCs w:val="20"/>
          <w:color w:val="auto"/>
        </w:rPr>
      </w:pPr>
      <w:r>
        <w:rPr>
          <w:rFonts w:ascii="Times New Roman" w:cs="Times New Roman" w:eastAsia="Times New Roman" w:hAnsi="Times New Roman"/>
          <w:sz w:val="22"/>
          <w:szCs w:val="22"/>
          <w:color w:val="auto"/>
        </w:rPr>
        <w:t>8</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the prior written consent of Prime Landlord, to the extent such consent is required pursuant to the Prime Lease.</w:t>
      </w:r>
    </w:p>
    <w:p>
      <w:pPr>
        <w:spacing w:after="0" w:line="234"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8.1.2. All Alterations shall be made at Sublessee’s sole cost and expense, including, but not limited to, obtaining construction or building permits, in a good and workmanlike manner, in accordance with all applicable laws and in accordance with the Prime Lease.</w:t>
      </w:r>
    </w:p>
    <w:p>
      <w:pPr>
        <w:spacing w:after="0" w:line="200" w:lineRule="exact"/>
        <w:rPr>
          <w:sz w:val="20"/>
          <w:szCs w:val="20"/>
          <w:color w:val="auto"/>
        </w:rPr>
      </w:pPr>
    </w:p>
    <w:p>
      <w:pPr>
        <w:jc w:val="both"/>
        <w:ind w:firstLine="2246"/>
        <w:spacing w:after="0" w:line="245" w:lineRule="auto"/>
        <w:rPr>
          <w:sz w:val="20"/>
          <w:szCs w:val="20"/>
          <w:color w:val="auto"/>
        </w:rPr>
      </w:pPr>
      <w:r>
        <w:rPr>
          <w:rFonts w:ascii="Times New Roman" w:cs="Times New Roman" w:eastAsia="Times New Roman" w:hAnsi="Times New Roman"/>
          <w:sz w:val="21"/>
          <w:szCs w:val="21"/>
          <w:color w:val="auto"/>
        </w:rPr>
        <w:t>8.1.3. The built-ins, furniture, fixtures, and all equipment presently in the Subleased Premises (“Sublessor’s Property”) will remain in the Subleased Premises during the Sublease Term for use by the Sublessee at no additional rent or other charge or consideration and shall become the property of Sublessee at the expiration or sooner termination of the Sublease Term, except in the event that such termination arises a default by Sublessee or a failure to obtain Prime Landlord’s consent, in which case Sublessor shall have the right to retain the Sublessor’s Property. If requested by Sublessee, Sublessor shall deliver a bill of sale to Sublessee for Sublessor’s Property. Except as set forth in the Prime Lease, Sublessee shall have no obligation to make any repairs or replacements to the Sublessor’s Property or insure the Sublessor’s Property and shall have the right to dispose of any item of Sublessor’s Property during the Sublease Term. An inventory of Sublessor’s Property that shall become the Property of Sublessee is set forth in Exhibit E-1 attached hereto. Sublessor makes no representation or warranty as to the condition or utility of Sublessor’s Property, provided that Sublessor represents and warrants that it is the owner of the Sublessor’s Property, and the Sublessor’s Property is not subject to any security interest or other lien.</w:t>
      </w:r>
    </w:p>
    <w:p>
      <w:pPr>
        <w:spacing w:after="0" w:line="204" w:lineRule="exact"/>
        <w:rPr>
          <w:sz w:val="20"/>
          <w:szCs w:val="20"/>
          <w:color w:val="auto"/>
        </w:rPr>
      </w:pPr>
    </w:p>
    <w:p>
      <w:pPr>
        <w:jc w:val="both"/>
        <w:ind w:firstLine="2246"/>
        <w:spacing w:after="0" w:line="235" w:lineRule="auto"/>
        <w:rPr>
          <w:sz w:val="20"/>
          <w:szCs w:val="20"/>
          <w:color w:val="auto"/>
        </w:rPr>
      </w:pPr>
      <w:r>
        <w:rPr>
          <w:rFonts w:ascii="Times New Roman" w:cs="Times New Roman" w:eastAsia="Times New Roman" w:hAnsi="Times New Roman"/>
          <w:sz w:val="22"/>
          <w:szCs w:val="22"/>
          <w:color w:val="auto"/>
        </w:rPr>
        <w:t>8.1.4. Sublessee has agreed to transfer title to Sublessor certain property of Sublessee presently located at Sublessee’s Hampton facility and listed on Exhibit E-2 attached hereto (“Sublessee’s Hampton FF&amp;E”). Sublessee shall remove and move Sublessee’s Hampton FF&amp;E to the Remaining Premises at Sublessee’s sole cost and expense within thirty (30) days after the Sublease Commencement Date. If requested by Sublessor, Sublessee shall deliver a bill of sale to Sublessee for Sublessor’s Property. Sublessee makes no representation or warranty as to the condition or utility of Sublessee’s Hampton FF&amp;E, provided that Sublessee represents and warrants that it is the owner of the Sublessee’s Hampton FF&amp;E, and the Sublessee’s Hampton FF&amp;E is not subject to any security interest or other lien.</w:t>
      </w:r>
    </w:p>
    <w:p>
      <w:pPr>
        <w:spacing w:after="0" w:line="21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Removal of Sublessor’s Property and Alterations</w:t>
      </w:r>
      <w:r>
        <w:rPr>
          <w:rFonts w:ascii="Times New Roman" w:cs="Times New Roman" w:eastAsia="Times New Roman" w:hAnsi="Times New Roman"/>
          <w:sz w:val="22"/>
          <w:szCs w:val="22"/>
          <w:color w:val="auto"/>
        </w:rPr>
        <w:t>. Upon the expiration or sooner termination of the Sublease Term, Sublessee shall remove all of Sublessor’s Property and any Alterations made by Sublessee which Sublessor requires that Sublessee remove, provided that Sublessor may only require that any Alteration made by Sublessee be removed upon the expiration or earlier termination of the Sublease Term if Sublessor notified Sublessee in writing that such removal would be required at the time Sublessor approved the Alteration, or if Prime Landlord requires that such Alterations be removed at the expiration or sooner termination of the Term. Sublessee will repair and restore any damage to the Subleased Premises caused by the installation or removal of its Alterations. Without limiting the generality of the foregoing, if required by Prime Landlord, all wiring and cabling installed by or for Sublessee, whether inside or outside, shall be removed by Sublessee, at Sublessee’s sole cost and expense, at the expiration or earlier termination of the Sublease Term. If Sublessee fails to perform any of its obligations under this Section 8.2,</w:t>
      </w:r>
    </w:p>
    <w:p>
      <w:pPr>
        <w:jc w:val="center"/>
        <w:spacing w:after="0" w:line="235" w:lineRule="auto"/>
        <w:rPr>
          <w:sz w:val="20"/>
          <w:szCs w:val="20"/>
          <w:color w:val="auto"/>
        </w:rPr>
      </w:pPr>
      <w:r>
        <w:rPr>
          <w:rFonts w:ascii="Times New Roman" w:cs="Times New Roman" w:eastAsia="Times New Roman" w:hAnsi="Times New Roman"/>
          <w:sz w:val="22"/>
          <w:szCs w:val="22"/>
          <w:color w:val="auto"/>
        </w:rPr>
        <w:t>9</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0" w:name="page171"/>
    <w:bookmarkEnd w:id="170"/>
    <w:p>
      <w:pPr>
        <w:jc w:val="both"/>
        <w:spacing w:after="0" w:line="238" w:lineRule="auto"/>
        <w:rPr>
          <w:sz w:val="20"/>
          <w:szCs w:val="20"/>
          <w:color w:val="auto"/>
        </w:rPr>
      </w:pPr>
      <w:r>
        <w:rPr>
          <w:rFonts w:ascii="Times New Roman" w:cs="Times New Roman" w:eastAsia="Times New Roman" w:hAnsi="Times New Roman"/>
          <w:sz w:val="22"/>
          <w:szCs w:val="22"/>
          <w:color w:val="auto"/>
        </w:rPr>
        <w:t>Sublessor may perform such obligations on behalf of Sublessee, and the cost and expense thereof, together with interest at the Overdue Interest Rate from the date such costs and expenses were incurred by Sublessor, shall be paid by Sublessee to Sublessor as Additional Rent within thirty (30) days after Sublessee is billed therefor. For avoidance of doubt, Sublessee shall have no obligation to removal any Alterations, improvements or fixtures that exist in the Subleased Premises as of the Commencement Date.</w:t>
      </w:r>
    </w:p>
    <w:p>
      <w:pPr>
        <w:spacing w:after="0" w:line="200" w:lineRule="exact"/>
        <w:rPr>
          <w:sz w:val="20"/>
          <w:szCs w:val="20"/>
          <w:color w:val="auto"/>
        </w:rPr>
      </w:pPr>
    </w:p>
    <w:p>
      <w:pPr>
        <w:ind w:left="1500" w:right="6020" w:hanging="743"/>
        <w:spacing w:after="0" w:line="471" w:lineRule="auto"/>
        <w:tabs>
          <w:tab w:leader="none" w:pos="1500"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Mechanics Liens; Other Encumbrances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Intentionally Omitted.</w:t>
      </w:r>
    </w:p>
    <w:p>
      <w:pPr>
        <w:spacing w:after="0" w:line="1" w:lineRule="exact"/>
        <w:rPr>
          <w:sz w:val="20"/>
          <w:szCs w:val="20"/>
          <w:color w:val="auto"/>
        </w:rPr>
      </w:pPr>
    </w:p>
    <w:p>
      <w:pPr>
        <w:ind w:left="1500"/>
        <w:spacing w:after="0"/>
        <w:tabs>
          <w:tab w:leader="none" w:pos="20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Obligation to Discharge; Failure to Discharge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2246"/>
        <w:spacing w:after="0" w:line="233" w:lineRule="auto"/>
        <w:rPr>
          <w:sz w:val="20"/>
          <w:szCs w:val="20"/>
          <w:color w:val="auto"/>
        </w:rPr>
      </w:pPr>
      <w:r>
        <w:rPr>
          <w:rFonts w:ascii="Times New Roman" w:cs="Times New Roman" w:eastAsia="Times New Roman" w:hAnsi="Times New Roman"/>
          <w:sz w:val="22"/>
          <w:szCs w:val="22"/>
          <w:color w:val="auto"/>
        </w:rPr>
        <w:t>9.2.1. Sublessee shall promptly pay each of Sublessee’s contractors, and shall keep the Subleased Premises, the Premises and the Property free from any liens arising out of any labor, services, materials, supplies or equipment furnished or alleged to have been furnished to Sublessee. Should any lien be made or filed in connection with the Alterations, Sublessee shall bond against or discharge the same within thirty (30) days after receiving notice thereof, regardless of the validity of the lien or claim. If Sublessee shall fail to cause such lien to be bonded against or to be dis charged within such period, then, in addition to any other right or remedy which Sublessor may have, Sublessor may, but shall not be obligated to, dis charge the same either by paying the amount claimed to be due or by procur ing the discharge of such lien by deposit or by bond ing. Any amount so paid by Sublessor and all costs and expenses incurred by Sublessor in connection therewith, together with interest at the Overdue Interest Rate from the respective dates of Sublessor’s making of the payment and incurring of the cost and expense, shall consti tute Addi tional Rent payable by Sublessee under this Sublease and shall be paid by Sublessee to Sublessor within thirty (30) days of written demand.</w:t>
      </w:r>
    </w:p>
    <w:p>
      <w:pPr>
        <w:spacing w:after="0" w:line="21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No Consent Implied</w:t>
      </w:r>
      <w:r>
        <w:rPr>
          <w:rFonts w:ascii="Times New Roman" w:cs="Times New Roman" w:eastAsia="Times New Roman" w:hAnsi="Times New Roman"/>
          <w:sz w:val="22"/>
          <w:szCs w:val="22"/>
          <w:color w:val="auto"/>
        </w:rPr>
        <w:t>. Nothing set forth in this Sublease shall be deemed or construed as (A) a consent or request by Prime Landlord or Sublessor, expressed or im plied, by inference or otherwise, to any contrac tor, labor er or materialman for the performance of any labor or the furnishing of any materials for any specific or general improvement, alteration or repair of or to the Subleased Pre mises, the Premises or the Property or any part thereof; or (B) giving Sublessee or any other person, firm or corporation any right to contract for or to perform any labor or furnish any services or materials that would permit or give rise to a lien against the Subleased Premises, the Premises, the Property or any part thereof. Neither this Sublease nor any other writing signed by Sublessor or Prime Landlord shall be construed as evidencing, indi cating, or causing an appearance that any erection, con struction, alteration or repair to be done, or caused to be done, by Sublessee is or was for the immediate use or benefit of Sublessor or Prime Landlord.</w:t>
      </w:r>
    </w:p>
    <w:p>
      <w:pPr>
        <w:spacing w:after="0" w:line="206" w:lineRule="exact"/>
        <w:rPr>
          <w:sz w:val="20"/>
          <w:szCs w:val="20"/>
          <w:color w:val="auto"/>
        </w:rPr>
      </w:pPr>
    </w:p>
    <w:p>
      <w:pPr>
        <w:jc w:val="both"/>
        <w:ind w:firstLine="757"/>
        <w:spacing w:after="0" w:line="238" w:lineRule="auto"/>
        <w:tabs>
          <w:tab w:leader="none" w:pos="130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Parking. </w:t>
      </w:r>
      <w:r>
        <w:rPr>
          <w:rFonts w:ascii="Times New Roman" w:cs="Times New Roman" w:eastAsia="Times New Roman" w:hAnsi="Times New Roman"/>
          <w:sz w:val="22"/>
          <w:szCs w:val="22"/>
          <w:color w:val="auto"/>
        </w:rPr>
        <w:t>Except as otherwise set forth in this Section 10, all parking shall be subject to the Prime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Sublessee shall have the right to use fourteen (14) of the nineteen (19) reserved parking spaces allocated to Sublessor pursuant to the Prime Lease for Sublessee’s exclusive use. The reserved parking spaces allocated for Sublessee’s use are shown on Exhibit F. The remaining five (5) reserved parking spaces shall remain for Sublessor’s exclusive use (“Sublessor’s Designated Parking”). In addition to the fourteen (14) reserved parking spaces,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1" w:name="page172"/>
    <w:bookmarkEnd w:id="171"/>
    <w:p>
      <w:pPr>
        <w:spacing w:after="0" w:line="259" w:lineRule="auto"/>
        <w:rPr>
          <w:sz w:val="20"/>
          <w:szCs w:val="20"/>
          <w:color w:val="auto"/>
        </w:rPr>
      </w:pPr>
      <w:r>
        <w:rPr>
          <w:rFonts w:ascii="Times New Roman" w:cs="Times New Roman" w:eastAsia="Times New Roman" w:hAnsi="Times New Roman"/>
          <w:sz w:val="22"/>
          <w:szCs w:val="22"/>
          <w:color w:val="auto"/>
        </w:rPr>
        <w:t>Sublessee shall have the right to use parking in accordance with Article 30 of the Prime Lease, other than Sublessor’s Designated Parking.</w:t>
      </w:r>
    </w:p>
    <w:p>
      <w:pPr>
        <w:spacing w:after="0" w:line="153" w:lineRule="exact"/>
        <w:rPr>
          <w:sz w:val="20"/>
          <w:szCs w:val="20"/>
          <w:color w:val="auto"/>
        </w:rPr>
      </w:pPr>
    </w:p>
    <w:p>
      <w:pPr>
        <w:ind w:left="1500" w:hanging="743"/>
        <w:spacing w:after="0"/>
        <w:tabs>
          <w:tab w:leader="none" w:pos="150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Insurance.</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Sublessee’s Insurance</w:t>
      </w:r>
      <w:r>
        <w:rPr>
          <w:rFonts w:ascii="Times New Roman" w:cs="Times New Roman" w:eastAsia="Times New Roman" w:hAnsi="Times New Roman"/>
          <w:sz w:val="22"/>
          <w:szCs w:val="22"/>
          <w:color w:val="auto"/>
        </w:rPr>
        <w:t>. Sublessee, at its sole cost and expense, shall maintain the following insurance coverages in full force and effect during the Sublease Term:</w:t>
      </w:r>
    </w:p>
    <w:p>
      <w:pPr>
        <w:spacing w:after="0" w:line="185"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11.1.1. Commercial general liability insurance, with contractual liability endorsement, with a combined single limit per occurrence for personal injury and property damage of not less than Three Million Dollars ($3,000,000.00), with a Four Million Dollar ($4,000,000.00) aggregate limitation; that can be satisfied with any combination of primary and umbrella / excess liability policies with such commercially reasonable increases as Sublessor or Prime Landlord may request from time to time within twelve (12) months of request;</w:t>
      </w:r>
    </w:p>
    <w:p>
      <w:pPr>
        <w:spacing w:after="0" w:line="20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11.1.2. Worker’s compensation and employer’s liability insurance in form and amounts as required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law;</w:t>
      </w:r>
    </w:p>
    <w:p>
      <w:pPr>
        <w:spacing w:after="0" w:line="209"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11.1.3. Special form (formerly known as “all risks”) property insurance insuring loss of or damage to all of Sublessee’s personal property located therein, including, without limitation, Sublessee’s goods, trade fixtures, and equipment, written at 100% of replacement cost (exclusive of footings, foundations and underground utilities); and</w:t>
      </w:r>
    </w:p>
    <w:p>
      <w:pPr>
        <w:spacing w:after="0" w:line="20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11.1.4. such other insurance in forms and amounts as may be required by the Prime Lease.</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Policy Requirements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11.2.1. Each policy of insurance required to be maintained by Sublessee shall:</w:t>
      </w:r>
    </w:p>
    <w:p>
      <w:pPr>
        <w:spacing w:after="0" w:line="233" w:lineRule="exact"/>
        <w:rPr>
          <w:sz w:val="20"/>
          <w:szCs w:val="20"/>
          <w:color w:val="auto"/>
        </w:rPr>
      </w:pPr>
    </w:p>
    <w:p>
      <w:pPr>
        <w:jc w:val="both"/>
        <w:ind w:left="4200" w:hanging="1197"/>
        <w:spacing w:after="0" w:line="258" w:lineRule="auto"/>
        <w:tabs>
          <w:tab w:leader="none" w:pos="4180" w:val="left"/>
        </w:tabs>
        <w:rPr>
          <w:sz w:val="20"/>
          <w:szCs w:val="20"/>
          <w:color w:val="auto"/>
        </w:rPr>
      </w:pPr>
      <w:r>
        <w:rPr>
          <w:rFonts w:ascii="Times New Roman" w:cs="Times New Roman" w:eastAsia="Times New Roman" w:hAnsi="Times New Roman"/>
          <w:sz w:val="22"/>
          <w:szCs w:val="22"/>
          <w:color w:val="auto"/>
        </w:rPr>
        <w:t>11.2.1.1.</w:t>
      </w:r>
      <w:r>
        <w:rPr>
          <w:sz w:val="20"/>
          <w:szCs w:val="20"/>
          <w:color w:val="auto"/>
        </w:rPr>
        <w:tab/>
      </w:r>
      <w:r>
        <w:rPr>
          <w:rFonts w:ascii="Times New Roman" w:cs="Times New Roman" w:eastAsia="Times New Roman" w:hAnsi="Times New Roman"/>
          <w:sz w:val="22"/>
          <w:szCs w:val="22"/>
          <w:color w:val="auto"/>
        </w:rPr>
        <w:t>be issued by responsible insurance companies, qualified to do business in the State of New Jersey and acceptable to Prime Landlord;</w:t>
      </w:r>
    </w:p>
    <w:p>
      <w:pPr>
        <w:spacing w:after="0" w:line="185" w:lineRule="exact"/>
        <w:rPr>
          <w:sz w:val="20"/>
          <w:szCs w:val="20"/>
          <w:color w:val="auto"/>
        </w:rPr>
      </w:pPr>
    </w:p>
    <w:p>
      <w:pPr>
        <w:jc w:val="both"/>
        <w:ind w:left="4200" w:hanging="1197"/>
        <w:spacing w:after="0" w:line="239" w:lineRule="auto"/>
        <w:tabs>
          <w:tab w:leader="none" w:pos="4180" w:val="left"/>
        </w:tabs>
        <w:rPr>
          <w:sz w:val="20"/>
          <w:szCs w:val="20"/>
          <w:color w:val="auto"/>
        </w:rPr>
      </w:pPr>
      <w:r>
        <w:rPr>
          <w:rFonts w:ascii="Times New Roman" w:cs="Times New Roman" w:eastAsia="Times New Roman" w:hAnsi="Times New Roman"/>
          <w:sz w:val="22"/>
          <w:szCs w:val="22"/>
          <w:color w:val="auto"/>
        </w:rPr>
        <w:t>11.2.1.2.</w:t>
      </w:r>
      <w:r>
        <w:rPr>
          <w:sz w:val="20"/>
          <w:szCs w:val="20"/>
          <w:color w:val="auto"/>
        </w:rPr>
        <w:tab/>
      </w:r>
      <w:r>
        <w:rPr>
          <w:rFonts w:ascii="Times New Roman" w:cs="Times New Roman" w:eastAsia="Times New Roman" w:hAnsi="Times New Roman"/>
          <w:sz w:val="22"/>
          <w:szCs w:val="22"/>
          <w:color w:val="auto"/>
        </w:rPr>
        <w:t>to the extent commercially available, provide that (A) such policy shall not be changed, canceled or expire without at least thirty (30) days prior written notice to Sublessor and Prime Landlord, and (B) no act or omission of Sublessee shall affect the obligation of the insurer to pay the full amount of any loss sustained;</w:t>
      </w:r>
    </w:p>
    <w:p>
      <w:pPr>
        <w:spacing w:after="0" w:line="207"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11.2.1.3.</w:t>
      </w:r>
      <w:r>
        <w:rPr>
          <w:sz w:val="20"/>
          <w:szCs w:val="20"/>
          <w:color w:val="auto"/>
        </w:rPr>
        <w:tab/>
      </w:r>
      <w:r>
        <w:rPr>
          <w:rFonts w:ascii="Times New Roman" w:cs="Times New Roman" w:eastAsia="Times New Roman" w:hAnsi="Times New Roman"/>
          <w:sz w:val="21"/>
          <w:szCs w:val="21"/>
          <w:color w:val="auto"/>
        </w:rPr>
        <w:t>comply with the requirements of the Prime Lease; and</w:t>
      </w:r>
    </w:p>
    <w:p>
      <w:pPr>
        <w:spacing w:after="0" w:line="233"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11.2.1.4.</w:t>
      </w:r>
      <w:r>
        <w:rPr>
          <w:sz w:val="20"/>
          <w:szCs w:val="20"/>
          <w:color w:val="auto"/>
        </w:rPr>
        <w:tab/>
      </w:r>
      <w:r>
        <w:rPr>
          <w:rFonts w:ascii="Times New Roman" w:cs="Times New Roman" w:eastAsia="Times New Roman" w:hAnsi="Times New Roman"/>
          <w:sz w:val="21"/>
          <w:szCs w:val="21"/>
          <w:color w:val="auto"/>
        </w:rPr>
        <w:t>otherwise be acceptable to Prime Landlord.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2" w:name="page173"/>
    <w:bookmarkEnd w:id="172"/>
    <w:p>
      <w:pPr>
        <w:ind w:left="2260"/>
        <w:spacing w:after="0"/>
        <w:rPr>
          <w:sz w:val="20"/>
          <w:szCs w:val="20"/>
          <w:color w:val="auto"/>
        </w:rPr>
      </w:pPr>
      <w:r>
        <w:rPr>
          <w:rFonts w:ascii="Times New Roman" w:cs="Times New Roman" w:eastAsia="Times New Roman" w:hAnsi="Times New Roman"/>
          <w:sz w:val="22"/>
          <w:szCs w:val="22"/>
          <w:color w:val="auto"/>
        </w:rPr>
        <w:t>11.2.2.  The liability insurance maintained by Sublessee pursuant to Subsection 11.1.1 shall:</w:t>
      </w:r>
    </w:p>
    <w:p>
      <w:pPr>
        <w:spacing w:after="0" w:line="234"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11.2.2.1.</w:t>
      </w:r>
      <w:r>
        <w:rPr>
          <w:sz w:val="20"/>
          <w:szCs w:val="20"/>
          <w:color w:val="auto"/>
        </w:rPr>
        <w:tab/>
      </w:r>
      <w:r>
        <w:rPr>
          <w:rFonts w:ascii="Times New Roman" w:cs="Times New Roman" w:eastAsia="Times New Roman" w:hAnsi="Times New Roman"/>
          <w:sz w:val="21"/>
          <w:szCs w:val="21"/>
          <w:color w:val="auto"/>
        </w:rPr>
        <w:t>name Sublessor and Prime Landlord as additional insureds;</w:t>
      </w:r>
    </w:p>
    <w:p>
      <w:pPr>
        <w:spacing w:after="0" w:line="233" w:lineRule="exact"/>
        <w:rPr>
          <w:sz w:val="20"/>
          <w:szCs w:val="20"/>
          <w:color w:val="auto"/>
        </w:rPr>
      </w:pPr>
    </w:p>
    <w:p>
      <w:pPr>
        <w:jc w:val="both"/>
        <w:ind w:left="4200" w:hanging="1197"/>
        <w:spacing w:after="0" w:line="258" w:lineRule="auto"/>
        <w:tabs>
          <w:tab w:leader="none" w:pos="4180" w:val="left"/>
        </w:tabs>
        <w:rPr>
          <w:sz w:val="20"/>
          <w:szCs w:val="20"/>
          <w:color w:val="auto"/>
        </w:rPr>
      </w:pPr>
      <w:r>
        <w:rPr>
          <w:rFonts w:ascii="Times New Roman" w:cs="Times New Roman" w:eastAsia="Times New Roman" w:hAnsi="Times New Roman"/>
          <w:sz w:val="22"/>
          <w:szCs w:val="22"/>
          <w:color w:val="auto"/>
        </w:rPr>
        <w:t>11.2.2.2.</w:t>
      </w:r>
      <w:r>
        <w:rPr>
          <w:sz w:val="20"/>
          <w:szCs w:val="20"/>
          <w:color w:val="auto"/>
        </w:rPr>
        <w:tab/>
      </w:r>
      <w:r>
        <w:rPr>
          <w:rFonts w:ascii="Times New Roman" w:cs="Times New Roman" w:eastAsia="Times New Roman" w:hAnsi="Times New Roman"/>
          <w:sz w:val="22"/>
          <w:szCs w:val="22"/>
          <w:color w:val="auto"/>
        </w:rPr>
        <w:t>be primary in coverage to any similar insurance maintained by Sublessor or Prime Landlord;</w:t>
      </w:r>
    </w:p>
    <w:p>
      <w:pPr>
        <w:spacing w:after="0" w:line="185" w:lineRule="exact"/>
        <w:rPr>
          <w:sz w:val="20"/>
          <w:szCs w:val="20"/>
          <w:color w:val="auto"/>
        </w:rPr>
      </w:pPr>
    </w:p>
    <w:p>
      <w:pPr>
        <w:ind w:left="3000"/>
        <w:spacing w:after="0"/>
        <w:tabs>
          <w:tab w:leader="none" w:pos="4180" w:val="left"/>
        </w:tabs>
        <w:rPr>
          <w:sz w:val="20"/>
          <w:szCs w:val="20"/>
          <w:color w:val="auto"/>
        </w:rPr>
      </w:pPr>
      <w:r>
        <w:rPr>
          <w:rFonts w:ascii="Times New Roman" w:cs="Times New Roman" w:eastAsia="Times New Roman" w:hAnsi="Times New Roman"/>
          <w:sz w:val="22"/>
          <w:szCs w:val="22"/>
          <w:color w:val="auto"/>
        </w:rPr>
        <w:t>11.2.2.3.</w:t>
      </w:r>
      <w:r>
        <w:rPr>
          <w:sz w:val="20"/>
          <w:szCs w:val="20"/>
          <w:color w:val="auto"/>
        </w:rPr>
        <w:tab/>
      </w:r>
      <w:r>
        <w:rPr>
          <w:rFonts w:ascii="Times New Roman" w:cs="Times New Roman" w:eastAsia="Times New Roman" w:hAnsi="Times New Roman"/>
          <w:sz w:val="21"/>
          <w:szCs w:val="21"/>
          <w:color w:val="auto"/>
        </w:rPr>
        <w:t>intentionally omitted; and</w:t>
      </w:r>
    </w:p>
    <w:p>
      <w:pPr>
        <w:spacing w:after="0" w:line="233" w:lineRule="exact"/>
        <w:rPr>
          <w:sz w:val="20"/>
          <w:szCs w:val="20"/>
          <w:color w:val="auto"/>
        </w:rPr>
      </w:pPr>
    </w:p>
    <w:p>
      <w:pPr>
        <w:jc w:val="both"/>
        <w:ind w:left="4200" w:right="20" w:hanging="1197"/>
        <w:spacing w:after="0" w:line="244" w:lineRule="auto"/>
        <w:tabs>
          <w:tab w:leader="none" w:pos="4180" w:val="left"/>
        </w:tabs>
        <w:rPr>
          <w:sz w:val="20"/>
          <w:szCs w:val="20"/>
          <w:color w:val="auto"/>
        </w:rPr>
      </w:pPr>
      <w:r>
        <w:rPr>
          <w:rFonts w:ascii="Times New Roman" w:cs="Times New Roman" w:eastAsia="Times New Roman" w:hAnsi="Times New Roman"/>
          <w:sz w:val="22"/>
          <w:szCs w:val="22"/>
          <w:color w:val="auto"/>
        </w:rPr>
        <w:t>11.2.2.4.</w:t>
      </w:r>
      <w:r>
        <w:rPr>
          <w:sz w:val="20"/>
          <w:szCs w:val="20"/>
          <w:color w:val="auto"/>
        </w:rPr>
        <w:tab/>
      </w:r>
      <w:r>
        <w:rPr>
          <w:rFonts w:ascii="Times New Roman" w:cs="Times New Roman" w:eastAsia="Times New Roman" w:hAnsi="Times New Roman"/>
          <w:sz w:val="22"/>
          <w:szCs w:val="22"/>
          <w:color w:val="auto"/>
        </w:rPr>
        <w:t>to the extent any coverage is provided pursuant to a “blanket” policy, include an “Aggregate Per Location” endorsement, so that the full aggregate limit of liability shall be applicable to occurrences at the Subleased Premises.</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Delivery of Certificates; Failure to Maintain Insurance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11.3.1. Prior to the Sublease Commencement Date, and within ten (10) days prior to the expiration of each policy required under Section 11.1, Sublessee shall deliver to Sublessor certificates evidencing the foregoing insurance or renewal thereof, as the case may be.</w:t>
      </w:r>
    </w:p>
    <w:p>
      <w:pPr>
        <w:spacing w:after="0" w:line="200" w:lineRule="exact"/>
        <w:rPr>
          <w:sz w:val="20"/>
          <w:szCs w:val="20"/>
          <w:color w:val="auto"/>
        </w:rPr>
      </w:pPr>
    </w:p>
    <w:p>
      <w:pPr>
        <w:jc w:val="both"/>
        <w:ind w:firstLine="2246"/>
        <w:spacing w:after="0" w:line="236" w:lineRule="auto"/>
        <w:rPr>
          <w:sz w:val="20"/>
          <w:szCs w:val="20"/>
          <w:color w:val="auto"/>
        </w:rPr>
      </w:pPr>
      <w:r>
        <w:rPr>
          <w:rFonts w:ascii="Times New Roman" w:cs="Times New Roman" w:eastAsia="Times New Roman" w:hAnsi="Times New Roman"/>
          <w:sz w:val="22"/>
          <w:szCs w:val="22"/>
          <w:color w:val="auto"/>
        </w:rPr>
        <w:t>11.3.2. If Sublessee shall fail, refuse or neglect to obtain or to maintain any insurance that it is required to provide or to fur nish Sublessor with satisfactory evidence of coverage on any such policy, Sublessor shall have the right to purchase such insurance seventy-two (72) hours after it has provided Sublessee with written notice that it intends to do so unless within such seventy-two (72) hour period, Sublessee furnishes Sublessor with evidence that Sublessee has procured such insurance. Sublessee shall reimburse Sublessor for all such payments made by Sublessor, together with interest thereon at the Overdue Interest Rate from the date paid by Sublessor, within ten (10) days after Sublessee is billed therefor.</w:t>
      </w:r>
    </w:p>
    <w:p>
      <w:pPr>
        <w:spacing w:after="0" w:line="20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11.4. Notwithstanding anything to the contrary in this Sublease, Sublessee shall at all times obtain and maintain the insurance coverage set forth in Article 14 of the Prime Lease applicable to the Subleased Premises in accordance with the terms and conditions therein.</w:t>
      </w:r>
    </w:p>
    <w:p>
      <w:pPr>
        <w:spacing w:after="0" w:line="196" w:lineRule="exact"/>
        <w:rPr>
          <w:sz w:val="20"/>
          <w:szCs w:val="20"/>
          <w:color w:val="auto"/>
        </w:rPr>
      </w:pPr>
    </w:p>
    <w:p>
      <w:pPr>
        <w:ind w:left="1500" w:hanging="743"/>
        <w:spacing w:after="0"/>
        <w:tabs>
          <w:tab w:leader="none" w:pos="150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 of Subrogation.</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12.1. Sublessor and Sublessee, for themselves and their respective insurers, hereby release each other of and from any and all claims, demands, actions and causes of action, (including, without limitation, subrogation claims), for loss or damage to their respective property, even if the loss or damage shall have been caused by the fault or negligence of the other party, or anyone for whom such party may be responsible.</w:t>
      </w:r>
    </w:p>
    <w:p>
      <w:pPr>
        <w:spacing w:after="0" w:line="207"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12.2. The waiver and release provided in Section 12.1 shall be effective only with respect to loss or damage (a) covered by insurance or required to be covered by insurance pursuant to the terms of this Sublease, and (b) occurring during such time as the relevant insurance policy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3" w:name="page174"/>
    <w:bookmarkEnd w:id="173"/>
    <w:p>
      <w:pPr>
        <w:jc w:val="both"/>
        <w:spacing w:after="0" w:line="236" w:lineRule="auto"/>
        <w:rPr>
          <w:sz w:val="20"/>
          <w:szCs w:val="20"/>
          <w:color w:val="auto"/>
        </w:rPr>
      </w:pPr>
      <w:r>
        <w:rPr>
          <w:rFonts w:ascii="Times New Roman" w:cs="Times New Roman" w:eastAsia="Times New Roman" w:hAnsi="Times New Roman"/>
          <w:sz w:val="22"/>
          <w:szCs w:val="22"/>
          <w:color w:val="auto"/>
        </w:rPr>
        <w:t>contains either (i) a waiver of the insurer’s right of subrogation against the other party, or (ii) a clause or endorsement to the effect that the waiver and release provided in Section 12.1 shall not adversely affect or impair such insurance or prejudice the right of the insured to recover under the insurance policy. Each party will use its best efforts to obtain such a clause or endorsement, but if an additional premium is charged therefor, the party benefiting from such clause or endorsement, if it desires to have such waiver, will pay to the other the amount of such additional premi um within ten (10) days after delivery of a statement for the amount due.</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12.3. With respect to the waiver of subrogation contained in Section 14.10 of the Prime Lease, such waiver shall be deemed to be modified to constitute an agreement by and among and apply to Prime Landlord, Sublessor, and Sublessee (and Prime Landlord’s consent to this Sublease shall be deemed to constitute its approval of this modification).</w:t>
      </w:r>
    </w:p>
    <w:p>
      <w:pPr>
        <w:spacing w:after="0" w:line="196" w:lineRule="exact"/>
        <w:rPr>
          <w:sz w:val="20"/>
          <w:szCs w:val="20"/>
          <w:color w:val="auto"/>
        </w:rPr>
      </w:pPr>
    </w:p>
    <w:p>
      <w:pPr>
        <w:ind w:left="1320" w:hanging="563"/>
        <w:spacing w:after="0"/>
        <w:tabs>
          <w:tab w:leader="none" w:pos="13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13.1. Sublessee shall indemnify, defend and hold harmless Sublessor and its affiliates, and their respective officers, directors, stockholders, beneficiaries, partners, representatives, agents, contractors, invitees and employees (whether singular or plural, “Sublessor Indemnified Parties”), from and against any and all Liabilities (as defined in the Prime Lease) in connection with a third-party claim and to the extent arising from: (i) any occurrence in, upon or at the Subleased Premises following the Commencement Date, except to the extent caused by the negligence or willful misconduct of the Sublessor Indemnified Parties, (ii) the occupancy or use of the Subleased Premises or any part thereof by the Sublessee Indemnified Parties,</w:t>
      </w:r>
    </w:p>
    <w:p>
      <w:pPr>
        <w:spacing w:after="0" w:line="3" w:lineRule="exact"/>
        <w:rPr>
          <w:sz w:val="20"/>
          <w:szCs w:val="20"/>
          <w:color w:val="auto"/>
        </w:rPr>
      </w:pPr>
    </w:p>
    <w:p>
      <w:pPr>
        <w:jc w:val="both"/>
        <w:ind w:firstLine="8"/>
        <w:spacing w:after="0" w:line="235" w:lineRule="auto"/>
        <w:tabs>
          <w:tab w:leader="none" w:pos="3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the provisions of this Sublease by the Sublessee Indemnified Parties, or (iv) the negligence or willful misconduct of the Sublessee Indemnified Parties, except to the extent caused by the negligence or willful misconduct of the Sublessor Indemnified Parties.</w:t>
      </w:r>
    </w:p>
    <w:p>
      <w:pPr>
        <w:spacing w:after="0" w:line="20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13.2. Sublessor shall indemnify, defend, and hold harmless Sublessee and its affiliates, and their respective officers, directors, stockholders, beneficiaries, partners, representatives, agents, contractors, invitees and employees (whether singular or plural, “Sublessee Indemnified Parties”) from and against any and all Liabilities in connection with a third-party claim and to the extent arising from (i) any occurrence in, upon or at the Remaining Premises, except to the extent caused by the negligence or willful misconduct of the Sublessee Indemnified Parties, (ii) any occurrence in, upon or at the Subleased Premises occurring prior to the Commencement Date, except to the extent caused by the negligence or willful misconduct of the Sublessee Indemnified Parties, (iii) a material breach of the provisions of this Sublease by the Sublessor Indemnified Parties, or (iv) resulting from the negligence or willful misconduct of the Sublessor Indemnified Parties, except to the extent caused by the negligence or willful misconduct of the Sublessee Indemnified Parties.</w:t>
      </w:r>
    </w:p>
    <w:p>
      <w:pPr>
        <w:spacing w:after="0" w:line="21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13.3. A party that intends to claim indemnification (“Indemnitee”) under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shall promptly notify the indemnifying party (“Indemnitor”) in writing of any third-party claim included within the indemnification obligations described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(each a “Claim”) with respect to which the Indemnitee intends to claim such indemnification, and the Indemnitor shall have sole control of the defense and settlement of the Claim. The Indemnitee shall have the right to participate, at its own expense, with counsel of its own choosing in the defense or settlement of the Claim. The indemnification obligations set forth in this </w:t>
      </w:r>
      <w:r>
        <w:rPr>
          <w:rFonts w:ascii="Times New Roman" w:cs="Times New Roman" w:eastAsia="Times New Roman" w:hAnsi="Times New Roman"/>
          <w:sz w:val="22"/>
          <w:szCs w:val="22"/>
          <w:u w:val="single" w:color="auto"/>
          <w:color w:val="auto"/>
        </w:rPr>
        <w:t>Section</w:t>
      </w:r>
    </w:p>
    <w:p>
      <w:pPr>
        <w:jc w:val="center"/>
        <w:spacing w:after="0" w:line="229" w:lineRule="auto"/>
        <w:rPr>
          <w:sz w:val="20"/>
          <w:szCs w:val="20"/>
          <w:color w:val="auto"/>
        </w:rPr>
      </w:pPr>
      <w:r>
        <w:rPr>
          <w:rFonts w:ascii="Times New Roman" w:cs="Times New Roman" w:eastAsia="Times New Roman" w:hAnsi="Times New Roman"/>
          <w:sz w:val="22"/>
          <w:szCs w:val="22"/>
          <w:color w:val="auto"/>
        </w:rPr>
        <w:t>13</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4" w:name="page175"/>
    <w:bookmarkEnd w:id="174"/>
    <w:p>
      <w:pPr>
        <w:jc w:val="both"/>
        <w:spacing w:after="0"/>
        <w:rPr>
          <w:sz w:val="20"/>
          <w:szCs w:val="20"/>
          <w:color w:val="auto"/>
        </w:rPr>
      </w:pP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shall not apply to amounts paid in settlement of any Claim if such settlement is effected without the consent of the Indemnitor. The Indemnitee, at the Indemnitor’s request and expense, shall provide full information and reasonable assistance to Indemnitor and its legal representatives with respect to Claims. An Indemnitor’s indemnification obligation shall include any fees incurred by the Indemnitee successfully enforcing the Indemnitor’s indemnification obligation.</w:t>
      </w:r>
    </w:p>
    <w:p>
      <w:pPr>
        <w:spacing w:after="0" w:line="200" w:lineRule="exact"/>
        <w:rPr>
          <w:sz w:val="20"/>
          <w:szCs w:val="20"/>
          <w:color w:val="auto"/>
        </w:rPr>
      </w:pPr>
    </w:p>
    <w:p>
      <w:pPr>
        <w:jc w:val="both"/>
        <w:ind w:left="1500" w:right="20" w:firstLine="754"/>
        <w:spacing w:after="0" w:line="246" w:lineRule="auto"/>
        <w:tabs>
          <w:tab w:leader="none" w:pos="273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Environmental Matters. </w:t>
      </w:r>
      <w:r>
        <w:rPr>
          <w:rFonts w:ascii="Times New Roman" w:cs="Times New Roman" w:eastAsia="Times New Roman" w:hAnsi="Times New Roman"/>
          <w:sz w:val="22"/>
          <w:szCs w:val="22"/>
          <w:color w:val="auto"/>
        </w:rPr>
        <w:t>Sublessee represents that its North American Industrial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System (“NAICS”) number, as designated in the Standard Classification Manual prepared by the Office of Management and Budget, Executive Office of the President of the United States, is 423450.</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Surrender; Holdover.</w:t>
      </w:r>
    </w:p>
    <w:p>
      <w:pPr>
        <w:spacing w:after="0" w:line="210"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u w:val="single" w:color="auto"/>
          <w:color w:val="auto"/>
        </w:rPr>
        <w:t>Condition Upon Surrender</w:t>
      </w:r>
      <w:r>
        <w:rPr>
          <w:rFonts w:ascii="Times New Roman" w:cs="Times New Roman" w:eastAsia="Times New Roman" w:hAnsi="Times New Roman"/>
          <w:sz w:val="22"/>
          <w:szCs w:val="22"/>
          <w:color w:val="auto"/>
        </w:rPr>
        <w:t>.  Subject to the provisions of Section 23.1, at the expiration or earlier</w:t>
      </w:r>
    </w:p>
    <w:p>
      <w:pPr>
        <w:spacing w:after="0" w:line="1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termination of the Sublease Term, Sublessee shall promptly surrender possession of the Subleased Premises and all Alterations (subject to Article 8 of this Sublease), in the condition required by the Prime Lease provided, however, that Sublessee shall have no obligation or liability for the removal of any alterations or improvements to the Subleased Premises that existed prior to the Commencement Date of this Sublease.</w:t>
      </w:r>
    </w:p>
    <w:p>
      <w:pPr>
        <w:spacing w:after="0" w:line="20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Personal Property</w:t>
      </w:r>
      <w:r>
        <w:rPr>
          <w:rFonts w:ascii="Times New Roman" w:cs="Times New Roman" w:eastAsia="Times New Roman" w:hAnsi="Times New Roman"/>
          <w:sz w:val="22"/>
          <w:szCs w:val="22"/>
          <w:color w:val="auto"/>
        </w:rPr>
        <w:t>. Subject to the provisions of Section 23.1, sublessee shall remove all personal property from the Subleased Premises at the expiration or earlier termination of the Sublease Term. Any personal property which shall remain in the Subleased Premises after the expiration or earlier termination of the Sublease Term shall be deemed to have been abandoned and either may be retained by Sublessor as Sublessor’s property or may be disposed of in such manner as Sublessor may see fit. Any costs of removing and disposing of the personal property incurred by Sublessor, together with interest at the Overdue Interest Rate from the date such costs and expenses are incurred, shall be paid by Sublessee to Sublessor as Additional Rent within thirty (30) days after Sublessee is billed therefor. If such personal property is sold by Sublessor, Sublessor may receive and retain the pro ceeds of such sale as Sublessor’s property.</w:t>
      </w:r>
    </w:p>
    <w:p>
      <w:pPr>
        <w:spacing w:after="0" w:line="205"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u w:val="single" w:color="auto"/>
          <w:color w:val="auto"/>
        </w:rPr>
        <w:t>Holdover</w:t>
      </w:r>
      <w:r>
        <w:rPr>
          <w:rFonts w:ascii="Times New Roman" w:cs="Times New Roman" w:eastAsia="Times New Roman" w:hAnsi="Times New Roman"/>
          <w:sz w:val="22"/>
          <w:szCs w:val="22"/>
          <w:color w:val="auto"/>
        </w:rPr>
        <w:t>. Subject to the provisions of Section 23.1, if Sublessee retains possession of the Subleased Premises or any part thereof after the termination of this Sublease by expiration of the Sublease Term or otherwise, Sublessee shall pay Sublessor (A) an amount, calculated on a per diem basis for each day of such unlawful retention, equal to one and one-half (1½) the Fixed Rent in effect immediately prior to the expiration or earlier termination of the Sublease Term plus all Additional Rent payable hereunder, (B) any amounts due to Prime Landlord under the Prime Lease including, without limitation, holdover charges arising by reason of Sublessee’s holding over, to the extent in excess of the holdover charge under clause (A) above, and (C) if such holdover exceeds sixty (60) days all other actual and direct damages, costs and expenses sustained by Sublessor by reason of Sublessee’s holding over. All of Sublessee’s obligations with respect to the use, occupancy and maintenance of the Subleased Premises shall continue during such period of retention; however, neither the com pliance with such obligations nor the payment of the amounts set forth above in this Section shall create any right in Sublessee to continue in possession of the Subleased Premises or limit any rights or remedies of Sublessor resulting from such holdover.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5" w:name="page176"/>
    <w:bookmarkEnd w:id="175"/>
    <w:p>
      <w:pPr>
        <w:ind w:right="20" w:firstLine="757"/>
        <w:spacing w:after="0" w:line="262" w:lineRule="auto"/>
        <w:tabs>
          <w:tab w:leader="none" w:pos="130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Default. </w:t>
      </w:r>
      <w:r>
        <w:rPr>
          <w:rFonts w:ascii="Times New Roman" w:cs="Times New Roman" w:eastAsia="Times New Roman" w:hAnsi="Times New Roman"/>
          <w:sz w:val="22"/>
          <w:szCs w:val="22"/>
          <w:color w:val="auto"/>
        </w:rPr>
        <w:t>Any of the Conditions of Limitation set forth in Article 18 of the Prime Lease shall constitute a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(“Default”) hereunder. In addition, it shall be a Default under this Sublease if:</w:t>
      </w:r>
    </w:p>
    <w:p>
      <w:pPr>
        <w:spacing w:after="0" w:line="15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16.1. Sublessee fails to pay any installment of Rent or other sum due under this Sublease within five (5) days after Sublessor shall have given a written notice to Sublessee specifying Sublessee’s failure to do so; Sublessor shall not be required to give such notice more than two (2) times during any calendar year, then, thereafter, any such failure to pay Rent on the date when same is due and payable shall entitle Sublessor to exercise the rights hereinafter provided in the event of Sublessee’s default without further notice; or</w:t>
      </w:r>
    </w:p>
    <w:p>
      <w:pPr>
        <w:spacing w:after="0" w:line="20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16.2. Sublessee fails to observe or perform any other covenant or agreement of Sublessee contained in this Sublease (including, without limitation, the covenants and agreements incorporated from the Prime Lease by reference, pursuant to Article 2 of this Sublease) and such failure continues after written notice given by or on behalf of Sublessor to Sublessee for more than twenty-five (25) days and such additional time, if any, as is reasonably necessary to cure such failure, provided Sublessee commences to cure such failure within such twenty-five day period and diligently thereafter prosecutes such cure to completion.</w:t>
      </w:r>
    </w:p>
    <w:p>
      <w:pPr>
        <w:spacing w:after="0" w:line="204" w:lineRule="exact"/>
        <w:rPr>
          <w:sz w:val="20"/>
          <w:szCs w:val="20"/>
          <w:color w:val="auto"/>
        </w:rPr>
      </w:pPr>
    </w:p>
    <w:p>
      <w:pPr>
        <w:jc w:val="both"/>
        <w:ind w:firstLine="757"/>
        <w:spacing w:after="0" w:line="241" w:lineRule="auto"/>
        <w:tabs>
          <w:tab w:leader="none" w:pos="13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Remedies. </w:t>
      </w:r>
      <w:r>
        <w:rPr>
          <w:rFonts w:ascii="Times New Roman" w:cs="Times New Roman" w:eastAsia="Times New Roman" w:hAnsi="Times New Roman"/>
          <w:sz w:val="22"/>
          <w:szCs w:val="22"/>
          <w:color w:val="auto"/>
        </w:rPr>
        <w:t>The rights and remedies of Sublessor upon the occurrence of a Default under this Sublease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same as the rights and remedies of Prime Landlord upon the occurrence of an event of Default under the Prime Lease. In the event of a Default, Sublessor shall use commercially reasonable efforts to mitigate its damages. For purposes of this Section, references to Base Rent mean Fixed Rent as used in the Prime Lease.</w:t>
      </w:r>
    </w:p>
    <w:p>
      <w:pPr>
        <w:spacing w:after="0" w:line="198" w:lineRule="exact"/>
        <w:rPr>
          <w:rFonts w:ascii="Times New Roman" w:cs="Times New Roman" w:eastAsia="Times New Roman" w:hAnsi="Times New Roman"/>
          <w:sz w:val="22"/>
          <w:szCs w:val="22"/>
          <w:color w:val="auto"/>
        </w:rPr>
      </w:pPr>
    </w:p>
    <w:p>
      <w:pPr>
        <w:jc w:val="both"/>
        <w:ind w:firstLine="757"/>
        <w:spacing w:after="0" w:line="238" w:lineRule="auto"/>
        <w:tabs>
          <w:tab w:leader="none" w:pos="130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 Of Jury Trial. </w:t>
      </w:r>
      <w:r>
        <w:rPr>
          <w:rFonts w:ascii="Times New Roman" w:cs="Times New Roman" w:eastAsia="Times New Roman" w:hAnsi="Times New Roman"/>
          <w:sz w:val="22"/>
          <w:szCs w:val="22"/>
          <w:color w:val="auto"/>
        </w:rPr>
        <w:t>SUBLESSEE AND SUBLESSOR EACH HEREBY WAIVES TRIAL BY JURY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PROCEEDING OR COUNTERCLAIM BROUGHT ON ANY MATTER ARISING OUT OF OR IN ANY WAY CONNECTED WITH THIS SUBLEASE, THE RELATIONSHIP OF SUBLESSOR AND SUBLESSEE, SUBLESSEE’S USE OR OCCUPANCY OF THE SUBLEASED PREMISES, OR ANY CLAIM OF INJURY OR DAMAGE, OR ANY OTHER REMEDY WITH RESPECT THERETO.</w:t>
      </w:r>
    </w:p>
    <w:p>
      <w:pPr>
        <w:spacing w:after="0" w:line="20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Security Deposit.</w:t>
      </w:r>
    </w:p>
    <w:p>
      <w:pPr>
        <w:spacing w:after="0" w:line="206"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 xml:space="preserve">19.1.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Simultaneously with the execution of this Sublease, Sublessee shall deposit the sum of </w:t>
      </w:r>
      <w:r>
        <w:rPr>
          <w:rFonts w:ascii="Times New Roman" w:cs="Times New Roman" w:eastAsia="Times New Roman" w:hAnsi="Times New Roman"/>
          <w:sz w:val="21"/>
          <w:szCs w:val="21"/>
          <w:b w:val="1"/>
          <w:bCs w:val="1"/>
          <w:color w:val="auto"/>
        </w:rPr>
        <w: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HUNDRED EIGHTY THREE THOUSAND THREE HUNDRED THIRTY-THREE DOLLARS AND 33/100 </w:t>
      </w:r>
      <w:r>
        <w:rPr>
          <w:rFonts w:ascii="Times New Roman" w:cs="Times New Roman" w:eastAsia="Times New Roman" w:hAnsi="Times New Roman"/>
          <w:sz w:val="21"/>
          <w:szCs w:val="21"/>
          <w:color w:val="auto"/>
        </w:rPr>
        <w:t>($183,333.33) with Sublessor to secure Sublessee’s performance of its obligations under this Sublease (the “Security Deposit”).</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19.2. </w:t>
      </w:r>
      <w:r>
        <w:rPr>
          <w:rFonts w:ascii="Times New Roman" w:cs="Times New Roman" w:eastAsia="Times New Roman" w:hAnsi="Times New Roman"/>
          <w:sz w:val="22"/>
          <w:szCs w:val="22"/>
          <w:u w:val="single" w:color="auto"/>
          <w:color w:val="auto"/>
        </w:rPr>
        <w:t>No Interest</w:t>
      </w:r>
      <w:r>
        <w:rPr>
          <w:rFonts w:ascii="Times New Roman" w:cs="Times New Roman" w:eastAsia="Times New Roman" w:hAnsi="Times New Roman"/>
          <w:sz w:val="22"/>
          <w:szCs w:val="22"/>
          <w:color w:val="auto"/>
        </w:rPr>
        <w:t>. Sublessee shall receive no interest on the Security Deposit. Sublessor may commingle the Security Deposit with other moneys of Sublessor.</w:t>
      </w:r>
    </w:p>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19.3. </w:t>
      </w: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Upon the occurrence of a Default, Sublessor may, without prejudice to Sublessor’s other remedies, apply part or all of the Security Deposit (A) to cure the Default, in whole or in part, and (B) to any losses or damages suffered by Sublessor by reason of such Default. If Sublessor so applies part or all of the Security Deposit, Sublessee shall within ten</w:t>
      </w:r>
    </w:p>
    <w:p>
      <w:pPr>
        <w:jc w:val="center"/>
        <w:spacing w:after="0" w:line="228" w:lineRule="auto"/>
        <w:rPr>
          <w:sz w:val="20"/>
          <w:szCs w:val="20"/>
          <w:color w:val="auto"/>
        </w:rPr>
      </w:pPr>
      <w:r>
        <w:rPr>
          <w:rFonts w:ascii="Times New Roman" w:cs="Times New Roman" w:eastAsia="Times New Roman" w:hAnsi="Times New Roman"/>
          <w:sz w:val="22"/>
          <w:szCs w:val="22"/>
          <w:color w:val="auto"/>
        </w:rPr>
        <w:t>15</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2"/>
          <w:szCs w:val="22"/>
          <w:color w:val="auto"/>
        </w:rPr>
        <w:t>(10) days after written demand, pay Sublessor the amount necessary to restore the Security Deposit to its original amount.</w:t>
      </w:r>
    </w:p>
    <w:p>
      <w:pPr>
        <w:spacing w:after="0" w:line="23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19.4. </w:t>
      </w:r>
      <w:r>
        <w:rPr>
          <w:rFonts w:ascii="Times New Roman" w:cs="Times New Roman" w:eastAsia="Times New Roman" w:hAnsi="Times New Roman"/>
          <w:sz w:val="22"/>
          <w:szCs w:val="22"/>
          <w:u w:val="single" w:color="auto"/>
          <w:color w:val="auto"/>
        </w:rPr>
        <w:t>Transfer of Sublessor’s Interest In Sublease</w:t>
      </w:r>
      <w:r>
        <w:rPr>
          <w:rFonts w:ascii="Times New Roman" w:cs="Times New Roman" w:eastAsia="Times New Roman" w:hAnsi="Times New Roman"/>
          <w:sz w:val="22"/>
          <w:szCs w:val="22"/>
          <w:color w:val="auto"/>
        </w:rPr>
        <w:t>. In the event of a sale, assignment or other transfer of Sublessor’s interest in this Sublease, Sublessor shall transfer the Security Deposit to the purchaser, assignee or transferee. Upon such transfer, Sublessee shall look only to the new sublessor for the return of the Security Deposit and Sublessor shall be released from all liability for the return of the Security Deposit.</w:t>
      </w:r>
    </w:p>
    <w:p>
      <w:pPr>
        <w:spacing w:after="0" w:line="20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19.5. </w:t>
      </w:r>
      <w:r>
        <w:rPr>
          <w:rFonts w:ascii="Times New Roman" w:cs="Times New Roman" w:eastAsia="Times New Roman" w:hAnsi="Times New Roman"/>
          <w:sz w:val="22"/>
          <w:szCs w:val="22"/>
          <w:u w:val="single" w:color="auto"/>
          <w:color w:val="auto"/>
        </w:rPr>
        <w:t>Return of Security Deposit</w:t>
      </w:r>
      <w:r>
        <w:rPr>
          <w:rFonts w:ascii="Times New Roman" w:cs="Times New Roman" w:eastAsia="Times New Roman" w:hAnsi="Times New Roman"/>
          <w:sz w:val="22"/>
          <w:szCs w:val="22"/>
          <w:color w:val="auto"/>
        </w:rPr>
        <w:t>. Any part of the Security Deposit not used by Sublessor shall be returned to Sublessee within thirty (30) days after the later to occur of (A) the expiration of the Sublease Term; or (B) the surrender of the Subleased Premises by Sublessee in accordance with the terms of the Sublease.</w:t>
      </w:r>
    </w:p>
    <w:p>
      <w:pPr>
        <w:spacing w:after="0" w:line="196" w:lineRule="exact"/>
        <w:rPr>
          <w:sz w:val="20"/>
          <w:szCs w:val="20"/>
          <w:color w:val="auto"/>
        </w:rPr>
      </w:pPr>
    </w:p>
    <w:p>
      <w:pPr>
        <w:jc w:val="both"/>
        <w:ind w:firstLine="757"/>
        <w:spacing w:after="0" w:line="238" w:lineRule="auto"/>
        <w:tabs>
          <w:tab w:leader="none" w:pos="130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Quiet Enjoyment. </w:t>
      </w:r>
      <w:r>
        <w:rPr>
          <w:rFonts w:ascii="Times New Roman" w:cs="Times New Roman" w:eastAsia="Times New Roman" w:hAnsi="Times New Roman"/>
          <w:sz w:val="22"/>
          <w:szCs w:val="22"/>
          <w:color w:val="auto"/>
        </w:rPr>
        <w:t>Upon payment by Sublessee of the Rent and upon the observance and performance of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covenants, terms and conditions on Sublessee’s part to be observed and performed under this Sublease, Sublessee shall peaceably and quietly hold and enjoy the Subleased Premises for the Term, without hindrance or interruption by Sublessor or any other person or persons lawfully or equitably claiming by, through or under Sublessor, subject, nevertheless, to the terms and conditions of this Sublease, and any mortgage, deed of trust or lease to which this Sublease is subordinate.</w:t>
      </w:r>
    </w:p>
    <w:p>
      <w:pPr>
        <w:spacing w:after="0" w:line="176"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Sublease Subordinate to Prime Lease; Termination of Prime Lease.</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Sublease Subordinate</w:t>
      </w:r>
      <w:r>
        <w:rPr>
          <w:rFonts w:ascii="Times New Roman" w:cs="Times New Roman" w:eastAsia="Times New Roman" w:hAnsi="Times New Roman"/>
          <w:sz w:val="22"/>
          <w:szCs w:val="22"/>
          <w:color w:val="auto"/>
        </w:rPr>
        <w:t>. This Sublease and the rights of the parties under this Sublease are subject and subordinate to the Prime Lease.</w:t>
      </w:r>
    </w:p>
    <w:p>
      <w:pPr>
        <w:spacing w:after="0" w:line="18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u w:val="single" w:color="auto"/>
          <w:color w:val="auto"/>
        </w:rPr>
        <w:t>Termination of Prime Lease</w:t>
      </w:r>
      <w:r>
        <w:rPr>
          <w:rFonts w:ascii="Times New Roman" w:cs="Times New Roman" w:eastAsia="Times New Roman" w:hAnsi="Times New Roman"/>
          <w:sz w:val="22"/>
          <w:szCs w:val="22"/>
          <w:color w:val="auto"/>
        </w:rPr>
        <w:t>. Subject to the provisions of Section 23.1, if the Prime Lease is terminated for any reason, subject to the terms of the Prime Landlord’s Consent (as hereinafter defined), this Sublease shall terminate as of the date of termination of the Prime Lease and Sublessor shall have no liability to Sublessee as a result of such termination, provided, however, in the event of a voluntary termination of the Prime Lease without the prior written consent of Sublessee or in the event of a termination of the Prime Lease as a result of a default by Sublessor under the Prime Lease (and such default was not caused by a default by Sublessee under this Sublease), Sublessor shall indemnify, defend, and hold Sublessee harmless from any liabilities and damages, including, without limitation, reasonable attorneys’ fees to the extent arising from such termination. For avoidance of doubt, such damages shall include the increased Rent payable by Sublessee under the Prime Lease over the Rent payable under this Sublease pursuant to the recognition provisions of the Prime Landlord’s Consent.</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u w:val="single" w:color="auto"/>
          <w:color w:val="auto"/>
        </w:rPr>
        <w:t>Sublessee’s Consent</w:t>
      </w:r>
      <w:r>
        <w:rPr>
          <w:rFonts w:ascii="Times New Roman" w:cs="Times New Roman" w:eastAsia="Times New Roman" w:hAnsi="Times New Roman"/>
          <w:sz w:val="22"/>
          <w:szCs w:val="22"/>
          <w:color w:val="auto"/>
        </w:rPr>
        <w:t>. Sublessor’s option to terminate the Prime Lease shall be subject to Sublessee’s prior written approval.</w:t>
      </w:r>
    </w:p>
    <w:p>
      <w:pPr>
        <w:spacing w:after="0" w:line="181" w:lineRule="exact"/>
        <w:rPr>
          <w:sz w:val="20"/>
          <w:szCs w:val="20"/>
          <w:color w:val="auto"/>
        </w:rPr>
      </w:pPr>
    </w:p>
    <w:p>
      <w:pPr>
        <w:ind w:left="1500" w:hanging="743"/>
        <w:spacing w:after="0"/>
        <w:tabs>
          <w:tab w:leader="none" w:pos="15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Any notices required or permitted to be given under this Agreement shall be given in writing and shall be delivered 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overnight delivery service or by United States certified</w:t>
      </w:r>
    </w:p>
    <w:p>
      <w:pPr>
        <w:jc w:val="center"/>
        <w:spacing w:after="0" w:line="227" w:lineRule="auto"/>
        <w:rPr>
          <w:sz w:val="20"/>
          <w:szCs w:val="20"/>
          <w:color w:val="auto"/>
        </w:rPr>
      </w:pPr>
      <w:r>
        <w:rPr>
          <w:rFonts w:ascii="Times New Roman" w:cs="Times New Roman" w:eastAsia="Times New Roman" w:hAnsi="Times New Roman"/>
          <w:sz w:val="22"/>
          <w:szCs w:val="22"/>
          <w:color w:val="auto"/>
        </w:rPr>
        <w:t>16</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7" w:name="page178"/>
    <w:bookmarkEnd w:id="177"/>
    <w:p>
      <w:pPr>
        <w:jc w:val="both"/>
        <w:spacing w:after="0" w:line="244" w:lineRule="auto"/>
        <w:rPr>
          <w:sz w:val="20"/>
          <w:szCs w:val="20"/>
          <w:color w:val="auto"/>
        </w:rPr>
      </w:pPr>
      <w:r>
        <w:rPr>
          <w:rFonts w:ascii="Times New Roman" w:cs="Times New Roman" w:eastAsia="Times New Roman" w:hAnsi="Times New Roman"/>
          <w:sz w:val="22"/>
          <w:szCs w:val="22"/>
          <w:color w:val="auto"/>
        </w:rPr>
        <w:t>mail, return receipt requested, postage prepaid, and shall be deemed to have been given, if sent by national overnight delivery service, as of the first (1st) weekday upon which delivery is first attempted and, if sent by United States certified mail, as of the third (3rd) business day following deposit in the United States mail. Such notices shall be addressed as follows: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If to Sublessor:</w:t>
      </w:r>
    </w:p>
    <w:p>
      <w:pPr>
        <w:spacing w:after="0" w:line="2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Amarin Pharma, Inc.</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440 Route 22 East</w:t>
      </w:r>
    </w:p>
    <w:p>
      <w:pPr>
        <w:ind w:left="1620"/>
        <w:spacing w:after="0" w:line="230" w:lineRule="auto"/>
        <w:rPr>
          <w:sz w:val="20"/>
          <w:szCs w:val="20"/>
          <w:color w:val="auto"/>
        </w:rPr>
      </w:pPr>
      <w:r>
        <w:rPr>
          <w:rFonts w:ascii="Times New Roman" w:cs="Times New Roman" w:eastAsia="Times New Roman" w:hAnsi="Times New Roman"/>
          <w:sz w:val="22"/>
          <w:szCs w:val="22"/>
          <w:color w:val="auto"/>
        </w:rPr>
        <w:t>Bridgewater, NJ 08807</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Attn: General Counsel</w:t>
      </w: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With a required copy to:</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Benjamin A. Nadell, Esq.</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Saul Ewing LLP</w:t>
      </w:r>
    </w:p>
    <w:p>
      <w:pPr>
        <w:ind w:left="880"/>
        <w:spacing w:after="0" w:line="230" w:lineRule="auto"/>
        <w:rPr>
          <w:sz w:val="20"/>
          <w:szCs w:val="20"/>
          <w:color w:val="auto"/>
        </w:rPr>
      </w:pPr>
      <w:r>
        <w:rPr>
          <w:rFonts w:ascii="Times New Roman" w:cs="Times New Roman" w:eastAsia="Times New Roman" w:hAnsi="Times New Roman"/>
          <w:sz w:val="22"/>
          <w:szCs w:val="22"/>
          <w:color w:val="auto"/>
        </w:rPr>
        <w:t>650 College Road East, Suite 4000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Princeton, NJ 08540</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Sublessee:</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ST Shared Services LLC</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675 McDonnell Blvd.</w:t>
      </w:r>
    </w:p>
    <w:p>
      <w:pPr>
        <w:ind w:left="880"/>
        <w:spacing w:after="0" w:line="230" w:lineRule="auto"/>
        <w:rPr>
          <w:sz w:val="20"/>
          <w:szCs w:val="20"/>
          <w:color w:val="auto"/>
        </w:rPr>
      </w:pPr>
      <w:r>
        <w:rPr>
          <w:rFonts w:ascii="Times New Roman" w:cs="Times New Roman" w:eastAsia="Times New Roman" w:hAnsi="Times New Roman"/>
          <w:sz w:val="22"/>
          <w:szCs w:val="22"/>
          <w:color w:val="auto"/>
        </w:rPr>
        <w:t>Hazelwood, MO 63042</w:t>
      </w:r>
    </w:p>
    <w:p>
      <w:pPr>
        <w:spacing w:after="0" w:line="1" w:lineRule="exact"/>
        <w:rPr>
          <w:sz w:val="20"/>
          <w:szCs w:val="20"/>
          <w:color w:val="auto"/>
        </w:rPr>
      </w:pPr>
    </w:p>
    <w:p>
      <w:pPr>
        <w:ind w:left="880"/>
        <w:spacing w:after="0"/>
        <w:tabs>
          <w:tab w:leader="none" w:pos="17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Jeffrey Hunter</w:t>
      </w:r>
    </w:p>
    <w:p>
      <w:pPr>
        <w:spacing w:after="0" w:line="2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With separate copy attention to General Counsel</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With a required copy to:</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McCarter &amp; English, LLP</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Four Gateway Center</w:t>
      </w:r>
    </w:p>
    <w:p>
      <w:pPr>
        <w:ind w:left="880"/>
        <w:spacing w:after="0" w:line="230" w:lineRule="auto"/>
        <w:rPr>
          <w:sz w:val="20"/>
          <w:szCs w:val="20"/>
          <w:color w:val="auto"/>
        </w:rPr>
      </w:pPr>
      <w:r>
        <w:rPr>
          <w:rFonts w:ascii="Times New Roman" w:cs="Times New Roman" w:eastAsia="Times New Roman" w:hAnsi="Times New Roman"/>
          <w:sz w:val="22"/>
          <w:szCs w:val="22"/>
          <w:color w:val="auto"/>
        </w:rPr>
        <w:t>100 Mulberry Street</w:t>
      </w:r>
    </w:p>
    <w:p>
      <w:pPr>
        <w:ind w:left="880"/>
        <w:spacing w:after="0" w:line="231" w:lineRule="auto"/>
        <w:rPr>
          <w:sz w:val="20"/>
          <w:szCs w:val="20"/>
          <w:color w:val="auto"/>
        </w:rPr>
      </w:pPr>
      <w:r>
        <w:rPr>
          <w:rFonts w:ascii="Times New Roman" w:cs="Times New Roman" w:eastAsia="Times New Roman" w:hAnsi="Times New Roman"/>
          <w:sz w:val="22"/>
          <w:szCs w:val="22"/>
          <w:color w:val="auto"/>
        </w:rPr>
        <w:t>Newark, New Jersey 07102</w:t>
      </w:r>
    </w:p>
    <w:p>
      <w:pPr>
        <w:ind w:left="880"/>
        <w:spacing w:after="0"/>
        <w:rPr>
          <w:sz w:val="20"/>
          <w:szCs w:val="20"/>
          <w:color w:val="auto"/>
        </w:rPr>
      </w:pPr>
      <w:r>
        <w:rPr>
          <w:rFonts w:ascii="Times New Roman" w:cs="Times New Roman" w:eastAsia="Times New Roman" w:hAnsi="Times New Roman"/>
          <w:sz w:val="22"/>
          <w:szCs w:val="22"/>
          <w:color w:val="auto"/>
        </w:rPr>
        <w:t>Attention: Martin F. Dowd</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or to such other address as either party may from time to time specify in writing to the other party. Any notice shall be effective only upon receipt (or refusal by the intended recipient to accept delivery). Any notice which is received on a Saturday, Sunday or a legal holiday, or after 5:00 p.m. prevailing local time at the place of receipt, shall be deemed received on the next business day.</w:t>
      </w:r>
    </w:p>
    <w:p>
      <w:pPr>
        <w:spacing w:after="0" w:line="180" w:lineRule="exact"/>
        <w:rPr>
          <w:sz w:val="20"/>
          <w:szCs w:val="20"/>
          <w:color w:val="auto"/>
        </w:rPr>
      </w:pPr>
    </w:p>
    <w:p>
      <w:pPr>
        <w:ind w:left="1500" w:hanging="743"/>
        <w:spacing w:after="0"/>
        <w:tabs>
          <w:tab w:leader="none" w:pos="15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Prime Landlord’s Consent.</w:t>
      </w:r>
    </w:p>
    <w:p>
      <w:pPr>
        <w:spacing w:after="0" w:line="21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u w:val="single" w:color="auto"/>
          <w:color w:val="auto"/>
        </w:rPr>
        <w:t>Sublease Conditioned Upon Consent</w:t>
      </w:r>
      <w:r>
        <w:rPr>
          <w:rFonts w:ascii="Times New Roman" w:cs="Times New Roman" w:eastAsia="Times New Roman" w:hAnsi="Times New Roman"/>
          <w:sz w:val="22"/>
          <w:szCs w:val="22"/>
          <w:color w:val="auto"/>
        </w:rPr>
        <w:t>. This Sublease is subject to, and conditioned upon, Sublessor’s obtaining the written consent of Prime Landlord to this Sublease (the “Prime Landlord’s Consent”) in the form attached hereto as Exhibit H, or such other form as</w:t>
      </w:r>
    </w:p>
    <w:p>
      <w:pPr>
        <w:jc w:val="center"/>
        <w:spacing w:after="0" w:line="227" w:lineRule="auto"/>
        <w:rPr>
          <w:sz w:val="20"/>
          <w:szCs w:val="20"/>
          <w:color w:val="auto"/>
        </w:rPr>
      </w:pPr>
      <w:r>
        <w:rPr>
          <w:rFonts w:ascii="Times New Roman" w:cs="Times New Roman" w:eastAsia="Times New Roman" w:hAnsi="Times New Roman"/>
          <w:sz w:val="22"/>
          <w:szCs w:val="22"/>
          <w:color w:val="auto"/>
        </w:rPr>
        <w:t>17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8" w:name="page179"/>
    <w:bookmarkEnd w:id="178"/>
    <w:p>
      <w:pPr>
        <w:jc w:val="both"/>
        <w:spacing w:after="0" w:line="259" w:lineRule="auto"/>
        <w:rPr>
          <w:sz w:val="20"/>
          <w:szCs w:val="20"/>
          <w:color w:val="auto"/>
        </w:rPr>
      </w:pPr>
      <w:r>
        <w:rPr>
          <w:rFonts w:ascii="Times New Roman" w:cs="Times New Roman" w:eastAsia="Times New Roman" w:hAnsi="Times New Roman"/>
          <w:sz w:val="22"/>
          <w:szCs w:val="22"/>
          <w:color w:val="auto"/>
        </w:rPr>
        <w:t>approved by Sublessor and Sublessee. As set forth in Section 1.2 of this Sublease, the Sublease Term shall not commence until the Prime Landlord’s Consent is fully executed by the parties thereto.</w:t>
      </w:r>
    </w:p>
    <w:p>
      <w:pPr>
        <w:spacing w:after="0" w:line="18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23.2. </w:t>
      </w:r>
      <w:r>
        <w:rPr>
          <w:rFonts w:ascii="Times New Roman" w:cs="Times New Roman" w:eastAsia="Times New Roman" w:hAnsi="Times New Roman"/>
          <w:sz w:val="22"/>
          <w:szCs w:val="22"/>
          <w:u w:val="single" w:color="auto"/>
          <w:color w:val="auto"/>
        </w:rPr>
        <w:t>Delivery of Information</w:t>
      </w:r>
      <w:r>
        <w:rPr>
          <w:rFonts w:ascii="Times New Roman" w:cs="Times New Roman" w:eastAsia="Times New Roman" w:hAnsi="Times New Roman"/>
          <w:sz w:val="22"/>
          <w:szCs w:val="22"/>
          <w:color w:val="auto"/>
        </w:rPr>
        <w:t>. Sublessee shall promptly deliver to Sublessor any information reasonably required by Prime Landlord (in connection with the Prime Landlord’s Consent) with respect to the nature and operation of Sublessee’s business and/or the financial condition of Sublessee.</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u w:val="single" w:color="auto"/>
          <w:color w:val="auto"/>
        </w:rPr>
        <w:t>Agreements for Benefit of Prime Landlord</w:t>
      </w:r>
      <w:r>
        <w:rPr>
          <w:rFonts w:ascii="Times New Roman" w:cs="Times New Roman" w:eastAsia="Times New Roman" w:hAnsi="Times New Roman"/>
          <w:sz w:val="22"/>
          <w:szCs w:val="22"/>
          <w:color w:val="auto"/>
        </w:rPr>
        <w:t>.  Sublessor and Sublessee hereby agree, for the benefit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Prime Landlord, that this Sublease shall not:</w:t>
      </w:r>
    </w:p>
    <w:p>
      <w:pPr>
        <w:spacing w:after="0" w:line="209" w:lineRule="exact"/>
        <w:rPr>
          <w:sz w:val="20"/>
          <w:szCs w:val="20"/>
          <w:color w:val="auto"/>
        </w:rPr>
      </w:pPr>
    </w:p>
    <w:p>
      <w:pPr>
        <w:jc w:val="both"/>
        <w:ind w:right="20" w:firstLine="2246"/>
        <w:spacing w:after="0" w:line="258" w:lineRule="auto"/>
        <w:rPr>
          <w:sz w:val="20"/>
          <w:szCs w:val="20"/>
          <w:color w:val="auto"/>
        </w:rPr>
      </w:pPr>
      <w:r>
        <w:rPr>
          <w:rFonts w:ascii="Times New Roman" w:cs="Times New Roman" w:eastAsia="Times New Roman" w:hAnsi="Times New Roman"/>
          <w:sz w:val="22"/>
          <w:szCs w:val="22"/>
          <w:color w:val="auto"/>
        </w:rPr>
        <w:t>23.3.1. create privity of contract between Prime Landlord and Sublessee, except as otherwise expressly provided in Prime Landlord’s Consent;</w:t>
      </w:r>
    </w:p>
    <w:p>
      <w:pPr>
        <w:spacing w:after="0" w:line="185"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23.3.2. be deemed to amend the Prime Lease in any way (unless Prime Landlord shall have expressly agreed in writing to such amendment); or</w:t>
      </w:r>
    </w:p>
    <w:p>
      <w:pPr>
        <w:spacing w:after="0" w:line="185"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23.3.3. be construed as a waiver of Prime Landlord’s right to consent to any assignment of the Prime Lease by Sublessor or any further subletting of the Premises.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Any fee charged by Prime Landlord in connection with the Prime Landlord’s Consent shall be paid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Sublessor.</w:t>
      </w:r>
    </w:p>
    <w:p>
      <w:pPr>
        <w:spacing w:after="0" w:line="20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u w:val="single" w:color="auto"/>
          <w:color w:val="auto"/>
        </w:rPr>
        <w:t>Effect of Failure to Obtain Prime Landlord’s Consent</w:t>
      </w:r>
      <w:r>
        <w:rPr>
          <w:rFonts w:ascii="Times New Roman" w:cs="Times New Roman" w:eastAsia="Times New Roman" w:hAnsi="Times New Roman"/>
          <w:sz w:val="22"/>
          <w:szCs w:val="22"/>
          <w:color w:val="auto"/>
        </w:rPr>
        <w:t>. If Prime Landlord fails to consent to this Sublease within thirty (30) days after the execution and delivery of this Sublease by the parties, either Sublessor or Sublessee may terminate this Sublease by giving written notice to the other at any time thereafter, but before Prime Landlord grants such consent. Upon such termination, (A) Sublessor will return the Security Deposit to Sublessee, (B) this Sublease will become null and void, and (C) neither party will have any liability or obligation to the other under this Sublease.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9" w:name="page180"/>
    <w:bookmarkEnd w:id="179"/>
    <w:p>
      <w:pPr>
        <w:jc w:val="both"/>
        <w:ind w:firstLine="757"/>
        <w:spacing w:after="0" w:line="235" w:lineRule="auto"/>
        <w:tabs>
          <w:tab w:leader="none" w:pos="130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Brokers. </w:t>
      </w:r>
      <w:r>
        <w:rPr>
          <w:rFonts w:ascii="Times New Roman" w:cs="Times New Roman" w:eastAsia="Times New Roman" w:hAnsi="Times New Roman"/>
          <w:sz w:val="22"/>
          <w:szCs w:val="22"/>
          <w:color w:val="auto"/>
        </w:rPr>
        <w:t>Sublessor and Sublessee represent and warrant to each other that no broker or finder other than Jones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Lang LaSalle Brokerage, Inc. (the “Broker”), was instrumental in arranging or bringing about this transaction and that there are no claims or rights for commissions, finders’ fees or other compensation (collectively, “compensation”) by any person or entity other than the Broker. Sublessor shall be solely responsible for all compensation payable to the Broker. If any broker or finder asserts a claim for compensation based upon any actual or alleged contact, dealings or communi ca tion with Sublessor or Sublessee, then the party through whom such broker or finder makes its claim shall indemnify and hold the other party (the “Indemnified Party”) harmless from and against any and all claims, damages, judgments, suits, liabilities, losses, costs and expenses (including without limitation, reasonable attorneys’ fees and court costs) suffered or incurred by or brought against the Indemnified Party in connection with such claim for compensation.</w:t>
      </w:r>
    </w:p>
    <w:p>
      <w:pPr>
        <w:spacing w:after="0" w:line="17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Patriot Act; Executive Order 13224; Anti-Money Laundering Act.</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u w:val="single" w:color="auto"/>
          <w:color w:val="auto"/>
        </w:rPr>
        <w:t>Representation and Warranty</w:t>
      </w:r>
      <w:r>
        <w:rPr>
          <w:rFonts w:ascii="Times New Roman" w:cs="Times New Roman" w:eastAsia="Times New Roman" w:hAnsi="Times New Roman"/>
          <w:sz w:val="22"/>
          <w:szCs w:val="22"/>
          <w:color w:val="auto"/>
        </w:rPr>
        <w:t>. Sublessee represents and warrants that (a)</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Benefited Party is a Prohibited Person, and (b) no Benefited Party is in violation of the Executive Order, the Patriot Act, the Anti-Money Laundering Act, or any order, rule, regulation or recommendation promulgated under or in connection with the Executive Order, the Patriot Act or the Anti-Money Laundering Act.</w:t>
      </w:r>
    </w:p>
    <w:p>
      <w:pPr>
        <w:spacing w:after="0" w:line="20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25.2. </w:t>
      </w:r>
      <w:r>
        <w:rPr>
          <w:rFonts w:ascii="Times New Roman" w:cs="Times New Roman" w:eastAsia="Times New Roman" w:hAnsi="Times New Roman"/>
          <w:sz w:val="22"/>
          <w:szCs w:val="22"/>
          <w:u w:val="single" w:color="auto"/>
          <w:color w:val="auto"/>
        </w:rPr>
        <w:t>Covenants</w:t>
      </w:r>
      <w:r>
        <w:rPr>
          <w:rFonts w:ascii="Times New Roman" w:cs="Times New Roman" w:eastAsia="Times New Roman" w:hAnsi="Times New Roman"/>
          <w:sz w:val="22"/>
          <w:szCs w:val="22"/>
          <w:color w:val="auto"/>
        </w:rPr>
        <w:t>. Sublessee covenants and agrees to ensure that throughout the Term (a) no Benefited Party will be a Prohibited Person, and (b) no Benefited Party will be in violation of the Executive Order, the Patriot Act, the Anti-Money Laundering Act, or any order, rule, regulation or recommendation promulgated under or in connection with the Executive Order, the Patriot Act or the Anti-Money Laundering Act.</w:t>
      </w:r>
    </w:p>
    <w:p>
      <w:pPr>
        <w:spacing w:after="0" w:line="20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25.3. </w:t>
      </w: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On request by Landlord from time to time, Sublessee covenants and agrees promptly to deliver to Sublessor such certification or other evidence as Sublessor may request, confirming that all Benefited Parties are in compliance with the requirements of this Section.</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25.4.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2"/>
          <w:szCs w:val="22"/>
          <w:color w:val="auto"/>
        </w:rPr>
        <w:t>25.4.1. “Benefited Party” means and includes (a) Sublessee; (b) any officer, director, shareholder, partner or member of Sublessee; (c) any direct or indirect holder of any equity interest in Sublessee; and (d) any affiliate of Sublessee.</w:t>
      </w:r>
    </w:p>
    <w:p>
      <w:pPr>
        <w:spacing w:after="0" w:line="200"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25.4.2. “Prohibited Person” means and includes any person or entity with whom US persons or entities are prohibited or restricted from doing business pursuant to (a) the Executive Order and the Annex thereto, (b) the regulations of the Office of Foreign Asset Control of the Department of the Treasury (including the Specially Designated Nationals and Blocked Persons List, as updated from time to time, and (c) any other statute, law, executive order, rule, regulation or other governmental 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0" w:name="page181"/>
    <w:bookmarkEnd w:id="180"/>
    <w:p>
      <w:pPr>
        <w:ind w:firstLine="2246"/>
        <w:spacing w:after="0" w:line="259" w:lineRule="auto"/>
        <w:rPr>
          <w:sz w:val="20"/>
          <w:szCs w:val="20"/>
          <w:color w:val="auto"/>
        </w:rPr>
      </w:pPr>
      <w:r>
        <w:rPr>
          <w:rFonts w:ascii="Times New Roman" w:cs="Times New Roman" w:eastAsia="Times New Roman" w:hAnsi="Times New Roman"/>
          <w:sz w:val="22"/>
          <w:szCs w:val="22"/>
          <w:color w:val="auto"/>
        </w:rPr>
        <w:t>25.4.3. “Executive Order” means Executive Order 13224 signed on September 24, 2001 and titled “Blocking Property and Prohibiting Transactions With Persons Who Commit, Threaten to Commit, or Support Terrorism.”</w:t>
      </w:r>
    </w:p>
    <w:p>
      <w:pPr>
        <w:spacing w:after="0" w:line="184" w:lineRule="exact"/>
        <w:rPr>
          <w:sz w:val="20"/>
          <w:szCs w:val="20"/>
          <w:color w:val="auto"/>
        </w:rPr>
      </w:pPr>
    </w:p>
    <w:p>
      <w:pPr>
        <w:ind w:firstLine="2246"/>
        <w:spacing w:after="0" w:line="258" w:lineRule="auto"/>
        <w:rPr>
          <w:sz w:val="20"/>
          <w:szCs w:val="20"/>
          <w:color w:val="auto"/>
        </w:rPr>
      </w:pPr>
      <w:r>
        <w:rPr>
          <w:rFonts w:ascii="Times New Roman" w:cs="Times New Roman" w:eastAsia="Times New Roman" w:hAnsi="Times New Roman"/>
          <w:sz w:val="22"/>
          <w:szCs w:val="22"/>
          <w:color w:val="auto"/>
        </w:rPr>
        <w:t>25.4.4. “Patriot Act” means the Uniting and Strengthening America by Providing Appropriate Tools Required to Intercept and Obstruct Terrorism Act of 2001.</w:t>
      </w:r>
    </w:p>
    <w:p>
      <w:pPr>
        <w:spacing w:after="0" w:line="185" w:lineRule="exact"/>
        <w:rPr>
          <w:sz w:val="20"/>
          <w:szCs w:val="20"/>
          <w:color w:val="auto"/>
        </w:rPr>
      </w:pPr>
    </w:p>
    <w:p>
      <w:pPr>
        <w:ind w:right="20" w:firstLine="2246"/>
        <w:spacing w:after="0" w:line="258" w:lineRule="auto"/>
        <w:rPr>
          <w:sz w:val="20"/>
          <w:szCs w:val="20"/>
          <w:color w:val="auto"/>
        </w:rPr>
      </w:pPr>
      <w:r>
        <w:rPr>
          <w:rFonts w:ascii="Times New Roman" w:cs="Times New Roman" w:eastAsia="Times New Roman" w:hAnsi="Times New Roman"/>
          <w:sz w:val="22"/>
          <w:szCs w:val="22"/>
          <w:color w:val="auto"/>
        </w:rPr>
        <w:t>25.4.5. “Anti-Money Laundering Act” means the International Money Laundering Abatement and Financial Anti-Terrorism Act of 2001.</w:t>
      </w:r>
    </w:p>
    <w:p>
      <w:pPr>
        <w:spacing w:after="0" w:line="181" w:lineRule="exact"/>
        <w:rPr>
          <w:sz w:val="20"/>
          <w:szCs w:val="20"/>
          <w:color w:val="auto"/>
        </w:rPr>
      </w:pPr>
    </w:p>
    <w:p>
      <w:pPr>
        <w:jc w:val="both"/>
        <w:ind w:firstLine="757"/>
        <w:spacing w:after="0" w:line="246" w:lineRule="auto"/>
        <w:tabs>
          <w:tab w:leader="none" w:pos="130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Concurrent with Sublessee’s execution and delivery of this Sublease and as a material inducement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Sublessor’s execution of this Sublease, Sublessee shall deliver to Sublessor a guaranty from MEH, Inc. (the “Guarantor”) of Sublessee’s obligations under this Sublease in the form of Exhibit G attached hereto (the “Guaranty”).</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27.1. </w:t>
      </w:r>
      <w:r>
        <w:rPr>
          <w:rFonts w:ascii="Times New Roman" w:cs="Times New Roman" w:eastAsia="Times New Roman" w:hAnsi="Times New Roman"/>
          <w:sz w:val="22"/>
          <w:szCs w:val="22"/>
          <w:u w:val="single" w:color="auto"/>
          <w:color w:val="auto"/>
        </w:rPr>
        <w:t>Interpretation of Sublease</w:t>
      </w:r>
      <w:r>
        <w:rPr>
          <w:rFonts w:ascii="Times New Roman" w:cs="Times New Roman" w:eastAsia="Times New Roman" w:hAnsi="Times New Roman"/>
          <w:sz w:val="22"/>
          <w:szCs w:val="22"/>
          <w:color w:val="auto"/>
        </w:rPr>
        <w:t>. The headings and captions in this Sublease are inserted for convenience of reference only and in no way de fine, describe or limit the scope or intent of this Sublease or any of its provisions. Where the context so requires, the use of the singular shall include the plural and vice versa and the use of the masculine shall include the feminine and the neuter.</w:t>
      </w:r>
    </w:p>
    <w:p>
      <w:pPr>
        <w:spacing w:after="0" w:line="20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27.2. </w:t>
      </w:r>
      <w:r>
        <w:rPr>
          <w:rFonts w:ascii="Times New Roman" w:cs="Times New Roman" w:eastAsia="Times New Roman" w:hAnsi="Times New Roman"/>
          <w:sz w:val="22"/>
          <w:szCs w:val="22"/>
          <w:u w:val="single" w:color="auto"/>
          <w:color w:val="auto"/>
        </w:rPr>
        <w:t>Governing Law; Jurisdiction and Venue</w:t>
      </w:r>
      <w:r>
        <w:rPr>
          <w:rFonts w:ascii="Times New Roman" w:cs="Times New Roman" w:eastAsia="Times New Roman" w:hAnsi="Times New Roman"/>
          <w:sz w:val="22"/>
          <w:szCs w:val="22"/>
          <w:color w:val="auto"/>
        </w:rPr>
        <w:t>. This Sublease shall be governed by and construed in accordance with the laws of the State of New Jersey. If any provision of this Sublease or the application thereof to any person or circumstances shall, to any extent, be invalid or unenforceable, the remainder of this Sublease shall not be affected thereby and each remaining provision of the Sublease shall be valid and enforceable to the fullest extent permitted by Law. Sublessor and Sublessee hereby irrevocably submit themselves to the exclusive jurisdiction of the state courts of the State of New Jersey and the United States District Court, District of New Jersey in the event of any action or controversy concerning this Sublease or the Subleased Premises.</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27.3.  </w:t>
      </w:r>
      <w:r>
        <w:rPr>
          <w:rFonts w:ascii="Times New Roman" w:cs="Times New Roman" w:eastAsia="Times New Roman" w:hAnsi="Times New Roman"/>
          <w:sz w:val="22"/>
          <w:szCs w:val="22"/>
          <w:u w:val="single" w:color="auto"/>
          <w:color w:val="auto"/>
        </w:rPr>
        <w:t>No Recording</w:t>
      </w:r>
      <w:r>
        <w:rPr>
          <w:rFonts w:ascii="Times New Roman" w:cs="Times New Roman" w:eastAsia="Times New Roman" w:hAnsi="Times New Roman"/>
          <w:sz w:val="22"/>
          <w:szCs w:val="22"/>
          <w:color w:val="auto"/>
        </w:rPr>
        <w:t>.  Neither this Sublease nor any memorandum or short form thereof may be recorded 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Sublessee.</w:t>
      </w:r>
    </w:p>
    <w:p>
      <w:pPr>
        <w:spacing w:after="0" w:line="20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27.4.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Any covenants set forth in this Sublease which, by their nature, would reasonably be expected to be performed after the expiration or earlier termination of this Sublease, shall survive the expiration or earlier termination of this Sublease.</w:t>
      </w:r>
    </w:p>
    <w:p>
      <w:pPr>
        <w:spacing w:after="0" w:line="20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27.5.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Sublease may be executed in two or more counterparts, each of which shall be deemed an original, but all of which taken together shall constitute one and the same instrument.</w:t>
      </w:r>
    </w:p>
    <w:p>
      <w:pPr>
        <w:spacing w:after="0" w:line="18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27.6. </w:t>
      </w:r>
      <w:r>
        <w:rPr>
          <w:rFonts w:ascii="Times New Roman" w:cs="Times New Roman" w:eastAsia="Times New Roman" w:hAnsi="Times New Roman"/>
          <w:sz w:val="22"/>
          <w:szCs w:val="22"/>
          <w:u w:val="single" w:color="auto"/>
          <w:color w:val="auto"/>
        </w:rPr>
        <w:t>Transmission of Sublease by Facsimile or PDF</w:t>
      </w:r>
      <w:r>
        <w:rPr>
          <w:rFonts w:ascii="Times New Roman" w:cs="Times New Roman" w:eastAsia="Times New Roman" w:hAnsi="Times New Roman"/>
          <w:sz w:val="22"/>
          <w:szCs w:val="22"/>
          <w:color w:val="auto"/>
        </w:rPr>
        <w:t>. The transmission of a signed counterpart of this Sublease by facsimile or by portable document file (“PDF”) shall have the same force and effect as delivery of an original signed counterpart of this Sublease, and shall constitute valid and effective delivery for all purposes. If either party delivers a signed counterpart of this</w:t>
      </w:r>
    </w:p>
    <w:p>
      <w:pPr>
        <w:jc w:val="center"/>
        <w:spacing w:after="0" w:line="228" w:lineRule="auto"/>
        <w:rPr>
          <w:sz w:val="20"/>
          <w:szCs w:val="20"/>
          <w:color w:val="auto"/>
        </w:rPr>
      </w:pPr>
      <w:r>
        <w:rPr>
          <w:rFonts w:ascii="Times New Roman" w:cs="Times New Roman" w:eastAsia="Times New Roman" w:hAnsi="Times New Roman"/>
          <w:sz w:val="22"/>
          <w:szCs w:val="22"/>
          <w:color w:val="auto"/>
        </w:rPr>
        <w:t>20</w:t>
      </w: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1" w:name="page182"/>
    <w:bookmarkEnd w:id="181"/>
    <w:p>
      <w:pPr>
        <w:jc w:val="both"/>
        <w:spacing w:after="0" w:line="244" w:lineRule="auto"/>
        <w:rPr>
          <w:sz w:val="20"/>
          <w:szCs w:val="20"/>
          <w:color w:val="auto"/>
        </w:rPr>
      </w:pPr>
      <w:r>
        <w:rPr>
          <w:rFonts w:ascii="Times New Roman" w:cs="Times New Roman" w:eastAsia="Times New Roman" w:hAnsi="Times New Roman"/>
          <w:sz w:val="22"/>
          <w:szCs w:val="22"/>
          <w:color w:val="auto"/>
        </w:rPr>
        <w:t>Sublease by transmission of a facsimile or PDF, it shall also send promptly thereafter by overnight courier or personal delivery a signed original counterpart of this Sublease to the other party, but failure to do so shall not render this Sublease void or voidable by either party.</w:t>
      </w:r>
    </w:p>
    <w:p>
      <w:pPr>
        <w:spacing w:after="0" w:line="20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27.7. </w:t>
      </w:r>
      <w:r>
        <w:rPr>
          <w:rFonts w:ascii="Times New Roman" w:cs="Times New Roman" w:eastAsia="Times New Roman" w:hAnsi="Times New Roman"/>
          <w:sz w:val="22"/>
          <w:szCs w:val="22"/>
          <w:u w:val="single" w:color="auto"/>
          <w:color w:val="auto"/>
        </w:rPr>
        <w:t>Binding Effect; Assignment</w:t>
      </w:r>
      <w:r>
        <w:rPr>
          <w:rFonts w:ascii="Times New Roman" w:cs="Times New Roman" w:eastAsia="Times New Roman" w:hAnsi="Times New Roman"/>
          <w:sz w:val="22"/>
          <w:szCs w:val="22"/>
          <w:color w:val="auto"/>
        </w:rPr>
        <w:t>. Subject to Article 7, this Sublease shall be binding upon, and inure to the benefit of, the parties to this Sublease and their respective successors and assigns.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27.8.  </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27.9. </w:t>
      </w:r>
      <w:r>
        <w:rPr>
          <w:rFonts w:ascii="Times New Roman" w:cs="Times New Roman" w:eastAsia="Times New Roman" w:hAnsi="Times New Roman"/>
          <w:sz w:val="22"/>
          <w:szCs w:val="22"/>
          <w:u w:val="single" w:color="auto"/>
          <w:color w:val="auto"/>
        </w:rPr>
        <w:t>Joint and Several Liability</w:t>
      </w:r>
      <w:r>
        <w:rPr>
          <w:rFonts w:ascii="Times New Roman" w:cs="Times New Roman" w:eastAsia="Times New Roman" w:hAnsi="Times New Roman"/>
          <w:sz w:val="22"/>
          <w:szCs w:val="22"/>
          <w:color w:val="auto"/>
        </w:rPr>
        <w:t>. If two or more individuals, corporations, partnerships, or other entities (or any combination of two or more thereof) sign this Sublease as sublessee, the liability of each such individual, corporation, partnership or other entity to pay Rent and perform all other obligations of Sublessee under this Sublease shall be joint and several.</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27.10. </w:t>
      </w:r>
      <w:r>
        <w:rPr>
          <w:rFonts w:ascii="Times New Roman" w:cs="Times New Roman" w:eastAsia="Times New Roman" w:hAnsi="Times New Roman"/>
          <w:sz w:val="22"/>
          <w:szCs w:val="22"/>
          <w:u w:val="single" w:color="auto"/>
          <w:color w:val="auto"/>
        </w:rPr>
        <w:t>Entire Agreement; Requirement for Writing</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2246"/>
        <w:spacing w:after="0" w:line="239" w:lineRule="auto"/>
        <w:rPr>
          <w:sz w:val="20"/>
          <w:szCs w:val="20"/>
          <w:color w:val="auto"/>
        </w:rPr>
      </w:pPr>
      <w:r>
        <w:rPr>
          <w:rFonts w:ascii="Times New Roman" w:cs="Times New Roman" w:eastAsia="Times New Roman" w:hAnsi="Times New Roman"/>
          <w:sz w:val="22"/>
          <w:szCs w:val="22"/>
          <w:color w:val="auto"/>
        </w:rPr>
        <w:t>27.10.1.This Sublease and the Exhibits attached to this Sublease contain the final and entire agreement of Sublessor and Sublessee and are intended to be an integration of all prior negotiations and understandings. Neither Sublessor nor Sublessee shall be bound by any covenants, agreements, statements, representations or warranties, oral or written, not contained in this Sublease.</w:t>
      </w:r>
    </w:p>
    <w:p>
      <w:pPr>
        <w:spacing w:after="0" w:line="207"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27.10.2.No change or modification to this Sublease shall be valid unless the same is in writing and signed by the parties to this Sublease.</w:t>
      </w:r>
    </w:p>
    <w:p>
      <w:pPr>
        <w:spacing w:after="0" w:line="185" w:lineRule="exact"/>
        <w:rPr>
          <w:sz w:val="20"/>
          <w:szCs w:val="20"/>
          <w:color w:val="auto"/>
        </w:rPr>
      </w:pPr>
    </w:p>
    <w:p>
      <w:pPr>
        <w:jc w:val="both"/>
        <w:ind w:firstLine="2246"/>
        <w:spacing w:after="0" w:line="258" w:lineRule="auto"/>
        <w:rPr>
          <w:sz w:val="20"/>
          <w:szCs w:val="20"/>
          <w:color w:val="auto"/>
        </w:rPr>
      </w:pPr>
      <w:r>
        <w:rPr>
          <w:rFonts w:ascii="Times New Roman" w:cs="Times New Roman" w:eastAsia="Times New Roman" w:hAnsi="Times New Roman"/>
          <w:sz w:val="22"/>
          <w:szCs w:val="22"/>
          <w:color w:val="auto"/>
        </w:rPr>
        <w:t>27.10.3.No waiver of any of the provisions of this Sublease shall be valid unless the same is in writing and is signed by the party against which it is sought to be enforced.</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27.11.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Sublease, or the application thereof to any person, place or circumstance, shall be held by a court of competent jurisdiction to be invalid, unenforceable or void, the remainder of this Sublease and such provisions as applied to other persons, places and circumstances shall remain in full force and effect.</w:t>
      </w:r>
    </w:p>
    <w:p>
      <w:pPr>
        <w:spacing w:after="0" w:line="20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27.12. </w:t>
      </w:r>
      <w:r>
        <w:rPr>
          <w:rFonts w:ascii="Times New Roman" w:cs="Times New Roman" w:eastAsia="Times New Roman" w:hAnsi="Times New Roman"/>
          <w:sz w:val="21"/>
          <w:szCs w:val="21"/>
          <w:u w:val="single" w:color="auto"/>
          <w:color w:val="auto"/>
        </w:rPr>
        <w:t>Time of Essence</w:t>
      </w:r>
      <w:r>
        <w:rPr>
          <w:rFonts w:ascii="Times New Roman" w:cs="Times New Roman" w:eastAsia="Times New Roman" w:hAnsi="Times New Roman"/>
          <w:sz w:val="21"/>
          <w:szCs w:val="21"/>
          <w:color w:val="auto"/>
        </w:rPr>
        <w:t>. Time is of the essence of each and every provision of this Sublease of which time is 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element.</w:t>
      </w:r>
    </w:p>
    <w:p>
      <w:pPr>
        <w:spacing w:after="0" w:line="20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27.13. </w:t>
      </w:r>
      <w:r>
        <w:rPr>
          <w:rFonts w:ascii="Times New Roman" w:cs="Times New Roman" w:eastAsia="Times New Roman" w:hAnsi="Times New Roman"/>
          <w:sz w:val="22"/>
          <w:szCs w:val="22"/>
          <w:u w:val="single" w:color="auto"/>
          <w:color w:val="auto"/>
        </w:rPr>
        <w:t>Drafts not an Offer to Enter into a Legally Binding Contract</w:t>
      </w:r>
      <w:r>
        <w:rPr>
          <w:rFonts w:ascii="Times New Roman" w:cs="Times New Roman" w:eastAsia="Times New Roman" w:hAnsi="Times New Roman"/>
          <w:sz w:val="22"/>
          <w:szCs w:val="22"/>
          <w:color w:val="auto"/>
        </w:rPr>
        <w:t>. The submission of a draft of this Sublease by one party to another is not intended by either party to be an offer to enter into a legally binding contract. The parties shall be legally bound pursuant to the terms of this Sublease only if and when Sublessor and Sublessee have fully executed and delivered to each other a counterpart of this Sublease.</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2" w:name="page183"/>
    <w:bookmarkEnd w:id="182"/>
    <w:p>
      <w:pPr>
        <w:ind w:firstLine="90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Sublessor and Sublessee have duly executed this Sublease as of the day and year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written.</w:t>
      </w:r>
    </w:p>
    <w:p>
      <w:pPr>
        <w:spacing w:after="0" w:line="18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SUBLESSOR: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AMARIN PHARMA,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 ________________________________</w:t>
      </w:r>
    </w:p>
    <w:p>
      <w:pPr>
        <w:ind w:left="3040"/>
        <w:spacing w:after="0"/>
        <w:rPr>
          <w:sz w:val="20"/>
          <w:szCs w:val="20"/>
          <w:color w:val="auto"/>
        </w:rPr>
      </w:pPr>
      <w:r>
        <w:rPr>
          <w:rFonts w:ascii="Times New Roman" w:cs="Times New Roman" w:eastAsia="Times New Roman" w:hAnsi="Times New Roman"/>
          <w:sz w:val="22"/>
          <w:szCs w:val="22"/>
          <w:color w:val="auto"/>
        </w:rPr>
        <w:t>Title: _________________________________</w:t>
      </w:r>
    </w:p>
    <w:p>
      <w:pPr>
        <w:spacing w:after="0" w:line="200" w:lineRule="exact"/>
        <w:rPr>
          <w:sz w:val="20"/>
          <w:szCs w:val="20"/>
          <w:color w:val="auto"/>
        </w:rPr>
      </w:pPr>
    </w:p>
    <w:p>
      <w:pPr>
        <w:spacing w:after="0" w:line="2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SUBLESSEE:</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ST SHARED SERVICES LLC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 ________________________________</w:t>
      </w:r>
    </w:p>
    <w:p>
      <w:pPr>
        <w:ind w:left="3040"/>
        <w:spacing w:after="0"/>
        <w:rPr>
          <w:sz w:val="20"/>
          <w:szCs w:val="20"/>
          <w:color w:val="auto"/>
        </w:rPr>
      </w:pPr>
      <w:r>
        <w:rPr>
          <w:rFonts w:ascii="Times New Roman" w:cs="Times New Roman" w:eastAsia="Times New Roman" w:hAnsi="Times New Roman"/>
          <w:sz w:val="22"/>
          <w:szCs w:val="22"/>
          <w:color w:val="auto"/>
        </w:rPr>
        <w:t>Title: _________________________________</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3" w:name="page184"/>
    <w:bookmarkEnd w:id="183"/>
    <w:p>
      <w:pPr>
        <w:jc w:val="right"/>
        <w:ind w:right="35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 – Premises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08" w:right="1440" w:bottom="1440" w:gutter="0" w:footer="0" w:header="0"/>
        </w:sectPr>
      </w:pPr>
    </w:p>
    <w:bookmarkStart w:id="184" w:name="page185"/>
    <w:bookmarkEnd w:id="184"/>
    <w:p>
      <w:pPr>
        <w:jc w:val="right"/>
        <w:ind w:right="29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A-1 – Subleased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476885</wp:posOffset>
            </wp:positionV>
            <wp:extent cx="5349240" cy="39090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5349240"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08" w:right="1440" w:bottom="1440" w:gutter="0" w:footer="0" w:header="0"/>
        </w:sectPr>
      </w:pPr>
    </w:p>
    <w:bookmarkStart w:id="185" w:name="page186"/>
    <w:bookmarkEnd w:id="185"/>
    <w:p>
      <w:pPr>
        <w:jc w:val="right"/>
        <w:ind w:right="3399"/>
        <w:spacing w:after="0"/>
        <w:rPr>
          <w:sz w:val="20"/>
          <w:szCs w:val="20"/>
          <w:color w:val="auto"/>
        </w:rPr>
      </w:pPr>
      <w:r>
        <w:rPr>
          <w:rFonts w:ascii="Times New Roman" w:cs="Times New Roman" w:eastAsia="Times New Roman" w:hAnsi="Times New Roman"/>
          <w:sz w:val="22"/>
          <w:szCs w:val="22"/>
          <w:b w:val="1"/>
          <w:bCs w:val="1"/>
          <w:u w:val="single" w:color="auto"/>
          <w:color w:val="auto"/>
        </w:rPr>
        <w:t>Exhibit B – Prime Lease</w:t>
      </w:r>
    </w:p>
    <w:p>
      <w:pPr>
        <w:spacing w:after="0" w:line="200" w:lineRule="exact"/>
        <w:rPr>
          <w:sz w:val="20"/>
          <w:szCs w:val="20"/>
          <w:color w:val="auto"/>
        </w:rPr>
      </w:pPr>
    </w:p>
    <w:p>
      <w:pPr>
        <w:spacing w:after="0" w:line="280"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color w:val="auto"/>
        </w:rPr>
        <w:t>[Attached.]</w:t>
      </w:r>
    </w:p>
    <w:p>
      <w:pPr>
        <w:spacing w:after="0" w:line="20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351" w:right="1440" w:bottom="1440" w:gutter="0" w:footer="0" w:header="0"/>
        </w:sectPr>
      </w:pPr>
    </w:p>
    <w:bookmarkStart w:id="186" w:name="page187"/>
    <w:bookmarkEnd w:id="186"/>
    <w:tbl>
      <w:tblPr>
        <w:tblLayout w:type="fixed"/>
        <w:tblInd w:w="9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Exhibit C – Fixed Rent</w:t>
            </w:r>
          </w:p>
        </w:tc>
        <w:tc>
          <w:tcPr>
            <w:tcW w:w="260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543"/>
        </w:trPr>
        <w:tc>
          <w:tcPr>
            <w:tcW w:w="3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r>
      <w:tr>
        <w:trPr>
          <w:trHeight w:val="182"/>
        </w:trPr>
        <w:tc>
          <w:tcPr>
            <w:tcW w:w="3520" w:type="dxa"/>
            <w:vAlign w:val="bottom"/>
            <w:tcBorders>
              <w:left w:val="single" w:sz="8" w:color="auto"/>
              <w:righ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Fixed Rent Per</w:t>
            </w:r>
          </w:p>
        </w:tc>
      </w:tr>
      <w:tr>
        <w:trPr>
          <w:trHeight w:val="305"/>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Period</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Annual Fixed Rent</w:t>
            </w: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22"/>
                <w:szCs w:val="22"/>
                <w:b w:val="1"/>
                <w:bCs w:val="1"/>
                <w:color w:val="auto"/>
              </w:rPr>
              <w:t>Monthly Fixed Rent</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RSF</w:t>
            </w:r>
          </w:p>
        </w:tc>
      </w:tr>
      <w:tr>
        <w:trPr>
          <w:trHeight w:val="247"/>
        </w:trPr>
        <w:tc>
          <w:tcPr>
            <w:tcW w:w="3520" w:type="dxa"/>
            <w:vAlign w:val="bottom"/>
            <w:tcBorders>
              <w:left w:val="single" w:sz="8" w:color="auto"/>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Month 1 through Month 12</w:t>
            </w:r>
          </w:p>
        </w:tc>
        <w:tc>
          <w:tcPr>
            <w:tcW w:w="2860" w:type="dxa"/>
            <w:vAlign w:val="bottom"/>
            <w:tcBorders>
              <w:bottom w:val="single" w:sz="8" w:color="auto"/>
              <w:right w:val="single" w:sz="8" w:color="auto"/>
            </w:tcBorders>
            <w:gridSpan w:val="2"/>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$1,100,000.00</w:t>
            </w:r>
          </w:p>
        </w:tc>
        <w:tc>
          <w:tcPr>
            <w:tcW w:w="180" w:type="dxa"/>
            <w:vAlign w:val="bottom"/>
            <w:tcBorders>
              <w:bottom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jc w:val="center"/>
              <w:ind w:right="152"/>
              <w:spacing w:after="0" w:line="247" w:lineRule="exact"/>
              <w:rPr>
                <w:sz w:val="20"/>
                <w:szCs w:val="20"/>
                <w:color w:val="auto"/>
              </w:rPr>
            </w:pPr>
            <w:r>
              <w:rPr>
                <w:rFonts w:ascii="Times New Roman" w:cs="Times New Roman" w:eastAsia="Times New Roman" w:hAnsi="Times New Roman"/>
                <w:sz w:val="22"/>
                <w:szCs w:val="22"/>
                <w:color w:val="auto"/>
                <w:w w:val="98"/>
              </w:rPr>
              <w:t>$91,666.67</w:t>
            </w:r>
          </w:p>
        </w:tc>
        <w:tc>
          <w:tcPr>
            <w:tcW w:w="196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9"/>
              </w:rPr>
              <w:t>$22.00</w:t>
            </w:r>
          </w:p>
        </w:tc>
      </w:tr>
      <w:tr>
        <w:trPr>
          <w:trHeight w:val="26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13 through Month 24</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$1,125,000.00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8"/>
              </w:rPr>
              <w:t>$93,750.00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$22.50</w:t>
            </w:r>
          </w:p>
        </w:tc>
      </w:tr>
      <w:tr>
        <w:trPr>
          <w:trHeight w:val="26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25 through Month 36</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$1,150,000.00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8"/>
              </w:rPr>
              <w:t>$95,833.33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$23.00</w:t>
            </w:r>
          </w:p>
        </w:tc>
      </w:tr>
      <w:tr>
        <w:trPr>
          <w:trHeight w:val="26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37 through Month 48</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$1,175,000.00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52"/>
              <w:spacing w:after="0"/>
              <w:rPr>
                <w:sz w:val="20"/>
                <w:szCs w:val="20"/>
                <w:color w:val="auto"/>
              </w:rPr>
            </w:pPr>
            <w:r>
              <w:rPr>
                <w:rFonts w:ascii="Times New Roman" w:cs="Times New Roman" w:eastAsia="Times New Roman" w:hAnsi="Times New Roman"/>
                <w:sz w:val="22"/>
                <w:szCs w:val="22"/>
                <w:color w:val="auto"/>
                <w:w w:val="98"/>
              </w:rPr>
              <w:t>$97,916.67</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$23.50</w:t>
            </w:r>
          </w:p>
        </w:tc>
      </w:tr>
      <w:tr>
        <w:trPr>
          <w:trHeight w:val="26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49 through Month 60</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$1,200,000.00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8"/>
              </w:rPr>
              <w:t>$100,000.00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$24.00</w:t>
            </w:r>
          </w:p>
        </w:tc>
      </w:tr>
      <w:tr>
        <w:trPr>
          <w:trHeight w:val="26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61 through Month 72</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$1,225,000.00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8"/>
              </w:rPr>
              <w:t>$102,083.33</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$24.50</w:t>
            </w:r>
          </w:p>
        </w:tc>
      </w:tr>
      <w:tr>
        <w:trPr>
          <w:trHeight w:val="263"/>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73 through Month 84</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$1,250,000.00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8"/>
              </w:rPr>
              <w:t>$104,166.67</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$25.00</w:t>
            </w:r>
          </w:p>
        </w:tc>
      </w:tr>
      <w:tr>
        <w:trPr>
          <w:trHeight w:val="264"/>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Month 85 through Month 91</w:t>
            </w:r>
          </w:p>
        </w:tc>
        <w:tc>
          <w:tcPr>
            <w:tcW w:w="28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7"/>
              </w:rPr>
              <w:t>$1,275,000.00</w:t>
            </w:r>
          </w:p>
        </w:tc>
        <w:tc>
          <w:tcPr>
            <w:tcW w:w="180" w:type="dxa"/>
            <w:vAlign w:val="bottom"/>
            <w:tcBorders>
              <w:bottom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jc w:val="center"/>
              <w:ind w:right="132"/>
              <w:spacing w:after="0"/>
              <w:rPr>
                <w:sz w:val="20"/>
                <w:szCs w:val="20"/>
                <w:color w:val="auto"/>
              </w:rPr>
            </w:pPr>
            <w:r>
              <w:rPr>
                <w:rFonts w:ascii="Times New Roman" w:cs="Times New Roman" w:eastAsia="Times New Roman" w:hAnsi="Times New Roman"/>
                <w:sz w:val="22"/>
                <w:szCs w:val="22"/>
                <w:color w:val="auto"/>
                <w:w w:val="98"/>
              </w:rPr>
              <w:t>$106,250.00</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$25.50</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t>
      </w:r>
      <w:r>
        <w:rPr>
          <w:rFonts w:ascii="Times New Roman" w:cs="Times New Roman" w:eastAsia="Times New Roman" w:hAnsi="Times New Roman"/>
          <w:sz w:val="14"/>
          <w:szCs w:val="14"/>
          <w:b w:val="1"/>
          <w:bCs w:val="1"/>
          <w:color w:val="auto"/>
        </w:rPr>
        <w:t>Error! No document variable supplied.</w:t>
      </w:r>
      <w:r>
        <w:rPr>
          <w:rFonts w:ascii="Times New Roman" w:cs="Times New Roman" w:eastAsia="Times New Roman" w:hAnsi="Times New Roman"/>
          <w:sz w:val="14"/>
          <w:szCs w:val="14"/>
          <w:color w:val="auto"/>
        </w:rPr>
        <w:t>" = "1" "</w:t>
      </w:r>
      <w:r>
        <w:rPr>
          <w:rFonts w:ascii="Times New Roman" w:cs="Times New Roman" w:eastAsia="Times New Roman" w:hAnsi="Times New Roman"/>
          <w:sz w:val="14"/>
          <w:szCs w:val="14"/>
          <w:b w:val="1"/>
          <w:bCs w:val="1"/>
          <w:color w:val="auto"/>
        </w:rPr>
        <w:t>Error! Unknown document property name.</w:t>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52070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32"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D – Additional Rent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9 – Operating Expenses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 Payment of Operating Expenses – In addition to Fixed Rent, Sublessee shall pay to Sublessor, as Additional Rent, Sublessee’s Proportionate Share of the amount by which the Operating Expenses in any calendar year exceed the Operating Expenses for the 2023 calendar year, subject to adjustments as set forth in Article 9 of the Prime Lease. When calculating the amounts due pursuant to Article 9 of the Prime Lease, the following provisions shall apply:</w:t>
      </w:r>
    </w:p>
    <w:p>
      <w:pPr>
        <w:spacing w:after="0" w:line="207" w:lineRule="exact"/>
        <w:rPr>
          <w:sz w:val="20"/>
          <w:szCs w:val="20"/>
          <w:color w:val="auto"/>
        </w:rPr>
      </w:pPr>
    </w:p>
    <w:p>
      <w:pPr>
        <w:ind w:left="760" w:hanging="378"/>
        <w:spacing w:after="0"/>
        <w:tabs>
          <w:tab w:leader="none" w:pos="7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Sublessee’s Proportionate Share shall mean 25.1%.</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Amount shall mean the Operating Expenses for calendar year 2023.</w:t>
      </w:r>
    </w:p>
    <w:p>
      <w:pPr>
        <w:ind w:left="760" w:hanging="378"/>
        <w:spacing w:after="0" w:line="237" w:lineRule="auto"/>
        <w:tabs>
          <w:tab w:leader="none" w:pos="7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Sublessee, Sublessor shall audit Prime Landlord’s records with respect to Operating Expenses, subject to the terms of the Prime Lease.</w:t>
      </w:r>
    </w:p>
    <w:p>
      <w:pPr>
        <w:spacing w:after="0" w:line="20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provisions of Article 9 of the Prime Lease are hereby modified to provide that the “Operating Expenses Base Year” for purposes of this Sublease shall be “Base Year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Article 10 – Utilities and Services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 Electricity – In addition to Fixed Rent, Sublessee shall pay to Sublessor, for and in consideration for electrical services, as Additional Rent, the annual sum of $87,500.00 ($1.75 per rentable square foot), which shall be payable in equal monthly installments of $7,291.67, in advance on the first day of each month throughout the Sublease Term, and shall be deemed Additional Rent payable under this Sublease, provided however, that the foregoing rate shall be subject to increases as set forth in Article 10 of the Prime Lease.</w:t>
      </w:r>
    </w:p>
    <w:p>
      <w:pPr>
        <w:spacing w:after="0" w:line="204"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To the extent any provisions of Article 9 and Article 10 of the Prime Lease conflict with the provisions of this Exhibit D, the provisions of this Exhibit D shall control.</w:t>
      </w:r>
    </w:p>
    <w:p>
      <w:pPr>
        <w:spacing w:after="0" w:line="185"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2"/>
          <w:szCs w:val="22"/>
          <w:color w:val="auto"/>
        </w:rPr>
        <w:t>To the extent any provisions of Article 9 and Article 10 of the Prime Lease are incorporated in the Sublease, any such provisions shall be amended as set forth in this Exhibit 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40866702.2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88" w:name="page189"/>
    <w:bookmarkEnd w:id="188"/>
    <w:p>
      <w:pPr>
        <w:ind w:left="3560"/>
        <w:spacing w:after="0"/>
        <w:rPr>
          <w:sz w:val="20"/>
          <w:szCs w:val="20"/>
          <w:color w:val="auto"/>
        </w:rPr>
      </w:pPr>
      <w:r>
        <w:rPr>
          <w:rFonts w:ascii="Times New Roman" w:cs="Times New Roman" w:eastAsia="Times New Roman" w:hAnsi="Times New Roman"/>
          <w:sz w:val="22"/>
          <w:szCs w:val="22"/>
          <w:b w:val="1"/>
          <w:bCs w:val="1"/>
          <w:u w:val="single" w:color="auto"/>
          <w:color w:val="auto"/>
        </w:rPr>
        <w:t>Exhibit E-1– Sublessor’s Property Inventory</w:t>
      </w:r>
    </w:p>
    <w:p>
      <w:pPr>
        <w:spacing w:after="0" w:line="200" w:lineRule="exact"/>
        <w:rPr>
          <w:sz w:val="20"/>
          <w:szCs w:val="20"/>
          <w:color w:val="auto"/>
        </w:rPr>
      </w:pPr>
    </w:p>
    <w:p>
      <w:pPr>
        <w:spacing w:after="0" w:line="284" w:lineRule="exact"/>
        <w:rPr>
          <w:sz w:val="20"/>
          <w:szCs w:val="20"/>
          <w:color w:val="auto"/>
        </w:rPr>
      </w:pPr>
    </w:p>
    <w:tbl>
      <w:tblPr>
        <w:tblLayout w:type="fixed"/>
        <w:tblInd w:w="2830" w:type="dxa"/>
        <w:tblCellMar>
          <w:top w:w="0" w:type="dxa"/>
          <w:left w:w="0" w:type="dxa"/>
          <w:bottom w:w="0" w:type="dxa"/>
          <w:right w:w="0" w:type="dxa"/>
        </w:tblCellMar>
      </w:tblPr>
      <w:tr>
        <w:trPr>
          <w:trHeight w:val="275"/>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Stand up desk</w:t>
            </w:r>
          </w:p>
        </w:tc>
        <w:tc>
          <w:tcPr>
            <w:tcW w:w="1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228"/>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 drawer lateral file cabinet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34"/>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drawer file cabinet</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Desk chair</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Guest chairs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136</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Meeting Tables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Meeting chairs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Wall monitor</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Phones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White Boards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Monitors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136</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Printers</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Rolling Cube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164</w:t>
            </w:r>
          </w:p>
        </w:tc>
      </w:tr>
      <w:tr>
        <w:trPr>
          <w:trHeight w:val="22"/>
        </w:trPr>
        <w:tc>
          <w:tcPr>
            <w:tcW w:w="43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40866702.2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89" w:name="page190"/>
    <w:bookmarkEnd w:id="189"/>
    <w:p>
      <w:pPr>
        <w:jc w:val="right"/>
        <w:ind w:right="2119"/>
        <w:spacing w:after="0"/>
        <w:rPr>
          <w:sz w:val="20"/>
          <w:szCs w:val="20"/>
          <w:color w:val="auto"/>
        </w:rPr>
      </w:pPr>
      <w:r>
        <w:rPr>
          <w:rFonts w:ascii="Times New Roman" w:cs="Times New Roman" w:eastAsia="Times New Roman" w:hAnsi="Times New Roman"/>
          <w:sz w:val="22"/>
          <w:szCs w:val="22"/>
          <w:b w:val="1"/>
          <w:bCs w:val="1"/>
          <w:u w:val="single" w:color="auto"/>
          <w:color w:val="auto"/>
        </w:rPr>
        <w:t>Exhibit E-2– Sublessee’s Hampton FF&amp;E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321945</wp:posOffset>
            </wp:positionV>
            <wp:extent cx="2734310" cy="19799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273431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40866702.2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F –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329565</wp:posOffset>
            </wp:positionV>
            <wp:extent cx="7157720" cy="710247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7157720" cy="710247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91" w:name="page192"/>
    <w:bookmarkEnd w:id="191"/>
    <w:p>
      <w:pPr>
        <w:ind w:left="5020"/>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GUARANTY</w:t>
      </w:r>
    </w:p>
    <w:p>
      <w:pPr>
        <w:spacing w:after="0" w:line="178" w:lineRule="exact"/>
        <w:rPr>
          <w:sz w:val="20"/>
          <w:szCs w:val="20"/>
          <w:color w:val="auto"/>
        </w:rPr>
      </w:pPr>
    </w:p>
    <w:p>
      <w:pPr>
        <w:jc w:val="both"/>
        <w:ind w:firstLine="791"/>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MEH, INC., </w:t>
      </w:r>
      <w:r>
        <w:rPr>
          <w:rFonts w:ascii="Times New Roman" w:cs="Times New Roman" w:eastAsia="Times New Roman" w:hAnsi="Times New Roman"/>
          <w:sz w:val="21"/>
          <w:szCs w:val="21"/>
          <w:color w:val="auto"/>
        </w:rPr>
        <w:t>a corporation organized under the laws of the state of Nevada, having an address of 675 McDonnell Blvd.,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Hazelwood, MO 63042, Attn: Jeffrey Hunter (the “Guarantor”) has requested that </w:t>
      </w:r>
      <w:r>
        <w:rPr>
          <w:rFonts w:ascii="Times New Roman" w:cs="Times New Roman" w:eastAsia="Times New Roman" w:hAnsi="Times New Roman"/>
          <w:sz w:val="21"/>
          <w:szCs w:val="21"/>
          <w:b w:val="1"/>
          <w:bCs w:val="1"/>
          <w:color w:val="auto"/>
        </w:rPr>
        <w:t>AMARIN PHARMA, INC.,</w:t>
      </w:r>
      <w:r>
        <w:rPr>
          <w:rFonts w:ascii="Times New Roman" w:cs="Times New Roman" w:eastAsia="Times New Roman" w:hAnsi="Times New Roman"/>
          <w:sz w:val="21"/>
          <w:szCs w:val="21"/>
          <w:color w:val="auto"/>
        </w:rPr>
        <w:t xml:space="preserve"> a Delaware corporation, having an address at 440 Route 22, Suite 300, Bridgewater, New Jersey 08807 (“Sublessor”) to enter into a Sublease Agreement of even date herewith (the “Sublease”) with </w:t>
      </w:r>
      <w:r>
        <w:rPr>
          <w:rFonts w:ascii="Times New Roman" w:cs="Times New Roman" w:eastAsia="Times New Roman" w:hAnsi="Times New Roman"/>
          <w:sz w:val="21"/>
          <w:szCs w:val="21"/>
          <w:b w:val="1"/>
          <w:bCs w:val="1"/>
          <w:color w:val="auto"/>
        </w:rPr>
        <w:t>ST SHARED SERVICES LLC,</w:t>
      </w:r>
      <w:r>
        <w:rPr>
          <w:rFonts w:ascii="Times New Roman" w:cs="Times New Roman" w:eastAsia="Times New Roman" w:hAnsi="Times New Roman"/>
          <w:sz w:val="21"/>
          <w:szCs w:val="21"/>
          <w:color w:val="auto"/>
        </w:rPr>
        <w:t xml:space="preserve"> a New Jersey limited liability company, having an address of 675 McDonnell Blvd., Hazelwood, MO 63042 (the “Sublessee”) covering certain premises located at 440 US Highway 22, Bridgewater, New Jersey, as more particularly described in the Sublease. In order to induce Sublessor to enter into the Sublease and in consideration of Sublessor’s entering into the Sublease, Guarantor hereby guarantees, unconditionally and absolutely, to Sublessor, its successors and assigns (without requiring any notice of non-payment, non-keeping, non-performance or non-observance or proof of notice or demand whereby to charge Guarantor all of which Guarantor hereby waives, other than such notice as required to be given to Sublessee under the Lease which notice may be delivered simultaneously to Guarantor and Sublessee and for purposes of which shall be deemed given to Guarantor if given to Sublessee so long as Guarantor remains affiliates with Sublessee) the full and faithful keeping, performance and observance of all the covenants, agreements, terms, provisions and conditions provided to be kept by Sublessee under the Sublease, including, without limitation, the payment as and when due of all Fixed Rent, Additional Rent, charges and damages payable by Sublessee under the Sublease. All capitalized terms not defined herein shall have the meanings ascribed to them in the Sublease.</w:t>
      </w:r>
    </w:p>
    <w:p>
      <w:pPr>
        <w:spacing w:after="0" w:line="182" w:lineRule="exact"/>
        <w:rPr>
          <w:sz w:val="20"/>
          <w:szCs w:val="20"/>
          <w:color w:val="auto"/>
        </w:rPr>
      </w:pPr>
    </w:p>
    <w:p>
      <w:pPr>
        <w:jc w:val="both"/>
        <w:ind w:firstLine="791"/>
        <w:spacing w:after="0" w:line="258" w:lineRule="auto"/>
        <w:rPr>
          <w:sz w:val="20"/>
          <w:szCs w:val="20"/>
          <w:color w:val="auto"/>
        </w:rPr>
      </w:pPr>
      <w:r>
        <w:rPr>
          <w:rFonts w:ascii="Times New Roman" w:cs="Times New Roman" w:eastAsia="Times New Roman" w:hAnsi="Times New Roman"/>
          <w:sz w:val="22"/>
          <w:szCs w:val="22"/>
          <w:color w:val="auto"/>
        </w:rPr>
        <w:t>As a further inducement to Sublessor to enter into the Sublease and in consideration thereof, Guarantor hereby covenants and acknowledges as follows:</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(1)Guarantor is the indirect owner of an equity interest in Sublessee.</w:t>
      </w:r>
    </w:p>
    <w:p>
      <w:pPr>
        <w:spacing w:after="0" w:line="206" w:lineRule="exact"/>
        <w:rPr>
          <w:sz w:val="20"/>
          <w:szCs w:val="20"/>
          <w:color w:val="auto"/>
        </w:rPr>
      </w:pPr>
    </w:p>
    <w:p>
      <w:pPr>
        <w:jc w:val="both"/>
        <w:ind w:firstLine="1542"/>
        <w:spacing w:after="0" w:line="246" w:lineRule="auto"/>
        <w:rPr>
          <w:sz w:val="20"/>
          <w:szCs w:val="20"/>
          <w:color w:val="auto"/>
        </w:rPr>
      </w:pPr>
      <w:r>
        <w:rPr>
          <w:rFonts w:ascii="Times New Roman" w:cs="Times New Roman" w:eastAsia="Times New Roman" w:hAnsi="Times New Roman"/>
          <w:sz w:val="21"/>
          <w:szCs w:val="21"/>
          <w:color w:val="auto"/>
        </w:rPr>
        <w:t>(2)The obligations of Guarantor shall not be terminated or affected in any way or manner whatsoever by reason of Sublessor’s failure to resort to any summary or other proceedings, actions or remedies for the enforcement of any of Sublessor’s rights under the Sublease or by reason of any extensions of time or indulgences granted by Sublessor, or by reason of the assignment or surrender of all or any part of the Sublease or the term and estate thereby granted or all or part of the Subleased Premises. The liability of Guarantor is co extensive with that of Sublessee and also joint and several, and action or suit may be brought against Guarantor and carried to final judgment and/or completion and recovery had, either with or without making Sublessee or any other guarantor a party thereto. Insofar as the payment by Sublessee of any sums of money to Sublessor is involved, this Guaranty is a guaranty of payment and not of collection and shall remain in full force and effect until payment in full to Sublessor of all sums payable under this Guaranty. Guarantor waives any right to require that any action be brought against Sublessee or to require that resort be had to any secured interest, security or to any other credit in favor of Sublessee.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2" w:name="page193"/>
    <w:bookmarkEnd w:id="192"/>
    <w:p>
      <w:pPr>
        <w:jc w:val="both"/>
        <w:ind w:firstLine="1542"/>
        <w:spacing w:after="0" w:line="235" w:lineRule="auto"/>
        <w:rPr>
          <w:sz w:val="20"/>
          <w:szCs w:val="20"/>
          <w:color w:val="auto"/>
        </w:rPr>
      </w:pPr>
      <w:r>
        <w:rPr>
          <w:rFonts w:ascii="Times New Roman" w:cs="Times New Roman" w:eastAsia="Times New Roman" w:hAnsi="Times New Roman"/>
          <w:sz w:val="22"/>
          <w:szCs w:val="22"/>
          <w:color w:val="auto"/>
        </w:rPr>
        <w:t>(3)If the Sublease be modified by agreement between Sublessor and Sublessee in any other respect, the obligations of Guarantor shall extend and apply with respect to the full and faithful keeping, performance and observance of all of the covenants, agreements, terms, provisions and conditions which under such renewal of the Sublease or extension of its terms or which under any new sublease or amendment or modification agreement, entered into for the purpose of express or confirming any such renewal, extension, inclusion, substitution or modification, are to be kept, performed and observed by Sublessee (including, without being limited to, the payment as and when due of Fixed Rent, Additional Rent, charges and damages provided for thereunder).</w:t>
      </w:r>
    </w:p>
    <w:p>
      <w:pPr>
        <w:spacing w:after="0" w:line="183" w:lineRule="exact"/>
        <w:rPr>
          <w:sz w:val="20"/>
          <w:szCs w:val="20"/>
          <w:color w:val="auto"/>
        </w:rPr>
      </w:pPr>
    </w:p>
    <w:p>
      <w:pPr>
        <w:jc w:val="both"/>
        <w:ind w:firstLine="1542"/>
        <w:spacing w:after="0" w:line="236" w:lineRule="auto"/>
        <w:rPr>
          <w:sz w:val="20"/>
          <w:szCs w:val="20"/>
          <w:color w:val="auto"/>
        </w:rPr>
      </w:pPr>
      <w:r>
        <w:rPr>
          <w:rFonts w:ascii="Times New Roman" w:cs="Times New Roman" w:eastAsia="Times New Roman" w:hAnsi="Times New Roman"/>
          <w:sz w:val="22"/>
          <w:szCs w:val="22"/>
          <w:color w:val="auto"/>
        </w:rPr>
        <w:t>(4)Neither Guarantor’s obligation to make payment in accordance with the terms of this Guaranty nor any remedy for the enforcement thereof shall be impaired, modified, changed, stayed, released or limited in any manner whatsoever by any impairment, modification, change, release, limitation or stay of the liability of Sublessee or its estate in bankruptcy or any remedy for the enforcement thereof, resulting from the operation of any present or future provision of the Bankruptcy Act of the United States or other statute or from the decision of any court interpreting any of the same, and Guarantor shall be obligated under this Guaranty as if no such impairment, stay, modification, change, release or limitation has occurred.</w:t>
      </w:r>
    </w:p>
    <w:p>
      <w:pPr>
        <w:spacing w:after="0" w:line="181" w:lineRule="exact"/>
        <w:rPr>
          <w:sz w:val="20"/>
          <w:szCs w:val="20"/>
          <w:color w:val="auto"/>
        </w:rPr>
      </w:pPr>
    </w:p>
    <w:p>
      <w:pPr>
        <w:jc w:val="both"/>
        <w:ind w:firstLine="1542"/>
        <w:spacing w:after="0" w:line="258" w:lineRule="auto"/>
        <w:rPr>
          <w:sz w:val="20"/>
          <w:szCs w:val="20"/>
          <w:color w:val="auto"/>
        </w:rPr>
      </w:pPr>
      <w:r>
        <w:rPr>
          <w:rFonts w:ascii="Times New Roman" w:cs="Times New Roman" w:eastAsia="Times New Roman" w:hAnsi="Times New Roman"/>
          <w:sz w:val="22"/>
          <w:szCs w:val="22"/>
          <w:color w:val="auto"/>
        </w:rPr>
        <w:t>(5)This Guaranty shall be binding on Guarantor and its successors and assigns and inure to the benefit of Sublessor and its successors and assigns.</w:t>
      </w:r>
    </w:p>
    <w:p>
      <w:pPr>
        <w:spacing w:after="0" w:line="1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(6)Guarantor and Sublessor each waives the right to trial by jury in any action or proceeding in respect of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Guaranty.</w:t>
      </w:r>
    </w:p>
    <w:p>
      <w:pPr>
        <w:spacing w:after="0" w:line="182" w:lineRule="exact"/>
        <w:rPr>
          <w:sz w:val="20"/>
          <w:szCs w:val="20"/>
          <w:color w:val="auto"/>
        </w:rPr>
      </w:pPr>
    </w:p>
    <w:p>
      <w:pPr>
        <w:jc w:val="both"/>
        <w:ind w:firstLine="1542"/>
        <w:spacing w:after="0" w:line="239" w:lineRule="auto"/>
        <w:rPr>
          <w:sz w:val="20"/>
          <w:szCs w:val="20"/>
          <w:color w:val="auto"/>
        </w:rPr>
      </w:pPr>
      <w:r>
        <w:rPr>
          <w:rFonts w:ascii="Times New Roman" w:cs="Times New Roman" w:eastAsia="Times New Roman" w:hAnsi="Times New Roman"/>
          <w:sz w:val="22"/>
          <w:szCs w:val="22"/>
          <w:color w:val="auto"/>
        </w:rPr>
        <w:t>(7)It is expressly understood and agreed by Guarantor and Sublessor that all matters arising out of the Sublease and this Guaranty, including the validity or any provisions hereof, are to be governed by, interpreted and construed in accordance with the laws of the State of New Jersey (without giving regard or effect to any conflicts of law rules or other choice of law rules).</w:t>
      </w:r>
    </w:p>
    <w:p>
      <w:pPr>
        <w:spacing w:after="0" w:line="180" w:lineRule="exact"/>
        <w:rPr>
          <w:sz w:val="20"/>
          <w:szCs w:val="20"/>
          <w:color w:val="auto"/>
        </w:rPr>
      </w:pPr>
    </w:p>
    <w:p>
      <w:pPr>
        <w:jc w:val="both"/>
        <w:ind w:firstLine="1542"/>
        <w:spacing w:after="0" w:line="235" w:lineRule="auto"/>
        <w:rPr>
          <w:sz w:val="20"/>
          <w:szCs w:val="20"/>
          <w:color w:val="auto"/>
        </w:rPr>
      </w:pPr>
      <w:r>
        <w:rPr>
          <w:rFonts w:ascii="Times New Roman" w:cs="Times New Roman" w:eastAsia="Times New Roman" w:hAnsi="Times New Roman"/>
          <w:sz w:val="22"/>
          <w:szCs w:val="22"/>
          <w:color w:val="auto"/>
        </w:rPr>
        <w:t>(8)With respect to any dispute or legal action of any kind arising from the terms of this Guaranty that any party may have, either during the term of this Guaranty or thereafter, it is expressly agreed that such action shall be brought either in the state courts of the State of New Jersey (or in the United States District Court for the District of New Jersey, to the extent such court has jurisdiction thereof), and that such court shall be deemed to be the court of sole and exclusive jurisdiction and venue for the bringing of such action. The foregoing consent to jurisdiction and venue shall not constitute general consent by Guarantor to jurisdiction and venue in the State of New Jersey for any purpose except as provided herein and shall not be deemed to confer rights on any other person or entity.</w:t>
      </w:r>
    </w:p>
    <w:p>
      <w:pPr>
        <w:spacing w:after="0" w:line="278" w:lineRule="exact"/>
        <w:rPr>
          <w:sz w:val="20"/>
          <w:szCs w:val="20"/>
          <w:color w:val="auto"/>
        </w:rPr>
      </w:pPr>
    </w:p>
    <w:p>
      <w:pPr>
        <w:jc w:val="both"/>
        <w:ind w:firstLine="1542"/>
        <w:spacing w:after="0" w:line="258" w:lineRule="auto"/>
        <w:rPr>
          <w:sz w:val="20"/>
          <w:szCs w:val="20"/>
          <w:color w:val="auto"/>
        </w:rPr>
      </w:pPr>
      <w:r>
        <w:rPr>
          <w:rFonts w:ascii="Times New Roman" w:cs="Times New Roman" w:eastAsia="Times New Roman" w:hAnsi="Times New Roman"/>
          <w:sz w:val="22"/>
          <w:szCs w:val="22"/>
          <w:color w:val="auto"/>
        </w:rPr>
        <w:t>(9)Guarantor consents that Sublessee shall hereafter have full authority and be duly empowered to accept service of process on behalf of Guarantor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3" w:name="page194"/>
    <w:bookmarkEnd w:id="193"/>
    <w:p>
      <w:pPr>
        <w:jc w:val="both"/>
        <w:spacing w:after="0" w:line="258" w:lineRule="auto"/>
        <w:rPr>
          <w:sz w:val="20"/>
          <w:szCs w:val="20"/>
          <w:color w:val="auto"/>
        </w:rPr>
      </w:pPr>
      <w:r>
        <w:rPr>
          <w:rFonts w:ascii="Times New Roman" w:cs="Times New Roman" w:eastAsia="Times New Roman" w:hAnsi="Times New Roman"/>
          <w:sz w:val="22"/>
          <w:szCs w:val="22"/>
          <w:color w:val="auto"/>
        </w:rPr>
        <w:t>enforcement of this Guaranty, and Guarantor hereby appoints Sublessee as its agent for purposes of acceptance of service of process in connection with the enforcement of this Guaranty.</w:t>
      </w:r>
    </w:p>
    <w:p>
      <w:pPr>
        <w:spacing w:after="0" w:line="10" w:lineRule="exact"/>
        <w:rPr>
          <w:sz w:val="20"/>
          <w:szCs w:val="20"/>
          <w:color w:val="auto"/>
        </w:rPr>
      </w:pPr>
    </w:p>
    <w:p>
      <w:pPr>
        <w:jc w:val="both"/>
        <w:ind w:firstLine="1542"/>
        <w:spacing w:after="0" w:line="239" w:lineRule="auto"/>
        <w:rPr>
          <w:sz w:val="20"/>
          <w:szCs w:val="20"/>
          <w:color w:val="auto"/>
        </w:rPr>
      </w:pPr>
      <w:r>
        <w:rPr>
          <w:rFonts w:ascii="Times New Roman" w:cs="Times New Roman" w:eastAsia="Times New Roman" w:hAnsi="Times New Roman"/>
          <w:sz w:val="22"/>
          <w:szCs w:val="22"/>
          <w:color w:val="auto"/>
        </w:rPr>
        <w:t>(10)Provided that Sublessor is the prevailing party in any action brought to enforce this Sublease Guaranty, Guarantor shall pay to Sublessor all of Sublessor’s reasonable expenses, including, without limitation, reasonable third-party out of pocket attorneys’ fees and disbursements, in enforcing this Sublease Guaranty following an event of default by Sublessee under the Sublease, beyond any applicable notice and cure periods.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20, 2023</w:t>
      </w:r>
    </w:p>
    <w:p>
      <w:pPr>
        <w:spacing w:after="0" w:line="23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u w:val="single" w:color="auto"/>
          <w:color w:val="auto"/>
        </w:rPr>
        <w:t>GUARANTOR: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MEH, INC.</w:t>
      </w:r>
      <w:r>
        <w:rPr>
          <w:rFonts w:ascii="Times New Roman" w:cs="Times New Roman" w:eastAsia="Times New Roman" w:hAnsi="Times New Roman"/>
          <w:sz w:val="22"/>
          <w:szCs w:val="22"/>
          <w:color w:val="auto"/>
        </w:rPr>
        <w:t>, a Nevada corporation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By: __________________________________</w:t>
      </w:r>
    </w:p>
    <w:p>
      <w:pPr>
        <w:spacing w:after="0" w:line="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w:t>
      </w:r>
    </w:p>
    <w:p>
      <w:pPr>
        <w:ind w:left="30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4" w:name="page195"/>
    <w:bookmarkEnd w:id="194"/>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CONSENT OF LANDLORD TO SUBLEASE</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358140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195" w:name="page196"/>
    <w:bookmarkEnd w:id="195"/>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Calibri" w:cs="Calibri" w:eastAsia="Calibri" w:hAnsi="Calibri"/>
          <w:sz w:val="19"/>
          <w:szCs w:val="19"/>
          <w:b w:val="1"/>
          <w:bCs w:val="1"/>
          <w:color w:val="auto"/>
        </w:rPr>
        <w:t>Exhibit 10.47</w:t>
      </w:r>
    </w:p>
    <w:p>
      <w:pPr>
        <w:sectPr>
          <w:pgSz w:w="11900" w:h="16838" w:orient="portrait"/>
          <w:cols w:equalWidth="0" w:num="1">
            <w:col w:w="11240"/>
          </w:cols>
          <w:pgMar w:left="320" w:top="404" w:right="339" w:bottom="1440" w:gutter="0" w:footer="0" w:header="0"/>
        </w:sectPr>
      </w:pPr>
    </w:p>
    <w:p>
      <w:pPr>
        <w:spacing w:after="0" w:line="1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LICENSOR (‘US’, ‘WE’ OR ‘OUR’):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 (‘YOU’, OR ‘YOUR’):</w:t>
      </w:r>
    </w:p>
    <w:p>
      <w:pPr>
        <w:spacing w:after="0" w:line="37" w:lineRule="exact"/>
        <w:rPr>
          <w:sz w:val="20"/>
          <w:szCs w:val="20"/>
          <w:color w:val="auto"/>
        </w:rPr>
      </w:pPr>
    </w:p>
    <w:p>
      <w:pPr>
        <w:sectPr>
          <w:pgSz w:w="11900" w:h="16838" w:orient="portrait"/>
          <w:cols w:equalWidth="0" w:num="2">
            <w:col w:w="3040" w:space="160"/>
            <w:col w:w="8040"/>
          </w:cols>
          <w:pgMar w:left="320" w:top="4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Weston Office Solutions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 Iconic Offices</w:t>
      </w:r>
    </w:p>
    <w:p>
      <w:pPr>
        <w:spacing w:after="0" w:line="237" w:lineRule="auto"/>
        <w:rPr>
          <w:sz w:val="20"/>
          <w:szCs w:val="20"/>
          <w:color w:val="auto"/>
        </w:rPr>
      </w:pPr>
      <w:r>
        <w:rPr>
          <w:rFonts w:ascii="Times New Roman" w:cs="Times New Roman" w:eastAsia="Times New Roman" w:hAnsi="Times New Roman"/>
          <w:sz w:val="19"/>
          <w:szCs w:val="19"/>
          <w:color w:val="auto"/>
        </w:rPr>
        <w:t>81 Merrion Square South</w:t>
      </w:r>
    </w:p>
    <w:p>
      <w:pPr>
        <w:spacing w:after="0" w:line="237" w:lineRule="auto"/>
        <w:tabs>
          <w:tab w:leader="none" w:pos="1260" w:val="left"/>
        </w:tabs>
        <w:rPr>
          <w:sz w:val="20"/>
          <w:szCs w:val="20"/>
          <w:color w:val="auto"/>
        </w:rPr>
      </w:pPr>
      <w:r>
        <w:rPr>
          <w:rFonts w:ascii="Times New Roman" w:cs="Times New Roman" w:eastAsia="Times New Roman" w:hAnsi="Times New Roman"/>
          <w:sz w:val="19"/>
          <w:szCs w:val="19"/>
          <w:color w:val="auto"/>
        </w:rPr>
        <w:t>Dublin 2</w:t>
      </w:r>
      <w:r>
        <w:rPr>
          <w:sz w:val="20"/>
          <w:szCs w:val="20"/>
          <w:color w:val="auto"/>
        </w:rPr>
        <w:tab/>
      </w:r>
      <w:r>
        <w:rPr>
          <w:rFonts w:ascii="Times New Roman" w:cs="Times New Roman" w:eastAsia="Times New Roman" w:hAnsi="Times New Roman"/>
          <w:sz w:val="19"/>
          <w:szCs w:val="19"/>
          <w:color w:val="auto"/>
        </w:rPr>
        <w:t>Ireland</w:t>
      </w:r>
    </w:p>
    <w:p>
      <w:pPr>
        <w:spacing w:after="0" w:line="237" w:lineRule="auto"/>
        <w:rPr>
          <w:sz w:val="20"/>
          <w:szCs w:val="20"/>
          <w:color w:val="auto"/>
        </w:rPr>
      </w:pPr>
      <w:r>
        <w:rPr>
          <w:rFonts w:ascii="Times New Roman" w:cs="Times New Roman" w:eastAsia="Times New Roman" w:hAnsi="Times New Roman"/>
          <w:sz w:val="19"/>
          <w:szCs w:val="19"/>
          <w:color w:val="auto"/>
        </w:rPr>
        <w:t>D02 NR12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Ireland</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Times New Roman" w:cs="Times New Roman" w:eastAsia="Times New Roman" w:hAnsi="Times New Roman"/>
          <w:sz w:val="18"/>
          <w:szCs w:val="18"/>
          <w:color w:val="auto"/>
        </w:rPr>
        <w:t>Amarin Pharmaceuticals Ireland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77 Sir John Rogerson's Quay</w:t>
      </w:r>
    </w:p>
    <w:p>
      <w:pPr>
        <w:ind w:left="760"/>
        <w:spacing w:after="0"/>
        <w:rPr>
          <w:sz w:val="20"/>
          <w:szCs w:val="20"/>
          <w:color w:val="auto"/>
        </w:rPr>
      </w:pPr>
      <w:r>
        <w:rPr>
          <w:rFonts w:ascii="Times New Roman" w:cs="Times New Roman" w:eastAsia="Times New Roman" w:hAnsi="Times New Roman"/>
          <w:sz w:val="19"/>
          <w:szCs w:val="19"/>
          <w:color w:val="auto"/>
        </w:rPr>
        <w:t>D02 NP08</w:t>
      </w:r>
    </w:p>
    <w:p>
      <w:pPr>
        <w:spacing w:after="0" w:line="848" w:lineRule="exact"/>
        <w:rPr>
          <w:sz w:val="20"/>
          <w:szCs w:val="20"/>
          <w:color w:val="auto"/>
        </w:rPr>
      </w:pPr>
    </w:p>
    <w:p>
      <w:pPr>
        <w:sectPr>
          <w:pgSz w:w="11900" w:h="16838" w:orient="portrait"/>
          <w:cols w:equalWidth="0" w:num="2">
            <w:col w:w="3440" w:space="720"/>
            <w:col w:w="7080"/>
          </w:cols>
          <w:pgMar w:left="320" w:top="404" w:right="339" w:bottom="1440" w:gutter="0" w:footer="0" w:header="0"/>
          <w:type w:val="continuous"/>
        </w:sectPr>
      </w:pPr>
    </w:p>
    <w:p>
      <w:pPr>
        <w:spacing w:after="0" w:line="186"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9"/>
          <w:szCs w:val="19"/>
          <w:color w:val="auto"/>
        </w:rPr>
        <w:t>OFFICES(S):</w:t>
      </w:r>
      <w:r>
        <w:rPr>
          <w:sz w:val="20"/>
          <w:szCs w:val="20"/>
          <w:color w:val="auto"/>
        </w:rPr>
        <w:tab/>
      </w:r>
      <w:r>
        <w:rPr>
          <w:rFonts w:ascii="Times New Roman" w:cs="Times New Roman" w:eastAsia="Times New Roman" w:hAnsi="Times New Roman"/>
          <w:sz w:val="18"/>
          <w:szCs w:val="18"/>
          <w:color w:val="auto"/>
        </w:rPr>
        <w:t>COMPANY REGISTRATION NUMBER:</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Greenway 211-219</w:t>
      </w:r>
    </w:p>
    <w:p>
      <w:pPr>
        <w:sectPr>
          <w:pgSz w:w="11900" w:h="16838" w:orient="portrait"/>
          <w:cols w:equalWidth="0" w:num="1">
            <w:col w:w="11240"/>
          </w:cols>
          <w:pgMar w:left="320" w:top="404"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CENTRE: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BILLING CONTACT DETAILS:</w:t>
      </w:r>
    </w:p>
    <w:p>
      <w:pPr>
        <w:spacing w:after="0" w:line="40" w:lineRule="exact"/>
        <w:rPr>
          <w:sz w:val="20"/>
          <w:szCs w:val="20"/>
          <w:color w:val="auto"/>
        </w:rPr>
      </w:pPr>
    </w:p>
    <w:p>
      <w:pPr>
        <w:sectPr>
          <w:pgSz w:w="11900" w:h="16838" w:orient="portrait"/>
          <w:cols w:equalWidth="0" w:num="2">
            <w:col w:w="900" w:space="580"/>
            <w:col w:w="9760"/>
          </w:cols>
          <w:pgMar w:left="320" w:top="4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The Greenway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Ardiluan Court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112-114 Stephens Green</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Times New Roman" w:cs="Times New Roman" w:eastAsia="Times New Roman" w:hAnsi="Times New Roman"/>
          <w:sz w:val="19"/>
          <w:szCs w:val="19"/>
          <w:b w:val="1"/>
          <w:bCs w:val="1"/>
          <w:color w:val="auto"/>
        </w:rPr>
        <w:t xml:space="preserve">Contact name:  </w:t>
      </w:r>
      <w:r>
        <w:rPr>
          <w:rFonts w:ascii="Calibri" w:cs="Calibri" w:eastAsia="Calibri" w:hAnsi="Calibri"/>
          <w:sz w:val="17"/>
          <w:szCs w:val="17"/>
          <w:color w:val="auto"/>
        </w:rPr>
        <w:t>David Keenan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Telephone: </w:t>
      </w:r>
      <w:r>
        <w:rPr>
          <w:rFonts w:ascii="Calibri" w:cs="Calibri" w:eastAsia="Calibri" w:hAnsi="Calibri"/>
          <w:sz w:val="17"/>
          <w:szCs w:val="17"/>
          <w:color w:val="auto"/>
        </w:rPr>
        <w:t>0878541984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Email: </w:t>
      </w:r>
      <w:r>
        <w:rPr>
          <w:rFonts w:ascii="Calibri" w:cs="Calibri" w:eastAsia="Calibri" w:hAnsi="Calibri"/>
          <w:sz w:val="17"/>
          <w:szCs w:val="17"/>
          <w:color w:val="0563C1"/>
        </w:rPr>
        <w:t>david.keenan@amarincorp.eu</w:t>
      </w:r>
    </w:p>
    <w:p>
      <w:pPr>
        <w:spacing w:after="0" w:line="8" w:lineRule="exact"/>
        <w:rPr>
          <w:sz w:val="20"/>
          <w:szCs w:val="20"/>
          <w:color w:val="auto"/>
        </w:rPr>
      </w:pPr>
    </w:p>
    <w:p>
      <w:pPr>
        <w:sectPr>
          <w:pgSz w:w="11900" w:h="16838" w:orient="portrait"/>
          <w:cols w:equalWidth="0" w:num="2">
            <w:col w:w="3240" w:space="720"/>
            <w:col w:w="7280"/>
          </w:cols>
          <w:pgMar w:left="320" w:top="4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Dublin 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D02TD28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ADDITIONAL CONTACTS:</w:t>
      </w:r>
    </w:p>
    <w:p>
      <w:pPr>
        <w:sectPr>
          <w:pgSz w:w="11900" w:h="16838" w:orient="portrait"/>
          <w:cols w:equalWidth="0" w:num="1">
            <w:col w:w="11240"/>
          </w:cols>
          <w:pgMar w:left="320" w:top="404"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Name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Contact Email</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Role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YOUR INVOICING ADDRESS:</w:t>
      </w:r>
    </w:p>
    <w:p>
      <w:pPr>
        <w:spacing w:after="0" w:line="182" w:lineRule="exact"/>
        <w:rPr>
          <w:sz w:val="20"/>
          <w:szCs w:val="20"/>
          <w:color w:val="auto"/>
        </w:rPr>
      </w:pPr>
    </w:p>
    <w:p>
      <w:pPr>
        <w:sectPr>
          <w:pgSz w:w="11900" w:h="16838" w:orient="portrait"/>
          <w:cols w:equalWidth="0" w:num="4">
            <w:col w:w="1160" w:space="360"/>
            <w:col w:w="1180" w:space="340"/>
            <w:col w:w="1040" w:space="460"/>
            <w:col w:w="6700"/>
          </w:cols>
          <w:pgMar w:left="320" w:top="404" w:right="339" w:bottom="1440" w:gutter="0" w:footer="0" w:header="0"/>
          <w:type w:val="continuous"/>
        </w:sectPr>
      </w:pPr>
    </w:p>
    <w:p>
      <w:pPr>
        <w:ind w:left="2580"/>
        <w:spacing w:after="0"/>
        <w:rPr>
          <w:sz w:val="20"/>
          <w:szCs w:val="20"/>
          <w:color w:val="auto"/>
        </w:rPr>
      </w:pPr>
      <w:r>
        <w:rPr>
          <w:rFonts w:ascii="Times New Roman" w:cs="Times New Roman" w:eastAsia="Times New Roman" w:hAnsi="Times New Roman"/>
          <w:sz w:val="18"/>
          <w:szCs w:val="18"/>
          <w:color w:val="auto"/>
        </w:rPr>
        <w:t>77 Sir John Rogerson's Quay</w:t>
      </w:r>
    </w:p>
    <w:p>
      <w:pPr>
        <w:spacing w:after="0" w:line="3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9"/>
          <w:szCs w:val="19"/>
          <w:color w:val="auto"/>
        </w:rPr>
        <w:t>D02 NP08</w:t>
      </w:r>
    </w:p>
    <w:p>
      <w:pPr>
        <w:spacing w:after="0" w:line="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LICENCE START DATE: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01/10/2022</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LICENCE END DATE:</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30/09/2024</w:t>
      </w:r>
    </w:p>
    <w:p>
      <w:pPr>
        <w:spacing w:after="0" w:line="200" w:lineRule="exact"/>
        <w:rPr>
          <w:sz w:val="20"/>
          <w:szCs w:val="20"/>
          <w:color w:val="auto"/>
        </w:rPr>
      </w:pP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SERVICE RETAINER: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€55,200.00</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MONTHLY FEE: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€27,600 (excl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type w:val="continuous"/>
        </w:sectPr>
      </w:pPr>
    </w:p>
    <w:bookmarkStart w:id="196" w:name="page197"/>
    <w:bookmarkEnd w:id="196"/>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signing this agreement you confirm that you have read, understood and agree to abide by the conditions attached to the license.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LICENSOR DETAILS</w:t>
            </w:r>
          </w:p>
        </w:tc>
        <w:tc>
          <w:tcPr>
            <w:tcW w:w="91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LICENSEE DETAILS</w:t>
            </w:r>
          </w:p>
        </w:tc>
      </w:tr>
      <w:tr>
        <w:trPr>
          <w:trHeight w:val="238"/>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Full Name:</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Liadh Grainger</w:t>
            </w:r>
          </w:p>
        </w:tc>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Full Name:   </w:t>
            </w: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auto"/>
              </w:rPr>
              <w:t>Dr David Keenan</w:t>
            </w:r>
          </w:p>
        </w:tc>
      </w:tr>
      <w:tr>
        <w:trPr>
          <w:trHeight w:val="364"/>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Sales Executive</w:t>
            </w:r>
          </w:p>
        </w:tc>
        <w:tc>
          <w:tcPr>
            <w:tcW w:w="660" w:type="dxa"/>
            <w:vAlign w:val="bottom"/>
          </w:tcPr>
          <w:p>
            <w:pPr>
              <w:spacing w:after="0"/>
              <w:rPr>
                <w:sz w:val="24"/>
                <w:szCs w:val="24"/>
                <w:color w:val="auto"/>
              </w:rPr>
            </w:pPr>
          </w:p>
        </w:tc>
        <w:tc>
          <w:tcPr>
            <w:tcW w:w="846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auto"/>
              </w:rPr>
              <w:t>SVP Technical Operators, Director</w:t>
            </w:r>
          </w:p>
        </w:tc>
      </w:tr>
      <w:tr>
        <w:trPr>
          <w:trHeight w:val="351"/>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FFFFFF"/>
              </w:rPr>
              <w:t>\d2\</w:t>
            </w:r>
          </w:p>
        </w:tc>
        <w:tc>
          <w:tcPr>
            <w:tcW w:w="8460" w:type="dxa"/>
            <w:vAlign w:val="bottom"/>
          </w:tcPr>
          <w:p>
            <w:pPr>
              <w:spacing w:after="0"/>
              <w:rPr>
                <w:sz w:val="24"/>
                <w:szCs w:val="24"/>
                <w:color w:val="auto"/>
              </w:rPr>
            </w:pPr>
          </w:p>
        </w:tc>
      </w:tr>
      <w:tr>
        <w:trPr>
          <w:trHeight w:val="378"/>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6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460" w:type="dxa"/>
            <w:vAlign w:val="bottom"/>
          </w:tcPr>
          <w:p>
            <w:pPr>
              <w:spacing w:after="0"/>
              <w:rPr>
                <w:sz w:val="24"/>
                <w:szCs w:val="24"/>
                <w:color w:val="auto"/>
              </w:rPr>
            </w:pPr>
          </w:p>
        </w:tc>
      </w:tr>
      <w:tr>
        <w:trPr>
          <w:trHeight w:val="384"/>
        </w:trPr>
        <w:tc>
          <w:tcPr>
            <w:tcW w:w="1140" w:type="dxa"/>
            <w:vAlign w:val="bottom"/>
          </w:tcPr>
          <w:p>
            <w:pPr>
              <w:ind w:left="480"/>
              <w:spacing w:after="0"/>
              <w:rPr>
                <w:sz w:val="20"/>
                <w:szCs w:val="20"/>
                <w:color w:val="auto"/>
              </w:rPr>
            </w:pPr>
            <w:r>
              <w:rPr>
                <w:rFonts w:ascii="Arial" w:cs="Arial" w:eastAsia="Arial" w:hAnsi="Arial"/>
                <w:sz w:val="19"/>
                <w:szCs w:val="19"/>
                <w:color w:val="FFFFFF"/>
              </w:rPr>
              <w:t>\s1\</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FFFFFF"/>
              </w:rPr>
              <w:t>\s2\</w:t>
            </w:r>
          </w:p>
        </w:tc>
        <w:tc>
          <w:tcPr>
            <w:tcW w:w="660" w:type="dxa"/>
            <w:vAlign w:val="bottom"/>
          </w:tcPr>
          <w:p>
            <w:pPr>
              <w:spacing w:after="0"/>
              <w:rPr>
                <w:sz w:val="24"/>
                <w:szCs w:val="24"/>
                <w:color w:val="auto"/>
              </w:rPr>
            </w:pPr>
          </w:p>
        </w:tc>
        <w:tc>
          <w:tcPr>
            <w:tcW w:w="8460" w:type="dxa"/>
            <w:vAlign w:val="bottom"/>
          </w:tcPr>
          <w:p>
            <w:pPr>
              <w:spacing w:after="0"/>
              <w:rPr>
                <w:sz w:val="24"/>
                <w:szCs w:val="24"/>
                <w:color w:val="auto"/>
              </w:rPr>
            </w:pPr>
          </w:p>
        </w:tc>
      </w:tr>
      <w:tr>
        <w:trPr>
          <w:trHeight w:val="460"/>
        </w:trPr>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97" w:name="page198"/>
    <w:bookmarkEnd w:id="197"/>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7F7F7F"/>
        </w:rPr>
        <w:t>MONTHLY LICENCE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7F7F7F"/>
        </w:rPr>
        <w:t>TOTAL: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7F7F7F"/>
        </w:rPr>
        <w:t>€27,600.00</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40" w:type="dxa"/>
            <w:vAlign w:val="bottom"/>
          </w:tcPr>
          <w:p>
            <w:pPr>
              <w:ind w:left="140"/>
              <w:spacing w:after="0"/>
              <w:rPr>
                <w:sz w:val="20"/>
                <w:szCs w:val="20"/>
                <w:color w:val="auto"/>
              </w:rPr>
            </w:pPr>
            <w:r>
              <w:rPr>
                <w:rFonts w:ascii="Times New Roman" w:cs="Times New Roman" w:eastAsia="Times New Roman" w:hAnsi="Times New Roman"/>
                <w:sz w:val="19"/>
                <w:szCs w:val="19"/>
                <w:color w:val="auto"/>
                <w:w w:val="99"/>
              </w:rPr>
              <w:t>LICENCE FEE</w:t>
            </w:r>
          </w:p>
        </w:tc>
        <w:tc>
          <w:tcPr>
            <w:tcW w:w="2720" w:type="dxa"/>
            <w:vAlign w:val="bottom"/>
          </w:tcPr>
          <w:p>
            <w:pPr>
              <w:jc w:val="right"/>
              <w:ind w:right="806"/>
              <w:spacing w:after="0"/>
              <w:rPr>
                <w:sz w:val="20"/>
                <w:szCs w:val="20"/>
                <w:color w:val="auto"/>
              </w:rPr>
            </w:pPr>
            <w:r>
              <w:rPr>
                <w:rFonts w:ascii="Times New Roman" w:cs="Times New Roman" w:eastAsia="Times New Roman" w:hAnsi="Times New Roman"/>
                <w:sz w:val="19"/>
                <w:szCs w:val="19"/>
                <w:color w:val="auto"/>
              </w:rPr>
              <w:t>MONTHLY PRICE</w:t>
            </w:r>
          </w:p>
        </w:tc>
        <w:tc>
          <w:tcPr>
            <w:tcW w:w="194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SERVICES</w:t>
            </w:r>
          </w:p>
        </w:tc>
        <w:tc>
          <w:tcPr>
            <w:tcW w:w="294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QUANTITY  MONTHLY PRICE</w:t>
            </w:r>
          </w:p>
        </w:tc>
        <w:tc>
          <w:tcPr>
            <w:tcW w:w="2300" w:type="dxa"/>
            <w:vAlign w:val="bottom"/>
          </w:tcPr>
          <w:p>
            <w:pPr>
              <w:spacing w:after="0"/>
              <w:rPr>
                <w:sz w:val="21"/>
                <w:szCs w:val="21"/>
                <w:color w:val="auto"/>
              </w:rPr>
            </w:pPr>
          </w:p>
        </w:tc>
      </w:tr>
      <w:tr>
        <w:trPr>
          <w:trHeight w:val="382"/>
        </w:trPr>
        <w:tc>
          <w:tcPr>
            <w:tcW w:w="1340" w:type="dxa"/>
            <w:vAlign w:val="bottom"/>
          </w:tcPr>
          <w:p>
            <w:pPr>
              <w:spacing w:after="0"/>
              <w:rPr>
                <w:sz w:val="20"/>
                <w:szCs w:val="20"/>
                <w:color w:val="auto"/>
              </w:rPr>
            </w:pPr>
            <w:r>
              <w:rPr>
                <w:rFonts w:ascii="Arial" w:cs="Arial" w:eastAsia="Arial" w:hAnsi="Arial"/>
                <w:sz w:val="16"/>
                <w:szCs w:val="16"/>
                <w:color w:val="auto"/>
              </w:rPr>
              <w:t>October 2022</w:t>
            </w:r>
          </w:p>
        </w:tc>
        <w:tc>
          <w:tcPr>
            <w:tcW w:w="2720" w:type="dxa"/>
            <w:vAlign w:val="bottom"/>
          </w:tcPr>
          <w:p>
            <w:pPr>
              <w:jc w:val="right"/>
              <w:ind w:right="160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November 2022</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December 2022</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January 2023</w:t>
            </w:r>
          </w:p>
        </w:tc>
        <w:tc>
          <w:tcPr>
            <w:tcW w:w="2720" w:type="dxa"/>
            <w:vAlign w:val="bottom"/>
          </w:tcPr>
          <w:p>
            <w:pPr>
              <w:jc w:val="right"/>
              <w:ind w:right="160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February 2023</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March 2023</w:t>
            </w:r>
          </w:p>
        </w:tc>
        <w:tc>
          <w:tcPr>
            <w:tcW w:w="2720" w:type="dxa"/>
            <w:vAlign w:val="bottom"/>
          </w:tcPr>
          <w:p>
            <w:pPr>
              <w:jc w:val="right"/>
              <w:ind w:right="158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April 2023</w:t>
            </w:r>
          </w:p>
        </w:tc>
        <w:tc>
          <w:tcPr>
            <w:tcW w:w="2720" w:type="dxa"/>
            <w:vAlign w:val="bottom"/>
          </w:tcPr>
          <w:p>
            <w:pPr>
              <w:jc w:val="right"/>
              <w:ind w:right="15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May 2023</w:t>
            </w:r>
          </w:p>
        </w:tc>
        <w:tc>
          <w:tcPr>
            <w:tcW w:w="2720" w:type="dxa"/>
            <w:vAlign w:val="bottom"/>
          </w:tcPr>
          <w:p>
            <w:pPr>
              <w:jc w:val="right"/>
              <w:ind w:right="156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June 2023</w:t>
            </w:r>
          </w:p>
        </w:tc>
        <w:tc>
          <w:tcPr>
            <w:tcW w:w="2720" w:type="dxa"/>
            <w:vAlign w:val="bottom"/>
          </w:tcPr>
          <w:p>
            <w:pPr>
              <w:jc w:val="right"/>
              <w:ind w:right="156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July 2023</w:t>
            </w:r>
          </w:p>
        </w:tc>
        <w:tc>
          <w:tcPr>
            <w:tcW w:w="2720" w:type="dxa"/>
            <w:vAlign w:val="bottom"/>
          </w:tcPr>
          <w:p>
            <w:pPr>
              <w:jc w:val="right"/>
              <w:ind w:right="158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August 2023</w:t>
            </w:r>
          </w:p>
        </w:tc>
        <w:tc>
          <w:tcPr>
            <w:tcW w:w="2720" w:type="dxa"/>
            <w:vAlign w:val="bottom"/>
          </w:tcPr>
          <w:p>
            <w:pPr>
              <w:jc w:val="right"/>
              <w:ind w:right="162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September 2023</w:t>
            </w:r>
          </w:p>
        </w:tc>
        <w:tc>
          <w:tcPr>
            <w:tcW w:w="2720" w:type="dxa"/>
            <w:vAlign w:val="bottom"/>
          </w:tcPr>
          <w:p>
            <w:pPr>
              <w:jc w:val="right"/>
              <w:ind w:right="1666"/>
              <w:spacing w:after="0"/>
              <w:rPr>
                <w:sz w:val="20"/>
                <w:szCs w:val="20"/>
                <w:color w:val="auto"/>
              </w:rPr>
            </w:pPr>
            <w:r>
              <w:rPr>
                <w:rFonts w:ascii="Arial" w:cs="Arial" w:eastAsia="Arial" w:hAnsi="Arial"/>
                <w:sz w:val="19"/>
                <w:szCs w:val="19"/>
                <w:color w:val="auto"/>
                <w:w w:val="98"/>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October 2023</w:t>
            </w:r>
          </w:p>
        </w:tc>
        <w:tc>
          <w:tcPr>
            <w:tcW w:w="2720" w:type="dxa"/>
            <w:vAlign w:val="bottom"/>
          </w:tcPr>
          <w:p>
            <w:pPr>
              <w:jc w:val="right"/>
              <w:ind w:right="160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November 2023</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December 2023</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January 2024</w:t>
            </w:r>
          </w:p>
        </w:tc>
        <w:tc>
          <w:tcPr>
            <w:tcW w:w="2720" w:type="dxa"/>
            <w:vAlign w:val="bottom"/>
          </w:tcPr>
          <w:p>
            <w:pPr>
              <w:jc w:val="right"/>
              <w:ind w:right="160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February 2024</w:t>
            </w:r>
          </w:p>
        </w:tc>
        <w:tc>
          <w:tcPr>
            <w:tcW w:w="2720" w:type="dxa"/>
            <w:vAlign w:val="bottom"/>
          </w:tcPr>
          <w:p>
            <w:pPr>
              <w:jc w:val="right"/>
              <w:ind w:right="16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March 2024</w:t>
            </w:r>
          </w:p>
        </w:tc>
        <w:tc>
          <w:tcPr>
            <w:tcW w:w="2720" w:type="dxa"/>
            <w:vAlign w:val="bottom"/>
          </w:tcPr>
          <w:p>
            <w:pPr>
              <w:jc w:val="right"/>
              <w:ind w:right="158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April 2024</w:t>
            </w:r>
          </w:p>
        </w:tc>
        <w:tc>
          <w:tcPr>
            <w:tcW w:w="2720" w:type="dxa"/>
            <w:vAlign w:val="bottom"/>
          </w:tcPr>
          <w:p>
            <w:pPr>
              <w:jc w:val="right"/>
              <w:ind w:right="154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5"/>
        </w:trPr>
        <w:tc>
          <w:tcPr>
            <w:tcW w:w="1340" w:type="dxa"/>
            <w:vAlign w:val="bottom"/>
          </w:tcPr>
          <w:p>
            <w:pPr>
              <w:spacing w:after="0"/>
              <w:rPr>
                <w:sz w:val="20"/>
                <w:szCs w:val="20"/>
                <w:color w:val="auto"/>
              </w:rPr>
            </w:pPr>
            <w:r>
              <w:rPr>
                <w:rFonts w:ascii="Arial" w:cs="Arial" w:eastAsia="Arial" w:hAnsi="Arial"/>
                <w:sz w:val="16"/>
                <w:szCs w:val="16"/>
                <w:color w:val="auto"/>
              </w:rPr>
              <w:t>May 2024</w:t>
            </w:r>
          </w:p>
        </w:tc>
        <w:tc>
          <w:tcPr>
            <w:tcW w:w="2720" w:type="dxa"/>
            <w:vAlign w:val="bottom"/>
          </w:tcPr>
          <w:p>
            <w:pPr>
              <w:jc w:val="right"/>
              <w:ind w:right="156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June 2024</w:t>
            </w:r>
          </w:p>
        </w:tc>
        <w:tc>
          <w:tcPr>
            <w:tcW w:w="2720" w:type="dxa"/>
            <w:vAlign w:val="bottom"/>
          </w:tcPr>
          <w:p>
            <w:pPr>
              <w:jc w:val="right"/>
              <w:ind w:right="156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16"/>
                <w:szCs w:val="16"/>
                <w:color w:val="auto"/>
              </w:rPr>
              <w:t>July 2024</w:t>
            </w:r>
          </w:p>
        </w:tc>
        <w:tc>
          <w:tcPr>
            <w:tcW w:w="2720" w:type="dxa"/>
            <w:vAlign w:val="bottom"/>
          </w:tcPr>
          <w:p>
            <w:pPr>
              <w:jc w:val="right"/>
              <w:ind w:right="158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August 2024</w:t>
            </w:r>
          </w:p>
        </w:tc>
        <w:tc>
          <w:tcPr>
            <w:tcW w:w="2720" w:type="dxa"/>
            <w:vAlign w:val="bottom"/>
          </w:tcPr>
          <w:p>
            <w:pPr>
              <w:jc w:val="right"/>
              <w:ind w:right="1626"/>
              <w:spacing w:after="0"/>
              <w:rPr>
                <w:sz w:val="20"/>
                <w:szCs w:val="20"/>
                <w:color w:val="auto"/>
              </w:rPr>
            </w:pPr>
            <w:r>
              <w:rPr>
                <w:rFonts w:ascii="Arial" w:cs="Arial" w:eastAsia="Arial" w:hAnsi="Arial"/>
                <w:sz w:val="19"/>
                <w:szCs w:val="19"/>
                <w:color w:val="auto"/>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64"/>
        </w:trPr>
        <w:tc>
          <w:tcPr>
            <w:tcW w:w="1340" w:type="dxa"/>
            <w:vAlign w:val="bottom"/>
          </w:tcPr>
          <w:p>
            <w:pPr>
              <w:spacing w:after="0"/>
              <w:rPr>
                <w:sz w:val="20"/>
                <w:szCs w:val="20"/>
                <w:color w:val="auto"/>
              </w:rPr>
            </w:pPr>
            <w:r>
              <w:rPr>
                <w:rFonts w:ascii="Arial" w:cs="Arial" w:eastAsia="Arial" w:hAnsi="Arial"/>
                <w:sz w:val="16"/>
                <w:szCs w:val="16"/>
                <w:color w:val="auto"/>
              </w:rPr>
              <w:t>September 2024</w:t>
            </w:r>
          </w:p>
        </w:tc>
        <w:tc>
          <w:tcPr>
            <w:tcW w:w="2720" w:type="dxa"/>
            <w:vAlign w:val="bottom"/>
          </w:tcPr>
          <w:p>
            <w:pPr>
              <w:jc w:val="right"/>
              <w:ind w:right="1666"/>
              <w:spacing w:after="0"/>
              <w:rPr>
                <w:sz w:val="20"/>
                <w:szCs w:val="20"/>
                <w:color w:val="auto"/>
              </w:rPr>
            </w:pPr>
            <w:r>
              <w:rPr>
                <w:rFonts w:ascii="Arial" w:cs="Arial" w:eastAsia="Arial" w:hAnsi="Arial"/>
                <w:sz w:val="19"/>
                <w:szCs w:val="19"/>
                <w:color w:val="auto"/>
                <w:w w:val="98"/>
              </w:rPr>
              <w:t>€27,600.00</w:t>
            </w:r>
          </w:p>
        </w:tc>
        <w:tc>
          <w:tcPr>
            <w:tcW w:w="19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548"/>
        </w:trPr>
        <w:tc>
          <w:tcPr>
            <w:tcW w:w="13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MONTHLY</w:t>
            </w:r>
          </w:p>
        </w:tc>
        <w:tc>
          <w:tcPr>
            <w:tcW w:w="2720" w:type="dxa"/>
            <w:vAlign w:val="bottom"/>
          </w:tcPr>
          <w:p>
            <w:pPr>
              <w:jc w:val="right"/>
              <w:ind w:right="1646"/>
              <w:spacing w:after="0"/>
              <w:rPr>
                <w:sz w:val="20"/>
                <w:szCs w:val="20"/>
                <w:color w:val="auto"/>
              </w:rPr>
            </w:pPr>
            <w:r>
              <w:rPr>
                <w:rFonts w:ascii="Times New Roman" w:cs="Times New Roman" w:eastAsia="Times New Roman" w:hAnsi="Times New Roman"/>
                <w:sz w:val="19"/>
                <w:szCs w:val="19"/>
                <w:b w:val="1"/>
                <w:bCs w:val="1"/>
                <w:color w:val="auto"/>
              </w:rPr>
              <w:t>€27,600.00</w:t>
            </w:r>
          </w:p>
        </w:tc>
        <w:tc>
          <w:tcPr>
            <w:tcW w:w="1940" w:type="dxa"/>
            <w:vAlign w:val="bottom"/>
          </w:tcPr>
          <w:p>
            <w:pPr>
              <w:spacing w:after="0"/>
              <w:rPr>
                <w:sz w:val="24"/>
                <w:szCs w:val="24"/>
                <w:color w:val="auto"/>
              </w:rPr>
            </w:pPr>
          </w:p>
        </w:tc>
        <w:tc>
          <w:tcPr>
            <w:tcW w:w="2940" w:type="dxa"/>
            <w:vAlign w:val="bottom"/>
          </w:tcPr>
          <w:p>
            <w:pPr>
              <w:ind w:left="1700"/>
              <w:spacing w:after="0"/>
              <w:rPr>
                <w:sz w:val="20"/>
                <w:szCs w:val="20"/>
                <w:color w:val="auto"/>
              </w:rPr>
            </w:pPr>
            <w:r>
              <w:rPr>
                <w:rFonts w:ascii="Times New Roman" w:cs="Times New Roman" w:eastAsia="Times New Roman" w:hAnsi="Times New Roman"/>
                <w:sz w:val="19"/>
                <w:szCs w:val="19"/>
                <w:color w:val="auto"/>
              </w:rPr>
              <w:t>MONTHLY</w:t>
            </w:r>
          </w:p>
        </w:tc>
        <w:tc>
          <w:tcPr>
            <w:tcW w:w="23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€700.00</w:t>
            </w:r>
          </w:p>
        </w:tc>
      </w:tr>
      <w:tr>
        <w:trPr>
          <w:trHeight w:val="244"/>
        </w:trPr>
        <w:tc>
          <w:tcPr>
            <w:tcW w:w="134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TOTAL:</w:t>
            </w:r>
          </w:p>
        </w:tc>
        <w:tc>
          <w:tcPr>
            <w:tcW w:w="2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940" w:type="dxa"/>
            <w:vAlign w:val="bottom"/>
          </w:tcPr>
          <w:p>
            <w:pPr>
              <w:ind w:left="1700"/>
              <w:spacing w:after="0"/>
              <w:rPr>
                <w:sz w:val="20"/>
                <w:szCs w:val="20"/>
                <w:color w:val="auto"/>
              </w:rPr>
            </w:pPr>
            <w:r>
              <w:rPr>
                <w:rFonts w:ascii="Times New Roman" w:cs="Times New Roman" w:eastAsia="Times New Roman" w:hAnsi="Times New Roman"/>
                <w:sz w:val="19"/>
                <w:szCs w:val="19"/>
                <w:color w:val="auto"/>
              </w:rPr>
              <w:t>TOTAL:</w:t>
            </w:r>
          </w:p>
        </w:tc>
        <w:tc>
          <w:tcPr>
            <w:tcW w:w="2300" w:type="dxa"/>
            <w:vAlign w:val="bottom"/>
          </w:tcPr>
          <w:p>
            <w:pPr>
              <w:spacing w:after="0"/>
              <w:rPr>
                <w:sz w:val="21"/>
                <w:szCs w:val="21"/>
                <w:color w:val="auto"/>
              </w:rPr>
            </w:pPr>
          </w:p>
        </w:tc>
      </w:tr>
      <w:tr>
        <w:trPr>
          <w:trHeight w:val="774"/>
        </w:trPr>
        <w:tc>
          <w:tcPr>
            <w:tcW w:w="13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98" w:name="page199"/>
    <w:bookmarkEnd w:id="198"/>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8">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140"/>
        <w:spacing w:after="0"/>
        <w:tabs>
          <w:tab w:leader="none" w:pos="2380" w:val="left"/>
        </w:tabs>
        <w:rPr>
          <w:sz w:val="20"/>
          <w:szCs w:val="20"/>
          <w:color w:val="auto"/>
        </w:rPr>
      </w:pPr>
      <w:r>
        <w:rPr>
          <w:rFonts w:ascii="Times New Roman" w:cs="Times New Roman" w:eastAsia="Times New Roman" w:hAnsi="Times New Roman"/>
          <w:sz w:val="19"/>
          <w:szCs w:val="19"/>
          <w:color w:val="auto"/>
        </w:rPr>
        <w:t>SETUP FEES QUANTITY</w:t>
      </w:r>
      <w:r>
        <w:rPr>
          <w:sz w:val="20"/>
          <w:szCs w:val="20"/>
          <w:color w:val="auto"/>
        </w:rPr>
        <w:tab/>
      </w:r>
      <w:r>
        <w:rPr>
          <w:rFonts w:ascii="Times New Roman" w:cs="Times New Roman" w:eastAsia="Times New Roman" w:hAnsi="Times New Roman"/>
          <w:sz w:val="18"/>
          <w:szCs w:val="18"/>
          <w:color w:val="auto"/>
        </w:rPr>
        <w:t>ONE-OFF FEE</w:t>
      </w:r>
    </w:p>
    <w:p>
      <w:pPr>
        <w:spacing w:after="0" w:line="146" w:lineRule="exact"/>
        <w:rPr>
          <w:sz w:val="20"/>
          <w:szCs w:val="20"/>
          <w:color w:val="auto"/>
        </w:rPr>
      </w:pPr>
    </w:p>
    <w:p>
      <w:pPr>
        <w:ind w:left="140"/>
        <w:spacing w:after="0"/>
        <w:tabs>
          <w:tab w:leader="none" w:pos="2000" w:val="left"/>
        </w:tabs>
        <w:rPr>
          <w:sz w:val="20"/>
          <w:szCs w:val="20"/>
          <w:color w:val="auto"/>
        </w:rPr>
      </w:pPr>
      <w:r>
        <w:rPr>
          <w:rFonts w:ascii="Times New Roman" w:cs="Times New Roman" w:eastAsia="Times New Roman" w:hAnsi="Times New Roman"/>
          <w:sz w:val="19"/>
          <w:szCs w:val="19"/>
          <w:color w:val="auto"/>
        </w:rPr>
        <w:t>Establishment Fee 21</w:t>
        <w:tab/>
        <w:t>€819.00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xml:space="preserve">ONE-OFF Fee Total: </w:t>
      </w:r>
      <w:r>
        <w:rPr>
          <w:rFonts w:ascii="Times New Roman" w:cs="Times New Roman" w:eastAsia="Times New Roman" w:hAnsi="Times New Roman"/>
          <w:sz w:val="19"/>
          <w:szCs w:val="19"/>
          <w:b w:val="1"/>
          <w:bCs w:val="1"/>
          <w:color w:val="auto"/>
        </w:rPr>
        <w:t>€819.00</w:t>
      </w: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ADDITIONAL TERMS:</w:t>
      </w:r>
    </w:p>
    <w:p>
      <w:pPr>
        <w:spacing w:after="0" w:line="133" w:lineRule="exact"/>
        <w:rPr>
          <w:sz w:val="20"/>
          <w:szCs w:val="20"/>
          <w:color w:val="auto"/>
        </w:rPr>
      </w:pPr>
    </w:p>
    <w:p>
      <w:pPr>
        <w:ind w:left="760" w:right="40" w:hanging="752"/>
        <w:spacing w:after="0" w:line="233" w:lineRule="auto"/>
        <w:tabs>
          <w:tab w:leader="none" w:pos="76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Licensor agrees to notify the Licensee when construction of Scotch House resumes and subsequently confirm the date for the relocation to Scotch House (“Scotch House start date”). The Licensee will have first right of refusal on suites 204, 205, 208, 209 at the agreed list price of €27,600 ex vat per month at Scotch House. Upon receipt of the confirmed completion date for Scotch House, the Licensee will have two (2) business days to provide written acceptance that they wish to relocate to Scotch House. If the Licensee accepts the relocation, an addendum will be affixed to this License agreement confirming the Licensee’s relocation to Suites 204, 205, 208 and 209 at Scotch House for the remainder of the License term ending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xml:space="preserve"> September 2024.</w:t>
      </w:r>
    </w:p>
    <w:p>
      <w:pPr>
        <w:spacing w:after="0" w:line="3" w:lineRule="exact"/>
        <w:rPr>
          <w:rFonts w:ascii="Times New Roman" w:cs="Times New Roman" w:eastAsia="Times New Roman" w:hAnsi="Times New Roman"/>
          <w:sz w:val="19"/>
          <w:szCs w:val="19"/>
          <w:color w:val="auto"/>
        </w:rPr>
      </w:pPr>
    </w:p>
    <w:p>
      <w:pPr>
        <w:ind w:left="760" w:hanging="752"/>
        <w:spacing w:after="0" w:line="237" w:lineRule="auto"/>
        <w:tabs>
          <w:tab w:leader="none" w:pos="76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the Licensee wish to remain within Suites 211-219 at The Greenway, office suite license fees for the remaining term shall be at the then prevailing market rate as notified by the Licensor to the Licensee. The uplift in fees will apply from the Scotch House start date. For the avoidance of doubt, the capacity of Suites 211-219 at The Greenway is 60 workstations and shall be charged at the prevailing market rate.</w:t>
      </w:r>
    </w:p>
    <w:p>
      <w:pPr>
        <w:spacing w:after="0" w:line="1" w:lineRule="exact"/>
        <w:rPr>
          <w:rFonts w:ascii="Times New Roman" w:cs="Times New Roman" w:eastAsia="Times New Roman" w:hAnsi="Times New Roman"/>
          <w:sz w:val="19"/>
          <w:szCs w:val="19"/>
          <w:color w:val="auto"/>
        </w:rPr>
      </w:pPr>
    </w:p>
    <w:p>
      <w:pPr>
        <w:ind w:left="760" w:hanging="752"/>
        <w:spacing w:after="0"/>
        <w:tabs>
          <w:tab w:leader="none" w:pos="76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Licensee agrees to relocate to Suites 204, 205, 208 &amp; 209 in Scotch House, the below services and fit out works will commence: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services and pricing have been agreed: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Two (2) dedicated car parking spaces @€350 ex vat to be charged monthly.</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Licensee agrees to Iconic proceeding with the following scheduled works, fees will be borne by the Licensee: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Demolition of existing wall €2,100 ex vat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Make bulkhead for glass partition €650 ex vat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Supply and install of double-glazed partition with black frame €7,700 ex vat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Supply and install of double-glazed glass door €1,200 ex vat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Redecorate adjoining walls €350 ex vat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Subtotal cost €12,000 ex vat</w:t>
      </w:r>
    </w:p>
    <w:p>
      <w:pPr>
        <w:spacing w:after="0" w:line="200" w:lineRule="exact"/>
        <w:rPr>
          <w:sz w:val="20"/>
          <w:szCs w:val="20"/>
          <w:color w:val="auto"/>
        </w:rPr>
      </w:pPr>
    </w:p>
    <w:p>
      <w:pPr>
        <w:spacing w:after="0" w:line="29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9"/>
          <w:szCs w:val="19"/>
          <w:color w:val="auto"/>
        </w:rPr>
        <w:t>The Licensee agrees to pay the below restoration charges upon notice of termination. For the avoidance of doubt this will be 3 (three) full calendar months prior to the license agreements end date. Should the Licensee wish to enact the break, the Licensee must pay the restoration fee at the end of month 9 (June 2022). All restoration works are to be completed post exit when The Licensee has vacated the office space.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Restoration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Removal of glass partition and glass door €1950 ex vat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Reinstatement of double slabbed acoustically insulated partition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199" w:name="page200"/>
    <w:bookmarkEnd w:id="199"/>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1">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Paint new wall and adjoining walls €700 ex vat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Subtotal cost €8,150 ex vat</w:t>
      </w:r>
    </w:p>
    <w:p>
      <w:pPr>
        <w:spacing w:after="0" w:line="200" w:lineRule="exact"/>
        <w:rPr>
          <w:sz w:val="20"/>
          <w:szCs w:val="20"/>
          <w:color w:val="auto"/>
        </w:rPr>
      </w:pPr>
    </w:p>
    <w:p>
      <w:pPr>
        <w:spacing w:after="0" w:line="297" w:lineRule="exact"/>
        <w:rPr>
          <w:sz w:val="20"/>
          <w:szCs w:val="20"/>
          <w:color w:val="auto"/>
        </w:rPr>
      </w:pPr>
    </w:p>
    <w:p>
      <w:pPr>
        <w:ind w:left="760" w:hanging="752"/>
        <w:spacing w:after="0" w:line="251" w:lineRule="auto"/>
        <w:tabs>
          <w:tab w:leader="none" w:pos="7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Licensor agrees to a monthly fee of €27,600 + vat per month for the duration of this contract term. The fees on any renewal shall be at the then prevailing market rate as notified by the Licensor to the Licensee unless the monthly fees are updated due to the Licensee remaining in The Greenway as outlined in clause ii</w:t>
      </w:r>
    </w:p>
    <w:p>
      <w:pPr>
        <w:spacing w:after="0" w:line="327" w:lineRule="exact"/>
        <w:rPr>
          <w:rFonts w:ascii="Times New Roman" w:cs="Times New Roman" w:eastAsia="Times New Roman" w:hAnsi="Times New Roman"/>
          <w:sz w:val="19"/>
          <w:szCs w:val="19"/>
          <w:color w:val="auto"/>
        </w:rPr>
      </w:pPr>
    </w:p>
    <w:p>
      <w:pPr>
        <w:ind w:left="760" w:right="520" w:hanging="752"/>
        <w:spacing w:after="0" w:line="265" w:lineRule="auto"/>
        <w:tabs>
          <w:tab w:leader="none" w:pos="7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the Licensee wish to terminate within the fixed term, the Licensee must furnish the Licensor with three full calendar months written notice and must pay the outstanding balance on the contract net of the amount of the “service retainer” deposit.</w:t>
      </w:r>
    </w:p>
    <w:p>
      <w:pPr>
        <w:spacing w:after="0" w:line="300" w:lineRule="exact"/>
        <w:rPr>
          <w:rFonts w:ascii="Times New Roman" w:cs="Times New Roman" w:eastAsia="Times New Roman" w:hAnsi="Times New Roman"/>
          <w:sz w:val="19"/>
          <w:szCs w:val="19"/>
          <w:color w:val="auto"/>
        </w:rPr>
      </w:pPr>
    </w:p>
    <w:p>
      <w:pPr>
        <w:ind w:left="760" w:right="40" w:hanging="752"/>
        <w:spacing w:after="0" w:line="251" w:lineRule="auto"/>
        <w:tabs>
          <w:tab w:leader="none" w:pos="7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Licensor and Licensee agree to a Break Option at the end of month 12. Should the Licensee wish to enact the break, the Licensee must furnish the Licensor with three calendar months written notice. For the avoidance of doubt the Licensee must contact the Licensor in writing by the end of Month 9 (May 2023) should they wish to Terminate the Agreement at the end on Month 12 (September 2023).</w:t>
      </w:r>
    </w:p>
    <w:p>
      <w:pPr>
        <w:spacing w:after="0" w:line="327" w:lineRule="exact"/>
        <w:rPr>
          <w:rFonts w:ascii="Times New Roman" w:cs="Times New Roman" w:eastAsia="Times New Roman" w:hAnsi="Times New Roman"/>
          <w:sz w:val="19"/>
          <w:szCs w:val="19"/>
          <w:color w:val="auto"/>
        </w:rPr>
      </w:pPr>
    </w:p>
    <w:p>
      <w:pPr>
        <w:ind w:left="760" w:hanging="752"/>
        <w:spacing w:after="0"/>
        <w:tabs>
          <w:tab w:leader="none" w:pos="76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services and pricing have been agreed: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Car Parking TBC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Internet requirements TBC</w:t>
      </w:r>
    </w:p>
    <w:p>
      <w:pPr>
        <w:spacing w:after="0" w:line="200" w:lineRule="exact"/>
        <w:rPr>
          <w:sz w:val="20"/>
          <w:szCs w:val="20"/>
          <w:color w:val="auto"/>
        </w:rPr>
      </w:pPr>
    </w:p>
    <w:p>
      <w:pPr>
        <w:spacing w:after="0" w:line="31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The Licensee shall be allowed to use Scotch House as their business address. The Licensor agrees to arrange for the weekly delivery of any mail to The Greenway.</w:t>
      </w:r>
    </w:p>
    <w:p>
      <w:pPr>
        <w:spacing w:after="0" w:line="200" w:lineRule="exact"/>
        <w:rPr>
          <w:sz w:val="20"/>
          <w:szCs w:val="20"/>
          <w:color w:val="auto"/>
        </w:rPr>
      </w:pPr>
    </w:p>
    <w:p>
      <w:pPr>
        <w:spacing w:after="0" w:line="24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9"/>
          <w:szCs w:val="19"/>
          <w:color w:val="auto"/>
        </w:rPr>
        <w:t>For the duration of the Licensees time in The Greenway, the Licensor agrees to grant the licensee complimentary use of The Greenroom once a month on a half day basis valued at €500 ex vat. The Licensee will need to provide the Licensor with 2 weeks’ notice if booking The Greenroom. Standard meeting room T’s and C’s will apply.</w:t>
      </w:r>
    </w:p>
    <w:p>
      <w:pPr>
        <w:spacing w:after="0" w:line="200" w:lineRule="exact"/>
        <w:rPr>
          <w:sz w:val="20"/>
          <w:szCs w:val="20"/>
          <w:color w:val="auto"/>
        </w:rPr>
      </w:pPr>
    </w:p>
    <w:p>
      <w:pPr>
        <w:spacing w:after="0" w:line="26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Licensor and Licensee understand there will be ongoing work in neighbouring building. As such, the Licensee agrees and understands that there may be some noise disturbance during this time. The Licensee agrees and understands that this disturbance is outside of the Licensor's control.</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Licensor agrees to provide sit/stand desks for 24 workstations.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Licensor agrees to provide 3 TV screens to place in open plan and two smaller offices.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Licensor agrees to execute the below layout labelled ‘’Exhibit A’’</w:t>
      </w:r>
    </w:p>
    <w:p>
      <w:pPr>
        <w:spacing w:after="0" w:line="200" w:lineRule="exact"/>
        <w:rPr>
          <w:sz w:val="20"/>
          <w:szCs w:val="20"/>
          <w:color w:val="auto"/>
        </w:rPr>
      </w:pPr>
    </w:p>
    <w:p>
      <w:pPr>
        <w:spacing w:after="0" w:line="311"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19"/>
          <w:szCs w:val="19"/>
          <w:color w:val="auto"/>
        </w:rPr>
        <w:t>One off set up costs will also apply they are broken down as follows: Establishment Fee @ €39.00 per person x 21 (keys, fobs &amp; security settings). Service levels will be confirmed by the Centre Manager through the Move In Questionnaire and all additional services are as per the proposal. All per person charges will be billed as and when new employees join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0" w:name="page201"/>
    <w:bookmarkEnd w:id="200"/>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4">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Amended terms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p>
    <w:p>
      <w:pPr>
        <w:spacing w:after="0" w:line="15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Anti-competitive behaviour: The Licensee shall not at any time from the date on which the License commences to the expiry of 12 (twelve) months after the end date of the License, solicit, entice away any existing Licensee from the Licensor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w:t>
      </w:r>
    </w:p>
    <w:p>
      <w:pPr>
        <w:spacing w:after="0" w:line="15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7"/>
          <w:szCs w:val="17"/>
          <w:color w:val="auto"/>
        </w:rPr>
        <w:t>Confidentiality: The terms of this agreement are confidential. Neither Iconic Offices nor the Licensee must disclose them without the other’s consent unless required to do so by law or an official authority or as needed in the ordinary course of business. This obligation continues after this agreement ends.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 Providing the Services:</w:t>
      </w:r>
    </w:p>
    <w:p>
      <w:pPr>
        <w:spacing w:after="0" w:line="15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Access to the accommodation(s): Iconic Offices employees may need to enter the Licensee’s Office(s) and may do so at any time. However, unless there is an emergency or the Licensee has given notice to terminate, Iconic Offices will notify the Licensee(s) verbally or electronically in advance when Iconic needs access to carry out viewings (where the Licensee has given notice to terminate), testing, repair or works other than routine inspection, cleaning, and maintenance. Iconic Offices will also respect reasonable security procedures to protect the confidentiality of the Licensee’s business.</w:t>
      </w:r>
    </w:p>
    <w:p>
      <w:pPr>
        <w:spacing w:after="0" w:line="200" w:lineRule="exact"/>
        <w:rPr>
          <w:sz w:val="20"/>
          <w:szCs w:val="20"/>
          <w:color w:val="auto"/>
        </w:rPr>
      </w:pP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4.4 Ending this agreement immediately: To the maximum extent permitted by applicable law, Iconic Offices may (acting always in good faith) put an end to this agreement immediately by giving the Licensee notice and without need to follow any additional procedure if (a) the Licensee becomes insolvent, bankrupt, goes into liquidation or becomes unable to pay its debts as they fall due, or (b) the Licensee is in breach of one of its obligations which cannot be put right or which Iconic Offices have given the Licensee notice to put right and which the Licensee has failed to put right within fourteen (14) days of that notice, or (c) its conduct, and that of any party authorised and appointed and or invited by it or that of someone at the Building with its permission or invitation, is incompatible with ordinary office use</w:t>
      </w:r>
    </w:p>
    <w:p>
      <w:pPr>
        <w:spacing w:after="0" w:line="1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If Iconic Offices puts an end to this agreement for any of these reasons it does not put an end to any outstanding obligations, including additional services used and the monthly license fee. Notwithstanding the foregoing, any outstanding obligation would be limited to the lesser of the remaining license fee at the time of termination, or 3 (Three) months of the license value (€82,800 ex vat). For the avoidance of doubt the security deposit will be returned as outlined in amended term 9.2.</w:t>
      </w:r>
    </w:p>
    <w:p>
      <w:pPr>
        <w:spacing w:after="0" w:line="200" w:lineRule="exact"/>
        <w:rPr>
          <w:sz w:val="20"/>
          <w:szCs w:val="20"/>
          <w:color w:val="auto"/>
        </w:rPr>
      </w:pPr>
    </w:p>
    <w:p>
      <w:pPr>
        <w:spacing w:after="0" w:line="25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7"/>
          <w:szCs w:val="17"/>
          <w:color w:val="auto"/>
        </w:rPr>
        <w:t>8.2 The extent of Iconic Offices liability: To the maximum extent permitted by applicable law, Iconic Offices is not liable to the Licensee in respect of any loss or damage the Licensee suffers in connection with this agreement, with the services or with the Licensee’s Office(s) unless Iconic Offices has acted negligently in causing that loss or damage. Iconic Offices is not liable for any loss because of Iconic Offices’ failure to provide a service because of a mechanical breakdown. In no event shall Iconic Offices be liable for any loss or damage unless the Licensee provides Iconic Offices written notice and gives Iconic Offices a reasonable time to put it right. If Iconic Offices is liable for failing to provide the Licensee with any service under this agreement, then subject to the exclusions and limits set out immediately below Iconic Offices will pay any actual and reasonable expenses the Licensee has incurred in obtaining that service from an alternative source. If the Licensee believes Iconic Offices has failed to deliver a service consistent with these terms and conditions the Licensee shall provide Iconic Offices written notice of such failure and give Iconic Offices a reasonable period to put it right.</w:t>
      </w:r>
    </w:p>
    <w:p>
      <w:pPr>
        <w:spacing w:after="0" w:line="200" w:lineRule="exact"/>
        <w:rPr>
          <w:sz w:val="20"/>
          <w:szCs w:val="20"/>
          <w:color w:val="auto"/>
        </w:rPr>
      </w:pPr>
    </w:p>
    <w:p>
      <w:pPr>
        <w:spacing w:after="0" w:line="25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8.3 Exclusion of consequential losses, etc. The Licensee and Licensor will not in any circumstances have any liability to the other for consequential, incidental or indirect damages or expenses including damages for loss of business, loss of profits, loss of anticipated savings, loss of or damage to data, third party claims or any consequential loss. Iconic offices strongly advise the licencee to insure against all such potential loss, damage, expense,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1" w:name="page202"/>
    <w:bookmarkEnd w:id="201"/>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7">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7"/>
          <w:szCs w:val="17"/>
          <w:color w:val="auto"/>
        </w:rPr>
        <w:t>9.2 Service Retainer/ Security Payment: The Licensee shall pay to Iconic Offices no later than 2 (two) business days after the License is signed, the prepayment as specified in the agreement as security against all obligations entered into by the Licensee in this agreement. The Service Retainer / Security Payment is to be returned to the Licensee provided that the Licensee has complied with its obligations under this agreement, and subject to the deduction of an amount in respect of any outstanding invoices or deductions and will be refundable 30 (thirty) days after the end day of this agreement, or receipt of bank details for the return, whichever is later. It is the Licensor’s responsibility to ensure the Service Retainer/ Security Payment is returned to the Licensee before the last day of the twelfth calendar month after the end day of this agreement.</w:t>
      </w:r>
    </w:p>
    <w:p>
      <w:pPr>
        <w:spacing w:after="0" w:line="11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Iconic Offices is not required under regulation to hold these funds on account, but this does not negate Iconic Offices from its responsibilities to return of same. Iconic Offices also may opt to offer a rent-free period prior to the expiry of this term or any subsequent terms in lieu of part or all the Service Retainer/security payment. Licensee has the right to accept or reject such offer. Neither the giving of the Service Retainer / Security Payment nor any deduction from it by Iconic Offices shall relieve the Tenant from any of its obligations under this agreement or otherwise limit Iconic Offices’ right to recover against the Licensee for any breach of this agreement. Should the Service Retainer / Security Payment not be received by Iconic within 2 (two) working days of the signing of the agreement, Iconic Offices reserves the right to nullify this agreement.</w:t>
      </w:r>
    </w:p>
    <w:p>
      <w:pPr>
        <w:spacing w:after="0" w:line="200" w:lineRule="exact"/>
        <w:rPr>
          <w:sz w:val="20"/>
          <w:szCs w:val="20"/>
          <w:color w:val="auto"/>
        </w:rPr>
      </w:pPr>
    </w:p>
    <w:p>
      <w:pPr>
        <w:spacing w:after="0" w:line="25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9.6 In the event that the Licensee does not pay the total undisputed amount as stated on an invoice by the stipulated date Iconic Offices shall be entitled to: 1) On the 5th (fifth) day of the new month withdraw and stop partial or all services provided by Iconic Offices including, but not limited to internet, telephone, and electricity services.</w:t>
      </w:r>
    </w:p>
    <w:p>
      <w:pPr>
        <w:spacing w:after="0" w:line="108" w:lineRule="exact"/>
        <w:rPr>
          <w:sz w:val="20"/>
          <w:szCs w:val="20"/>
          <w:color w:val="auto"/>
        </w:rPr>
      </w:pPr>
    </w:p>
    <w:p>
      <w:pPr>
        <w:ind w:left="200" w:hanging="192"/>
        <w:spacing w:after="0"/>
        <w:tabs>
          <w:tab w:leader="none" w:pos="20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11th (eleventh) day of the new month enter the office and change the locks/keys without prior notice.</w:t>
      </w:r>
    </w:p>
    <w:p>
      <w:pPr>
        <w:spacing w:after="0" w:line="157" w:lineRule="exact"/>
        <w:rPr>
          <w:rFonts w:ascii="Times New Roman" w:cs="Times New Roman" w:eastAsia="Times New Roman" w:hAnsi="Times New Roman"/>
          <w:sz w:val="17"/>
          <w:szCs w:val="17"/>
          <w:color w:val="auto"/>
        </w:rPr>
      </w:pPr>
    </w:p>
    <w:p>
      <w:pPr>
        <w:ind w:firstLine="8"/>
        <w:spacing w:after="0" w:line="237" w:lineRule="auto"/>
        <w:tabs>
          <w:tab w:leader="none" w:pos="22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(fourteenth) of the new month terminate the License agreement and claim all costs including legal fees associated with recovering all monies owed to Iconic Offices from the Licensee with immediate effect. 4) Subject to Data Protection Laws, the Licensor may register the Licensee with a credit rating agency if any debt of the Licensee to the Licensor remains unpaid for more than thirty (30) days.</w:t>
      </w:r>
    </w:p>
    <w:p>
      <w:pPr>
        <w:spacing w:after="0" w:line="200" w:lineRule="exact"/>
        <w:rPr>
          <w:sz w:val="20"/>
          <w:szCs w:val="20"/>
          <w:color w:val="auto"/>
        </w:rPr>
      </w:pPr>
    </w:p>
    <w:p>
      <w:pPr>
        <w:spacing w:after="0" w:line="2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9.7 Late payment Fee: If the Licensee has not paid their account in full of cleared funds by the due date, a late payment fee will be charged on the account. This fee will be €30.00 (thirty) Ex. VAT plus a 5% penalty on all overdue balances. If the Licensee disputes any part of an invoice the Licensee must pay the amount not in dispute by the due date or be subject to late fees. Iconic Offices also reserves the right to withhold services (including for the avoidance of doubt, denying the Licensee access to its accommodation(s) while there are any undisputed outstanding fees and/or interest or the Licensee is in breach of this agreement.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FORCE MAJEURE</w:t>
      </w:r>
    </w:p>
    <w:p>
      <w:pPr>
        <w:spacing w:after="0" w:line="200" w:lineRule="exact"/>
        <w:rPr>
          <w:sz w:val="20"/>
          <w:szCs w:val="20"/>
          <w:color w:val="auto"/>
        </w:rPr>
      </w:pPr>
    </w:p>
    <w:p>
      <w:pPr>
        <w:spacing w:after="0" w:line="29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Neither Party shall be in breach of this Agreement nor liable for delay in performing, or failure to perform, any of its obligations under this Agreement if such delay or failure result from events, circumstances or causes beyond its reasonable control. In such circumstances the affected Party shall be entitled to a reasonable extension of time for performing such obligations. If the period of delay or non-performance continues for four (4) weeks, the Party not affected may terminate this agreement by giving fourteen (14) days' written notice to the affected Party.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Amendments to House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avoidance of doubt Clause 4.5 , 5.1 &amp; 5.2 below refer to undisputed charges only.</w:t>
      </w:r>
    </w:p>
    <w:p>
      <w:pPr>
        <w:spacing w:after="0" w:line="146"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19"/>
          <w:szCs w:val="19"/>
          <w:color w:val="auto"/>
        </w:rPr>
        <w:t>4.5. Cross Default: The Client agrees that, if they are in default under a service agreement with Iconic Offices at a different building (“Different Location Agreement”) to the one specified in this Agreement, that Iconic Offices may recover any unpaid sums due under a Different Location Agreement from the Client under this Agreement and that Iconic Offices may, in particular (but not limited to), withhold services under this Agreement or deduct sums from the retainer held under this Agreement in respect of such unpaid sums.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2" w:name="page203"/>
    <w:bookmarkEnd w:id="202"/>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0">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color w:val="auto"/>
        </w:rPr>
        <w:t>5.1. Standard services: The standard fee and any fixed, recurring services requested by the Client are payable in advance, by the 25th day (or such other day as Iconic Offices designates) of each month following the date the Client receives their invoice. Where a daily rate applies, the charge for any such month will be 30 times the standard fee. For a period of less than a month the standard fee will be applied on a prorated basis. Recurring services will be provided by Iconic Offices at the specified rates for the duration of your Agreement (including any renewal). Any changes to monthly reoccurring services can be made in writing to the Building/ Community Manager with 1 calendar month notice. 5.2. Pay-as-you-use and Additional Variable Services: Fees for pay-as-you-use services, plus applicable taxes, in accordance with our published rates which may change from time to time, are invoiced in arrears and payable on the 25th day (or such other day as we designate) of the month following the calendar month in which the additional services were provided.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 USE PREVENTION CLAUSE</w:t>
      </w:r>
    </w:p>
    <w:p>
      <w:pPr>
        <w:spacing w:after="0" w:line="133"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color w:val="auto"/>
        </w:rPr>
        <w:t>2.1 Subject to Special Term 2.2 below, if a Use Prevention Measure takes effect, payment of the License Fee and outgoings shall be deferred on a daily basis in respect of the period from and including the Use Prevention Date until the Use Prevention End Date.</w:t>
      </w:r>
    </w:p>
    <w:p>
      <w:pPr>
        <w:spacing w:after="0" w:line="200" w:lineRule="exact"/>
        <w:rPr>
          <w:sz w:val="20"/>
          <w:szCs w:val="20"/>
          <w:color w:val="auto"/>
        </w:rPr>
      </w:pPr>
    </w:p>
    <w:p>
      <w:pPr>
        <w:spacing w:after="0" w:line="263"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9"/>
          <w:szCs w:val="19"/>
          <w:color w:val="auto"/>
        </w:rPr>
        <w:t>2.2 The License Fee shall not be deferred under Special Term 2.1 above if at any time from and including the Use Prevention Date and before the Use Prevention End Date, the Licensee uses all or part of the Office or the Use Prevention Measure was imposed as a direct result of any act or omission of the Licensee.</w:t>
      </w:r>
    </w:p>
    <w:p>
      <w:pPr>
        <w:spacing w:after="0" w:line="200" w:lineRule="exact"/>
        <w:rPr>
          <w:sz w:val="20"/>
          <w:szCs w:val="20"/>
          <w:color w:val="auto"/>
        </w:rPr>
      </w:pPr>
    </w:p>
    <w:p>
      <w:pPr>
        <w:spacing w:after="0" w:line="26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2.3 The maximum amount of the Licensee Fee that may be deferred in any period of 12 months pursuant to this Special Term 2 shall be €27,600 Ex vat2.4 In this Special Term 2:</w:t>
      </w:r>
    </w:p>
    <w:p>
      <w:pPr>
        <w:spacing w:after="0" w:line="98"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9"/>
          <w:szCs w:val="19"/>
          <w:color w:val="auto"/>
        </w:rPr>
        <w:t>2.4.1 “Coronavirus” means the disease known as coronavirus disease (COVID-19) and the virus known as severe acute respiratory coronavirus 2 (SARS-CoV-2);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2.4.2 “Government” means local, regional or central government;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2.4.3 “Use Prevention Date” means the date on which a Use Prevention Measure takes effect;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2.4.4 “Use Prevention End Date” means the date on which the Use Prevention Measure ceases to take effect;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“Use Prevention Measure” means any requirement of the Government for the prevention or delay of the spread of Coronavirus which requires:</w:t>
      </w:r>
    </w:p>
    <w:p>
      <w:pPr>
        <w:spacing w:after="0" w:line="15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9"/>
          <w:szCs w:val="19"/>
          <w:color w:val="auto"/>
        </w:rPr>
        <w:t>2.4.5.1 the Licensee to work from home unless essential for work, which is an essential health, social care or other essential service and cannot be done from home.</w:t>
      </w:r>
    </w:p>
    <w:p>
      <w:pPr>
        <w:spacing w:after="0" w:line="9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2.4.5.2 Iconic to prevent or restrict access to the Office or the Building for the Licensee (or its employees and customers) so that the Licensee is not able to use the office for its intended purposes</w:t>
      </w:r>
    </w:p>
    <w:p>
      <w:pPr>
        <w:spacing w:after="0" w:line="200" w:lineRule="exact"/>
        <w:rPr>
          <w:sz w:val="20"/>
          <w:szCs w:val="20"/>
          <w:color w:val="auto"/>
        </w:rPr>
      </w:pP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By signing this agreement you confirm that you have read, understood, and agree to abide by the conditions attached to the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3" w:name="page204"/>
    <w:bookmarkEnd w:id="203"/>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3">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Weston Office Solutions Ltd T/a Iconic Offices (herein referred to as Iconic or Iconic Offices) - Terms and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GENERAL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7"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7"/>
          <w:szCs w:val="17"/>
          <w:color w:val="auto"/>
        </w:rPr>
        <w:t>Nature of this agreement: This License Agreement is personal to the Parties hereto and is strictly not assignable by the Licensee and the Licensee shall not share or part with possession of this agreement or any part thereof. Iconic and this agreement gives the Licensee no legal or equitable interest in the property, other than the right to share the facilities within the building with Iconic Offices and any other entities appointed and authorised by Iconic Offices.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(The) Licensee unreservedly confirms that it did not rely upon any warranty or representation made by Iconic Offices in entering this agreement except those that are expressly set out in this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w:t>
      </w:r>
    </w:p>
    <w:p>
      <w:pPr>
        <w:spacing w:after="0" w:line="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Where the Licensee comprises of more than one individual such individuals shall be jointly and severally liable to observe and perform the licensee’s obligations under this License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w:t>
      </w:r>
    </w:p>
    <w:p>
      <w:pPr>
        <w:spacing w:after="0" w:line="25"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7"/>
          <w:szCs w:val="17"/>
          <w:color w:val="auto"/>
        </w:rPr>
        <w:t>Comply with House Rules: It is a condition of the within Agreement that the Licensee is subject to full compliance and adherence to all House Rules imposed by Iconic. A copy of said House Rules has been furnished to the Licensee before entering into this Agreement.</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By execution hereof, the Licensee agrees to fully comply with the terms of said House Rules. Iconic reserves the right to amend said House Rules from time to time and will furnish a copy of the newly amended document to the Licensee. Licensee(s) and all authorised and appointed employees, agents, servants, and invitees must always comply with all applicable House Rules.</w:t>
      </w:r>
    </w:p>
    <w:p>
      <w:pPr>
        <w:spacing w:after="0" w:line="17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1.5Communication with employees and Iconic Offices: While this agreement is in force and for a period of six months after it ends, neither Iconic nor the Licensee may knowingly</w:t>
      </w:r>
    </w:p>
    <w:p>
      <w:pPr>
        <w:spacing w:after="0" w:line="9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solicit or offer employment to any of the other’s staff employed in the Building or by Iconic. This obligation applies to any employee employed at the Building up to that employee’s termination of employment, and for three months</w:t>
      </w:r>
    </w:p>
    <w:p>
      <w:pPr>
        <w:spacing w:after="0" w:line="9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thereafter. Nothing in this clause shall prevent either party from employing an individual who responds in good faith and independently to an advertisement, which is made to the public at large.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p>
    <w:p>
      <w:pPr>
        <w:spacing w:after="0" w:line="15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Anti-competitive behaviour: The Licensee shall not at any time from the date on which the License commences to the expiry of 12 (twelve) months after the end date of the License, solicit, entice away any existing Licensee from the Licensor. If the Licensee engages in any behaviour which results in an existing Licensee of the Licensor to terminate their License, the Licensee agrees to pay a sum equivalent to 6 (six) months License fees of the current License fees payable by that Licensee.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w:t>
      </w:r>
    </w:p>
    <w:p>
      <w:pPr>
        <w:spacing w:after="0" w:line="142"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Confidentiality: The terms of this agreement are confidential. Neither Iconic Offices nor the Licensee must disclose them without the other’s consent unless required to do so by law or an official authority. This obligation continues after this agreement 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w:t>
      </w:r>
    </w:p>
    <w:p>
      <w:pPr>
        <w:spacing w:after="0" w:line="15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Applicable law: This agreement is interpreted and enforced in accordance with Irish laws. Iconic Offices and the Licensee both accept the exclusive jurisdiction of the courts of such jurisdiction. If any provision of these terms and conditions is held void or unenforceable under the applicable law, the other provisions shall remain in force.</w:t>
      </w:r>
    </w:p>
    <w:p>
      <w:pPr>
        <w:spacing w:after="0" w:line="95" w:lineRule="exact"/>
        <w:rPr>
          <w:sz w:val="20"/>
          <w:szCs w:val="20"/>
          <w:color w:val="auto"/>
        </w:rPr>
      </w:pPr>
    </w:p>
    <w:p>
      <w:pPr>
        <w:ind w:left="180" w:hanging="172"/>
        <w:spacing w:after="0"/>
        <w:tabs>
          <w:tab w:leader="none" w:pos="18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SERVICES</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p>
    <w:p>
      <w:pPr>
        <w:spacing w:after="0" w:line="13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Office Services: Iconic Offices is to provide during normal opening hours or where permitted by the Building 24 x 7 access. The complimentary services provided are, daily cleaning of common areas, daily cleaning of office where the Building is deemed “fully serviced”, lighting, heating, electricity &amp; reasonable public liability, “Meet and greet” reception services are provided in some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04" w:name="page205"/>
    <w:bookmarkEnd w:id="204"/>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6">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7"/>
          <w:szCs w:val="17"/>
          <w:color w:val="auto"/>
        </w:rPr>
        <w:t>and the reception in specific locations will be manned 9am to 5.30pm Monday to Friday except for Bank and National Holidays. If Iconic decides that a request for any service is excessive, it reserves the right to charge an additional fee determined at the time of request. Licensees can only utilise the address that is reflected in their current agreement and each Licensee is responsible for the collection of mail from the communal letterbox supplied by the Building unless the location has a fully manned reception, in which instance the reception team will hold post for collection by Licensees at the front desk.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w:t>
      </w:r>
    </w:p>
    <w:p>
      <w:pPr>
        <w:spacing w:after="0" w:line="14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Iconic Offices IT: Iconic Offices does not make any representations as to the security of Iconic Offices’ network (or the internet) or of any information that the Licensee places on it. The Licensee should adopt all prudent security measures it believes are appropriate to its circumstances. Iconic Offices offers no guarantee whatsoever that a particular degree of availability will be attained in connection with the Licensee’s use of Iconic Offices’ network (or the internet). The Licensee’s sole and exclusive remedy shall be the remedy of such failure by Iconic Offices within a reasonable time after written notice. Iconic, via their appointed IT contractor, provide the preparation of each individual suite so that each company has: a) their own secure and private network (VLAN) b) access to both a shared building Wireless Private and Guest network c) shared Internet Connectivity with other companies in the building. If a Licensee has any requirement outside of these three items they should contact, or have their IT company contact, Iconic Offices’ appointed IT contractor to discuss the specific requirements. Additional charges may apply where specific or specialised IT work is required.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 Providing the Services:</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Access to the accommodation(s): Iconic Offices employees may need to enter the Licensee’s Office(s) and may do so at any time. However, unless there is an emergency or the Licensee has given notice to terminate, Iconic Offices will attempt notify the Licensee(s) verbally or electronically in advance when Iconic needs access to carry out viewings (where the Licensee has given notice to terminate), testing, repair or works other than routine inspection, cleaning, and maintenance. Iconic Offices will also endeavor to respect reasonable security procedures to protect the confidentiality of the Licensee’s business.</w:t>
      </w:r>
    </w:p>
    <w:p>
      <w:pPr>
        <w:spacing w:after="0" w:line="101" w:lineRule="exact"/>
        <w:rPr>
          <w:sz w:val="20"/>
          <w:szCs w:val="20"/>
          <w:color w:val="auto"/>
        </w:rPr>
      </w:pPr>
    </w:p>
    <w:p>
      <w:pPr>
        <w:ind w:left="180" w:hanging="172"/>
        <w:spacing w:after="0"/>
        <w:tabs>
          <w:tab w:leader="none" w:pos="18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ACCOMMODATION</w:t>
      </w:r>
    </w:p>
    <w:p>
      <w:pPr>
        <w:spacing w:after="0" w:line="2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 Accommodation(s):</w:t>
      </w:r>
    </w:p>
    <w:p>
      <w:pPr>
        <w:spacing w:after="0" w:line="13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 Licensee must not alter any part of its accommodation and must take good care of all parts of the Building, its equipment, fixtures, fittings, and furnishings which the Licensee uses. The Licensee is liable for any damage caused by its employees, contractors, agents, or other persons invited to the premises by the Licensee.</w:t>
      </w:r>
    </w:p>
    <w:p>
      <w:pPr>
        <w:spacing w:after="0" w:line="10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3.2 Office furniture and office customisation: The Licensee must take good care of all parts of the Iconic Offices building, its equipment, fittings, and furnishings that they use. The Licensee must not alter any part of the accommodation without prior written consent by Iconic Offices. If the Licensee has introduced customization of the Licensee’s private office space, upon exiting the premises at the point of termination, the Licensee is to reinstate the premises to the original condition it was in prior to the building works commencing.</w:t>
      </w:r>
    </w:p>
    <w:p>
      <w:pPr>
        <w:spacing w:after="0" w:line="1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3.3 I.T. and Telecoms equipment: The Licensee must not install any cabling, IT or telecom connections without Iconic Office’ consent in writing, which Iconic may refuse at its absolute discretion. Iconic Offices will charge a separate fee should a Licensee wish to install an internet line separate to that provided by Iconic. This fee is €35 (thirty-five Euro) + VAT per person and should be considered a concession fee. As a condition to Iconic Offices’ consent, the Licensee must permit Iconic to oversee any installations (for example IT or electrical systems) and to verify that such installations do not interfere with the use of the Office(s) by other Licensees or Iconic Offices or any landlord of the building.</w:t>
      </w:r>
    </w:p>
    <w:p>
      <w:pPr>
        <w:spacing w:after="0" w:line="11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3.4 If the Building is no longer available: If Iconic is permanently unable to provide the services and Office(s) at the Building stated in this agreement, then this agreement will end, and the Licensee will only have to pay monthly license fees up to the date it ends and for the additional services the Licensee has used. Iconic Offices will attempt to find suitable alternative Office(s) for the Licensee at another Iconic Buildings only. If no alternative within the Iconic Offices portfolio is deemed suitable by either party, then Licensee is released from its obligations as stated and Iconic shall have no further obligation or responsibility to Licensee.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RENEWAL AND ENDING YOUR MEMBERSHIP</w:t>
      </w:r>
    </w:p>
    <w:p>
      <w:pPr>
        <w:spacing w:after="0" w:line="210"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4.1 All notices must be in writing: Notices to the Licensee will be considered served if handed personally or emailed to the legal representative or authorised representative of the business who was the signatory to this agreement. Notices to Iconic Offices will be considered served if mailed by registered mail to Iconic Offices’ registered address or by email to one of its nominated Building Managers, Community Team Leads or to a Director of Iconic Offices.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 Duration: This agreement lasts for the period stated herein and then will be extended automatically for successive periods equal to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term but no less than 3 (three) months until said Term is terminated by the Licensee or by Iconic Offices. All periods shall run to the last day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05" w:name="page206"/>
    <w:bookmarkEnd w:id="205"/>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9">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month in which they would otherwise expire. The fees on any renewal will be at the then prevailing market rate as notified by Iconic. Automatic renewal will occur should the Licensee fail to provide Iconic Offices 3 (three) full calendar months’ written notice. The Licensor will endeavour to provide a courtesy reminder prior to the renewal notice period within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Terminating the agreement</w:t>
      </w:r>
    </w:p>
    <w:p>
      <w:pPr>
        <w:spacing w:after="0" w:line="21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4.3 Bringing this agreement to an end: No later than three (3) months before the end of the Term as outlined on page 1 (one) of this agreement, notice must be given in writing either by Iconic Offices</w:t>
      </w:r>
    </w:p>
    <w:p>
      <w:pPr>
        <w:spacing w:after="0" w:line="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7"/>
          <w:szCs w:val="17"/>
          <w:color w:val="auto"/>
        </w:rPr>
        <w:t>or the Licensee to the other Party notifying the other Party that they intend to terminate this agreement at the end date stated in it, or at the end of any extension or renewal period. If an automatic renewal has been applied the termination will be effective at the end of the term stipulated in the automatic renewal. However, if this agreement, extension, or renewal is for three months or less and either Iconic or the Licensee wishes to terminate it, the notice period is two months or (if two months or shorter) two weeks less than the period stated in this agreement. The Licensee will be released from their obligations under this License and allowed to terminate prior to the end date of this License subject to the Licensee paying Iconic the full agreement obligation for the unexpired term, together with all other outstanding invoices. Upon settlement of these terms, the service retainer will then subsequently be refunded to the Licensee within 30 days of payment.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w:t>
      </w:r>
    </w:p>
    <w:p>
      <w:pPr>
        <w:spacing w:after="0" w:line="14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4.4 Ending this agreement immediately: To the maximum extent permitted by applicable law, Iconic Offices may put an end to this agreement immediately by giving the Licensee notice and without need to follow any additional procedure if (a) the Licensee becomes insolvent, bankrupt, goes into liquidation or becomes unable to pay its debts as they fall due, or (b) the Licensee is in breach of one of its obligations which cannot be put right or which Iconic Offices have given the Licensee notice to put right and which the Licensee has failed to put right within fourteen (14) days of that notice, or (c) its conduct, and that of any party authorised and appointed and or invited by it or that of someone at the Building with its permission or invitation, is incompatible with ordinary office use . If Iconic Offices puts an end to this agreement for any of these reasons it does not put an end to any outstanding obligations, including additional services used and the monthly license fee for the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remainder of the period for which this agreement would have lasted if Iconic Offices had not ended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remainder of the period for which this agreement would have lasted if Iconic Offices had not ended 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7"/>
          <w:szCs w:val="17"/>
          <w:color w:val="auto"/>
        </w:rPr>
        <w:t>4.5 When this agreement terminates, the Licensee shall vacate the Office(s) immediately, leaving the Office(s) in the same condition as it was when the Licensee entered the premises. Upon the licensee’s departure or if the Licensee, at its option, chooses to relocate to different rooms/workstations within the Building, Iconic will charge an Office Restoration Service fee to cover normal cleaning procedures and to return the Office(s) to its original state. The standard restoration fee is €20 (twenty Euro) + VAT per square meter. Iconic Offices reserves the right to charge additional reasonable fees for any repairs needed above and beyond normal wear and tear. If the Licensee leaves any property in the Building Iconic may dispose of it at the Licensee’s cost in any way Iconic Offices chooses without owing the Licensee any responsibility for it or any proceeds of sale. When a Licensee vacates its Office(s) the Licensee must establish a mail redirection service with An Post for a minimum of 3 (three) months. If the Licensee continues to receive mail at the Buildings address after this agreement has ended, Iconic Offices will not be responsible for any loss, claim or liability incurred because of the Licensee’s failure to redirect their mail. All correspondence received post a Licensee moving out will be disposed of within 24 (twenty-four) hours of it being received at the Building.</w:t>
      </w:r>
    </w:p>
    <w:p>
      <w:pPr>
        <w:spacing w:after="0" w:line="12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4.6 Keys, access fobs and passes: On or before the expiry of this agreement the Licensee must return to Iconic all keys and other means of access to the office and the building. Whenever any key(s) or other means of access is lost the Licensee is to report such loss forthwith to Iconic Offices and incur the cost to replace such key(s) or other means of access as well as the cost of replacing any lock/keys changed by Iconic for other tenants.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OBLIGATIONS AND LICENSE CONDUCT</w:t>
      </w:r>
    </w:p>
    <w:p>
      <w:pPr>
        <w:spacing w:after="0" w:line="14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5.1 Furnished office accommodation(s): Iconic Offices is to provide the number of serviced and furnished Office(s) for which the Licensee has agreed to pay in the Building as stated in this agreement. This agreement lists the Office(s) Iconic Offices has initially allocated for the Licensee’s use.</w:t>
      </w:r>
    </w:p>
    <w:p>
      <w:pPr>
        <w:spacing w:after="0" w:line="9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Occasionally Iconic may need to allocate different accommodation(s), but these Office(s) will be reasonably equivalent in quality and size and Iconic will notify the Licensee with respect to such different Office(s) at least 30 (thirty) days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06" w:name="page207"/>
    <w:bookmarkEnd w:id="206"/>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2">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5.1 Insurance: It is the Licensee’s responsibility to arrange insurance for its own property which it brings into the Building and for its own liability to its employees and to third parties. Iconic strongly recommends that the Licensee put such insurance in place. For the avoidance of doubt, the Licensee is advised to possess contents insurance and public liability.</w:t>
      </w:r>
    </w:p>
    <w:p>
      <w:pPr>
        <w:spacing w:after="0" w:line="10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5.2. Security: Where Iconic Buildings are unmanned, they rely 100% on its occupants to securely lock the premises upon exiting the Building. It is the sole responsibility of the last person exiting the Licensee’s office space to securely turn off the lights and lock all windows and doors the Licensee has access to. In the case of an incident occurring failure to comply by the terms of this may result in liability being placed on the Licensee responsible.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 USE</w:t>
      </w:r>
    </w:p>
    <w:p>
      <w:pPr>
        <w:spacing w:after="0" w:line="1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6.1 The Licensee must only use the Office(s) for office purposes. Office use of a “retail” or “medical” nature, involving frequent visits by members of the public, is not permitted unless permission is given in writing by Iconic. Residing overnight in the premises is also not permitted.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 The Licensee must not carry out a business that competes with Iconic Offices provision of serviced offices or its ancillary services.</w:t>
      </w:r>
    </w:p>
    <w:p>
      <w:pPr>
        <w:spacing w:after="0" w:line="14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6.3 The Licensee’s name and address: The Licensee may only carry out its business in its registered name stipulated in this agreement or a trading name disclosed to the Licensor in writing.</w:t>
      </w:r>
    </w:p>
    <w:p>
      <w:pPr>
        <w:spacing w:after="0" w:line="9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6.4 Use of the Building Address: The Licensee may use the Building address as its business address. Any other uses are prohibited without Iconic Offices prior written consent. For the avoidance of doubt, the Licensee may not register its business at an Iconic Offices Building unless agreed upon in writing by the Licensor.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 COMPLIANCE</w:t>
      </w:r>
    </w:p>
    <w:p>
      <w:pPr>
        <w:spacing w:after="0" w:line="14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7.1 Comply with the law: The Licensee must comply with all relevant laws and regulations in the conduct of its business. The Licensee must do nothing illegal in connection with its use of the Building. The Licensee must not do anything that may interfere with the use of the Building by Iconic Offices or by others, cause any nuisance or annoyance, increase the insurance premiums Iconic Offices must pay, or cause loss or damage to Iconic Offices (including damage to reputation) or to the owner of any interest in the building which the Licensee is using. The Licensee acknowledges that (a) the terms of the foregoing sentence are a material inducement in Iconic Offices execution of this agreement and (b) any violation by the Licensee of the foregoing sentence shall constitute a material default by the Licensee hereunder, entitling Iconic Offices to terminate this agreement, without further notice or procedure.</w:t>
      </w:r>
    </w:p>
    <w:p>
      <w:pPr>
        <w:spacing w:after="0" w:line="117"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7.2 The Licensee acknowledges and accepts that its personal data may be transferred or made accessible to all entities of the Iconic Offices group, wherever located, for the purposes of providing the services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ICONIC OFFICES LIABILITY</w:t>
      </w:r>
    </w:p>
    <w:p>
      <w:pPr>
        <w:spacing w:after="0" w:line="21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8.1 Availability at the start of this agreement: If for any reason Iconic Offices cannot provide the Office(s) stated in this agreement by the date when this agreement is due to start it has no liability to the Licensee for any loss or damages, but the Licensee may cancel this agreement without penalty. Iconic will not charge the Licensee the monthly licence fee for Office(s) the Licensee cannot use until it becomes available. Iconic may delay the start date of this agreement provided it provides to the Licensee alternative Office(s) that shall be at least of equivalent size to the Office(s) stated in this agreement.</w:t>
      </w:r>
    </w:p>
    <w:p>
      <w:pPr>
        <w:spacing w:after="0" w:line="1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8.2 The extent of Iconic Offices liability: To the maximum extent permitted by applicable law, Iconic Offices is not liable to the Licensee in respect of any loss or damage the Licensee suffers in connection with this agreement, with the services or with the Licensee’s Office(s) unless Iconic Offices has acted negligently in causing that loss or damage. Iconic Offices is not liable for any loss because of Iconic Offices’ failure to provide a service because of mechanical breakdown, strike, termination of Iconic Offices.. In no event shall Iconic Offices be liable for any loss or damage unless the Licensee provides Iconic Offices written notice and gives Iconic Offices a reasonable time to put it right. If Iconic Offices is liable for failing to provide the Licensee with any service under this agreement, then subject to the exclusions and limits set out immediately below Iconic Offices will pay any actual and reasonable expenses the Licensee has incurred in obtaining that service from an alternative source. If the Licensee believes Iconic Offices has failed to deliver a service consistent with these terms and conditions the Licensee shall provide Iconic Offices written notice of such failure and give Iconic Offices a reasonable period to put it right.</w:t>
      </w:r>
    </w:p>
    <w:p>
      <w:pPr>
        <w:spacing w:after="0" w:line="200" w:lineRule="exact"/>
        <w:rPr>
          <w:sz w:val="20"/>
          <w:szCs w:val="20"/>
          <w:color w:val="auto"/>
        </w:rPr>
      </w:pPr>
    </w:p>
    <w:p>
      <w:pPr>
        <w:spacing w:after="0" w:line="27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8.3 Exclusion of consequential losses, etc. Iconic offices will not in any circumstances have any liability for loss of business, loss of profits, loss of anticipated savings, loss of or damage to data, third party claims or any consequential loss unless iconic offices otherwise agree in writing. Iconic offices strongly advise the licencee to insure against all such potential loss, damage, expense,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4" w:right="359" w:bottom="1440" w:gutter="0" w:footer="0" w:header="0"/>
        </w:sectPr>
      </w:pPr>
    </w:p>
    <w:bookmarkStart w:id="207" w:name="page208"/>
    <w:bookmarkEnd w:id="207"/>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5">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 FEES AND CHARGES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 Taxes and miscellaneous charges: The Licensee agrees to pay the VAT applicable to each invoice submitted by Iconic Offices to the Licensee.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w:t>
      </w:r>
    </w:p>
    <w:p>
      <w:pPr>
        <w:spacing w:after="0" w:line="15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Service Retainer/ Security Payment: The Licensee shall pay to Iconic Offices no later than 2 (two) business days after the License is signed, the prepayment as specified in the agreement as security against all obligations entered into by the Licensee in this agreement. The Service Retainer / Security Payment is to be returned to the Licensee provided that the Licensee has complied with its obligations under this agreement, and subject to the deduction of an amount in respect of any outstanding invoices or deductions and will be refundable 30 (thirty) days after the end day of this agreement, or receipt of bank details for the return, whichever is later. It is the Licensee’s responsibility to ensure the Service Retainer/ Security Payment is returned to the Licensee before the last day of the twelfth calendar month after the end day of this agreement. There is no obligation on the Licensor to return the Service Retainer/ Security Payment if not requested by the Licensee.</w:t>
      </w:r>
    </w:p>
    <w:p>
      <w:pPr>
        <w:spacing w:after="0" w:line="11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7"/>
          <w:szCs w:val="17"/>
          <w:color w:val="auto"/>
        </w:rPr>
        <w:t>Iconic Offices is not required under regulation to hold these funds on account, but this does not negate Iconic Offices from its responsibilities to return of same. Iconic Offices also may opt to offer a rent-free period prior to the expiry of this term or any subsequent terms in lieu of part or all the Service Retainer/security payment. Neither the giving of the Service Retainer / Security Payment nor any deduction from it by Iconic Offices shall relieve the Tenant from any of its obligations under this agreement or otherwise limit Iconic Offices’ right to recover against the Licensee for any breach of this agreement. Should the Service Retainer / Security Payment not be received by Iconic within 2 (two) working days of the signing of the agreement, Iconic Offices reserves the right to nullify this agreement.</w:t>
      </w:r>
    </w:p>
    <w:p>
      <w:pPr>
        <w:spacing w:after="0" w:line="104"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7"/>
          <w:szCs w:val="17"/>
          <w:color w:val="auto"/>
        </w:rPr>
        <w:t>9.3 Iconic Offices may require the Licensee to pay an increased Service Retainer/ Security Payment if outstanding fees exceed the Service Retainer/ Security Payment held and/or the Licensee frequently fails to pay Iconic Offices when due.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9.3.1. Iconic Offices may require the Licensee to pay an increase Service Retainer/ Security Payment if there has been an uplift in the monthly rental amount.</w:t>
      </w:r>
    </w:p>
    <w:p>
      <w:pPr>
        <w:spacing w:after="0" w:line="15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9.4The Licensee will be charged an office set up fee per occupant. Fee amounts are stated in the House Rules and within the proposal documents which can be requested at any time.</w:t>
      </w:r>
    </w:p>
    <w:p>
      <w:pPr>
        <w:spacing w:after="0" w:line="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9.5 Payment: The monthly office fee and any recurring services requested by the Licensee will be payable monthly and in advance. Unless otherwise agreed in writing these recurring services will be provided by Iconic Offices at the specified rates for the duration of this agreement (including renewal). Payment will be due on the or before the 25th of each month. Pay-as-you-use services (published rates may change from time to time) plus applicable taxes are invoiced in arrears and are payable the 25th of the month following the calendar month in which the additional services were provided. The Licensor requests the Licensee sign up to Direct Debit payments, failure to do so will incur an additional 3.5% surcharge which will be applied to the Licensee’s next invoice.</w:t>
      </w:r>
    </w:p>
    <w:p>
      <w:pPr>
        <w:spacing w:after="0" w:line="11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9.6 In the event that the Licensee does not pay the total amount as stated on an invoice by the stipulated date Iconic Offices shall be entitled to: 1) On the 5th (fifth) day of the new month withdraw and stop partial or all services provided by Iconic Offices including, but not limited to internet, telephone, and electricity services.</w:t>
      </w:r>
    </w:p>
    <w:p>
      <w:pPr>
        <w:spacing w:after="0" w:line="96" w:lineRule="exact"/>
        <w:rPr>
          <w:sz w:val="20"/>
          <w:szCs w:val="20"/>
          <w:color w:val="auto"/>
        </w:rPr>
      </w:pPr>
    </w:p>
    <w:p>
      <w:pPr>
        <w:ind w:left="200" w:hanging="192"/>
        <w:spacing w:after="0"/>
        <w:tabs>
          <w:tab w:leader="none" w:pos="20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11th (eleventh) day of the new month enter the office and change the locks/keys without prior notice.</w:t>
      </w:r>
    </w:p>
    <w:p>
      <w:pPr>
        <w:spacing w:after="0" w:line="157" w:lineRule="exact"/>
        <w:rPr>
          <w:rFonts w:ascii="Times New Roman" w:cs="Times New Roman" w:eastAsia="Times New Roman" w:hAnsi="Times New Roman"/>
          <w:sz w:val="17"/>
          <w:szCs w:val="17"/>
          <w:color w:val="auto"/>
        </w:rPr>
      </w:pPr>
    </w:p>
    <w:p>
      <w:pPr>
        <w:ind w:firstLine="8"/>
        <w:spacing w:after="0" w:line="237" w:lineRule="auto"/>
        <w:tabs>
          <w:tab w:leader="none" w:pos="22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(fourteenth) of the new month terminate the License agreement and claim all costs including legal fees associated with recovering all monies owed to Iconic Offices from the Licensee with immediate effect. 4) Subject to Data Protection Laws, the Licensor may register the Licensee with a credit rating agency if any debt of the Licensee to the Licensor remains unpaid for more than thirty (30)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9.7 Late payment Fee: If the Licensee has not paid their account in full of cleared funds by the due date, a late payment fee will be charged on the account. This fee will be €30.00 (thirty) Ex. VAT plus a 5% penalty on all overdue balances. If the Licensee disputes any part of an invoice the Licensee must pay the amount not in dispute by the due date or be subject to late fees. Iconic Offices also reserves the right to withhold services (including for the avoidance of doubt, denying the Licensee access to its accommodation(s) while there are any outstanding fees and/or interest or the Licensee is in breach of this agreement.</w:t>
      </w:r>
    </w:p>
    <w:p>
      <w:pPr>
        <w:spacing w:after="0" w:line="11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9.8 Insufficient Funds: The Licensee will pay a fee for any returned cheque or any other declined payments due to insufficient funds. This fee will be €30.00 (thirty) Ex. VAT.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8" w:name="page209"/>
    <w:bookmarkEnd w:id="208"/>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8">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9.9 Standard services: The monthly License fee and any recurring services requested by the Licensee are payable monthly in advance. Unless otherwise agreed in writing, these recurring services will be provided by Iconic at the specified rates for the duration of this Agreement (including any renewal). Increases or changes to service levels should be agreed in writing with the Community Manager with 1 (one) calendar months’ notice.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a daily rate applies, the charge for any such month will be 30 (thirty) times the daily fee. For a period of less than a month the fee will be applied daily.</w:t>
      </w:r>
    </w:p>
    <w:p>
      <w:pPr>
        <w:spacing w:after="0" w:line="142"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7"/>
          <w:szCs w:val="17"/>
          <w:color w:val="auto"/>
        </w:rPr>
        <w:t>9.10 Pay-as-you-use and additional variable services: Fees for pay-as-you-use services, plus applicable taxes, in accordance with Iconic Offices’ published rates which may change from time to time, are invoiced in arrears and payable the month following the calendar month in which the additional services were provided.</w:t>
      </w:r>
    </w:p>
    <w:p>
      <w:pPr>
        <w:spacing w:after="0" w:line="96" w:lineRule="exact"/>
        <w:rPr>
          <w:sz w:val="20"/>
          <w:szCs w:val="20"/>
          <w:color w:val="auto"/>
        </w:rPr>
      </w:pPr>
    </w:p>
    <w:p>
      <w:pPr>
        <w:jc w:val="both"/>
        <w:ind w:right="540"/>
        <w:spacing w:after="0" w:line="265" w:lineRule="auto"/>
        <w:rPr>
          <w:sz w:val="20"/>
          <w:szCs w:val="20"/>
          <w:color w:val="auto"/>
        </w:rPr>
      </w:pPr>
      <w:r>
        <w:rPr>
          <w:rFonts w:ascii="Times New Roman" w:cs="Times New Roman" w:eastAsia="Times New Roman" w:hAnsi="Times New Roman"/>
          <w:sz w:val="17"/>
          <w:szCs w:val="17"/>
          <w:color w:val="auto"/>
        </w:rPr>
        <w:t>9.11 Discounts, Promotions and Offers: If the Licensee benefited from a special discount, promotion or offer, Iconic Offices may discontinue that discount, promotion or offer without notice if the Licensee breaches these terms and conditions or becomes overdue on payment on 2 (two) or more occasions. On the renewal of an agreement these benefits will expire.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DATA PROTECTION</w:t>
      </w:r>
    </w:p>
    <w:p>
      <w:pPr>
        <w:spacing w:after="0" w:line="14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10.1 Each Party shall comply with the Data Protection Laws applicable to it in connection with this Agreement and shall not cause the other Party to breach any of its obligations under Data Protection Laws.</w:t>
      </w:r>
    </w:p>
    <w:p>
      <w:pPr>
        <w:spacing w:after="0" w:line="9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Parties agree that the Receiving Party will Process Personal Data as the Processor on behalf of the Disclosing Party which shall act as a Controller of such Personal Data in connection with this Agreement.</w:t>
      </w:r>
    </w:p>
    <w:p>
      <w:pPr>
        <w:spacing w:after="0" w:line="9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10.2.1</w:t>
      </w:r>
      <w:r>
        <w:rPr>
          <w:sz w:val="20"/>
          <w:szCs w:val="20"/>
          <w:color w:val="auto"/>
        </w:rPr>
        <w:tab/>
      </w:r>
      <w:r>
        <w:rPr>
          <w:rFonts w:ascii="Times New Roman" w:cs="Times New Roman" w:eastAsia="Times New Roman" w:hAnsi="Times New Roman"/>
          <w:sz w:val="17"/>
          <w:szCs w:val="17"/>
          <w:color w:val="auto"/>
        </w:rPr>
        <w:t>The Processor shall, or shall ensure that its sub-contractor shall:</w:t>
      </w:r>
    </w:p>
    <w:p>
      <w:pPr>
        <w:spacing w:after="0" w:line="25" w:lineRule="exact"/>
        <w:rPr>
          <w:sz w:val="20"/>
          <w:szCs w:val="20"/>
          <w:color w:val="auto"/>
        </w:rPr>
      </w:pPr>
    </w:p>
    <w:p>
      <w:pPr>
        <w:jc w:val="both"/>
        <w:ind w:left="1140" w:right="100" w:hanging="748"/>
        <w:spacing w:after="0" w:line="254" w:lineRule="auto"/>
        <w:tabs>
          <w:tab w:leader="none" w:pos="1120" w:val="left"/>
        </w:tabs>
        <w:rPr>
          <w:sz w:val="20"/>
          <w:szCs w:val="20"/>
          <w:color w:val="auto"/>
        </w:rPr>
      </w:pPr>
      <w:r>
        <w:rPr>
          <w:rFonts w:ascii="Times New Roman" w:cs="Times New Roman" w:eastAsia="Times New Roman" w:hAnsi="Times New Roman"/>
          <w:sz w:val="17"/>
          <w:szCs w:val="17"/>
          <w:color w:val="auto"/>
        </w:rPr>
        <w:t>10.2.2.</w:t>
      </w:r>
      <w:r>
        <w:rPr>
          <w:sz w:val="20"/>
          <w:szCs w:val="20"/>
          <w:color w:val="auto"/>
        </w:rPr>
        <w:tab/>
      </w:r>
      <w:r>
        <w:rPr>
          <w:rFonts w:ascii="Times New Roman" w:cs="Times New Roman" w:eastAsia="Times New Roman" w:hAnsi="Times New Roman"/>
          <w:sz w:val="17"/>
          <w:szCs w:val="17"/>
          <w:color w:val="auto"/>
        </w:rPr>
        <w:t>Process the Personal Data only on behalf of the Controller, only for the purposes of performing its obligations under this Agreement, and only in accordance with instructions contained in this Agreement or instructions received in writing from the Controller from time to time. The Processor shall notify the Controller if, in its opinion, any instruction given by the Controller breaches Data Protection Laws or other applicable law.</w:t>
      </w:r>
    </w:p>
    <w:p>
      <w:pPr>
        <w:spacing w:after="0" w:line="171" w:lineRule="exact"/>
        <w:rPr>
          <w:sz w:val="20"/>
          <w:szCs w:val="20"/>
          <w:color w:val="auto"/>
        </w:rPr>
      </w:pPr>
    </w:p>
    <w:p>
      <w:pPr>
        <w:ind w:left="1140" w:right="40" w:hanging="748"/>
        <w:spacing w:after="0" w:line="281" w:lineRule="auto"/>
        <w:tabs>
          <w:tab w:leader="none" w:pos="1120" w:val="left"/>
        </w:tabs>
        <w:rPr>
          <w:sz w:val="20"/>
          <w:szCs w:val="20"/>
          <w:color w:val="auto"/>
        </w:rPr>
      </w:pPr>
      <w:r>
        <w:rPr>
          <w:rFonts w:ascii="Times New Roman" w:cs="Times New Roman" w:eastAsia="Times New Roman" w:hAnsi="Times New Roman"/>
          <w:sz w:val="17"/>
          <w:szCs w:val="17"/>
          <w:color w:val="auto"/>
        </w:rPr>
        <w:t>10.2.3.</w:t>
      </w:r>
      <w:r>
        <w:rPr>
          <w:sz w:val="20"/>
          <w:szCs w:val="20"/>
          <w:color w:val="auto"/>
        </w:rPr>
        <w:tab/>
      </w:r>
      <w:r>
        <w:rPr>
          <w:rFonts w:ascii="Times New Roman" w:cs="Times New Roman" w:eastAsia="Times New Roman" w:hAnsi="Times New Roman"/>
          <w:sz w:val="17"/>
          <w:szCs w:val="17"/>
          <w:color w:val="auto"/>
        </w:rPr>
        <w:t>Not otherwise modify, amend, or alter the contents of the Personal Data or disclose or permit the disclosure of any of the Personal Data to any third party (including without limitation the Data Subject) unless specifically authorised in writing by the Controller.</w:t>
      </w:r>
    </w:p>
    <w:p>
      <w:pPr>
        <w:spacing w:after="0" w:line="258"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7"/>
          <w:szCs w:val="17"/>
          <w:color w:val="auto"/>
        </w:rPr>
        <w:t>10.2.4.</w:t>
      </w:r>
      <w:r>
        <w:rPr>
          <w:sz w:val="20"/>
          <w:szCs w:val="20"/>
          <w:color w:val="auto"/>
        </w:rPr>
        <w:tab/>
      </w:r>
      <w:r>
        <w:rPr>
          <w:rFonts w:ascii="Times New Roman" w:cs="Times New Roman" w:eastAsia="Times New Roman" w:hAnsi="Times New Roman"/>
          <w:sz w:val="17"/>
          <w:szCs w:val="17"/>
          <w:color w:val="auto"/>
        </w:rPr>
        <w:t>Only grant access to the Personal Data to persons who need to have access to it for the purposes of performing this Agreement.</w:t>
      </w:r>
    </w:p>
    <w:p>
      <w:pPr>
        <w:spacing w:after="0" w:line="318"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7"/>
          <w:szCs w:val="17"/>
          <w:color w:val="auto"/>
        </w:rPr>
        <w:t>10.2.5.</w:t>
      </w:r>
      <w:r>
        <w:rPr>
          <w:sz w:val="20"/>
          <w:szCs w:val="20"/>
          <w:color w:val="auto"/>
        </w:rPr>
        <w:tab/>
      </w:r>
      <w:r>
        <w:rPr>
          <w:rFonts w:ascii="Times New Roman" w:cs="Times New Roman" w:eastAsia="Times New Roman" w:hAnsi="Times New Roman"/>
          <w:sz w:val="17"/>
          <w:szCs w:val="17"/>
          <w:color w:val="auto"/>
        </w:rPr>
        <w:t>Ensure that all persons with access to the Personal Data are subject to an obligation of confidentiality in respect of the Personal Data.</w:t>
      </w:r>
    </w:p>
    <w:p>
      <w:pPr>
        <w:spacing w:after="0" w:line="318" w:lineRule="exact"/>
        <w:rPr>
          <w:sz w:val="20"/>
          <w:szCs w:val="20"/>
          <w:color w:val="auto"/>
        </w:rPr>
      </w:pPr>
    </w:p>
    <w:p>
      <w:pPr>
        <w:jc w:val="both"/>
        <w:ind w:left="1140" w:right="20" w:hanging="748"/>
        <w:spacing w:after="0" w:line="281" w:lineRule="auto"/>
        <w:tabs>
          <w:tab w:leader="none" w:pos="1120" w:val="left"/>
        </w:tabs>
        <w:rPr>
          <w:sz w:val="20"/>
          <w:szCs w:val="20"/>
          <w:color w:val="auto"/>
        </w:rPr>
      </w:pPr>
      <w:r>
        <w:rPr>
          <w:rFonts w:ascii="Times New Roman" w:cs="Times New Roman" w:eastAsia="Times New Roman" w:hAnsi="Times New Roman"/>
          <w:sz w:val="17"/>
          <w:szCs w:val="17"/>
          <w:color w:val="auto"/>
        </w:rPr>
        <w:t>10.2.6.</w:t>
      </w:r>
      <w:r>
        <w:rPr>
          <w:sz w:val="20"/>
          <w:szCs w:val="20"/>
          <w:color w:val="auto"/>
        </w:rPr>
        <w:tab/>
      </w:r>
      <w:r>
        <w:rPr>
          <w:rFonts w:ascii="Times New Roman" w:cs="Times New Roman" w:eastAsia="Times New Roman" w:hAnsi="Times New Roman"/>
          <w:sz w:val="17"/>
          <w:szCs w:val="17"/>
          <w:color w:val="auto"/>
        </w:rPr>
        <w:t>Considering the nature of the Processing and the information available to the Processor, assist the Controller in ensuring compliance with the Controller’s obligations under Data Protection Laws.</w:t>
      </w:r>
    </w:p>
    <w:p>
      <w:pPr>
        <w:spacing w:after="0" w:line="258" w:lineRule="exact"/>
        <w:rPr>
          <w:sz w:val="20"/>
          <w:szCs w:val="20"/>
          <w:color w:val="auto"/>
        </w:rPr>
      </w:pPr>
    </w:p>
    <w:p>
      <w:pPr>
        <w:jc w:val="both"/>
        <w:ind w:left="1140" w:hanging="748"/>
        <w:spacing w:after="0" w:line="265" w:lineRule="auto"/>
        <w:tabs>
          <w:tab w:leader="none" w:pos="1120" w:val="left"/>
        </w:tabs>
        <w:rPr>
          <w:sz w:val="20"/>
          <w:szCs w:val="20"/>
          <w:color w:val="auto"/>
        </w:rPr>
      </w:pPr>
      <w:r>
        <w:rPr>
          <w:rFonts w:ascii="Times New Roman" w:cs="Times New Roman" w:eastAsia="Times New Roman" w:hAnsi="Times New Roman"/>
          <w:sz w:val="17"/>
          <w:szCs w:val="17"/>
          <w:color w:val="auto"/>
        </w:rPr>
        <w:t>10.2.7.</w:t>
      </w:r>
      <w:r>
        <w:rPr>
          <w:sz w:val="20"/>
          <w:szCs w:val="20"/>
          <w:color w:val="auto"/>
        </w:rPr>
        <w:tab/>
      </w:r>
      <w:r>
        <w:rPr>
          <w:rFonts w:ascii="Times New Roman" w:cs="Times New Roman" w:eastAsia="Times New Roman" w:hAnsi="Times New Roman"/>
          <w:sz w:val="17"/>
          <w:szCs w:val="17"/>
          <w:color w:val="auto"/>
        </w:rPr>
        <w:t>Implement and maintain appropriate technical and organisational measures to protect Personal Data against unauthorised or unlawful access; unauthorised or unlawful alteration, disclosure, destruction or damage; unauthorised or unlawful Processing and accidental loss, alteration, disclosure, destruction or damage.</w:t>
      </w:r>
    </w:p>
    <w:p>
      <w:pPr>
        <w:spacing w:after="0" w:line="270" w:lineRule="exact"/>
        <w:rPr>
          <w:sz w:val="20"/>
          <w:szCs w:val="20"/>
          <w:color w:val="auto"/>
        </w:rPr>
      </w:pPr>
    </w:p>
    <w:p>
      <w:pPr>
        <w:ind w:left="1140" w:right="140" w:hanging="748"/>
        <w:spacing w:after="0" w:line="265" w:lineRule="auto"/>
        <w:tabs>
          <w:tab w:leader="none" w:pos="1120" w:val="left"/>
        </w:tabs>
        <w:rPr>
          <w:sz w:val="20"/>
          <w:szCs w:val="20"/>
          <w:color w:val="auto"/>
        </w:rPr>
      </w:pPr>
      <w:r>
        <w:rPr>
          <w:rFonts w:ascii="Times New Roman" w:cs="Times New Roman" w:eastAsia="Times New Roman" w:hAnsi="Times New Roman"/>
          <w:sz w:val="17"/>
          <w:szCs w:val="17"/>
          <w:color w:val="auto"/>
        </w:rPr>
        <w:t>10.2.8.</w:t>
      </w:r>
      <w:r>
        <w:rPr>
          <w:sz w:val="20"/>
          <w:szCs w:val="20"/>
          <w:color w:val="auto"/>
        </w:rPr>
        <w:tab/>
      </w:r>
      <w:r>
        <w:rPr>
          <w:rFonts w:ascii="Times New Roman" w:cs="Times New Roman" w:eastAsia="Times New Roman" w:hAnsi="Times New Roman"/>
          <w:sz w:val="17"/>
          <w:szCs w:val="17"/>
          <w:color w:val="auto"/>
        </w:rPr>
        <w:t>Notify any loss, damage, or destruction of Personal Data (“Security Breach”) to the Controller as soon as reasonably practicable and in any event within 24 hours of becoming aware of a Security Breach and provide all reasonable assistance to the Controller in relation to the notification of such breach to the Data Protection Commission and any other applicable Supervisory Authority and any Data Subject.</w:t>
      </w:r>
    </w:p>
    <w:p>
      <w:pPr>
        <w:spacing w:after="0" w:line="162" w:lineRule="exact"/>
        <w:rPr>
          <w:sz w:val="20"/>
          <w:szCs w:val="20"/>
          <w:color w:val="auto"/>
        </w:rPr>
      </w:pPr>
    </w:p>
    <w:p>
      <w:pPr>
        <w:jc w:val="both"/>
        <w:ind w:left="1140" w:hanging="748"/>
        <w:spacing w:after="0" w:line="265" w:lineRule="auto"/>
        <w:tabs>
          <w:tab w:leader="none" w:pos="1120" w:val="left"/>
        </w:tabs>
        <w:rPr>
          <w:sz w:val="20"/>
          <w:szCs w:val="20"/>
          <w:color w:val="auto"/>
        </w:rPr>
      </w:pPr>
      <w:r>
        <w:rPr>
          <w:rFonts w:ascii="Times New Roman" w:cs="Times New Roman" w:eastAsia="Times New Roman" w:hAnsi="Times New Roman"/>
          <w:sz w:val="17"/>
          <w:szCs w:val="17"/>
          <w:color w:val="auto"/>
        </w:rPr>
        <w:t>10.2.9.</w:t>
      </w:r>
      <w:r>
        <w:rPr>
          <w:sz w:val="20"/>
          <w:szCs w:val="20"/>
          <w:color w:val="auto"/>
        </w:rPr>
        <w:tab/>
      </w:r>
      <w:r>
        <w:rPr>
          <w:rFonts w:ascii="Times New Roman" w:cs="Times New Roman" w:eastAsia="Times New Roman" w:hAnsi="Times New Roman"/>
          <w:sz w:val="17"/>
          <w:szCs w:val="17"/>
          <w:color w:val="auto"/>
        </w:rPr>
        <w:t>not engage another processor (a "Sub-Processor") to process the Personal Data on its behalf without specific written consent of the Controller, approving a named Sub-Processor, such consent always subject to the Processor binding any Sub-Processor by written agreement, imposing on the Sub-Processor obligations in relation to the Personal Data equivalent to those set out in this Agreement.</w:t>
      </w:r>
    </w:p>
    <w:p>
      <w:pPr>
        <w:spacing w:after="0" w:line="297"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7"/>
          <w:szCs w:val="17"/>
          <w:color w:val="auto"/>
        </w:rPr>
        <w:t>10.2.10.</w:t>
      </w:r>
      <w:r>
        <w:rPr>
          <w:sz w:val="20"/>
          <w:szCs w:val="20"/>
          <w:color w:val="auto"/>
        </w:rPr>
        <w:tab/>
      </w:r>
      <w:r>
        <w:rPr>
          <w:rFonts w:ascii="Times New Roman" w:cs="Times New Roman" w:eastAsia="Times New Roman" w:hAnsi="Times New Roman"/>
          <w:sz w:val="16"/>
          <w:szCs w:val="16"/>
          <w:color w:val="auto"/>
        </w:rPr>
        <w:t>Notify the Controller (within seven days) if it receives: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09" w:name="page210"/>
    <w:bookmarkEnd w:id="209"/>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1">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1320" w:hanging="748"/>
        <w:spacing w:after="0" w:line="281" w:lineRule="auto"/>
        <w:rPr>
          <w:sz w:val="20"/>
          <w:szCs w:val="20"/>
          <w:color w:val="auto"/>
        </w:rPr>
      </w:pPr>
      <w:r>
        <w:rPr>
          <w:rFonts w:ascii="Times New Roman" w:cs="Times New Roman" w:eastAsia="Times New Roman" w:hAnsi="Times New Roman"/>
          <w:sz w:val="17"/>
          <w:szCs w:val="17"/>
          <w:color w:val="auto"/>
        </w:rPr>
        <w:t>10.2.10.1. A request from a Data Subject to have access to that person's Personal Data or to Rectify that person's Personal Data or to restrict Processing of that person’s Personal Data or port that person’s Personal Data.</w:t>
      </w:r>
    </w:p>
    <w:p>
      <w:pPr>
        <w:spacing w:after="0" w:line="150" w:lineRule="exact"/>
        <w:rPr>
          <w:sz w:val="20"/>
          <w:szCs w:val="20"/>
          <w:color w:val="auto"/>
        </w:rPr>
      </w:pPr>
    </w:p>
    <w:p>
      <w:pPr>
        <w:ind w:left="1320" w:right="20" w:hanging="748"/>
        <w:spacing w:after="0" w:line="281" w:lineRule="auto"/>
        <w:rPr>
          <w:sz w:val="20"/>
          <w:szCs w:val="20"/>
          <w:color w:val="auto"/>
        </w:rPr>
      </w:pPr>
      <w:r>
        <w:rPr>
          <w:rFonts w:ascii="Times New Roman" w:cs="Times New Roman" w:eastAsia="Times New Roman" w:hAnsi="Times New Roman"/>
          <w:sz w:val="17"/>
          <w:szCs w:val="17"/>
          <w:color w:val="auto"/>
        </w:rPr>
        <w:t>10.2.10.2. A notice from a Data Subject objecting to the Processing of that person’s Personal Data or stating that that person is not to be subject to a decision based on automated Processing.</w:t>
      </w: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10.2.10.3. A complaint or request relating to the Controller's obligations under Data Protection Laws; or</w:t>
      </w:r>
    </w:p>
    <w:p>
      <w:pPr>
        <w:spacing w:after="0" w:line="210"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17"/>
          <w:szCs w:val="17"/>
          <w:color w:val="auto"/>
        </w:rPr>
        <w:t>10.2.11.</w:t>
        <w:tab/>
        <w:t>Any other communication relating directly or indirectly to the processing of any Personal Data in connection with this Agreement.</w:t>
      </w:r>
    </w:p>
    <w:p>
      <w:pPr>
        <w:spacing w:after="0" w:line="345" w:lineRule="exact"/>
        <w:rPr>
          <w:sz w:val="20"/>
          <w:szCs w:val="20"/>
          <w:color w:val="auto"/>
        </w:rPr>
      </w:pPr>
    </w:p>
    <w:p>
      <w:pPr>
        <w:jc w:val="both"/>
        <w:ind w:left="1140" w:hanging="748"/>
        <w:spacing w:after="0" w:line="281" w:lineRule="auto"/>
        <w:tabs>
          <w:tab w:leader="none" w:pos="1120" w:val="left"/>
        </w:tabs>
        <w:rPr>
          <w:sz w:val="20"/>
          <w:szCs w:val="20"/>
          <w:color w:val="auto"/>
        </w:rPr>
      </w:pPr>
      <w:r>
        <w:rPr>
          <w:rFonts w:ascii="Times New Roman" w:cs="Times New Roman" w:eastAsia="Times New Roman" w:hAnsi="Times New Roman"/>
          <w:sz w:val="17"/>
          <w:szCs w:val="17"/>
          <w:color w:val="auto"/>
        </w:rPr>
        <w:t>10.2.12.</w:t>
        <w:tab/>
        <w:t>Not act in relation to any communication it receives under Clause 10.2.10. unless compelled by law or a regulator, without the Controller's prior approval, and shall comply with any reasonable instructions the Controller gives in relation to such communication.</w:t>
      </w:r>
    </w:p>
    <w:p>
      <w:pPr>
        <w:spacing w:after="0" w:line="150" w:lineRule="exact"/>
        <w:rPr>
          <w:sz w:val="20"/>
          <w:szCs w:val="20"/>
          <w:color w:val="auto"/>
        </w:rPr>
      </w:pPr>
    </w:p>
    <w:p>
      <w:pPr>
        <w:jc w:val="both"/>
        <w:ind w:left="1140" w:hanging="748"/>
        <w:spacing w:after="0" w:line="281" w:lineRule="auto"/>
        <w:tabs>
          <w:tab w:leader="none" w:pos="1120" w:val="left"/>
        </w:tabs>
        <w:rPr>
          <w:sz w:val="20"/>
          <w:szCs w:val="20"/>
          <w:color w:val="auto"/>
        </w:rPr>
      </w:pPr>
      <w:r>
        <w:rPr>
          <w:rFonts w:ascii="Times New Roman" w:cs="Times New Roman" w:eastAsia="Times New Roman" w:hAnsi="Times New Roman"/>
          <w:sz w:val="17"/>
          <w:szCs w:val="17"/>
          <w:color w:val="auto"/>
        </w:rPr>
        <w:t>10.2.13.</w:t>
        <w:tab/>
        <w:t>Cooperate with all reasonable requests of the Controller concerning any complaint or request made in respect of any Personal Data (including in relation to reporting, investigation, mitigation, and remediation of any Security Breach).</w:t>
      </w:r>
    </w:p>
    <w:p>
      <w:pPr>
        <w:spacing w:after="0" w:line="258" w:lineRule="exact"/>
        <w:rPr>
          <w:sz w:val="20"/>
          <w:szCs w:val="20"/>
          <w:color w:val="auto"/>
        </w:rPr>
      </w:pPr>
    </w:p>
    <w:p>
      <w:pPr>
        <w:jc w:val="both"/>
        <w:ind w:left="1140" w:hanging="748"/>
        <w:spacing w:after="0" w:line="281" w:lineRule="auto"/>
        <w:tabs>
          <w:tab w:leader="none" w:pos="1120" w:val="left"/>
        </w:tabs>
        <w:rPr>
          <w:sz w:val="20"/>
          <w:szCs w:val="20"/>
          <w:color w:val="auto"/>
        </w:rPr>
      </w:pPr>
      <w:r>
        <w:rPr>
          <w:rFonts w:ascii="Times New Roman" w:cs="Times New Roman" w:eastAsia="Times New Roman" w:hAnsi="Times New Roman"/>
          <w:sz w:val="17"/>
          <w:szCs w:val="17"/>
          <w:color w:val="auto"/>
        </w:rPr>
        <w:t>10.2.14.</w:t>
        <w:tab/>
        <w:t>Immediately inform the Controller if, in its opinion, compliance with any instruction of the Controller under this Agreement would breach Data Protection Laws.</w:t>
      </w:r>
    </w:p>
    <w:p>
      <w:pPr>
        <w:spacing w:after="0" w:line="258" w:lineRule="exact"/>
        <w:rPr>
          <w:sz w:val="20"/>
          <w:szCs w:val="20"/>
          <w:color w:val="auto"/>
        </w:rPr>
      </w:pPr>
    </w:p>
    <w:p>
      <w:pPr>
        <w:jc w:val="both"/>
        <w:ind w:left="1140" w:hanging="748"/>
        <w:spacing w:after="0" w:line="259" w:lineRule="auto"/>
        <w:tabs>
          <w:tab w:leader="none" w:pos="1120" w:val="left"/>
        </w:tabs>
        <w:rPr>
          <w:sz w:val="20"/>
          <w:szCs w:val="20"/>
          <w:color w:val="auto"/>
        </w:rPr>
      </w:pPr>
      <w:r>
        <w:rPr>
          <w:rFonts w:ascii="Times New Roman" w:cs="Times New Roman" w:eastAsia="Times New Roman" w:hAnsi="Times New Roman"/>
          <w:sz w:val="17"/>
          <w:szCs w:val="17"/>
          <w:color w:val="auto"/>
        </w:rPr>
        <w:t>10.2.15.</w:t>
        <w:tab/>
        <w:t>Not transfer Personal Data outside of the European Economic Area without the prior written consent of the Controller. The provisions in this Clause shall not apply if the transfer of Personal Data is to a country outside of the-European Economic Area that the European Commission has recognised as providing an adequate level of data protection; and on termination of this Agreement and otherwise at the Controller's request, delete or return to the Controller the Personal Data, and procure that any party to whom the Processor has disclosed the Personal Data does the same.</w:t>
      </w:r>
    </w:p>
    <w:p>
      <w:pPr>
        <w:spacing w:after="0" w:line="277" w:lineRule="exact"/>
        <w:rPr>
          <w:sz w:val="20"/>
          <w:szCs w:val="20"/>
          <w:color w:val="auto"/>
        </w:rPr>
      </w:pPr>
    </w:p>
    <w:p>
      <w:pPr>
        <w:jc w:val="both"/>
        <w:ind w:left="1140" w:hanging="748"/>
        <w:spacing w:after="0" w:line="265" w:lineRule="auto"/>
        <w:tabs>
          <w:tab w:leader="none" w:pos="1120" w:val="left"/>
        </w:tabs>
        <w:rPr>
          <w:sz w:val="20"/>
          <w:szCs w:val="20"/>
          <w:color w:val="auto"/>
        </w:rPr>
      </w:pPr>
      <w:r>
        <w:rPr>
          <w:rFonts w:ascii="Times New Roman" w:cs="Times New Roman" w:eastAsia="Times New Roman" w:hAnsi="Times New Roman"/>
          <w:sz w:val="17"/>
          <w:szCs w:val="17"/>
          <w:color w:val="auto"/>
        </w:rPr>
        <w:t>10.2.16.</w:t>
        <w:tab/>
        <w:t>The Controller shall enter the Standard Contractual Clauses as set out with the relevant Processor for the purposes of any transfers of Personal Data by the Processor to a country outside of the European Economic Area. The provisions shall not apply if the transfer of Personal Data is to a country outside of the European Economic Area that the European Commission has recognised as providing an adequate level of data protection.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 ASSIGNMENT</w:t>
      </w:r>
    </w:p>
    <w:p>
      <w:pPr>
        <w:spacing w:after="0" w:line="15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Licensor may at any time assign, transfer, charge, or deal in any other manner with this Agreement or any of its rights under it including the Warranties, or sub-licence any or all its obligations under it. The Licensee shall not without the prior written consent of the Licensor assign, transfer, charge, or deal in any other manner with this Agreement or any of its rights under it or purport to do any of the same, nor sub-licence any or all its obligations under this Agreement.</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12 SURVIVAL</w:t>
      </w:r>
    </w:p>
    <w:p>
      <w:pPr>
        <w:spacing w:after="0" w:line="156" w:lineRule="exact"/>
        <w:rPr>
          <w:sz w:val="20"/>
          <w:szCs w:val="20"/>
          <w:color w:val="auto"/>
        </w:rPr>
      </w:pPr>
    </w:p>
    <w:p>
      <w:pPr>
        <w:ind w:right="240" w:firstLine="43"/>
        <w:spacing w:after="0" w:line="281" w:lineRule="auto"/>
        <w:rPr>
          <w:sz w:val="20"/>
          <w:szCs w:val="20"/>
          <w:color w:val="auto"/>
        </w:rPr>
      </w:pPr>
      <w:r>
        <w:rPr>
          <w:rFonts w:ascii="Times New Roman" w:cs="Times New Roman" w:eastAsia="Times New Roman" w:hAnsi="Times New Roman"/>
          <w:sz w:val="17"/>
          <w:szCs w:val="17"/>
          <w:color w:val="auto"/>
        </w:rPr>
        <w:t>Provisions of this Agreement which are either expressed to survive its termination or from their nature or context it is contemplated that they are to survive such termination, shall remain in full force and effect notwithstanding such termination.</w:t>
      </w:r>
    </w:p>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13 NO PARTNERSHIP OR AGENCY</w:t>
      </w:r>
    </w:p>
    <w:p>
      <w:pPr>
        <w:spacing w:after="0" w:line="200" w:lineRule="exact"/>
        <w:rPr>
          <w:sz w:val="20"/>
          <w:szCs w:val="20"/>
          <w:color w:val="auto"/>
        </w:rPr>
      </w:pPr>
    </w:p>
    <w:p>
      <w:pPr>
        <w:spacing w:after="0" w:line="293"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Nothing in this Agreement, and no action taken by the Parties pursuant to this Agreement, shall constitute, or be deemed to constitute, a partnership between the Parties, or shall constitute either Party as the agent, employee, or representative of the other.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VARIATION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variation of or amendment to this Agreement shall bind either Party unless made in writing and signed by both Parties.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NON-APPLICATION OF CONTRA PROFERENTEM</w:t>
      </w:r>
    </w:p>
    <w:p>
      <w:pPr>
        <w:spacing w:after="0" w:line="15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If any ambiguity or question of intent or interpretation arises this Agreement shall be construed as if drafted jointly by the Parties and no presumption or burden of proof shall arise favouring or disfavouring any Party by virtue of the authorship of any of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10" w:name="page211"/>
    <w:bookmarkEnd w:id="210"/>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4">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 WAIVERS</w:t>
      </w:r>
    </w:p>
    <w:p>
      <w:pPr>
        <w:spacing w:after="0" w:line="15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7"/>
          <w:szCs w:val="17"/>
          <w:color w:val="auto"/>
        </w:rPr>
        <w:t>A delay in exercising or a failure to exercise a right or remedy under or in connection with this Agreement shall not constitute a waiver of, or prevent or restrict the future exercise of, that or any other right or remedy, nor will the single or partial exercise of, that or any other right or remedy prevent or restrict the further exercise of that or any other right or remedy. A waiver of any right, remedy, breach, or default will only be valid if it is in writing and signed by the Party giving it and only in circumstances and for the purpose for which it was given and will not constitute a waiver of any other right, remedy, breach, or default.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 SEVERABILITY</w:t>
      </w:r>
    </w:p>
    <w:p>
      <w:pPr>
        <w:spacing w:after="0" w:line="15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All the terms and provisions of this Agreement are distinct and severable. If any term or provision of this Agreement is held to be unenforceable, illegal, or void, in whole or in part, under any enactment, rule of law, judgment or by any court, regulatory authority or other competent authority, that term or provision or part shall, to that extent, be deemed not to form part of this Agreement, but the enforceability, legality and validity of the remainder of this Agreement shall not be affected and will remain in full force and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FORCE MAJEURE</w:t>
      </w:r>
    </w:p>
    <w:p>
      <w:pPr>
        <w:spacing w:after="0" w:line="1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Neither Party shall be in breach of this Agreement nor liable for delay in performing, or failure to perform, any of its obligations under this Agreement if such delay or failure result from events, circumstances or causes beyond its reasonable control. In such circumstances the affected Party shall be entitled to a reasonable extension of time for performing such obligations. If the period of delay or non-performance continues for four (4) weeks, the Party not affected may terminate this agreement by giving fourteen (14) days' written notice to the affected Party. Notwithstanding the provisions of this Clause 18 all fees due and payable to the Licensor shall continue to accrue and be payable by the Licensee..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Iconic Offices - Terms &amp; Conditions – V2MAY22.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7"/>
          <w:szCs w:val="17"/>
          <w:b w:val="1"/>
          <w:bCs w:val="1"/>
          <w:color w:val="auto"/>
        </w:rPr>
        <w:t>I acknowledge and accept the terms as set out above as a fair and true guide as to the terms and conditions of an Iconic License Agreement. I have read and understood the automatic renewal clause and accept all terms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contained above on behalf of the business to which I am an authorised signatory.</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LICENSOR DETAILS</w:t>
            </w:r>
          </w:p>
        </w:tc>
        <w:tc>
          <w:tcPr>
            <w:tcW w:w="832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LICENSEE DETAILS</w:t>
            </w:r>
          </w:p>
        </w:tc>
      </w:tr>
      <w:tr>
        <w:trPr>
          <w:trHeight w:val="244"/>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Full Name:   Liadh Grainger</w:t>
            </w:r>
          </w:p>
        </w:tc>
        <w:tc>
          <w:tcPr>
            <w:tcW w:w="8320" w:type="dxa"/>
            <w:vAlign w:val="bottom"/>
          </w:tcPr>
          <w:p>
            <w:pPr>
              <w:ind w:left="860"/>
              <w:spacing w:after="0"/>
              <w:rPr>
                <w:sz w:val="20"/>
                <w:szCs w:val="20"/>
                <w:color w:val="auto"/>
              </w:rPr>
            </w:pPr>
            <w:r>
              <w:rPr>
                <w:rFonts w:ascii="Times New Roman" w:cs="Times New Roman" w:eastAsia="Times New Roman" w:hAnsi="Times New Roman"/>
                <w:sz w:val="19"/>
                <w:szCs w:val="19"/>
                <w:color w:val="auto"/>
              </w:rPr>
              <w:t>Full Name:</w:t>
            </w:r>
            <w:r>
              <w:rPr>
                <w:rFonts w:ascii="Times New Roman" w:cs="Times New Roman" w:eastAsia="Times New Roman" w:hAnsi="Times New Roman"/>
                <w:sz w:val="19"/>
                <w:szCs w:val="19"/>
                <w:color w:val="FFFFFF"/>
              </w:rPr>
              <w:t>\</w:t>
            </w:r>
            <w:r>
              <w:rPr>
                <w:rFonts w:ascii="Times New Roman" w:cs="Times New Roman" w:eastAsia="Times New Roman" w:hAnsi="Times New Roman"/>
                <w:sz w:val="19"/>
                <w:szCs w:val="19"/>
                <w:color w:val="auto"/>
              </w:rPr>
              <w:t xml:space="preserve"> Dr David Keenan</w:t>
            </w:r>
            <w:r>
              <w:rPr>
                <w:rFonts w:ascii="Times New Roman" w:cs="Times New Roman" w:eastAsia="Times New Roman" w:hAnsi="Times New Roman"/>
                <w:sz w:val="19"/>
                <w:szCs w:val="19"/>
                <w:color w:val="FFFFFF"/>
              </w:rPr>
              <w:t>\</w:t>
            </w:r>
          </w:p>
        </w:tc>
      </w:tr>
      <w:tr>
        <w:trPr>
          <w:trHeight w:val="351"/>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w w:val="99"/>
              </w:rPr>
              <w:t>Title:</w:t>
            </w:r>
            <w:r>
              <w:rPr>
                <w:rFonts w:ascii="Times New Roman" w:cs="Times New Roman" w:eastAsia="Times New Roman" w:hAnsi="Times New Roman"/>
                <w:sz w:val="18"/>
                <w:szCs w:val="18"/>
                <w:color w:val="auto"/>
                <w:w w:val="99"/>
              </w:rPr>
              <w:t>Sales Executive</w:t>
            </w:r>
          </w:p>
        </w:tc>
        <w:tc>
          <w:tcPr>
            <w:tcW w:w="832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Title:</w:t>
            </w:r>
            <w:r>
              <w:rPr>
                <w:rFonts w:ascii="Times New Roman" w:cs="Times New Roman" w:eastAsia="Times New Roman" w:hAnsi="Times New Roman"/>
                <w:sz w:val="17"/>
                <w:szCs w:val="17"/>
                <w:color w:val="FFFFFF"/>
              </w:rPr>
              <w:t>\</w:t>
            </w:r>
            <w:r>
              <w:rPr>
                <w:rFonts w:ascii="Times New Roman" w:cs="Times New Roman" w:eastAsia="Times New Roman" w:hAnsi="Times New Roman"/>
                <w:sz w:val="17"/>
                <w:szCs w:val="17"/>
                <w:color w:val="auto"/>
              </w:rPr>
              <w:t>SVP Technical Operators, Director</w:t>
            </w:r>
          </w:p>
        </w:tc>
      </w:tr>
      <w:tr>
        <w:trPr>
          <w:trHeight w:val="153"/>
        </w:trPr>
        <w:tc>
          <w:tcPr>
            <w:tcW w:w="2920" w:type="dxa"/>
            <w:vAlign w:val="bottom"/>
            <w:tcBorders>
              <w:bottom w:val="single" w:sz="8" w:color="9A9A9A"/>
            </w:tcBorders>
          </w:tcPr>
          <w:p>
            <w:pPr>
              <w:spacing w:after="0"/>
              <w:rPr>
                <w:sz w:val="13"/>
                <w:szCs w:val="13"/>
                <w:color w:val="auto"/>
              </w:rPr>
            </w:pPr>
          </w:p>
        </w:tc>
        <w:tc>
          <w:tcPr>
            <w:tcW w:w="83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211" w:name="page212"/>
    <w:bookmarkEnd w:id="211"/>
    <w:p>
      <w:pPr>
        <w:ind w:left="100"/>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-279400</wp:posOffset>
            </wp:positionV>
            <wp:extent cx="1474470" cy="5657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8">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40"/>
          <w:szCs w:val="40"/>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260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Date:</w:t>
      </w:r>
      <w:r>
        <w:rPr>
          <w:rFonts w:ascii="Times New Roman" w:cs="Times New Roman" w:eastAsia="Times New Roman" w:hAnsi="Times New Roman"/>
          <w:sz w:val="19"/>
          <w:szCs w:val="19"/>
          <w:color w:val="FFFFFF"/>
        </w:rPr>
        <w:t>\d2\</w:t>
      </w:r>
    </w:p>
    <w:p>
      <w:pPr>
        <w:spacing w:after="0" w:line="14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Signature: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FFFFFF"/>
        </w:rPr>
        <w:t>\s2\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139"/>
        <w:spacing w:after="0"/>
        <w:rPr>
          <w:sz w:val="20"/>
          <w:szCs w:val="20"/>
          <w:color w:val="auto"/>
        </w:rPr>
      </w:pPr>
      <w:r>
        <w:rPr>
          <w:rFonts w:ascii="Calibri" w:cs="Calibri" w:eastAsia="Calibri" w:hAnsi="Calibri"/>
          <w:sz w:val="20"/>
          <w:szCs w:val="20"/>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4"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40"/>
          <w:szCs w:val="40"/>
          <w:color w:val="7F7F7F"/>
        </w:rPr>
        <w:t>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5504815</wp:posOffset>
            </wp:positionH>
            <wp:positionV relativeFrom="paragraph">
              <wp:posOffset>-279400</wp:posOffset>
            </wp:positionV>
            <wp:extent cx="1474470" cy="5657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1474470" cy="5657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color w:val="7F7F7F"/>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230505</wp:posOffset>
            </wp:positionV>
            <wp:extent cx="7157720" cy="69049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7157720" cy="6904990"/>
                    </a:xfrm>
                    <a:prstGeom prst="rect">
                      <a:avLst/>
                    </a:prstGeom>
                    <a:noFill/>
                  </pic:spPr>
                </pic:pic>
              </a:graphicData>
            </a:graphic>
          </wp:anchor>
        </w:drawing>
      </w:r>
    </w:p>
    <w:p>
      <w:pPr>
        <w:sectPr>
          <w:pgSz w:w="11900" w:h="16838" w:orient="portrait"/>
          <w:cols w:equalWidth="0" w:num="1">
            <w:col w:w="10039"/>
          </w:cols>
          <w:pgMar w:left="420" w:top="404" w:right="1440" w:bottom="1440" w:gutter="0" w:footer="0" w:header="0"/>
        </w:sectPr>
      </w:pPr>
    </w:p>
    <w:bookmarkStart w:id="213" w:name="page214"/>
    <w:bookmarkEnd w:id="213"/>
    <w:p>
      <w:pPr>
        <w:ind w:left="100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Subsidiaries of the Registrant as of December 31, 2022</w:t>
            </w:r>
          </w:p>
        </w:tc>
        <w:tc>
          <w:tcPr>
            <w:tcW w:w="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20" w:type="dxa"/>
            <w:vAlign w:val="bottom"/>
          </w:tcPr>
          <w:p>
            <w:pPr>
              <w:spacing w:after="0"/>
              <w:rPr>
                <w:sz w:val="24"/>
                <w:szCs w:val="24"/>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7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Amarin Pharmaceuticals Ireland Limited</w:t>
            </w:r>
          </w:p>
        </w:tc>
        <w:tc>
          <w:tcPr>
            <w:tcW w:w="140" w:type="dxa"/>
            <w:vAlign w:val="bottom"/>
          </w:tcPr>
          <w:p>
            <w:pPr>
              <w:spacing w:after="0"/>
              <w:rPr>
                <w:sz w:val="24"/>
                <w:szCs w:val="24"/>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Pharma, Inc.</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Ester Neurosciences Limited</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Germany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France SAS</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UK Limited</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Italy S.r.l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Espana</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Austrian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Belgium, branch of 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Denmark, filial af Amarin Switzerland GmbH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Suomen sivuliike</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Greek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Greece</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Dutch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Norwegian branch</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Sucursal em Portugal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Amarin Switzerland GmbH Sweden filial</w:t>
            </w:r>
          </w:p>
        </w:tc>
        <w:tc>
          <w:tcPr>
            <w:tcW w:w="1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20" w:type="dxa"/>
            <w:vAlign w:val="bottom"/>
          </w:tcPr>
          <w:p>
            <w:pPr>
              <w:spacing w:after="0"/>
              <w:rPr>
                <w:sz w:val="21"/>
                <w:szCs w:val="21"/>
                <w:color w:val="auto"/>
              </w:rPr>
            </w:pPr>
          </w:p>
        </w:tc>
      </w:tr>
      <w:tr>
        <w:trPr>
          <w:trHeight w:val="1249"/>
        </w:trPr>
        <w:tc>
          <w:tcPr>
            <w:tcW w:w="2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71" w:lineRule="exact"/>
        <w:rPr>
          <w:sz w:val="20"/>
          <w:szCs w:val="20"/>
          <w:color w:val="auto"/>
        </w:rPr>
      </w:pPr>
    </w:p>
    <w:p>
      <w:pPr>
        <w:ind w:right="2460" w:firstLine="2449"/>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760" w:hanging="378"/>
        <w:spacing w:after="0"/>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F-1 No. 333-163704 of Amarin Corporation plc; and</w:t>
      </w:r>
    </w:p>
    <w:p>
      <w:pPr>
        <w:spacing w:after="0" w:line="27" w:lineRule="exact"/>
        <w:rPr>
          <w:rFonts w:ascii="Times New Roman" w:cs="Times New Roman" w:eastAsia="Times New Roman" w:hAnsi="Times New Roman"/>
          <w:sz w:val="18"/>
          <w:szCs w:val="18"/>
          <w:color w:val="auto"/>
        </w:rPr>
      </w:pPr>
    </w:p>
    <w:p>
      <w:pPr>
        <w:ind w:left="760" w:right="300" w:hanging="378"/>
        <w:spacing w:after="0" w:line="260" w:lineRule="auto"/>
        <w:tabs>
          <w:tab w:leader="none" w:pos="7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333-146839, 333-143358, 333-132520, 333-110704, 333-101775, 333-168055, 333-168054, 333-176877, 333-183160, 333-205863, 333-219644, 333-180180, 333-84152, 333-240321 and 333-266611 of Amarin Corporation plc</w:t>
      </w:r>
    </w:p>
    <w:p>
      <w:pPr>
        <w:spacing w:after="0" w:line="1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of our reports dated March 1, 2023, with respect to the consolidated financial statements of Amarin Corporation plc, and the effectiveness of internal control over financial reporting of Amarin Corporation plc, included in this Annual Report (Form 10-K) of Amarin Corporation plc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15" w:name="page216"/>
    <w:bookmarkEnd w:id="215"/>
    <w:p>
      <w:pPr>
        <w:ind w:left="100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Karim Mikhail, certify that:</w:t>
      </w:r>
    </w:p>
    <w:p>
      <w:pPr>
        <w:spacing w:after="0" w:line="104"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762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2872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15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Karim Mikhail</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6" w:name="page217"/>
    <w:bookmarkEnd w:id="216"/>
    <w:p>
      <w:pPr>
        <w:ind w:left="100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Reilly, certify that:</w:t>
      </w:r>
    </w:p>
    <w:p>
      <w:pPr>
        <w:spacing w:after="0" w:line="104"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Amarin Corporation plc;</w:t>
      </w:r>
    </w:p>
    <w:p>
      <w:pPr>
        <w:spacing w:after="0" w:line="9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776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7"/>
          <w:szCs w:val="17"/>
          <w:color w:val="auto"/>
        </w:rPr>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26035</wp:posOffset>
            </wp:positionV>
            <wp:extent cx="38233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30"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Tom Reilly</w:t>
      </w:r>
    </w:p>
    <w:p>
      <w:pPr>
        <w:spacing w:after="0" w:line="3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7" w:name="page218"/>
    <w:bookmarkEnd w:id="217"/>
    <w:p>
      <w:pPr>
        <w:ind w:left="100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Karim Mikhail, President and Chief Executive Officer (Principal Executive Officer) of Amarin Corporation plc (the “Company”), and Tom Reilly, Senior Vice President and Chief Financial Officer (Principal Financial Officer and Principal Accounting Officer) of the Company, each hereby certifies that, to the best of his knowledge:</w:t>
      </w:r>
    </w:p>
    <w:p>
      <w:pPr>
        <w:spacing w:after="0" w:line="58" w:lineRule="exact"/>
        <w:rPr>
          <w:sz w:val="20"/>
          <w:szCs w:val="20"/>
          <w:color w:val="auto"/>
        </w:rPr>
      </w:pPr>
    </w:p>
    <w:p>
      <w:pPr>
        <w:ind w:left="520" w:right="18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2022, to which this Certification is attached as Exhibit 32.1 (the “Annual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520" w:right="460" w:hanging="512"/>
        <w:spacing w:after="0" w:line="282" w:lineRule="auto"/>
        <w:tabs>
          <w:tab w:leader="none" w:pos="5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at the end of such year.</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34290</wp:posOffset>
            </wp:positionV>
            <wp:extent cx="339471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8"/>
          <w:szCs w:val="18"/>
          <w:color w:val="auto"/>
        </w:rPr>
        <w:t>Karim Mikhail</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5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34721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1"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March 1, 2023</w:t>
      </w:r>
      <w:r>
        <w:rPr>
          <w:sz w:val="20"/>
          <w:szCs w:val="20"/>
          <w:color w:val="auto"/>
        </w:rPr>
        <w:tab/>
      </w:r>
      <w:r>
        <w:rPr>
          <w:rFonts w:ascii="Times New Roman" w:cs="Times New Roman" w:eastAsia="Times New Roman" w:hAnsi="Times New Roman"/>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470535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18" w:name="page219"/>
    <w:bookmarkEnd w:id="2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1)"/>
      <w:numFmt w:val="decimal"/>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1)"/>
      <w:numFmt w:val="lowerRoman"/>
      <w:start w:val="1"/>
    </w:lvl>
  </w:abstractNum>
  <w:abstractNum w:abstractNumId="38">
    <w:nsid w:val="CC1016F"/>
    <w:multiLevelType w:val="hybridMultilevel"/>
    <w:lvl w:ilvl="0">
      <w:lvlJc w:val="left"/>
      <w:lvlText w:val="(%1)"/>
      <w:numFmt w:val="decimal"/>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abstractNum>
  <w:abstractNum w:abstractNumId="41">
    <w:nsid w:val="26F324BA"/>
    <w:multiLevelType w:val="hybridMultilevel"/>
    <w:lvl w:ilvl="0">
      <w:lvlJc w:val="left"/>
      <w:lvlText w:val="o"/>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1)"/>
      <w:numFmt w:val="decimal"/>
      <w:start w:val="1"/>
    </w:lvl>
  </w:abstractNum>
  <w:abstractNum w:abstractNumId="45">
    <w:nsid w:val="5FB8370B"/>
    <w:multiLevelType w:val="hybridMultilevel"/>
    <w:lvl w:ilvl="0">
      <w:lvlJc w:val="left"/>
      <w:lvlText w:val="(%1)"/>
      <w:numFmt w:val="decimal"/>
      <w:start w:val="2"/>
    </w:lvl>
  </w:abstractNum>
  <w:abstractNum w:abstractNumId="46">
    <w:nsid w:val="50801EE1"/>
    <w:multiLevelType w:val="hybridMultilevel"/>
    <w:lvl w:ilvl="0">
      <w:lvlJc w:val="left"/>
      <w:lvlText w:val="(%1)"/>
      <w:numFmt w:val="decimal"/>
      <w:start w:val="1"/>
    </w:lvl>
  </w:abstractNum>
  <w:abstractNum w:abstractNumId="47">
    <w:nsid w:val="488AC1A"/>
    <w:multiLevelType w:val="hybridMultilevel"/>
    <w:lvl w:ilvl="0">
      <w:lvlJc w:val="left"/>
      <w:lvlText w:val="(%1)"/>
      <w:numFmt w:val="lowerRoman"/>
      <w:start w:val="2"/>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1)"/>
      <w:numFmt w:val="decimal"/>
      <w:start w:val="2"/>
    </w:lvl>
  </w:abstractNum>
  <w:abstractNum w:abstractNumId="50">
    <w:nsid w:val="7672BD23"/>
    <w:multiLevelType w:val="hybridMultilevel"/>
    <w:lvl w:ilvl="0">
      <w:lvlJc w:val="left"/>
      <w:lvlText w:val="(%1)"/>
      <w:numFmt w:val="lowerLetter"/>
      <w:start w:val="2"/>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1)"/>
      <w:numFmt w:val="decimal"/>
      <w:start w:val="1"/>
    </w:lvl>
  </w:abstractNum>
  <w:abstractNum w:abstractNumId="53">
    <w:nsid w:val="7D5E18F8"/>
    <w:multiLevelType w:val="hybridMultilevel"/>
    <w:lvl w:ilvl="0">
      <w:lvlJc w:val="left"/>
      <w:lvlText w:val="(%1)"/>
      <w:numFmt w:val="decimal"/>
      <w:start w:val="2"/>
    </w:lvl>
  </w:abstractNum>
  <w:abstractNum w:abstractNumId="54">
    <w:nsid w:val="5F3534A4"/>
    <w:multiLevelType w:val="hybridMultilevel"/>
    <w:lvl w:ilvl="0">
      <w:lvlJc w:val="left"/>
      <w:lvlText w:val="(%1)"/>
      <w:numFmt w:val="decimal"/>
      <w:start w:val="3"/>
    </w:lvl>
  </w:abstractNum>
  <w:abstractNum w:abstractNumId="55">
    <w:nsid w:val="73A1821B"/>
    <w:multiLevelType w:val="hybridMultilevel"/>
    <w:lvl w:ilvl="0">
      <w:lvlJc w:val="left"/>
      <w:lvlText w:val="(%1)"/>
      <w:numFmt w:val="decimal"/>
      <w:start w:val="4"/>
    </w:lvl>
  </w:abstractNum>
  <w:abstractNum w:abstractNumId="56">
    <w:nsid w:val="7DE67713"/>
    <w:multiLevelType w:val="hybridMultilevel"/>
    <w:lvl w:ilvl="0">
      <w:lvlJc w:val="left"/>
      <w:lvlText w:val="(%1)"/>
      <w:numFmt w:val="decimal"/>
      <w:start w:val="5"/>
    </w:lvl>
  </w:abstractNum>
  <w:abstractNum w:abstractNumId="57">
    <w:nsid w:val="555C55B5"/>
    <w:multiLevelType w:val="hybridMultilevel"/>
    <w:lvl w:ilvl="0">
      <w:lvlJc w:val="left"/>
      <w:lvlText w:val="(%1)"/>
      <w:numFmt w:val="decimal"/>
      <w:start w:val="6"/>
    </w:lvl>
  </w:abstractNum>
  <w:abstractNum w:abstractNumId="58">
    <w:nsid w:val="3FA62ACA"/>
    <w:multiLevelType w:val="hybridMultilevel"/>
    <w:lvl w:ilvl="0">
      <w:lvlJc w:val="left"/>
      <w:lvlText w:val="(%1)"/>
      <w:numFmt w:val="decimal"/>
      <w:start w:val="7"/>
    </w:lvl>
  </w:abstractNum>
  <w:abstractNum w:abstractNumId="59">
    <w:nsid w:val="14FCE74E"/>
    <w:multiLevelType w:val="hybridMultilevel"/>
    <w:lvl w:ilvl="0">
      <w:lvlJc w:val="left"/>
      <w:lvlText w:val="(%1)"/>
      <w:numFmt w:val="decimal"/>
      <w:start w:val="8"/>
    </w:lvl>
  </w:abstractNum>
  <w:abstractNum w:abstractNumId="60">
    <w:nsid w:val="6A3DD3E8"/>
    <w:multiLevelType w:val="hybridMultilevel"/>
    <w:lvl w:ilvl="0">
      <w:lvlJc w:val="left"/>
      <w:lvlText w:val="(%1)"/>
      <w:numFmt w:val="decimal"/>
      <w:start w:val="1"/>
    </w:lvl>
  </w:abstractNum>
  <w:abstractNum w:abstractNumId="61">
    <w:nsid w:val="71C91298"/>
    <w:multiLevelType w:val="hybridMultilevel"/>
    <w:lvl w:ilvl="0">
      <w:lvlJc w:val="left"/>
      <w:lvlText w:val="(%1)"/>
      <w:numFmt w:val="decimal"/>
      <w:start w:val="9"/>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1)"/>
      <w:numFmt w:val="decimal"/>
      <w:start w:val="10"/>
    </w:lvl>
  </w:abstractNum>
  <w:abstractNum w:abstractNumId="64">
    <w:nsid w:val="1FBFE8E0"/>
    <w:multiLevelType w:val="hybridMultilevel"/>
    <w:lvl w:ilvl="0">
      <w:lvlJc w:val="left"/>
      <w:lvlText w:val="(%1)"/>
      <w:numFmt w:val="decimal"/>
      <w:start w:val="11"/>
    </w:lvl>
  </w:abstractNum>
  <w:abstractNum w:abstractNumId="65">
    <w:nsid w:val="5092CA79"/>
    <w:multiLevelType w:val="hybridMultilevel"/>
    <w:lvl w:ilvl="0">
      <w:lvlJc w:val="left"/>
      <w:lvlText w:val="(%1)"/>
      <w:numFmt w:val="decimal"/>
      <w:start w:val="12"/>
    </w:lvl>
  </w:abstractNum>
  <w:abstractNum w:abstractNumId="66">
    <w:nsid w:val="1D545C4D"/>
    <w:multiLevelType w:val="hybridMultilevel"/>
    <w:lvl w:ilvl="0">
      <w:lvlJc w:val="left"/>
      <w:lvlText w:val="(%1)"/>
      <w:numFmt w:val="decimal"/>
      <w:start w:val="13"/>
    </w:lvl>
  </w:abstractNum>
  <w:abstractNum w:abstractNumId="67">
    <w:nsid w:val="59ADEA3D"/>
    <w:multiLevelType w:val="hybridMultilevel"/>
    <w:lvl w:ilvl="0">
      <w:lvlJc w:val="left"/>
      <w:lvlText w:val="(%1)"/>
      <w:numFmt w:val="lowerRoman"/>
      <w:start w:val="1"/>
    </w:lvl>
  </w:abstractNum>
  <w:abstractNum w:abstractNumId="68">
    <w:nsid w:val="288F1A34"/>
    <w:multiLevelType w:val="hybridMultilevel"/>
    <w:lvl w:ilvl="0">
      <w:lvlJc w:val="left"/>
      <w:lvlText w:val="(%1)"/>
      <w:numFmt w:val="decimal"/>
      <w:start w:val="14"/>
    </w:lvl>
  </w:abstractNum>
  <w:abstractNum w:abstractNumId="69">
    <w:nsid w:val="2A155DBC"/>
    <w:multiLevelType w:val="hybridMultilevel"/>
    <w:lvl w:ilvl="0">
      <w:lvlJc w:val="left"/>
      <w:lvlText w:val="(%1)"/>
      <w:numFmt w:val="decimal"/>
      <w:start w:val="15"/>
    </w:lvl>
  </w:abstractNum>
  <w:abstractNum w:abstractNumId="70">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1">
    <w:nsid w:val="97E1B4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72">
    <w:nsid w:val="5108827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73">
    <w:nsid w:val="1CA0C5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74">
    <w:nsid w:val="53584BCB"/>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75">
    <w:nsid w:val="415E286C"/>
    <w:multiLevelType w:val="hybridMultilevel"/>
    <w:lvl w:ilvl="0">
      <w:lvlJc w:val="left"/>
      <w:lvlText w:val="%1."/>
      <w:numFmt w:val="decimal"/>
      <w:start w:val="5"/>
    </w:lvl>
  </w:abstractNum>
  <w:abstractNum w:abstractNumId="76">
    <w:nsid w:val="7C58FD05"/>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lvl w:ilvl="3">
      <w:lvlJc w:val="left"/>
      <w:lvlText w:val="(%4)"/>
      <w:numFmt w:val="lowerLetter"/>
      <w:start w:val="2"/>
    </w:lvl>
  </w:abstractNum>
  <w:abstractNum w:abstractNumId="77">
    <w:nsid w:val="23D86A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78">
    <w:nsid w:val="45E6D486"/>
    <w:multiLevelType w:val="hybridMultilevel"/>
    <w:lvl w:ilvl="0">
      <w:lvlJc w:val="left"/>
      <w:lvlText w:val="%1."/>
      <w:numFmt w:val="decimal"/>
      <w:start w:val="8"/>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9">
    <w:nsid w:val="5C10FE21"/>
    <w:multiLevelType w:val="hybridMultilevel"/>
    <w:lvl w:ilvl="0">
      <w:lvlJc w:val="left"/>
      <w:lvlText w:val="%1"/>
      <w:numFmt w:val="decimal"/>
      <w:start w:val="1"/>
    </w:lvl>
    <w:lvl w:ilvl="1">
      <w:lvlJc w:val="left"/>
      <w:lvlText w:val="(%2)"/>
      <w:numFmt w:val="lowerLetter"/>
      <w:start w:val="2"/>
    </w:lvl>
  </w:abstractNum>
  <w:abstractNum w:abstractNumId="80">
    <w:nsid w:val="E7FFA2B"/>
    <w:multiLevelType w:val="hybridMultilevel"/>
    <w:lvl w:ilvl="0">
      <w:lvlJc w:val="left"/>
      <w:lvlText w:val="%1."/>
      <w:numFmt w:val="decimal"/>
      <w:start w:val="10"/>
    </w:lvl>
    <w:lvl w:ilvl="1">
      <w:lvlJc w:val="left"/>
      <w:lvlText w:val="%2"/>
      <w:numFmt w:val="lowerLetter"/>
      <w:start w:val="1"/>
    </w:lvl>
  </w:abstractNum>
  <w:abstractNum w:abstractNumId="81">
    <w:nsid w:val="3C5991AA"/>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4"/>
    </w:lvl>
  </w:abstractNum>
  <w:abstractNum w:abstractNumId="82">
    <w:nsid w:val="4BD8591A"/>
    <w:multiLevelType w:val="hybridMultilevel"/>
    <w:lvl w:ilvl="0">
      <w:lvlJc w:val="left"/>
      <w:lvlText w:val="(%1)"/>
      <w:numFmt w:val="lowerLetter"/>
      <w:start w:val="6"/>
    </w:lvl>
  </w:abstractNum>
  <w:abstractNum w:abstractNumId="83">
    <w:nsid w:val="78DF6A55"/>
    <w:multiLevelType w:val="hybridMultilevel"/>
    <w:lvl w:ilvl="0">
      <w:lvlJc w:val="left"/>
      <w:lvlText w:val="(%1)"/>
      <w:numFmt w:val="lowerLetter"/>
      <w:start w:val="7"/>
    </w:lvl>
    <w:lvl w:ilvl="1">
      <w:lvlJc w:val="left"/>
      <w:lvlText w:val="(%2)"/>
      <w:numFmt w:val="lowerLetter"/>
      <w:start w:val="8"/>
    </w:lvl>
  </w:abstractNum>
  <w:abstractNum w:abstractNumId="84">
    <w:nsid w:val="39B7AAA2"/>
    <w:multiLevelType w:val="hybridMultilevel"/>
    <w:lvl w:ilvl="0">
      <w:lvlJc w:val="left"/>
      <w:lvlText w:val="%1."/>
      <w:numFmt w:val="decimal"/>
      <w:start w:val="1"/>
    </w:lvl>
  </w:abstractNum>
  <w:abstractNum w:abstractNumId="85">
    <w:nsid w:val="2B0D8DBE"/>
    <w:multiLevelType w:val="hybridMultilevel"/>
    <w:lvl w:ilvl="0">
      <w:lvlJc w:val="left"/>
      <w:lvlText w:val="%1."/>
      <w:numFmt w:val="decimal"/>
      <w:start w:val="3"/>
    </w:lvl>
    <w:lvl w:ilvl="1">
      <w:lvlJc w:val="left"/>
      <w:lvlText w:val="%2."/>
      <w:numFmt w:val="decimal"/>
      <w:start w:val="5"/>
    </w:lvl>
  </w:abstractNum>
  <w:abstractNum w:abstractNumId="86">
    <w:nsid w:val="6C80EC70"/>
    <w:multiLevelType w:val="hybridMultilevel"/>
    <w:lvl w:ilvl="0">
      <w:lvlJc w:val="left"/>
      <w:lvlText w:val="(%1)"/>
      <w:numFmt w:val="lowerRoman"/>
      <w:start w:val="1"/>
    </w:lvl>
  </w:abstractNum>
  <w:abstractNum w:abstractNumId="87">
    <w:nsid w:val="379E21B5"/>
    <w:multiLevelType w:val="hybridMultilevel"/>
    <w:lvl w:ilvl="0">
      <w:lvlJc w:val="left"/>
      <w:lvlText w:val="%1."/>
      <w:numFmt w:val="decimal"/>
      <w:start w:val="1"/>
    </w:lvl>
  </w:abstractNum>
  <w:abstractNum w:abstractNumId="88">
    <w:nsid w:val="69E373"/>
    <w:multiLevelType w:val="hybridMultilevel"/>
    <w:lvl w:ilvl="0">
      <w:lvlJc w:val="left"/>
      <w:lvlText w:val="(%1)"/>
      <w:numFmt w:val="lowerLetter"/>
      <w:start w:val="1"/>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decimal"/>
      <w:start w:val="3"/>
    </w:lvl>
  </w:abstractNum>
  <w:abstractNum w:abstractNumId="91">
    <w:nsid w:val="6AA7B75C"/>
    <w:multiLevelType w:val="hybridMultilevel"/>
    <w:lvl w:ilvl="0">
      <w:lvlJc w:val="left"/>
      <w:lvlText w:val="%1."/>
      <w:numFmt w:val="decimal"/>
      <w:start w:val="5"/>
    </w:lvl>
  </w:abstractNum>
  <w:abstractNum w:abstractNumId="92">
    <w:nsid w:val="1DF029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3">
    <w:nsid w:val="5675FF3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94">
    <w:nsid w:val="3DD15094"/>
    <w:multiLevelType w:val="hybridMultilevel"/>
    <w:lvl w:ilvl="0">
      <w:lvlJc w:val="left"/>
      <w:lvlText w:val="(%1)"/>
      <w:numFmt w:val="lowerLetter"/>
      <w:start w:val="2"/>
    </w:lvl>
    <w:lvl w:ilvl="1">
      <w:lvlJc w:val="left"/>
      <w:lvlText w:val="(%2)"/>
      <w:numFmt w:val="lowerLetter"/>
      <w:start w:val="6"/>
    </w:lvl>
    <w:lvl w:ilvl="2">
      <w:lvlJc w:val="left"/>
      <w:lvlText w:val="%3"/>
      <w:numFmt w:val="lowerLetter"/>
      <w:start w:val="1"/>
    </w:lvl>
  </w:abstractNum>
  <w:abstractNum w:abstractNumId="95">
    <w:nsid w:val="3DB012B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96">
    <w:nsid w:val="2708C9AF"/>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97">
    <w:nsid w:val="5B25ACE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98">
    <w:nsid w:val="175DFCF0"/>
    <w:multiLevelType w:val="hybridMultilevel"/>
    <w:lvl w:ilvl="0">
      <w:lvlJc w:val="left"/>
      <w:lvlText w:val="(%1)"/>
      <w:numFmt w:val="lowerLetter"/>
      <w:start w:val="1"/>
    </w:lvl>
  </w:abstractNum>
  <w:abstractNum w:abstractNumId="99">
    <w:nsid w:val="4F97E3E4"/>
    <w:multiLevelType w:val="hybridMultilevel"/>
    <w:lvl w:ilvl="0">
      <w:lvlJc w:val="left"/>
      <w:lvlText w:val="%1."/>
      <w:numFmt w:val="decimal"/>
      <w:start w:val="9"/>
    </w:lvl>
  </w:abstractNum>
  <w:abstractNum w:abstractNumId="100">
    <w:nsid w:val="53B0A9E"/>
    <w:multiLevelType w:val="hybridMultilevel"/>
    <w:lvl w:ilvl="0">
      <w:lvlJc w:val="left"/>
      <w:lvlText w:val="%1"/>
      <w:numFmt w:val="lowerLetter"/>
      <w:start w:val="1"/>
    </w:lvl>
    <w:lvl w:ilvl="1">
      <w:lvlJc w:val="left"/>
      <w:lvlText w:val="%2."/>
      <w:numFmt w:val="decimal"/>
      <w:start w:val="11"/>
    </w:lvl>
  </w:abstractNum>
  <w:abstractNum w:abstractNumId="101">
    <w:nsid w:val="34FD6B4F"/>
    <w:multiLevelType w:val="hybridMultilevel"/>
    <w:lvl w:ilvl="0">
      <w:lvlJc w:val="left"/>
      <w:lvlText w:val="(%1)"/>
      <w:numFmt w:val="lowerLetter"/>
      <w:start w:val="2"/>
    </w:lvl>
    <w:lvl w:ilvl="1">
      <w:lvlJc w:val="left"/>
      <w:lvlText w:val="%2"/>
      <w:numFmt w:val="decimal"/>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3"/>
    </w:lvl>
    <w:lvl w:ilvl="1">
      <w:lvlJc w:val="left"/>
      <w:lvlText w:val="(%2)"/>
      <w:numFmt w:val="lowerRoman"/>
      <w:start w:val="1"/>
    </w:lvl>
  </w:abstractNum>
  <w:abstractNum w:abstractNumId="104">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05">
    <w:nsid w:val="2C6E4AF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06">
    <w:nsid w:val="17A1B582"/>
    <w:multiLevelType w:val="hybridMultilevel"/>
    <w:lvl w:ilvl="0">
      <w:lvlJc w:val="left"/>
      <w:lvlText w:val="%1."/>
      <w:numFmt w:val="decimal"/>
      <w:start w:val="14"/>
    </w:lvl>
  </w:abstractNum>
  <w:abstractNum w:abstractNumId="107">
    <w:nsid w:val="4DF72E4E"/>
    <w:multiLevelType w:val="hybridMultilevel"/>
    <w:lvl w:ilvl="0">
      <w:lvlJc w:val="left"/>
      <w:lvlText w:val="%1."/>
      <w:numFmt w:val="decimal"/>
      <w:start w:val="17"/>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8"/>
    </w:lvl>
  </w:abstractNum>
  <w:abstractNum w:abstractNumId="110">
    <w:nsid w:val="2A082C70"/>
    <w:multiLevelType w:val="hybridMultilevel"/>
    <w:lvl w:ilvl="0">
      <w:lvlJc w:val="left"/>
      <w:lvlText w:val="%1."/>
      <w:numFmt w:val="upperLetter"/>
      <w:start w:val="1"/>
    </w:lvl>
  </w:abstractNum>
  <w:abstractNum w:abstractNumId="111">
    <w:nsid w:val="5EC6AFD4"/>
    <w:multiLevelType w:val="hybridMultilevel"/>
    <w:lvl w:ilvl="0">
      <w:lvlJc w:val="left"/>
      <w:lvlText w:val="%1."/>
      <w:numFmt w:val="decimal"/>
      <w:start w:val="1"/>
    </w:lvl>
  </w:abstractNum>
  <w:abstractNum w:abstractNumId="112">
    <w:nsid w:val="19E21BB2"/>
    <w:multiLevelType w:val="hybridMultilevel"/>
    <w:lvl w:ilvl="0">
      <w:lvlJc w:val="left"/>
      <w:lvlText w:val="(%1)"/>
      <w:numFmt w:val="decimal"/>
      <w:start w:val="1"/>
    </w:lvl>
    <w:lvl w:ilvl="1">
      <w:lvlJc w:val="left"/>
      <w:lvlText w:val="%2."/>
      <w:numFmt w:val="decimal"/>
      <w:start w:val="2"/>
    </w:lvl>
  </w:abstractNum>
  <w:abstractNum w:abstractNumId="113">
    <w:nsid w:val="75E0858A"/>
    <w:multiLevelType w:val="hybridMultilevel"/>
    <w:lvl w:ilvl="0">
      <w:lvlJc w:val="left"/>
      <w:lvlText w:val="•"/>
      <w:numFmt w:val="bullet"/>
      <w:start w:val="1"/>
    </w:lvl>
  </w:abstractNum>
  <w:abstractNum w:abstractNumId="114">
    <w:nsid w:val="57A61A29"/>
    <w:multiLevelType w:val="hybridMultilevel"/>
    <w:lvl w:ilvl="0">
      <w:lvlJc w:val="left"/>
      <w:lvlText w:val="(%1)"/>
      <w:numFmt w:val="lowerRoman"/>
      <w:start w:val="7"/>
    </w:lvl>
  </w:abstractNum>
  <w:abstractNum w:abstractNumId="115">
    <w:nsid w:val="5399C654"/>
    <w:multiLevelType w:val="hybridMultilevel"/>
    <w:lvl w:ilvl="0">
      <w:lvlJc w:val="left"/>
      <w:lvlText w:val="%1."/>
      <w:numFmt w:val="decimal"/>
      <w:start w:val="3"/>
    </w:lvl>
  </w:abstractNum>
  <w:abstractNum w:abstractNumId="116">
    <w:nsid w:val="20EE1348"/>
    <w:multiLevelType w:val="hybridMultilevel"/>
    <w:lvl w:ilvl="0">
      <w:lvlJc w:val="left"/>
      <w:lvlText w:val="%1."/>
      <w:numFmt w:val="decimal"/>
      <w:start w:val="4"/>
    </w:lvl>
  </w:abstractNum>
  <w:abstractNum w:abstractNumId="117">
    <w:nsid w:val="4427069A"/>
    <w:multiLevelType w:val="hybridMultilevel"/>
    <w:lvl w:ilvl="0">
      <w:lvlJc w:val="left"/>
      <w:lvlText w:val="%1."/>
      <w:numFmt w:val="decimal"/>
      <w:start w:val="5"/>
    </w:lvl>
  </w:abstractNum>
  <w:abstractNum w:abstractNumId="118">
    <w:nsid w:val="B37E80A"/>
    <w:multiLevelType w:val="hybridMultilevel"/>
    <w:lvl w:ilvl="0">
      <w:lvlJc w:val="left"/>
      <w:lvlText w:val="%1"/>
      <w:numFmt w:val="decimal"/>
      <w:start w:val="1"/>
    </w:lvl>
    <w:lvl w:ilvl="1">
      <w:lvlJc w:val="left"/>
      <w:lvlText w:val="%2."/>
      <w:numFmt w:val="decimal"/>
      <w:start w:val="6"/>
    </w:lvl>
  </w:abstractNum>
  <w:abstractNum w:abstractNumId="119">
    <w:nsid w:val="2157F6BC"/>
    <w:multiLevelType w:val="hybridMultilevel"/>
    <w:lvl w:ilvl="0">
      <w:lvlJc w:val="left"/>
      <w:lvlText w:val="%1."/>
      <w:numFmt w:val="decimal"/>
      <w:start w:val="7"/>
    </w:lvl>
    <w:lvl w:ilvl="1">
      <w:lvlJc w:val="left"/>
      <w:lvlText w:val="%2"/>
      <w:numFmt w:val="decimal"/>
      <w:start w:val="1"/>
    </w:lvl>
  </w:abstractNum>
  <w:abstractNum w:abstractNumId="120">
    <w:nsid w:val="704E1DD5"/>
    <w:multiLevelType w:val="hybridMultilevel"/>
    <w:lvl w:ilvl="0">
      <w:lvlJc w:val="left"/>
      <w:lvlText w:val="%1."/>
      <w:numFmt w:val="decimal"/>
      <w:start w:val="8"/>
    </w:lvl>
  </w:abstractNum>
  <w:abstractNum w:abstractNumId="121">
    <w:nsid w:val="57D2F10E"/>
    <w:multiLevelType w:val="hybridMultilevel"/>
    <w:lvl w:ilvl="0">
      <w:lvlJc w:val="left"/>
      <w:lvlText w:val="%1."/>
      <w:numFmt w:val="decimal"/>
      <w:start w:val="9"/>
    </w:lvl>
  </w:abstractNum>
  <w:abstractNum w:abstractNumId="122">
    <w:nsid w:val="BFFAE18"/>
    <w:multiLevelType w:val="hybridMultilevel"/>
    <w:lvl w:ilvl="0">
      <w:lvlJc w:val="left"/>
      <w:lvlText w:val="%1."/>
      <w:numFmt w:val="decimal"/>
      <w:start w:val="10"/>
    </w:lvl>
  </w:abstractNum>
  <w:abstractNum w:abstractNumId="123">
    <w:nsid w:val="E3E47A8"/>
    <w:multiLevelType w:val="hybridMultilevel"/>
    <w:lvl w:ilvl="0">
      <w:lvlJc w:val="left"/>
      <w:lvlText w:val="%1."/>
      <w:numFmt w:val="decimal"/>
      <w:start w:val="11"/>
    </w:lvl>
  </w:abstractNum>
  <w:abstractNum w:abstractNumId="124">
    <w:nsid w:val="2E48F044"/>
    <w:multiLevelType w:val="hybridMultilevel"/>
    <w:lvl w:ilvl="0">
      <w:lvlJc w:val="left"/>
      <w:lvlText w:val="%1."/>
      <w:numFmt w:val="decimal"/>
      <w:start w:val="12"/>
    </w:lvl>
  </w:abstractNum>
  <w:abstractNum w:abstractNumId="125">
    <w:nsid w:val="49D0FEAC"/>
    <w:multiLevelType w:val="hybridMultilevel"/>
    <w:lvl w:ilvl="0">
      <w:lvlJc w:val="left"/>
      <w:lvlText w:val="%1."/>
      <w:numFmt w:val="decimal"/>
      <w:start w:val="13"/>
    </w:lvl>
  </w:abstractNum>
  <w:abstractNum w:abstractNumId="126">
    <w:nsid w:val="4BEE5A5B"/>
    <w:multiLevelType w:val="hybridMultilevel"/>
    <w:lvl w:ilvl="0">
      <w:lvlJc w:val="left"/>
      <w:lvlText w:val="(%1)"/>
      <w:numFmt w:val="lowerRoman"/>
      <w:start w:val="3"/>
    </w:lvl>
  </w:abstractNum>
  <w:abstractNum w:abstractNumId="127">
    <w:nsid w:val="5551B9F3"/>
    <w:multiLevelType w:val="hybridMultilevel"/>
    <w:lvl w:ilvl="0">
      <w:lvlJc w:val="left"/>
      <w:lvlText w:val="%1"/>
      <w:numFmt w:val="decimal"/>
      <w:start w:val="1"/>
    </w:lvl>
    <w:lvl w:ilvl="1">
      <w:lvlJc w:val="left"/>
      <w:lvlText w:val="%2."/>
      <w:numFmt w:val="decimal"/>
      <w:start w:val="14"/>
    </w:lvl>
  </w:abstractNum>
  <w:abstractNum w:abstractNumId="128">
    <w:nsid w:val="24F6AB8E"/>
    <w:multiLevelType w:val="hybridMultilevel"/>
    <w:lvl w:ilvl="0">
      <w:lvlJc w:val="left"/>
      <w:lvlText w:val="%1."/>
      <w:numFmt w:val="decimal"/>
      <w:start w:val="15"/>
    </w:lvl>
    <w:lvl w:ilvl="1">
      <w:lvlJc w:val="left"/>
      <w:lvlText w:val="%2"/>
      <w:numFmt w:val="decimal"/>
      <w:start w:val="1"/>
    </w:lvl>
  </w:abstractNum>
  <w:abstractNum w:abstractNumId="129">
    <w:nsid w:val="634C574C"/>
    <w:multiLevelType w:val="hybridMultilevel"/>
    <w:lvl w:ilvl="0">
      <w:lvlJc w:val="left"/>
      <w:lvlText w:val="%1."/>
      <w:numFmt w:val="decimal"/>
      <w:start w:val="16"/>
    </w:lvl>
  </w:abstractNum>
  <w:abstractNum w:abstractNumId="130">
    <w:nsid w:val="24E99DD7"/>
    <w:multiLevelType w:val="hybridMultilevel"/>
    <w:lvl w:ilvl="0">
      <w:lvlJc w:val="left"/>
      <w:lvlText w:val="%1."/>
      <w:numFmt w:val="decimal"/>
      <w:start w:val="17"/>
    </w:lvl>
  </w:abstractNum>
  <w:abstractNum w:abstractNumId="131">
    <w:nsid w:val="2A31B62D"/>
    <w:multiLevelType w:val="hybridMultilevel"/>
    <w:lvl w:ilvl="0">
      <w:lvlJc w:val="left"/>
      <w:lvlText w:val="%1."/>
      <w:numFmt w:val="decimal"/>
      <w:start w:val="20"/>
    </w:lvl>
  </w:abstractNum>
  <w:abstractNum w:abstractNumId="132">
    <w:nsid w:val="1849C29B"/>
    <w:multiLevelType w:val="hybridMultilevel"/>
    <w:lvl w:ilvl="0">
      <w:lvlJc w:val="left"/>
      <w:lvlText w:val="%1."/>
      <w:numFmt w:val="decimal"/>
      <w:start w:val="22"/>
    </w:lvl>
  </w:abstractNum>
  <w:abstractNum w:abstractNumId="133">
    <w:nsid w:val="7DFF9D09"/>
    <w:multiLevelType w:val="hybridMultilevel"/>
    <w:lvl w:ilvl="0">
      <w:lvlJc w:val="left"/>
      <w:lvlText w:val="%1."/>
      <w:numFmt w:val="decimal"/>
      <w:start w:val="23"/>
    </w:lvl>
  </w:abstractNum>
  <w:abstractNum w:abstractNumId="134">
    <w:nsid w:val="754342"/>
    <w:multiLevelType w:val="hybridMultilevel"/>
    <w:lvl w:ilvl="0">
      <w:lvlJc w:val="left"/>
      <w:lvlText w:val="%1."/>
      <w:numFmt w:val="decimal"/>
      <w:start w:val="24"/>
    </w:lvl>
  </w:abstractNum>
  <w:abstractNum w:abstractNumId="135">
    <w:nsid w:val="69E7F3E5"/>
    <w:multiLevelType w:val="hybridMultilevel"/>
    <w:lvl w:ilvl="0">
      <w:lvlJc w:val="left"/>
      <w:lvlText w:val="%1."/>
      <w:numFmt w:val="decimal"/>
      <w:start w:val="26"/>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lowerRoman"/>
      <w:start w:val="1"/>
    </w:lvl>
  </w:abstractNum>
  <w:abstractNum w:abstractNumId="138">
    <w:nsid w:val="37DF2233"/>
    <w:multiLevelType w:val="hybridMultilevel"/>
    <w:lvl w:ilvl="0">
      <w:lvlJc w:val="left"/>
      <w:lvlText w:val="%1."/>
      <w:numFmt w:val="lowerRoman"/>
      <w:start w:val="4"/>
    </w:lvl>
  </w:abstractNum>
  <w:abstractNum w:abstractNumId="139">
    <w:nsid w:val="7AB49DAF"/>
    <w:multiLevelType w:val="hybridMultilevel"/>
    <w:lvl w:ilvl="0">
      <w:lvlJc w:val="left"/>
      <w:lvlText w:val="%1)"/>
      <w:numFmt w:val="decimal"/>
      <w:start w:val="2"/>
    </w:lvl>
  </w:abstractNum>
  <w:abstractNum w:abstractNumId="140">
    <w:nsid w:val="759F82CD"/>
    <w:multiLevelType w:val="hybridMultilevel"/>
    <w:lvl w:ilvl="0">
      <w:lvlJc w:val="left"/>
      <w:lvlText w:val="%1."/>
      <w:numFmt w:val="decimal"/>
      <w:start w:val="2"/>
    </w:lvl>
  </w:abstractNum>
  <w:abstractNum w:abstractNumId="141">
    <w:nsid w:val="61E74EA3"/>
    <w:multiLevelType w:val="hybridMultilevel"/>
    <w:lvl w:ilvl="0">
      <w:lvlJc w:val="left"/>
      <w:lvlText w:val="%1."/>
      <w:numFmt w:val="decimal"/>
      <w:start w:val="3"/>
    </w:lvl>
  </w:abstractNum>
  <w:abstractNum w:abstractNumId="142">
    <w:nsid w:val="597B4D84"/>
    <w:multiLevelType w:val="hybridMultilevel"/>
    <w:lvl w:ilvl="0">
      <w:lvlJc w:val="left"/>
      <w:lvlText w:val="%1)"/>
      <w:numFmt w:val="decimal"/>
      <w:start w:val="2"/>
    </w:lvl>
  </w:abstractNum>
  <w:abstractNum w:abstractNumId="143">
    <w:nsid w:val="F819E7F"/>
    <w:multiLevelType w:val="hybridMultilevel"/>
    <w:lvl w:ilvl="0">
      <w:lvlJc w:val="left"/>
      <w:lvlText w:val="(%1)"/>
      <w:numFmt w:val="decimal"/>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lvl w:ilvl="1">
      <w:lvlJc w:val="left"/>
      <w:lvlText w:val="%2."/>
      <w:numFmt w:val="lowerLetter"/>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52" Type="http://schemas.openxmlformats.org/officeDocument/2006/relationships/image" Target="media/image125.png"/><Relationship Id="rId169"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236" Type="http://schemas.openxmlformats.org/officeDocument/2006/relationships/image" Target="media/image181.png"/><Relationship Id="rId237" Type="http://schemas.openxmlformats.org/officeDocument/2006/relationships/image" Target="media/image182.png"/><Relationship Id="rId238" Type="http://schemas.openxmlformats.org/officeDocument/2006/relationships/image" Target="media/image183.png"/><Relationship Id="rId239" Type="http://schemas.openxmlformats.org/officeDocument/2006/relationships/image" Target="media/image184.png"/><Relationship Id="rId240" Type="http://schemas.openxmlformats.org/officeDocument/2006/relationships/image" Target="media/image185.png"/><Relationship Id="rId241" Type="http://schemas.openxmlformats.org/officeDocument/2006/relationships/image" Target="media/image186.png"/><Relationship Id="rId242" Type="http://schemas.openxmlformats.org/officeDocument/2006/relationships/image" Target="media/image187.png"/><Relationship Id="rId243" Type="http://schemas.openxmlformats.org/officeDocument/2006/relationships/image" Target="media/image188.png"/><Relationship Id="rId244" Type="http://schemas.openxmlformats.org/officeDocument/2006/relationships/image" Target="media/image189.png"/><Relationship Id="rId245" Type="http://schemas.openxmlformats.org/officeDocument/2006/relationships/image" Target="media/image190.png"/><Relationship Id="rId246" Type="http://schemas.openxmlformats.org/officeDocument/2006/relationships/image" Target="media/image191.png"/><Relationship Id="rId247" Type="http://schemas.openxmlformats.org/officeDocument/2006/relationships/image" Target="media/image192.png"/><Relationship Id="rId248" Type="http://schemas.openxmlformats.org/officeDocument/2006/relationships/image" Target="media/image193.png"/><Relationship Id="rId249" Type="http://schemas.openxmlformats.org/officeDocument/2006/relationships/image" Target="media/image194.png"/><Relationship Id="rId250" Type="http://schemas.openxmlformats.org/officeDocument/2006/relationships/image" Target="media/image195.png"/><Relationship Id="rId251" Type="http://schemas.openxmlformats.org/officeDocument/2006/relationships/image" Target="media/image196.png"/><Relationship Id="rId252" Type="http://schemas.openxmlformats.org/officeDocument/2006/relationships/image" Target="media/image197.png"/><Relationship Id="rId253" Type="http://schemas.openxmlformats.org/officeDocument/2006/relationships/image" Target="media/image198.png"/><Relationship Id="rId254" Type="http://schemas.openxmlformats.org/officeDocument/2006/relationships/image" Target="media/image199.png"/><Relationship Id="rId255" Type="http://schemas.openxmlformats.org/officeDocument/2006/relationships/image" Target="media/image200.png"/><Relationship Id="rId256" Type="http://schemas.openxmlformats.org/officeDocument/2006/relationships/image" Target="media/image201.png"/><Relationship Id="rId257"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jpeg"/><Relationship Id="rId407" Type="http://schemas.openxmlformats.org/officeDocument/2006/relationships/image" Target="media/image352.png"/><Relationship Id="rId408" Type="http://schemas.openxmlformats.org/officeDocument/2006/relationships/image" Target="media/image353.jpeg"/><Relationship Id="rId409" Type="http://schemas.openxmlformats.org/officeDocument/2006/relationships/image" Target="media/image354.png"/><Relationship Id="rId410" Type="http://schemas.openxmlformats.org/officeDocument/2006/relationships/image" Target="media/image355.jpeg"/><Relationship Id="rId411" Type="http://schemas.openxmlformats.org/officeDocument/2006/relationships/image" Target="media/image356.png"/><Relationship Id="rId412" Type="http://schemas.openxmlformats.org/officeDocument/2006/relationships/image" Target="media/image357.jpeg"/><Relationship Id="rId413" Type="http://schemas.openxmlformats.org/officeDocument/2006/relationships/image" Target="media/image358.png"/><Relationship Id="rId414" Type="http://schemas.openxmlformats.org/officeDocument/2006/relationships/image" Target="media/image359.jpeg"/><Relationship Id="rId415" Type="http://schemas.openxmlformats.org/officeDocument/2006/relationships/image" Target="media/image360.png"/><Relationship Id="rId416" Type="http://schemas.openxmlformats.org/officeDocument/2006/relationships/image" Target="media/image361.jpeg"/><Relationship Id="rId417" Type="http://schemas.openxmlformats.org/officeDocument/2006/relationships/image" Target="media/image362.png"/><Relationship Id="rId418" Type="http://schemas.openxmlformats.org/officeDocument/2006/relationships/image" Target="media/image363.jpeg"/><Relationship Id="rId419" Type="http://schemas.openxmlformats.org/officeDocument/2006/relationships/image" Target="media/image364.png"/><Relationship Id="rId420" Type="http://schemas.openxmlformats.org/officeDocument/2006/relationships/image" Target="media/image365.jpeg"/><Relationship Id="rId421" Type="http://schemas.openxmlformats.org/officeDocument/2006/relationships/image" Target="media/image366.png"/><Relationship Id="rId422" Type="http://schemas.openxmlformats.org/officeDocument/2006/relationships/image" Target="media/image367.jpeg"/><Relationship Id="rId423" Type="http://schemas.openxmlformats.org/officeDocument/2006/relationships/image" Target="media/image368.jpe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jpe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jpe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jpe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jpe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jpe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jpe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8" Type="http://schemas.openxmlformats.org/officeDocument/2006/relationships/image" Target="media/image443.jpeg"/><Relationship Id="rId499" Type="http://schemas.openxmlformats.org/officeDocument/2006/relationships/image" Target="media/image444.png"/><Relationship Id="rId500" Type="http://schemas.openxmlformats.org/officeDocument/2006/relationships/image" Target="media/image445.png"/><Relationship Id="rId501" Type="http://schemas.openxmlformats.org/officeDocument/2006/relationships/image" Target="media/image446.jpeg"/><Relationship Id="rId502" Type="http://schemas.openxmlformats.org/officeDocument/2006/relationships/image" Target="media/image447.png"/><Relationship Id="rId503" Type="http://schemas.openxmlformats.org/officeDocument/2006/relationships/image" Target="media/image448.png"/><Relationship Id="rId504" Type="http://schemas.openxmlformats.org/officeDocument/2006/relationships/image" Target="media/image449.jpeg"/><Relationship Id="rId505" Type="http://schemas.openxmlformats.org/officeDocument/2006/relationships/image" Target="media/image450.png"/><Relationship Id="rId506" Type="http://schemas.openxmlformats.org/officeDocument/2006/relationships/image" Target="media/image451.png"/><Relationship Id="rId507" Type="http://schemas.openxmlformats.org/officeDocument/2006/relationships/image" Target="media/image452.jpeg"/><Relationship Id="rId508" Type="http://schemas.openxmlformats.org/officeDocument/2006/relationships/image" Target="media/image453.png"/><Relationship Id="rId509" Type="http://schemas.openxmlformats.org/officeDocument/2006/relationships/image" Target="media/image454.png"/><Relationship Id="rId510" Type="http://schemas.openxmlformats.org/officeDocument/2006/relationships/image" Target="media/image455.jpeg"/><Relationship Id="rId511" Type="http://schemas.openxmlformats.org/officeDocument/2006/relationships/image" Target="media/image456.png"/><Relationship Id="rId512" Type="http://schemas.openxmlformats.org/officeDocument/2006/relationships/image" Target="media/image457.png"/><Relationship Id="rId513" Type="http://schemas.openxmlformats.org/officeDocument/2006/relationships/image" Target="media/image458.jpeg"/><Relationship Id="rId514" Type="http://schemas.openxmlformats.org/officeDocument/2006/relationships/image" Target="media/image459.png"/><Relationship Id="rId515" Type="http://schemas.openxmlformats.org/officeDocument/2006/relationships/image" Target="media/image460.png"/><Relationship Id="rId516" Type="http://schemas.openxmlformats.org/officeDocument/2006/relationships/image" Target="media/image461.jpeg"/><Relationship Id="rId517" Type="http://schemas.openxmlformats.org/officeDocument/2006/relationships/image" Target="media/image462.png"/><Relationship Id="rId518" Type="http://schemas.openxmlformats.org/officeDocument/2006/relationships/image" Target="media/image463.png"/><Relationship Id="rId519" Type="http://schemas.openxmlformats.org/officeDocument/2006/relationships/image" Target="media/image464.jpeg"/><Relationship Id="rId520" Type="http://schemas.openxmlformats.org/officeDocument/2006/relationships/image" Target="media/image465.png"/><Relationship Id="rId521" Type="http://schemas.openxmlformats.org/officeDocument/2006/relationships/image" Target="media/image466.png"/><Relationship Id="rId522" Type="http://schemas.openxmlformats.org/officeDocument/2006/relationships/image" Target="media/image467.jpeg"/><Relationship Id="rId523" Type="http://schemas.openxmlformats.org/officeDocument/2006/relationships/image" Target="media/image468.png"/><Relationship Id="rId524" Type="http://schemas.openxmlformats.org/officeDocument/2006/relationships/image" Target="media/image469.png"/><Relationship Id="rId525" Type="http://schemas.openxmlformats.org/officeDocument/2006/relationships/image" Target="media/image470.jpeg"/><Relationship Id="rId526" Type="http://schemas.openxmlformats.org/officeDocument/2006/relationships/image" Target="media/image471.png"/><Relationship Id="rId527" Type="http://schemas.openxmlformats.org/officeDocument/2006/relationships/image" Target="media/image472.png"/><Relationship Id="rId528" Type="http://schemas.openxmlformats.org/officeDocument/2006/relationships/image" Target="media/image473.jpeg"/><Relationship Id="rId529" Type="http://schemas.openxmlformats.org/officeDocument/2006/relationships/image" Target="media/image474.png"/><Relationship Id="rId530" Type="http://schemas.openxmlformats.org/officeDocument/2006/relationships/image" Target="media/image475.png"/><Relationship Id="rId531" Type="http://schemas.openxmlformats.org/officeDocument/2006/relationships/image" Target="media/image476.jpeg"/><Relationship Id="rId532" Type="http://schemas.openxmlformats.org/officeDocument/2006/relationships/image" Target="media/image477.png"/><Relationship Id="rId533" Type="http://schemas.openxmlformats.org/officeDocument/2006/relationships/image" Target="media/image478.png"/><Relationship Id="rId534" Type="http://schemas.openxmlformats.org/officeDocument/2006/relationships/image" Target="media/image479.jpeg"/><Relationship Id="rId535" Type="http://schemas.openxmlformats.org/officeDocument/2006/relationships/image" Target="media/image480.png"/><Relationship Id="rId536" Type="http://schemas.openxmlformats.org/officeDocument/2006/relationships/image" Target="media/image481.png"/><Relationship Id="rId537" Type="http://schemas.openxmlformats.org/officeDocument/2006/relationships/image" Target="media/image482.png"/><Relationship Id="rId538" Type="http://schemas.openxmlformats.org/officeDocument/2006/relationships/image" Target="media/image483.jpeg"/><Relationship Id="rId539" Type="http://schemas.openxmlformats.org/officeDocument/2006/relationships/image" Target="media/image484.png"/><Relationship Id="rId540" Type="http://schemas.openxmlformats.org/officeDocument/2006/relationships/image" Target="media/image485.png"/><Relationship Id="rId541" Type="http://schemas.openxmlformats.org/officeDocument/2006/relationships/image" Target="media/image486.jpeg"/><Relationship Id="rId542" Type="http://schemas.openxmlformats.org/officeDocument/2006/relationships/image" Target="media/image487.png"/><Relationship Id="rId543" Type="http://schemas.openxmlformats.org/officeDocument/2006/relationships/image" Target="media/image488.png"/><Relationship Id="rId544" Type="http://schemas.openxmlformats.org/officeDocument/2006/relationships/image" Target="media/image489.png"/><Relationship Id="rId545" Type="http://schemas.openxmlformats.org/officeDocument/2006/relationships/image" Target="media/image490.png"/><Relationship Id="rId546" Type="http://schemas.openxmlformats.org/officeDocument/2006/relationships/image" Target="media/image491.png"/><Relationship Id="rId547" Type="http://schemas.openxmlformats.org/officeDocument/2006/relationships/image" Target="media/image492.png"/><Relationship Id="rId548" Type="http://schemas.openxmlformats.org/officeDocument/2006/relationships/image" Target="media/image493.pn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png"/><Relationship Id="rId552" Type="http://schemas.openxmlformats.org/officeDocument/2006/relationships/image" Target="media/image497.png"/><Relationship Id="rId109" Type="http://schemas.openxmlformats.org/officeDocument/2006/relationships/hyperlink" Target="https://www.sec.gov/ix?doc=/Archives/edgar/data/0000897448/000095017022002401/amrn-20211231.htm" TargetMode="External"/><Relationship Id="rId133" Type="http://schemas.openxmlformats.org/officeDocument/2006/relationships/hyperlink" Target="https://www.sec.gov/Archives/edgar/data/0000897448/000119312513326829/d543388dex31.htm" TargetMode="External"/><Relationship Id="rId134" Type="http://schemas.openxmlformats.org/officeDocument/2006/relationships/hyperlink" Target="https://www.sec.gov/Archives/edgar/data/897448/000119312512089181/d264858dex41.htm" TargetMode="External"/><Relationship Id="rId135" Type="http://schemas.openxmlformats.org/officeDocument/2006/relationships/hyperlink" Target="https://www.sec.gov/Archives/edgar/data/897448/000115697303000610/u46086exv2w4.txt" TargetMode="External"/><Relationship Id="rId136" Type="http://schemas.openxmlformats.org/officeDocument/2006/relationships/hyperlink" Target="https://www.sec.gov/Archives/edgar/data/897448/000119312512089181/d264858dex44.htm" TargetMode="External"/><Relationship Id="rId137" Type="http://schemas.openxmlformats.org/officeDocument/2006/relationships/hyperlink" Target="https://www.sec.gov/Archives/edgar/data/0000897448/000156459020006390/amrn-ex47_320.htm" TargetMode="External"/><Relationship Id="rId138" Type="http://schemas.openxmlformats.org/officeDocument/2006/relationships/hyperlink" Target="https://www.sec.gov/Archives/edgar/data/897448/000115697307000341/u51347exv4w17.htm" TargetMode="External"/><Relationship Id="rId139" Type="http://schemas.openxmlformats.org/officeDocument/2006/relationships/hyperlink" Target="https://www.sec.gov/Archives/edgar/data/897448/000119312511216699/dex104.htm" TargetMode="External"/><Relationship Id="rId140" Type="http://schemas.openxmlformats.org/officeDocument/2006/relationships/hyperlink" Target="https://www.sec.gov/Archives/edgar/data/897448/000119312512344051/d361109dex101.htm" TargetMode="External"/><Relationship Id="rId141" Type="http://schemas.openxmlformats.org/officeDocument/2006/relationships/hyperlink" Target="https://www.sec.gov/Archives/edgar/data/897448/000119312512344051/d361109dex102.htm" TargetMode="External"/><Relationship Id="rId142" Type="http://schemas.openxmlformats.org/officeDocument/2006/relationships/hyperlink" Target="https://www.sec.gov/Archives/edgar/data/897448/000119312513084191/d456797dex105.htm" TargetMode="External"/><Relationship Id="rId143" Type="http://schemas.openxmlformats.org/officeDocument/2006/relationships/hyperlink" Target="https://www.sec.gov/Archives/edgar/data/897448/000119312515280984/d945909dex41.htm" TargetMode="External"/><Relationship Id="rId144" Type="http://schemas.openxmlformats.org/officeDocument/2006/relationships/hyperlink" Target="https://www.sec.gov/Archives/edgar/data/897448/000119312515280984/d945909dex42.htm" TargetMode="External"/><Relationship Id="rId145" Type="http://schemas.openxmlformats.org/officeDocument/2006/relationships/hyperlink" Target="https://www.sec.gov/Archives/edgar/data/0000897448/000156459017014760/amrn-ex41_111.htm" TargetMode="External"/><Relationship Id="rId146" Type="http://schemas.openxmlformats.org/officeDocument/2006/relationships/hyperlink" Target="https://www.sec.gov/Archives/edgar/data/897448/000119312511068866/dex1044.htm" TargetMode="External"/><Relationship Id="rId147" Type="http://schemas.openxmlformats.org/officeDocument/2006/relationships/hyperlink" Target="https://www.sec.gov/Archives/edgar/data/897448/000119312512089181/d264858dex103.htm" TargetMode="External"/><Relationship Id="rId148" Type="http://schemas.openxmlformats.org/officeDocument/2006/relationships/hyperlink" Target="https://www.sec.gov/Archives/edgar/data/897448/000119312512089181/d264858dex104.htm" TargetMode="External"/><Relationship Id="rId149" Type="http://schemas.openxmlformats.org/officeDocument/2006/relationships/hyperlink" Target="https://www.sec.gov/Archives/edgar/data/897448/000119312512089181/d264858dex105.htm" TargetMode="External"/><Relationship Id="rId150" Type="http://schemas.openxmlformats.org/officeDocument/2006/relationships/hyperlink" Target="https://www.sec.gov/Archives/edgar/data/0000897448/000156459018003389/amrn-ex1064_140.htm" TargetMode="External"/><Relationship Id="rId151" Type="http://schemas.openxmlformats.org/officeDocument/2006/relationships/hyperlink" Target="https://www.sec.gov/Archives/edgar/data/0000897448/000119312520192691/d948092dex101.htm" TargetMode="External"/><Relationship Id="rId153" Type="http://schemas.openxmlformats.org/officeDocument/2006/relationships/hyperlink" Target="https://www.sec.gov/Archives/edgar/data/897448/000119312522186302/d351980dex102.htm" TargetMode="External"/><Relationship Id="rId154" Type="http://schemas.openxmlformats.org/officeDocument/2006/relationships/hyperlink" Target="https://www.sec.gov/Archives/edgar/data/0000897448/000156459020050798/amrn-ex102_243.htm" TargetMode="External"/><Relationship Id="rId155" Type="http://schemas.openxmlformats.org/officeDocument/2006/relationships/hyperlink" Target="https://www.sec.gov/Archives/edgar/data/0000897448/000156459020050798/amrn-ex103_244.htm" TargetMode="External"/><Relationship Id="rId156" Type="http://schemas.openxmlformats.org/officeDocument/2006/relationships/hyperlink" Target="https://www.sec.gov/Archives/edgar/data/897448/000095017022014008/amrn-ex10_3.htm" TargetMode="External"/><Relationship Id="rId157" Type="http://schemas.openxmlformats.org/officeDocument/2006/relationships/hyperlink" Target="https://www.sec.gov/Archives/edgar/data/0000897448/000156459020050798/amrn-ex105_246.htm" TargetMode="External"/><Relationship Id="rId158" Type="http://schemas.openxmlformats.org/officeDocument/2006/relationships/hyperlink" Target="https://www.sec.gov/Archives/edgar/data/897448/000095017022014008/amrn-ex10_2.htm" TargetMode="External"/><Relationship Id="rId159" Type="http://schemas.openxmlformats.org/officeDocument/2006/relationships/hyperlink" Target="https://www.sec.gov/Archives/edgar/data/0000897448/000119312521022781/d121208dex101.htm" TargetMode="External"/><Relationship Id="rId160" Type="http://schemas.openxmlformats.org/officeDocument/2006/relationships/hyperlink" Target="https://www.sec.gov/Archives/edgar/data/0000897448/000156459021021572/amrn-ex104_333.htm" TargetMode="External"/><Relationship Id="rId161" Type="http://schemas.openxmlformats.org/officeDocument/2006/relationships/hyperlink" Target="https://www.sec.gov/Archives/edgar/data/0000897448/000095017021002721/amrn-ex10_1.htm" TargetMode="External"/><Relationship Id="rId162" Type="http://schemas.openxmlformats.org/officeDocument/2006/relationships/hyperlink" Target="https://www.sec.gov/Archives/edgar/data/897448/000119312512064391/d302169dex101.htm" TargetMode="External"/><Relationship Id="rId163" Type="http://schemas.openxmlformats.org/officeDocument/2006/relationships/hyperlink" Target="https://www.sec.gov/Archives/edgar/data/897448/000119312515280984/d945909dex102.htm" TargetMode="External"/><Relationship Id="rId164" Type="http://schemas.openxmlformats.org/officeDocument/2006/relationships/hyperlink" Target="https://www.sec.gov/Archives/edgar/data/897448/000119312512119766/d317347dex42.htm" TargetMode="External"/><Relationship Id="rId165" Type="http://schemas.openxmlformats.org/officeDocument/2006/relationships/hyperlink" Target="https://www.sec.gov/Archives/edgar/data/897448/000119312516638222/d217819dex101.htm" TargetMode="External"/><Relationship Id="rId166" Type="http://schemas.openxmlformats.org/officeDocument/2006/relationships/hyperlink" Target="https://www.sec.gov/Archives/edgar/data/0000897448/000156459019014555/amrn-ex101_224.htm" TargetMode="External"/><Relationship Id="rId167" Type="http://schemas.openxmlformats.org/officeDocument/2006/relationships/hyperlink" Target="https://www.sec.gov/Archives/edgar/data/897448/000095017022014008/amrn-ex10_4.htm" TargetMode="External"/><Relationship Id="rId168" Type="http://schemas.openxmlformats.org/officeDocument/2006/relationships/hyperlink" Target="https://www.sec.gov/Archives/edgar/data/897448/000095017022014008/amrn-ex10_5.htm" TargetMode="External"/><Relationship Id="rId170" Type="http://schemas.openxmlformats.org/officeDocument/2006/relationships/hyperlink" Target="https://www.sec.gov/Archives/edgar/data/897448/000095017022002401/amrn-ex10_35.htm" TargetMode="External"/><Relationship Id="rId171" Type="http://schemas.openxmlformats.org/officeDocument/2006/relationships/hyperlink" Target="https://www.sec.gov/Archives/edgar/data/897448/000095017022002401/amrn-ex10_36.htm" TargetMode="External"/><Relationship Id="rId172" Type="http://schemas.openxmlformats.org/officeDocument/2006/relationships/hyperlink" Target="https://www.sec.gov/Archives/edgar/data/897448/000095017022002401/amrn-ex10_37.htm" TargetMode="External"/><Relationship Id="rId173" Type="http://schemas.openxmlformats.org/officeDocument/2006/relationships/hyperlink" Target="https://www.sec.gov/Archives/edgar/data/897448/000095017022002401/amrn-ex10_38.htm" TargetMode="External"/><Relationship Id="rId174" Type="http://schemas.openxmlformats.org/officeDocument/2006/relationships/hyperlink" Target="https://www.sec.gov/Archives/edgar/data/0000897448/000156459018003389/amrn-ex1066_210.htm" TargetMode="External"/><Relationship Id="rId175" Type="http://schemas.openxmlformats.org/officeDocument/2006/relationships/hyperlink" Target="https://www.sec.gov/Archives/edgar/data/897448/000119312514191000/d708097dex101.htm" TargetMode="External"/><Relationship Id="rId176" Type="http://schemas.openxmlformats.org/officeDocument/2006/relationships/hyperlink" Target="https://www.sec.gov/Archives/edgar/data/0000897448/000156459017014760/amrn-ex101_312.htm" TargetMode="External"/><Relationship Id="rId177" Type="http://schemas.openxmlformats.org/officeDocument/2006/relationships/hyperlink" Target="https://www.sec.gov/Archives/edgar/data/897448/000119312515178199/d911115dex101.htm" TargetMode="External"/><Relationship Id="rId178" Type="http://schemas.openxmlformats.org/officeDocument/2006/relationships/hyperlink" Target="https://www.sec.gov/Archives/edgar/data/0000897448/000156459018003389/amrn-ex1067_469.htm" TargetMode="External"/><Relationship Id="rId179" Type="http://schemas.openxmlformats.org/officeDocument/2006/relationships/hyperlink" Target="https://www.sec.gov/Archives/edgar/data/0000897448/000156459018003389/amrn-ex1068_470.htm" TargetMode="External"/><Relationship Id="rId180" Type="http://schemas.openxmlformats.org/officeDocument/2006/relationships/hyperlink" Target="https://www.sec.gov/Archives/edgar/data/0000897448/000156459019004655/amrn-ex1069_187.htm" TargetMode="External"/><Relationship Id="rId181" Type="http://schemas.openxmlformats.org/officeDocument/2006/relationships/hyperlink" Target="https://www.sec.gov/Archives/edgar/data/897448/000095017022002401/amrn-ex10_5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2023-03-01T08:07:07Z</dcterms:created>
  <dcterms:modified xsi:type="dcterms:W3CDTF">2023-03-01T08:07:07Z</dcterms:modified>
</cp:coreProperties>
</file>