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95"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52"/>
        <w:spacing w:after="0" w:line="192" w:lineRule="auto"/>
        <w:tabs>
          <w:tab w:leader="none" w:pos="460" w:val="left"/>
        </w:tabs>
        <w:numPr>
          <w:ilvl w:val="0"/>
          <w:numId w:val="2"/>
        </w:numPr>
        <w:rPr>
          <w:rFonts w:ascii="MS PGothic" w:cs="MS PGothic" w:eastAsia="MS PGothic" w:hAnsi="MS PGothic"/>
          <w:sz w:val="10"/>
          <w:szCs w:val="10"/>
          <w:color w:val="auto"/>
        </w:rPr>
      </w:pPr>
      <w:r>
        <w:rPr>
          <w:rFonts w:ascii="Times New Roman" w:cs="Times New Roman" w:eastAsia="Times New Roman" w:hAnsi="Times New Roman"/>
          <w:sz w:val="10"/>
          <w:szCs w:val="10"/>
          <w:b w:val="1"/>
          <w:bCs w:val="1"/>
          <w:color w:val="auto"/>
        </w:rPr>
        <w:t>TRANSITION REPORT PURSUANT TO SECTION 13 OR 15(d) OF THE SECURITIES EXCHANGE ACT OF 1934</w:t>
      </w:r>
    </w:p>
    <w:p>
      <w:pPr>
        <w:spacing w:after="0" w:line="255" w:lineRule="exact"/>
        <w:rPr>
          <w:sz w:val="24"/>
          <w:szCs w:val="24"/>
          <w:color w:val="auto"/>
        </w:rPr>
      </w:pPr>
    </w:p>
    <w:p>
      <w:pPr>
        <w:ind w:left="46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0-21392</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-306705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1"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88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England and Wales</w:t>
            </w:r>
          </w:p>
        </w:tc>
        <w:tc>
          <w:tcPr>
            <w:tcW w:w="2260" w:type="dxa"/>
            <w:vAlign w:val="bottom"/>
            <w:gridSpan w:val="2"/>
          </w:tcPr>
          <w:p>
            <w:pPr>
              <w:jc w:val="center"/>
              <w:ind w:left="484"/>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880" w:type="dxa"/>
            <w:vAlign w:val="bottom"/>
            <w:gridSpan w:val="5"/>
          </w:tcPr>
          <w:p>
            <w:pPr>
              <w:jc w:val="center"/>
              <w:ind w:right="18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2260" w:type="dxa"/>
            <w:vAlign w:val="bottom"/>
            <w:gridSpan w:val="2"/>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80" w:type="dxa"/>
            <w:vAlign w:val="bottom"/>
            <w:gridSpan w:val="5"/>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2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2 Pembroke House</w:t>
            </w:r>
          </w:p>
        </w:tc>
        <w:tc>
          <w:tcPr>
            <w:tcW w:w="1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Times New Roman" w:cs="Times New Roman" w:eastAsia="Times New Roman" w:hAnsi="Times New Roman"/>
                <w:sz w:val="18"/>
                <w:szCs w:val="18"/>
                <w:b w:val="1"/>
                <w:bCs w:val="1"/>
                <w:color w:val="auto"/>
                <w:w w:val="97"/>
              </w:rPr>
              <w:t>Upper Pembroke Street 28-32, Dublin 2, Ireland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6"/>
              </w:rPr>
              <w:t>(Address of principal executive offices)</w:t>
            </w: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40" w:type="dxa"/>
            <w:vAlign w:val="bottom"/>
            <w:gridSpan w:val="4"/>
          </w:tcPr>
          <w:p>
            <w:pPr>
              <w:jc w:val="center"/>
              <w:ind w:left="4097"/>
              <w:spacing w:after="0"/>
              <w:rPr>
                <w:sz w:val="20"/>
                <w:szCs w:val="20"/>
                <w:color w:val="auto"/>
              </w:rPr>
            </w:pPr>
            <w:r>
              <w:rPr>
                <w:rFonts w:ascii="Times New Roman" w:cs="Times New Roman" w:eastAsia="Times New Roman" w:hAnsi="Times New Roman"/>
                <w:sz w:val="18"/>
                <w:szCs w:val="18"/>
                <w:b w:val="1"/>
                <w:bCs w:val="1"/>
                <w:color w:val="auto"/>
                <w:w w:val="97"/>
              </w:rPr>
              <w:t>+353 (0) 1 6699 020</w:t>
            </w: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80" w:type="dxa"/>
            <w:vAlign w:val="bottom"/>
            <w:gridSpan w:val="3"/>
          </w:tcPr>
          <w:p>
            <w:pPr>
              <w:jc w:val="center"/>
              <w:ind w:left="636"/>
              <w:spacing w:after="0"/>
              <w:rPr>
                <w:sz w:val="20"/>
                <w:szCs w:val="20"/>
                <w:color w:val="auto"/>
              </w:rPr>
            </w:pPr>
            <w:r>
              <w:rPr>
                <w:rFonts w:ascii="Times New Roman" w:cs="Times New Roman" w:eastAsia="Times New Roman" w:hAnsi="Times New Roman"/>
                <w:sz w:val="14"/>
                <w:szCs w:val="14"/>
                <w:color w:val="auto"/>
                <w:w w:val="96"/>
              </w:rPr>
              <w:t>(Registrant’s telephone number, including area code)</w:t>
            </w: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724"/>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3780" w:type="dxa"/>
            <w:vAlign w:val="bottom"/>
            <w:gridSpan w:val="3"/>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80" w:type="dxa"/>
            <w:vAlign w:val="bottom"/>
            <w:gridSpan w:val="5"/>
          </w:tcPr>
          <w:p>
            <w:pPr>
              <w:jc w:val="center"/>
              <w:ind w:right="1800"/>
              <w:spacing w:after="0" w:line="195" w:lineRule="exact"/>
              <w:rPr>
                <w:sz w:val="20"/>
                <w:szCs w:val="20"/>
                <w:color w:val="auto"/>
              </w:rPr>
            </w:pPr>
            <w:r>
              <w:rPr>
                <w:rFonts w:ascii="Times New Roman" w:cs="Times New Roman" w:eastAsia="Times New Roman" w:hAnsi="Times New Roman"/>
                <w:sz w:val="18"/>
                <w:szCs w:val="18"/>
                <w:color w:val="auto"/>
                <w:w w:val="97"/>
              </w:rPr>
              <w:t>American Depositary Shares, each representing one Ordinary Share</w:t>
            </w: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8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color w:val="auto"/>
                <w:w w:val="97"/>
              </w:rPr>
              <w:t>Ordinary Shares, 50 pence par value per share</w:t>
            </w: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The NASDAQ Stock Market LLC</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704"/>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4160" w:type="dxa"/>
            <w:vAlign w:val="bottom"/>
            <w:gridSpan w:val="3"/>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860" w:type="dxa"/>
            <w:vAlign w:val="bottom"/>
            <w:gridSpan w:val="2"/>
          </w:tcPr>
          <w:p>
            <w:pPr>
              <w:spacing w:after="0"/>
              <w:rPr>
                <w:sz w:val="9"/>
                <w:szCs w:val="9"/>
                <w:color w:val="auto"/>
              </w:rPr>
            </w:pPr>
          </w:p>
        </w:tc>
        <w:tc>
          <w:tcPr>
            <w:tcW w:w="7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6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74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7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9"/>
              </w:rPr>
              <w:t xml:space="preserve">YES </w:t>
            </w:r>
            <w:r>
              <w:rPr>
                <w:rFonts w:ascii="MS PGothic" w:cs="MS PGothic" w:eastAsia="MS PGothic" w:hAnsi="MS PGothic"/>
                <w:sz w:val="18"/>
                <w:szCs w:val="18"/>
                <w:color w:val="auto"/>
                <w:w w:val="99"/>
              </w:rPr>
              <w:t>☐</w:t>
            </w:r>
          </w:p>
        </w:tc>
        <w:tc>
          <w:tcPr>
            <w:tcW w:w="66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right="40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60" w:firstLine="342"/>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500"/>
            <w:col w:w="6360" w:space="720"/>
            <w:col w:w="1380" w:space="720"/>
            <w:col w:w="160"/>
          </w:cols>
          <w:pgMar w:left="240" w:top="226"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580"/>
            <w:col w:w="160" w:space="40"/>
            <w:col w:w="6240" w:space="720"/>
            <w:col w:w="1940" w:space="80"/>
            <w:col w:w="160"/>
          </w:cols>
          <w:pgMar w:left="240" w:top="226" w:right="23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320" w:space="180"/>
            <w:col w:w="320" w:space="100"/>
            <w:col w:w="160" w:space="180"/>
            <w:col w:w="240" w:space="100"/>
            <w:col w:w="1820"/>
          </w:cols>
          <w:pgMar w:left="240" w:top="226" w:right="239" w:bottom="1440" w:gutter="0" w:footer="0" w:header="0"/>
          <w:type w:val="continuous"/>
        </w:sectPr>
      </w:pPr>
    </w:p>
    <w:p>
      <w:pPr>
        <w:ind w:right="440" w:firstLine="342"/>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2016 was approximately $381.8 million, based upon the closing price on the NASDAQ Capital Market reported for such date.</w:t>
      </w:r>
    </w:p>
    <w:p>
      <w:pPr>
        <w:spacing w:after="0" w:line="12" w:lineRule="exact"/>
        <w:rPr>
          <w:sz w:val="24"/>
          <w:szCs w:val="24"/>
          <w:color w:val="auto"/>
        </w:rPr>
      </w:pPr>
    </w:p>
    <w:p>
      <w:pPr>
        <w:ind w:right="80" w:firstLine="342"/>
        <w:spacing w:after="0" w:line="258" w:lineRule="auto"/>
        <w:rPr>
          <w:sz w:val="20"/>
          <w:szCs w:val="20"/>
          <w:color w:val="auto"/>
        </w:rPr>
      </w:pPr>
      <w:r>
        <w:rPr>
          <w:rFonts w:ascii="Times New Roman" w:cs="Times New Roman" w:eastAsia="Times New Roman" w:hAnsi="Times New Roman"/>
          <w:sz w:val="18"/>
          <w:szCs w:val="18"/>
          <w:color w:val="auto"/>
        </w:rPr>
        <w:t>272,061,557 shares were outstanding as of February 20, 2017, including 269,369,455 shares held as American Depositary Shares (ADSs), each representing one Ordinary Share, 50 pence par value per share and 2,692,102 Ordinary Shares. In addition, 32,818,464 ordinary share equivalents were issuable in exchange for outstanding preferred shares as of February 20, 2017, for a total of 304,880,021 ordinary shares and ordinary share equivalents outstanding as of February 20, 2017.</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5" w:lineRule="exact"/>
        <w:rPr>
          <w:sz w:val="24"/>
          <w:szCs w:val="24"/>
          <w:color w:val="auto"/>
        </w:rPr>
      </w:pPr>
    </w:p>
    <w:p>
      <w:pPr>
        <w:ind w:right="160" w:firstLine="342"/>
        <w:spacing w:after="0" w:line="275" w:lineRule="auto"/>
        <w:rPr>
          <w:sz w:val="20"/>
          <w:szCs w:val="20"/>
          <w:color w:val="auto"/>
        </w:rPr>
      </w:pPr>
      <w:r>
        <w:rPr>
          <w:rFonts w:ascii="Times New Roman" w:cs="Times New Roman" w:eastAsia="Times New Roman" w:hAnsi="Times New Roman"/>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16"/>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r>
      <w:tr>
        <w:trPr>
          <w:trHeight w:val="353"/>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4"/>
        </w:trPr>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180" w:type="dxa"/>
            <w:vAlign w:val="bottom"/>
            <w:gridSpan w:val="10"/>
          </w:tcPr>
          <w:p>
            <w:pPr>
              <w:jc w:val="center"/>
              <w:ind w:right="4620"/>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400" w:type="dxa"/>
            <w:vAlign w:val="bottom"/>
          </w:tcPr>
          <w:p>
            <w:pPr>
              <w:spacing w:after="0"/>
              <w:rPr>
                <w:sz w:val="22"/>
                <w:szCs w:val="22"/>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4">
              <w:r>
                <w:rPr>
                  <w:rFonts w:ascii="Times New Roman" w:cs="Times New Roman" w:eastAsia="Times New Roman" w:hAnsi="Times New Roman"/>
                  <w:sz w:val="18"/>
                  <w:szCs w:val="18"/>
                  <w:color w:val="0000EE"/>
                  <w:w w:val="93"/>
                </w:rPr>
                <w:t>Business</w:t>
              </w:r>
            </w:hyperlink>
          </w:p>
        </w:tc>
        <w:tc>
          <w:tcPr>
            <w:tcW w:w="3880" w:type="dxa"/>
            <w:vAlign w:val="bottom"/>
            <w:gridSpan w:val="18"/>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Risk Factors</w:t>
              </w:r>
            </w:hyperlink>
          </w:p>
        </w:tc>
        <w:tc>
          <w:tcPr>
            <w:tcW w:w="8800" w:type="dxa"/>
            <w:vAlign w:val="bottom"/>
            <w:gridSpan w:val="2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70">
              <w:r>
                <w:rPr>
                  <w:rFonts w:ascii="Times New Roman" w:cs="Times New Roman" w:eastAsia="Times New Roman" w:hAnsi="Times New Roman"/>
                  <w:sz w:val="18"/>
                  <w:szCs w:val="18"/>
                  <w:color w:val="0000EE"/>
                  <w:w w:val="96"/>
                </w:rPr>
                <w:t>Unresolved Staff Comments</w:t>
              </w:r>
            </w:hyperlink>
          </w:p>
        </w:tc>
        <w:tc>
          <w:tcPr>
            <w:tcW w:w="768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Properties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71">
              <w:r>
                <w:rPr>
                  <w:rFonts w:ascii="Times New Roman" w:cs="Times New Roman" w:eastAsia="Times New Roman" w:hAnsi="Times New Roman"/>
                  <w:sz w:val="18"/>
                  <w:szCs w:val="18"/>
                  <w:color w:val="0000EE"/>
                  <w:w w:val="95"/>
                </w:rPr>
                <w:t>Legal Proceedings</w:t>
              </w:r>
            </w:hyperlink>
          </w:p>
        </w:tc>
        <w:tc>
          <w:tcPr>
            <w:tcW w:w="8380" w:type="dxa"/>
            <w:vAlign w:val="bottom"/>
            <w:gridSpan w:val="2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1"/>
          </w:tcPr>
          <w:p>
            <w:pPr>
              <w:jc w:val="center"/>
              <w:ind w:right="4580"/>
              <w:spacing w:after="0"/>
              <w:rPr>
                <w:rFonts w:ascii="Times New Roman" w:cs="Times New Roman" w:eastAsia="Times New Roman" w:hAnsi="Times New Roman"/>
                <w:sz w:val="18"/>
                <w:szCs w:val="18"/>
                <w:b w:val="1"/>
                <w:bCs w:val="1"/>
                <w:color w:val="0000EE"/>
                <w:w w:val="94"/>
              </w:rPr>
            </w:pPr>
            <w:hyperlink w:anchor="page73">
              <w:r>
                <w:rPr>
                  <w:rFonts w:ascii="Times New Roman" w:cs="Times New Roman" w:eastAsia="Times New Roman" w:hAnsi="Times New Roman"/>
                  <w:sz w:val="18"/>
                  <w:szCs w:val="18"/>
                  <w:b w:val="1"/>
                  <w:bCs w:val="1"/>
                  <w:color w:val="0000EE"/>
                  <w:w w:val="94"/>
                </w:rPr>
                <w:t>PART II</w:t>
              </w:r>
            </w:hyperlink>
          </w:p>
        </w:tc>
        <w:tc>
          <w:tcPr>
            <w:tcW w:w="40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7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3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Quantitative and Qualitative Disclosures about Market Risk</w:t>
              </w:r>
            </w:hyperlink>
          </w:p>
        </w:tc>
        <w:tc>
          <w:tcPr>
            <w:tcW w:w="54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7"/>
              </w:rPr>
            </w:pPr>
            <w:hyperlink w:anchor="page109">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33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Other Information</w:t>
              </w:r>
            </w:hyperlink>
          </w:p>
        </w:tc>
        <w:tc>
          <w:tcPr>
            <w:tcW w:w="796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Times New Roman" w:cs="Times New Roman" w:eastAsia="Times New Roman" w:hAnsi="Times New Roman"/>
                <w:sz w:val="18"/>
                <w:szCs w:val="18"/>
                <w:b w:val="1"/>
                <w:bCs w:val="1"/>
                <w:color w:val="0000EE"/>
                <w:w w:val="96"/>
              </w:rPr>
            </w:pPr>
            <w:hyperlink w:anchor="page113">
              <w:r>
                <w:rPr>
                  <w:rFonts w:ascii="Times New Roman" w:cs="Times New Roman" w:eastAsia="Times New Roman" w:hAnsi="Times New Roman"/>
                  <w:sz w:val="18"/>
                  <w:szCs w:val="18"/>
                  <w:b w:val="1"/>
                  <w:bCs w:val="1"/>
                  <w:color w:val="0000EE"/>
                  <w:w w:val="96"/>
                </w:rPr>
                <w:t>PART III</w:t>
              </w:r>
            </w:hyperlink>
          </w:p>
        </w:tc>
        <w:tc>
          <w:tcPr>
            <w:tcW w:w="45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113">
              <w:r>
                <w:rPr>
                  <w:rFonts w:ascii="Times New Roman" w:cs="Times New Roman" w:eastAsia="Times New Roman" w:hAnsi="Times New Roman"/>
                  <w:sz w:val="18"/>
                  <w:szCs w:val="18"/>
                  <w:color w:val="0000EE"/>
                  <w:w w:val="96"/>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7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w:anchor="page113">
              <w:r>
                <w:rPr>
                  <w:rFonts w:ascii="Times New Roman" w:cs="Times New Roman" w:eastAsia="Times New Roman" w:hAnsi="Times New Roman"/>
                  <w:sz w:val="18"/>
                  <w:szCs w:val="18"/>
                  <w:color w:val="0000EE"/>
                  <w:w w:val="9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Principal Accountant Fees and Services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3"/>
          </w:tcPr>
          <w:p>
            <w:pPr>
              <w:jc w:val="center"/>
              <w:ind w:right="4520"/>
              <w:spacing w:after="0"/>
              <w:rPr>
                <w:rFonts w:ascii="Times New Roman" w:cs="Times New Roman" w:eastAsia="Times New Roman" w:hAnsi="Times New Roman"/>
                <w:sz w:val="18"/>
                <w:szCs w:val="18"/>
                <w:b w:val="1"/>
                <w:bCs w:val="1"/>
                <w:color w:val="0000EE"/>
                <w:w w:val="95"/>
              </w:rPr>
            </w:pPr>
            <w:hyperlink w:anchor="page114">
              <w:r>
                <w:rPr>
                  <w:rFonts w:ascii="Times New Roman" w:cs="Times New Roman" w:eastAsia="Times New Roman" w:hAnsi="Times New Roman"/>
                  <w:sz w:val="18"/>
                  <w:szCs w:val="18"/>
                  <w:b w:val="1"/>
                  <w:bCs w:val="1"/>
                  <w:color w:val="0000EE"/>
                  <w:w w:val="95"/>
                </w:rPr>
                <w:t>PART IV</w:t>
              </w:r>
            </w:hyperlink>
          </w:p>
        </w:tc>
        <w:tc>
          <w:tcPr>
            <w:tcW w:w="400" w:type="dxa"/>
            <w:vAlign w:val="bottom"/>
          </w:tcPr>
          <w:p>
            <w:pPr>
              <w:spacing w:after="0"/>
              <w:rPr>
                <w:sz w:val="24"/>
                <w:szCs w:val="24"/>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Exhibits and Financial Statement Schedules</w:t>
              </w:r>
            </w:hyperlink>
          </w:p>
        </w:tc>
        <w:tc>
          <w:tcPr>
            <w:tcW w:w="1360" w:type="dxa"/>
            <w:vAlign w:val="bottom"/>
            <w:gridSpan w:val="5"/>
          </w:tcPr>
          <w:p>
            <w:pPr>
              <w:spacing w:after="0"/>
              <w:rPr>
                <w:sz w:val="17"/>
                <w:szCs w:val="17"/>
                <w:color w:val="auto"/>
              </w:rPr>
            </w:pPr>
          </w:p>
        </w:tc>
        <w:tc>
          <w:tcPr>
            <w:tcW w:w="700" w:type="dxa"/>
            <w:vAlign w:val="bottom"/>
            <w:tcBorders>
              <w:top w:val="single" w:sz="8" w:color="0000EE"/>
            </w:tcBorders>
            <w:gridSpan w:val="5"/>
          </w:tcPr>
          <w:p>
            <w:pPr>
              <w:spacing w:after="0"/>
              <w:rPr>
                <w:sz w:val="17"/>
                <w:szCs w:val="17"/>
                <w:color w:val="auto"/>
              </w:rPr>
            </w:pPr>
          </w:p>
        </w:tc>
        <w:tc>
          <w:tcPr>
            <w:tcW w:w="45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680" w:type="dxa"/>
            <w:vAlign w:val="bottom"/>
            <w:gridSpan w:val="29"/>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Form 10-K Summary</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304"/>
        </w:trPr>
        <w:tc>
          <w:tcPr>
            <w:tcW w:w="1120" w:type="dxa"/>
            <w:vAlign w:val="bottom"/>
            <w:gridSpan w:val="2"/>
          </w:tcPr>
          <w:p>
            <w:pPr>
              <w:spacing w:after="0"/>
              <w:rPr>
                <w:rFonts w:ascii="Times New Roman" w:cs="Times New Roman" w:eastAsia="Times New Roman" w:hAnsi="Times New Roman"/>
                <w:sz w:val="18"/>
                <w:szCs w:val="18"/>
                <w:color w:val="0000EE"/>
                <w:w w:val="98"/>
              </w:rPr>
            </w:pPr>
            <w:hyperlink w:anchor="page122">
              <w:r>
                <w:rPr>
                  <w:rFonts w:ascii="Times New Roman" w:cs="Times New Roman" w:eastAsia="Times New Roman" w:hAnsi="Times New Roman"/>
                  <w:sz w:val="18"/>
                  <w:szCs w:val="18"/>
                  <w:color w:val="0000EE"/>
                  <w:w w:val="98"/>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200"/>
          </w:cols>
          <w:pgMar w:left="24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SPECIAL NOTE REGARDING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15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expected timing of enrollment, interim results and final results of our REDUCE-IT study;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4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36"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92"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References in this report to “Amarin,” the “Company,” “we,” “our” and “us” refer to Amarin Corporation plc and its subsidiaries, on a consolidated basis, unless otherwise indicated.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principal offices are located at 2 Pembroke House, Upper Pembroke Street 28-32, Dublin 2 Ireland. Our registered office is located at One New Change, London EC4M 9AF, England. Our primary office in the United States is located at 1430 Route 206, Bedminster, NJ 07921, USA. Our telephone number at that location is (908) 719-1315.</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this Annual Report on Form 10-K, our ordinary shares may also be referred to as “common shares” or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We are a biopharmaceutical company with expertise in lipid science focused on the commercialization and development of therapeutics to improve cardiovascular health.</w:t>
      </w:r>
    </w:p>
    <w:p>
      <w:pPr>
        <w:spacing w:after="0" w:line="12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³200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of approximately 150 sales professionals, including sales representatives and their managers. In March 2014, we entered into a co-promotion agreement in the United States with Kowa Pharmaceuticals America, Inc. under which no less than 250 Kowa Pharmaceuticals America, Inc. sales representatives began to devote a substantial portion of their time to promoting Vascepa starting in May 2014.</w:t>
      </w:r>
    </w:p>
    <w:p>
      <w:pPr>
        <w:spacing w:after="0" w:line="13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FZCo, or Biologix, to register and commercialize Vascepa in countries within the Middle East and North Africa. We continue to assess other partnership opportunities for licensing Vascepa to partners outside of the United States.</w:t>
      </w:r>
    </w:p>
    <w:p>
      <w:pPr>
        <w:spacing w:after="0" w:line="120" w:lineRule="exact"/>
        <w:rPr>
          <w:sz w:val="20"/>
          <w:szCs w:val="20"/>
          <w:color w:val="auto"/>
        </w:rPr>
      </w:pPr>
    </w:p>
    <w:p>
      <w:pPr>
        <w:ind w:right="80" w:firstLine="456"/>
        <w:spacing w:after="0" w:line="288" w:lineRule="auto"/>
        <w:rPr>
          <w:sz w:val="20"/>
          <w:szCs w:val="20"/>
          <w:color w:val="auto"/>
        </w:rPr>
      </w:pPr>
      <w:r>
        <w:rPr>
          <w:rFonts w:ascii="Times New Roman" w:cs="Times New Roman" w:eastAsia="Times New Roman" w:hAnsi="Times New Roman"/>
          <w:sz w:val="16"/>
          <w:szCs w:val="16"/>
          <w:color w:val="auto"/>
        </w:rPr>
        <w:t xml:space="preserve">Triglycerides are the main constituent of body fat in humans. Hypertriglyceridemia refers to a condition in which patients have high levels of triglycerides in the bloodstream. It is estimated that over 70 million adults in the United States have elevated triglyceride levels (TG ³150 mg/dL), approximately 40 million adults in the United States have high triglyceride levels (TG ³200 mg/dL), and approximately 4.0 million people in the United States have severely high triglyceride levels (TG ³500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Times New Roman" w:cs="Times New Roman" w:eastAsia="Times New Roman" w:hAnsi="Times New Roman"/>
          <w:sz w:val="16"/>
          <w:szCs w:val="16"/>
          <w:i w:val="1"/>
          <w:iCs w:val="1"/>
          <w:color w:val="auto"/>
        </w:rPr>
        <w:t>The American Heart Association Scientific Statement on Triglycerides and Cardiovascular Disease</w:t>
      </w:r>
      <w:r>
        <w:rPr>
          <w:rFonts w:ascii="Times New Roman" w:cs="Times New Roman" w:eastAsia="Times New Roman" w:hAnsi="Times New Roman"/>
          <w:sz w:val="16"/>
          <w:szCs w:val="16"/>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336"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4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1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REDUCE-IT study is designed to be completed after reaching 1,612 aggregate primary cardiovascular events. Based on projected event rates, we estimate the onset of the target aggregate number of cardiovascular events to be reached near the end of 2017 with study results then expected to be available and published in 2018. In addition, since its inception in 2011, our REDUCE-IT special protocol assessment (SPA) agreement with the FDA has provided for periodic safety reviews and an interim efficacy and safety analysis by the study’s independent data monitoring committee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 We remain blinded to all data from the study. Since patient enrollment commenced in 2011, more than 26,000 patient years of study experience have been accumulated in the REDUCE-IT study. Following each periodic review of safety data to date, the DMC has communicated to us that we should continue the study as planned.</w:t>
      </w:r>
    </w:p>
    <w:p>
      <w:pPr>
        <w:spacing w:after="0" w:line="13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primary cardiovascular events in the study. Based on historical event rates, we anticipate that the onset of 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w:t>
      </w:r>
    </w:p>
    <w:p>
      <w:pPr>
        <w:spacing w:after="0" w:line="138" w:lineRule="exact"/>
        <w:rPr>
          <w:sz w:val="20"/>
          <w:szCs w:val="20"/>
          <w:color w:val="auto"/>
        </w:rPr>
      </w:pPr>
    </w:p>
    <w:p>
      <w:pPr>
        <w:ind w:right="60" w:firstLine="456"/>
        <w:spacing w:after="0" w:line="285" w:lineRule="auto"/>
        <w:rPr>
          <w:sz w:val="20"/>
          <w:szCs w:val="20"/>
          <w:color w:val="auto"/>
        </w:rPr>
      </w:pPr>
      <w:r>
        <w:rPr>
          <w:rFonts w:ascii="Times New Roman" w:cs="Times New Roman" w:eastAsia="Times New Roman" w:hAnsi="Times New Roman"/>
          <w:sz w:val="16"/>
          <w:szCs w:val="16"/>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3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3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 approved labelling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Commercialization—United States</w:t>
      </w:r>
    </w:p>
    <w:p>
      <w:pPr>
        <w:spacing w:after="0" w:line="92"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of approximately 150 sales professionals, including sales representatives and their managers. Commencing in May 2014, in addition to Vascepa promotion by our sales representatives, no less than 250 Kowa Pharmaceuticals America, Inc. sales representatives began devoting a substantial portion of their time to promoting Vascepa. We also employ various marketing personnel to support our commercialization of Vascepa. 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we expect that the majority of patients taking Vascepa will continue to be prescribed the 1-gram size Vascepa capsule. We also expect that the majority of new patients will be prescribed the 1-gram size Vascepa capsule.</w:t>
      </w:r>
    </w:p>
    <w:p>
      <w:pPr>
        <w:spacing w:after="0" w:line="143"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increases during the term. The percentage of aggregate Vascepa gross margin earned by Kowa Pharmaceuticals America, Inc. was fifteen percent (15%) in 2015, was nineteen percent (19%) in 2016, and is scheduled to increase to low twenty percent levels in 2017 and 2018, subject to certain adjustments. The term of this co-promotion agreement expires on December 31, 2018, following which our agreement with Kowa Pharmaceuticals America, Inc. provides for up to three years of tail royalties equal to declining percentages of the co-promotion fee earned prior to agreement expiration.</w:t>
      </w:r>
    </w:p>
    <w:p>
      <w:pPr>
        <w:spacing w:after="0" w:line="337"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Based on monthly compilations of data provided by a third party, Symphony Health Solutions, the estimated number of normalized total Vascepa prescriptions for the three months ended December 31, 2016 was approximately 286,000 compared to 260,000, 230,000, 201,000, and 191,000 in the three months ended September 30, 2016, June 30, 2016, March 31, 2016, and December 31, 2015, respectively. According to data from another third party, IMS Health, the estimated number of normalized total Vascepa prescriptions for the three months ended December 31, 2016 was approximately 312,000 compared to 274,000, 249,000, 216,000, and 203,000 in the three months ended September 30, 2016, June 30, 2016, March 31, 2016, and December 31, 2015,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respectively. Normalized total prescriptions represent the estimated total number of Vascepa prescriptions shipped to patients, calculated on a normalized basis (i.e., one month’s supply, or total capsules shipped multiplied by the number of grams per capsule divided by 120 grams). Inventory levels at wholesalers tend to fluctuate based on seasonal factors, prescription trends and other factors. During 2016, predominantly in the second quarter, wholesaler inventory levels increased based on estimated days of inventory on hand. In addition, regional stocking of Vascepa expanded at certain retail pharmacies, likely due to higher volume sales of Vascepa.</w:t>
      </w:r>
    </w:p>
    <w:p>
      <w:pPr>
        <w:spacing w:after="0" w:line="13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These fluctuations from multiple variables make it difficult to predict quarterly prescription trends and product revenues on a consistent basis. We believe investors should consider our results over several quarters, or longer, before making an assessment about potential future performance.</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Commercialization and Development of Vascepa</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2015, we and our co-promotion partner began communicating promotional information beyond MARINE clinical trial data to targeted healthcare professionals. Such qualified communications are being made pursuant to the August 7,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Commercialization—Outside the United States</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received upon successful submission of a clinical trial application with respect to the MARINE indication for Vascepa to the Chinese regulatory authority in March 2016, and future regulatory and sales-based milestone payments of up to an additional $153.0 million. The regulatory milestone events relate to the submission and approval of certain applications to the applicable regulatory authority, such as a clinical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87" w:lineRule="auto"/>
        <w:rPr>
          <w:sz w:val="20"/>
          <w:szCs w:val="20"/>
          <w:color w:val="auto"/>
        </w:rPr>
      </w:pPr>
      <w:r>
        <w:rPr>
          <w:rFonts w:ascii="Times New Roman" w:cs="Times New Roman" w:eastAsia="Times New Roman" w:hAnsi="Times New Roman"/>
          <w:sz w:val="16"/>
          <w:szCs w:val="16"/>
          <w:color w:val="auto"/>
        </w:rPr>
        <w:t>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w:t>
      </w:r>
    </w:p>
    <w:p>
      <w:pPr>
        <w:spacing w:after="0" w:line="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$50.0 million for a total of $120.0 million. Eddingpharm will also pay us tiered double-digit percentage royalties on net sales of Vascepa in the China Territory escalating to the high teens. We will supply finished product to Eddingpharm under negotiated terms.</w:t>
      </w:r>
    </w:p>
    <w:p>
      <w:pPr>
        <w:spacing w:after="0" w:line="13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March 2016, we entered into an agreement with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are entitled to receive payments based on product sales at an agreed-upon transfer price, which represents a percentage of gross selling price, subject to a minimum floor price.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demonstrate that clinical effects of Vascepa, including its impact on triglyceride lowering, is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3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2016, we completed patient enrollment and randomization of 8,175 individual patients into the REDUCE-IT study, exceeding the 8,000 patients targeted for the trial.</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Completion of the REDUCE-IT study is designed to occur after reaching an aggregate number of cardiovascular events. Based on projected event rates, we estimate the onset of the target aggregate number of cardiovascular events to be reached near the end of 2017 with study results then expected to be available in 2018. In addition, since its inception in 2011, our REDUCE-IT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w:t>
      </w:r>
    </w:p>
    <w:p>
      <w:pPr>
        <w:spacing w:after="0" w:line="141"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14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Since patient enrollment commenced in 2011, more than 26,000 patient years of study experience have been accumulated in REDUCE-IT. The DMC has reviewed unblinded safety data on a quarterly basis since 2013 and, after each such review of unblinded safety data to date, the DMC has recommended to us that the study be continued as planned.</w:t>
      </w:r>
    </w:p>
    <w:p>
      <w:pPr>
        <w:spacing w:after="0" w:line="13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 Supply</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was higher than projected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Position</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believe that our cash and cash equivalents balance of $98.3 million as of December 31, 2016 will be sufficient to fund our projected operations through the results of the REDUCE-IT study, which we anticipate will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 available mid-2018.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Lipid Disorders and Cardiovascular Disease</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Heart attacks, strokes and other cardiovascular events represent the leading cause of death and disability among men and women in western societies. According to the Heart Disease and Stroke Statistics—2017 Update from the American Heart Association, more than 1 out of every 3 adults in the United States (approximately 92 million) currently lives with one or more types of cardiovascular disease; an estimated 1,000,000 new or recurrent coronary events and 795,000 new or recurrent strokes occur each year; an estimated 29 million adults ³20 years of age have high total serum cholesterol levels (³240 mg/dL), and an estimated 71 million adults ³20 years of age have borderline high or high low-density lipoprotein (“bad”) cholesterol, or LDL-C, levels (³130 mg/dL).</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addition to cholesterol, lipoproteins such as LDL also carry fats in the form of triglycerides. Hypertriglyceridemia refers to a condition in which patients have high levels of triglycerides in the bloodstream and has been recognized as an independent risk factor for cardiovascular disease. Triglyceride levels provide important information as a marker associated with the risk for heart disease and stroke, especially when an individual also has low high density lipoprotein cholesterol (HDL-C; often called “good” cholesterol) and elevated levels of LDL-C. The effect of Vascepa on cardiovascular mortality and morbidity in patients with hypertriglyceridemia has not been determined.</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Guidelines for the management of very high triglyceride levels (³500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(apo B), non-HDL-C, and very low density lipoprotein cholesterol (VLDL-C). The effect of Vascepa on the risk for pancreatitis in patients with hypertriglyceridemia has not been determined.</w:t>
      </w:r>
    </w:p>
    <w:p>
      <w:pPr>
        <w:spacing w:after="0" w:line="13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It is estimated that over 40 million adults in the United States have elevated triglyceride levels ³200 mg/dL and approximately 3 to 4 million people in the United States have very high triglyceride levels (³500 mg/dL). Since 1976, mean triglyceride levels have increased, in concert with the growing epidemic of obesity, insulin resistance, and type 2 diabetes mellitus. In contrast, mean LDL-C levels have decreased.</w:t>
      </w:r>
    </w:p>
    <w:p>
      <w:pPr>
        <w:spacing w:after="0" w:line="13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Therapies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It is estimated that approximately 4% or less of U.S. adults with triglyceride levels ³200 mg/dL are currently receiving prescription medication for lowering triglycerides. Many of these patients are taking statin therapy directed primarily at lowering their LDL-C levels.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leading prescription treatments to lower triglyceride levels are fibrates (fenofibrate and gemfibrozil), statins and generic forms of an omega-3 fatty acid mixture known as Lovaza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in the United States and as Omacor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in Europe. The use of fenofibrates can lead to abnormal liver function tests (an increase in ALT (alanine transaminase) or AST (aspartate transaminase), which are liver enzymes, and are commonly measured clinically as a part of a diagnostic liver function test to determine liver health), especially when used with statins.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60"/>
        <w:spacing w:after="0" w:line="287" w:lineRule="auto"/>
        <w:rPr>
          <w:sz w:val="20"/>
          <w:szCs w:val="20"/>
          <w:color w:val="auto"/>
        </w:rPr>
      </w:pPr>
      <w:r>
        <w:rPr>
          <w:rFonts w:ascii="Times New Roman" w:cs="Times New Roman" w:eastAsia="Times New Roman" w:hAnsi="Times New Roman"/>
          <w:sz w:val="16"/>
          <w:szCs w:val="16"/>
          <w:color w:val="auto"/>
        </w:rPr>
        <w:t>The use of gemfibrozil can lead to rhabdomyolysis (severe breakdown of muscles), especially when used with a statin. Lovaza is comprised of omega-3 ethyl esters, which the FDA has described as a complex mixture of eicosapentaenoic acid, or EPA, docosahexaenoic acid, or DHA, and other fatty acids. We believe that DHA may increase LDL-C levels and thereby partially offset one of the typically desired benefits of lipid-lowering therapies, which is lowering LDL-C.</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Also, in 2012, the FDA required an update to Lovaza product labeling to reflect the risk that Lovaza may increase the frequency of a heart rhythm problem known as atrial fibrillation, or heart flutter. Also, in 2015, the FDA updated the Trilipix</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 fenofibrate) product labeling and removed combination use with statin therapy in mixed dyslipidemia patients as an indication due to a failed outcomes trial.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and Market Opportunity for Vascepa</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Vascepa is comprised of not less than 96% pure icosapent ethyl, or ethyl-EPA, and contains no DHA. We believe that the removal of DHA mitigates against the LDL-C raising effect observed in omega-3 compositions that include DHA. Based on the results of the MARINE trial, Vascepa was the first omega-3 based product to demonstrate statistically significant triglyceride reduction without a statistically significant increase in LDL-C in this very high triglyceride population.</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that the results of the MARINE trial and Vascepa’s EPA only/DHA-free composition suggest that Vascepa has the potential to become a “best-in-class” triglyceride-lowering agent in the United States and the European Union. If the REDUCE-IT cardiovascular outcomes study is successful, Vascepa could be the first omega-3 based therapy approved for lowering high triglycerides in patients with mixed dyslipidemia and for prevention of cardiovascular events as an add-on to statin therapy in this population.</w:t>
      </w:r>
    </w:p>
    <w:p>
      <w:pPr>
        <w:spacing w:after="0" w:line="13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believe the potential market for Vascepa is large and growing. We estimate that drug treatment for hypercholesterolemia patients exceeds $67 billion per year in the United States, with sales dominated by statin therapies. U.S. sales of fibrates as a class of products were approximately $2.9 billion in 2016 with generic fenofibrate and gemfibrozil leading the class. U.S. gross sales of prescription omega-3 therapies in 2016 were over $1.2 billion with generic Lovaza leading the class.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MARINE Trial (basis for currently FDA-approved label for Vascepa)</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MARINE trial, the largest study ever conducted with the omega-3 fatty acid ethyl EPA in treating patients with very high triglycerides (³500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special protocol assessment, or SPA, agreement with the FDA.</w:t>
      </w:r>
    </w:p>
    <w:p>
      <w:pPr>
        <w:spacing w:after="0" w:line="13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2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 treated groups (-18% for the 4-gram group [p &lt; 0.001] and -8% for the 2-gram group [p &lt; 0.05]).</w:t>
      </w:r>
    </w:p>
    <w:p>
      <w:pPr>
        <w:spacing w:after="0" w:line="136"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post-hoc analysis of MARINE study data, Vascepa 4 g/day and 2 g/day statistically significantly reduced ApoC-III levels by 25.1% (p &lt;</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 per day doses.</w:t>
      </w:r>
    </w:p>
    <w:p>
      <w:pPr>
        <w:spacing w:after="0" w:line="14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Vascepa was well tolerated in the MARINE trial, with a safety profile comparable to placebo and there were no treatment-related serious adverse events observed. No patient discontinued treatment of Vascepa during this study due to Vascepa-related adverse events. No significant changes in fasting blood glucose, hemoglobin A1C, vital signs, electrocardiograms, or liver or kidney function were observed with either Vascepa dose.</w:t>
      </w:r>
    </w:p>
    <w:p>
      <w:pPr>
        <w:spacing w:after="0" w:line="132" w:lineRule="exact"/>
        <w:rPr>
          <w:sz w:val="20"/>
          <w:szCs w:val="20"/>
          <w:color w:val="auto"/>
        </w:rPr>
      </w:pPr>
    </w:p>
    <w:p>
      <w:pPr>
        <w:ind w:right="100" w:firstLine="456"/>
        <w:spacing w:after="0" w:line="288" w:lineRule="auto"/>
        <w:rPr>
          <w:sz w:val="20"/>
          <w:szCs w:val="20"/>
          <w:color w:val="auto"/>
        </w:rPr>
      </w:pPr>
      <w:r>
        <w:rPr>
          <w:rFonts w:ascii="Times New Roman" w:cs="Times New Roman" w:eastAsia="Times New Roman" w:hAnsi="Times New Roman"/>
          <w:sz w:val="16"/>
          <w:szCs w:val="16"/>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ANCHOR Trial (promoted in the United States under court declaration)</w:t>
      </w:r>
    </w:p>
    <w:p>
      <w:pPr>
        <w:spacing w:after="0" w:line="94"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ANCHOR trial was a multi-center, placebo-controlled, randomized, double-blind, 12-week pivotal study in patients with high triglycerides (³200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36" w:lineRule="exact"/>
        <w:rPr>
          <w:sz w:val="20"/>
          <w:szCs w:val="20"/>
          <w:color w:val="auto"/>
        </w:rPr>
      </w:pPr>
    </w:p>
    <w:p>
      <w:pPr>
        <w:ind w:right="240" w:firstLine="456"/>
        <w:spacing w:after="0" w:line="296" w:lineRule="auto"/>
        <w:rPr>
          <w:sz w:val="20"/>
          <w:szCs w:val="20"/>
          <w:color w:val="auto"/>
        </w:rPr>
      </w:pPr>
      <w:r>
        <w:rPr>
          <w:rFonts w:ascii="Times New Roman" w:cs="Times New Roman" w:eastAsia="Times New Roman" w:hAnsi="Times New Roman"/>
          <w:sz w:val="16"/>
          <w:szCs w:val="16"/>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08"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Other secondary efficacy endpoints included the median placebo-adjusted percent change in non-high-density lipoprotein cholesterol (non-HDL-C), apolipoprotein B (apo B), and lipoprotein-associated phospholipase A2 (Lp-PLA2). The 4-gram dose was associated with statistically significant reductions in non-HDL-C (13.6%, p&lt;0.0001), apo B (9.3%, p&lt;0.0001), Lp-PLA2 (19%, p&lt;0.0001) and high-sensitivity C-reactive protein (hsCRP) (22%, p&lt;0.001), at week 12 compared to placebo. A recently published analysis showed that the Vascepa 4-gram daily dose in the ANCHOR study also significantly decreased levels of the inflammatory marker oxidized low-density lipoprotein relative to placebo by 13% (p &lt; 0.0001). In a separate, post-hoc analysis of study data, Vascepa 4 g/day statistically significantly reduced ApoC-III levels by 25.1% in MARINE (p &lt; 0.0001) and by 19.2% in ANCHOR (p &lt; 0.0001) versus placebo.</w:t>
      </w:r>
    </w:p>
    <w:p>
      <w:pPr>
        <w:spacing w:after="0" w:line="11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 The safety results from the ANCHOR trial are included in the current FDA-approved label for Vascepa.</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we expect that final positive results from the REDUCE-IT outcomes study will be required for label expansion for Vascepa.</w:t>
      </w:r>
    </w:p>
    <w:p>
      <w:pPr>
        <w:spacing w:after="0" w:line="17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Observed Efficacy of Ethyl-EPA</w:t>
      </w:r>
    </w:p>
    <w:p>
      <w:pPr>
        <w:spacing w:after="0" w:line="94" w:lineRule="exact"/>
        <w:rPr>
          <w:sz w:val="20"/>
          <w:szCs w:val="20"/>
          <w:color w:val="auto"/>
        </w:rPr>
      </w:pPr>
    </w:p>
    <w:p>
      <w:pPr>
        <w:ind w:right="160" w:firstLine="456"/>
        <w:spacing w:after="0" w:line="290" w:lineRule="auto"/>
        <w:rPr>
          <w:sz w:val="20"/>
          <w:szCs w:val="20"/>
          <w:color w:val="auto"/>
        </w:rPr>
      </w:pPr>
      <w:r>
        <w:rPr>
          <w:rFonts w:ascii="Times New Roman" w:cs="Times New Roman" w:eastAsia="Times New Roman" w:hAnsi="Times New Roman"/>
          <w:sz w:val="16"/>
          <w:szCs w:val="16"/>
          <w:color w:val="auto"/>
        </w:rPr>
        <w:t>In Japan, ethyl-EPA is marketed under the product name of Epadel by Mochida Pharmaceutical Co.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³150 mg/dL (median of 272 mg/dL at entry) and HDL-C &lt;40 mg/dL. Epadel has been approved and available by prescription in Japan for over a decade. In 2013, the Japan Ministry of Health approved Epadel for over-the-counter sales. JELIS provides supportive but not conclusive data that EPA drug therapy may reduce major coronary events. JELIS results cannot be generalized to populations outside of Japan due to limitations in the study’s design. Further study is needed, such as the REDUCE-IT study, to determine the clinical benefit, if any, of EPA therapy in statin-treated patients with elevated triglyceride levels.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Observed Clinical Safety of Vascepa</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Prior to commencing the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have been dosed with Vascepa in these studies, with over 100 receiving continuous treatment for a year or more. In all studies performed to date, Vascepa has shown a favorable safety and tolerability profile. In both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13"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MARINE and ANCHOR trials, we completed a 28-day pharmacokinetic study in healthy volunteers, a 26-week study to evaluate the toxicity of Vascepa in transgenic mice and multiple pharmacokinetic</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REDUCE-IT Study (currently ongoing cardiovascular outcomes study)</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August 2011, we reached agreement with the FDA on a SPA for the design of the REDUCE-IT (Reduction of Cardiovascular Events with EPA— Intervention Trial) cardiovascular outcomes study. A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 SPA is generally binding upon the FDA unless a substantial scientific issue essential to determining safety or efficacy of the drug is identified after the testing begins. Moreover, any change to a study protocol can invalidate a SPA.</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September 2011, we engaged a clinical research organization, or CRO, and began initial trial and clinical site preparation for REDUCE-IT. In December 2011, we announced that the first patient was dosed in the study. The study duration is dependent on the rate of clinical events in the study which rate may be affected by the number of patients enrolled in the study, the epidemiology of the patients enrolled in the study, and the length of time that the enrolled patients are followed.</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REDUCE-IT study is designed to evaluate the efficacy of Vascepa in reducing major cardiovascular events in an at-risk patient population also receiving statin therapy. REDUCE-IT is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is comprised of patients on optimized statin therapy plus placebo. The active arm of the study is comprised of patients on optimized statin therapy plus Vascepa. All subjects enrolled in the study will have elevated triglyceride levels and either coronary heart disease or risk factors for coronary heart disease. This study is being conducted internationally.</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2016, we completed patient enrollment and randomization of 8,175 individual patients into the REDUCE-IT study, exceeding the 8,000 patients targeted for the trial.</w:t>
      </w:r>
    </w:p>
    <w:p>
      <w:pPr>
        <w:spacing w:after="0" w:line="12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Completion of the REDUCE-IT study is designed to occur after reaching 1,612 aggregate primary cardiovascular events. Based on projected event rates, we estimate the onset of the target aggregate number of cardiovascular events to be reached near the end of 2017 with study results then expected to be available in 2018. In addition, since its inception in 2011, our REDUCE-IT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w:t>
      </w:r>
    </w:p>
    <w:p>
      <w:pPr>
        <w:spacing w:after="0" w:line="138"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14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Since patient enrollment commenced in 2011, more than 26,000 patient years of study experience have been accumulated in REDUCE-IT. The DMC has reviewed unblinded safety data on a quarterly basis since 2013 and, after each such review of unblinded safety data to date, the DMC has recommended to us that the study be continued as planned.</w:t>
      </w:r>
    </w:p>
    <w:p>
      <w:pPr>
        <w:spacing w:after="0" w:line="13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43"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We currently expect that final positive results of the REDUCE-IT study will be required for FDA label expansion of Vascepa. Based on the results of REDUCE-IT, we may seek additional indications for Vascepa beyond the indications studied in the ANCHOR and MARINE trials such as potential indicated uses for prevention of cardiovascular events, although there can be no assurance as to whether the results of the study will support any such indication.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Lipid Compounds and other Preclinical Programs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are also considering development of other next generation compounds based on our internal lipid science expertise, including potential combination and derivative therapies.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FDA approval of label expansion of Vascepa, anticipated to occur no sooner than after FDA review of the results from the REDUCE-IT study.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development activities are at formulation or pre-clinical stages.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for Vascepa</w:t>
      </w:r>
    </w:p>
    <w:p>
      <w:pPr>
        <w:spacing w:after="0" w:line="9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currently use third-party manufacturers and suppliers to manufacture the clinical and commercial active pharmaceutical ingredient, or API, within Vascepa, and to encapsulate and package Vascepa. The FDA approval of Vascepa in July 2012 included the approval of one API manufacturer, Nisshin Pharma, Inc., or Nisshin, and one API encapsulator, Patheon, Inc., or Patheon (formerly Banner Pharmacaps). Nisshin and Patheon are the API manufacturer and API encapsulator, respectively, with which we have had the longest working relationships. Their facilities were approved by the FDA following successful preapproval inspections and they remain active producers of Vascepa.</w:t>
      </w:r>
    </w:p>
    <w:p>
      <w:pPr>
        <w:spacing w:after="0" w:line="139"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We currently rely on Patheon and Capsugel Plöermel SAS for the encapsulation of Vascepa and we have an encapsulation agreement with one other qualified commercial API encapsulator, Catalent Pharma Solutions.</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to purchasing API from Nisshin, we have also purchased API from Chemport, Inc., or Chemport. In December 2012, we announced our submissions of two sNDAs to the FDA seeking approval for Chemport and BASF (formerly Equateq Limited) as additional Vascepa API suppliers. In April 2013, the FDA approved our sNDAs covering Chemport and BASF as additional Vascepa API suppliers. On December 30, 2013, we issued a notice of termination of our API agreement to BASF as a result of BASF’s non-compliance with the terms of such agreement period and the agreement subsequently terminated in the first quarter of 2014. BASF remains an approved API supplier. In December 2012, we announced an agreement with an exclusive consortium of companies led by Slanmhor Pharmaceutical, Inc., or Slanmhor. We submitted a sNDA in August 2013 seeking FDA approval for this supplier to manufacture Vascepa API and in July 2014 the FDA approved our sNDA for Slanmhor as an API supplier. In July 2014, we terminated the supply agreement with Slanmhor and subsequently, in June 2015, entered into a new supply agreement with Finorga SAS, or Novasep. API manufactured by Novasep was previously approved by the FDA in July 2014.</w:t>
      </w:r>
    </w:p>
    <w:p>
      <w:pPr>
        <w:spacing w:after="0" w:line="143"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API material that constitutes ethyl-EPA is a modified, naturally occurring substance which is sourced from qualified producers of specific fish oils. A limited number of other manufacturers have the ability, scale, know-how and suitable facilities to produce ethyl-EPA to the required level of purity. Among the conditions for FDA approval of a pharmaceutical product is the requirement that the manufacturer’s quality control and manufacturing procedures conform to pharmaceutical current Good Manufacturing Practice, or cGMP, which must be followed at all times. The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41"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Some of our agreements with our API suppliers are exclusive and may include minimum purchase commitments. During 2015 and 2016, we fully met the aggregate minimum purchase requirements for metric tons of API contained in our supply agreements. Under the supply agreements, we can purchase more than the minimum requirements. Certain of these agreements contemplate phased capacity expansion aimed at creating sufficient volumes to meet anticipated demand for Vascepa. Certain of these agreements contain provisions for reduced payments for unmet annual volume requirements.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Commercialization Plans</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currently market Vascepa in the United States through our direct sales force of approximately 150 sales professionals, including sales representatives and their managers. We also employ various marketing and medical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affairs personnel to support our commercialization of Vascepa. We currently target clinicians who are top prescribers of lipid regulating therapies. During the period from January 2013, when Vascepa was commercially launched in the United States, until October 2013, when the FDA notified us that it rescinded the ANCHOR study SPA agreement, our direct sales force was larger, consisting of approximately 275 sales representatives. Since October 2013, the size of our direct sales force has included approximately 125 to 140 sales representatives with focus on select sales territories that we believe have demonstrated the greatest potential for Vascepa sales growth. Commencing in May 2014, in addition to Vascepa promotion by our sales representatives, no less than 250 Kowa Pharmaceuticals America, Inc. sales representatives began devoting a substantial portion of their time to promoting Vascepa in the United States. We also employ various marketing personnel to support our commercialization of Vascepa.</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Since commercial launch of Vascepa in January 2013, we have promoted Vascepa based on the MARINE clinical trial data as reflected in the FDA-approved label for Vascepa. In August 2015, we and our co-promotion partner began communicating promotional information beyond MARINE clinical trial data to targeted healthcare professionals. Such qualified communications are being made pursuant to the August 7,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39"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Until results of our cardiovascular outcomes trial, REDUCE-IT, show otherwise, we plan to continue to promote Vascepa based on the effects of Vascepa on surrogate biomarkers as studied in MARINE and ANCHOR. After results of REDUCE-IT are available, on the assumption that the study demonstrates that Vascepa is effective in lowering the rate of major adverse cardiovascular events in patients with risk factors similar to those studied in REDUCE-IT, we intend to expand the size of our U.S. direct sales force and seek to expand promotion of Vascepa based on the results of the REDUCE-IT trial.</w:t>
      </w:r>
    </w:p>
    <w:p>
      <w:pPr>
        <w:spacing w:after="0" w:line="103"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Outside of the United States, we have expanded our commercialization activities through partnering arrangements in certain territories. In February 2015, we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DCS Agreement, Eddingpharm will be solely responsible for development and commercialization activities in the China Territory and associated expenses. Additionally, Eddingpharm may be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1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region, as in China, is several years away in most jurisdictions and subject to similar risks.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08"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and Trilipix</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for the treatment of severe hypertriglyceridemia and Niaspan</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which is primarily used to raise HDL-C but is also used to lower triglycerides. Generic versions of Tricor, Trilipix, and Niaspan are also now available in the United States. In addition, in May 2014, Epanova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33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Currently, six manufacturers have launched generic versions of Lovaza. In April 2014, Teva Pharmaceuticals USA Inc., or Teva, launched a generic version of Lovaza after winning its patent litigation against Pronova BioPharma Norge AS, now owned by BASF, which owns such patent rights. In June 2014 and September 2014, Par Pharmaceutical Inc., or Par, and Apotex Inc., or Apotex, respectively, received FDA approval of their respective versions of generic Lovaza. Par launched a generic version of Lovaza in July 2014.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 In December 2016, Golden State Medical Supply launched a generic version of Lovaza. Like AvKARE, Golden State Medical Supply only supplies products to government agencies and does not participate in the commercial marketplace.</w:t>
      </w:r>
    </w:p>
    <w:p>
      <w:pPr>
        <w:spacing w:after="0" w:line="14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Federal Food, Drug, and Cosmetic Act, or FDCA, for its omega-3 prescription drug candidate, CaPre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intends to complete long-term toxicity studies in the next 6-9 months and follow these with a Phase 3 clinical program to assess the safety and efficacy of CaPre in patients with very high (³500 mg/dL) triglycerides.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Application, or IND, in July 2015. Sancilio completed two pharmacokinetic studies and Phase 2 bioavailability studies (FASTR I&amp;II), with one comparing SC401 to Lovaza. We expect the company to initiate a pivotal clinical Phase 3 study as the next step in development.</w:t>
      </w:r>
    </w:p>
    <w:p>
      <w:pPr>
        <w:spacing w:after="0" w:line="120" w:lineRule="exact"/>
        <w:rPr>
          <w:sz w:val="20"/>
          <w:szCs w:val="20"/>
          <w:color w:val="auto"/>
        </w:rPr>
      </w:pPr>
    </w:p>
    <w:p>
      <w:pPr>
        <w:ind w:right="20" w:firstLine="456"/>
        <w:spacing w:after="0" w:line="248" w:lineRule="auto"/>
        <w:rPr>
          <w:sz w:val="20"/>
          <w:szCs w:val="20"/>
          <w:color w:val="auto"/>
        </w:rPr>
      </w:pPr>
      <w:r>
        <w:rPr>
          <w:rFonts w:ascii="Times New Roman" w:cs="Times New Roman" w:eastAsia="Times New Roman" w:hAnsi="Times New Roman"/>
          <w:sz w:val="18"/>
          <w:szCs w:val="18"/>
          <w:color w:val="auto"/>
        </w:rPr>
        <w:t>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or Akcea/Ionis, announced favorable Phase 3 results of volanesorsen (formerly ISIS-APOCIII</w:t>
      </w:r>
      <w:r>
        <w:rPr>
          <w:rFonts w:ascii="Times New Roman" w:cs="Times New Roman" w:eastAsia="Times New Roman" w:hAnsi="Times New Roman"/>
          <w:sz w:val="22"/>
          <w:szCs w:val="22"/>
          <w:color w:val="auto"/>
          <w:vertAlign w:val="subscript"/>
        </w:rPr>
        <w:t>Rx</w:t>
      </w:r>
      <w:r>
        <w:rPr>
          <w:rFonts w:ascii="Times New Roman" w:cs="Times New Roman" w:eastAsia="Times New Roman" w:hAnsi="Times New Roman"/>
          <w:sz w:val="18"/>
          <w:szCs w:val="18"/>
          <w:color w:val="auto"/>
        </w:rPr>
        <w:t>), a drug candidate administered through weekly subcutaneous injections, in patients with severe hypertriglyceridemia (COMPASS trial). Phase 2 trials are currently ongoing studying volanesorsen in patients with familial chylomicronemia syndrome (FCS) and familial partial lipodystrophy (FPL) with data expected in 2017 and 2019. In January 2017, Akcea/Ionis announced a strategic collaboration and option agreement with Novartis whereby Novartis will help develop (including funding cardiovascular outcomes studies) and commercialize products emerging from this collaboration, including volanesorsen. Madrigal Pharmaceuticals has completed Phase 1 clinical testing of MGL-3196 for the treatment of high triglycerides and various lipid parameters in patients. Finally, Gemfire Therapeutics announced favorable results from a Phase 2 trial to evaluate the safety and efficacy of gemcabene, an oral, once-daily pill, in the treatment of patients with homozygous familial hypercholesterolemia (HoFH) on stable lipid-lowering therapy. The novel mechanism of action of gemcabene may support multiple indications including a potential severe triglyceride reduction. Three Phase 2b trials of gemcabene are ongoing in patients with HoFH on stable lipid-lowering therapy, in patients with severe hypertriglyceridemia, and in patients with hypercholesterolemia on a high-intensity stable statin therapy with or without ezetimibe.</w:t>
      </w:r>
    </w:p>
    <w:p>
      <w:pPr>
        <w:spacing w:after="0" w:line="14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Vascepa also faces competition from dietary supplement companies marketing omega-3 products as nutritional supplements. We cannot be sure physicians and pharmacists will view the FDA-approved prescription-only status, EPA-only purity of Vascepa and stringent regulatory oversight as significant advantages versus omega-3 dietary supplements.</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several generic drug companies have sought to challenge the validity and enforceability of our patents and have submitted to FDA applications for approval of generic versions of Vascepa.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Regulatory Matters</w:t>
      </w:r>
    </w:p>
    <w:p>
      <w:pPr>
        <w:spacing w:after="0" w:line="94" w:lineRule="exact"/>
        <w:rPr>
          <w:sz w:val="20"/>
          <w:szCs w:val="20"/>
          <w:color w:val="auto"/>
        </w:rPr>
      </w:pPr>
    </w:p>
    <w:p>
      <w:pPr>
        <w:ind w:right="200" w:firstLine="456"/>
        <w:spacing w:after="0" w:line="290" w:lineRule="auto"/>
        <w:rPr>
          <w:sz w:val="20"/>
          <w:szCs w:val="20"/>
          <w:color w:val="auto"/>
        </w:rPr>
      </w:pPr>
      <w:r>
        <w:rPr>
          <w:rFonts w:ascii="Times New Roman" w:cs="Times New Roman" w:eastAsia="Times New Roman" w:hAnsi="Times New Roman"/>
          <w:sz w:val="16"/>
          <w:szCs w:val="16"/>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Drugs must be approved by the FDA through the NDA process before they are first marketed in the United States.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1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39"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it may suspend or terminate the study at any time. Studies must be conducted in accordance with Good Clinical Practice, or GCP,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NDA and FDA Review Process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first marketing of a drug in the United States.</w:t>
      </w:r>
    </w:p>
    <w:p>
      <w:pPr>
        <w:spacing w:after="0" w:line="13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FDA will likely re-analyze the clinical trial data, which could result in iterative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or cGMP, requirements and may also audit data from clinical and pre-clinical trials.</w:t>
      </w:r>
    </w:p>
    <w:p>
      <w:pPr>
        <w:spacing w:after="0" w:line="13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United States. Even if future indications for Vascepa are approved, the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Off-label Promotion in the United States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FDCA has been interpreted by the FDA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47" w:lineRule="exact"/>
        <w:rPr>
          <w:sz w:val="20"/>
          <w:szCs w:val="20"/>
          <w:color w:val="auto"/>
        </w:rPr>
      </w:pPr>
    </w:p>
    <w:p>
      <w:pPr>
        <w:jc w:val="both"/>
        <w:ind w:right="16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4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Even though we have the benefit of a final settlement in this litigation, our promotion is still subject to a high, perhaps abnormally high, degree of scrutiny to ensure that our promotion remains within the scope covered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by the settlement. For example, under the settlement, we remain responsible for ensuring our speech is truthful and non-misleading. Federal and state governments may also seek to find other means to prevent our promotion of unapproved truthful and non-misleading information about Vascepa. If our promotional activities or other operations are found to be in violation of any of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 of New Drug Compounds</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 provides a combined ethical and scientific review process. Most countries in which clinical studies are conducted require the approval of the clinical trial proposals by both the regulatory body and ethics committee.</w:t>
      </w:r>
    </w:p>
    <w:p>
      <w:pPr>
        <w:spacing w:after="0" w:line="138"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FDA may result in changes to the label and/or other post-marketing requirements or actions, including product withdrawal. These are viable risks once a product is on the market. Additionally, modifications or enhancements to the products or labeling or changes of site of manufacture are often subject to the approval of the FDA and other regulators, which may or may not be received or may result in a lengthy review process.</w:t>
      </w:r>
    </w:p>
    <w:p>
      <w:pPr>
        <w:spacing w:after="0" w:line="13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3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FDA. The FDA regulations require that products be manufactured in specific approved facilities and in accordance with pharmaceutical cGMPs, and NDA holders must list their products and register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Laws</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20"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knowingly and willfully offering, paying, soliciting, or receiving remuneration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Moreover, there are no safe harbors for many common practices, such as educational and research grants or patient assistance programs. Our practices may not in all cases meet all of the criteria for safe harbor protection from anti-kickback liability. The federal civil False Claims Act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providing free product to customers with the expectation that the customers would bill federal programs for the product; providing consulting fees, grants, free travel, and other benefits to physicians to induce them to prescribe the company’s products; or causing false claims to be submitted because of the company’s marketing of the product for unapproved, and thus non-reimbursable, uses. Pharmaceutical and other healthcare companies also are subject to other federal false claims laws, including, among others, federal criminal healthcare fraud and false statement statutes that extend to non-government health benefit programs.</w:t>
      </w:r>
    </w:p>
    <w:p>
      <w:pPr>
        <w:spacing w:after="0" w:line="200" w:lineRule="exact"/>
        <w:rPr>
          <w:sz w:val="20"/>
          <w:szCs w:val="20"/>
          <w:color w:val="auto"/>
        </w:rPr>
      </w:pPr>
    </w:p>
    <w:p>
      <w:pPr>
        <w:spacing w:after="0" w:line="3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as amended by the Health Information Technology for Economic and Clinical Health Act (HITECH),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As of August 1, 2013, the federal Physician Payment Sunshine Act, being implemented as the Open Payments Program, requires certain manufacturers of drugs, devices, biologics and medical supplies to engage in extensive tracking of payments and other transfers of value to physicians and teaching hospitals, including physician ownership and investment interests, and public reporting of such data. Pharmaceutical and biological manufacturers with products for which payment is available under Medicare, Medicaid or the State Children’s Health Insurance Program are required to have started tracking such payments on August 1, 2013, and must submit a report on or before the 90th day of each calendar year disclosing reportable payments made in the previous calendar year.</w:t>
      </w:r>
    </w:p>
    <w:p>
      <w:pPr>
        <w:spacing w:after="0" w:line="10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There are also state laws requiring pharmaceutical companies to report gifts and other expenses relating to the marketing and promotion of pharmaceutical products; prohibiting certain marketing-related activities including the provision of gifts, meals, or other items to certain healthcare providers; and/or requiring pharmaceutical companies to implement compliance programs or marketing codes. 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As a company marketing an FDA-approved product in the United States, our operations may be directly, or indirectly through our customers, subject to various federal and state fraud and abuse laws, including, without limitation, the federal anti-kickback statute. These laws may impact, among other things, our proposed sales, marketing and education programs. In addition, we may be subject to patient privacy regulation by both the federal government and the states in which we conduct our business.</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 In addition, there has been renewed interest in amending the Social Security Act to allow Medicare to negotiate prices for prescription drugs covered under Medicare Part B. If this were to be enacted by Congress and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signed by the President, the prices we obtain for our products covered under Part B could be lower than the prices we might otherwise obtain, and it could exert a similar lowering pressure on payments from non-governmental payers.</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Agency for Healthcare Research and Quality (AHRQ), established by the MMA and provided additional funding by The American Recovery and Reinvestment Act of 2009, conducts comparative effectiveness research on different treatments for the same illness. Although the results of the comparative effectiveness studies are not intended to mandate coverage policies for public or private payers, is it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3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or collectively the PPACA, was enacted, which includes measures to significantly change the way healthcare is financed by both governmental and private insurers. Among the provisions of the PPACA of greatest importance to the pharmaceutical and biotechnology industry are the following:</w:t>
      </w:r>
    </w:p>
    <w:p>
      <w:pPr>
        <w:spacing w:after="0" w:line="51" w:lineRule="exact"/>
        <w:rPr>
          <w:sz w:val="20"/>
          <w:szCs w:val="20"/>
          <w:color w:val="auto"/>
        </w:rPr>
      </w:pPr>
    </w:p>
    <w:p>
      <w:pPr>
        <w:ind w:left="900" w:hanging="325"/>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38" w:lineRule="exact"/>
        <w:rPr>
          <w:rFonts w:ascii="Times New Roman" w:cs="Times New Roman" w:eastAsia="Times New Roman" w:hAnsi="Times New Roman"/>
          <w:sz w:val="18"/>
          <w:szCs w:val="18"/>
          <w:color w:val="auto"/>
        </w:rPr>
      </w:pPr>
    </w:p>
    <w:p>
      <w:pPr>
        <w:ind w:left="900" w:right="80" w:hanging="325"/>
        <w:spacing w:after="0" w:line="26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51" w:lineRule="exact"/>
        <w:rPr>
          <w:rFonts w:ascii="Times New Roman" w:cs="Times New Roman" w:eastAsia="Times New Roman" w:hAnsi="Times New Roman"/>
          <w:sz w:val="18"/>
          <w:szCs w:val="18"/>
          <w:color w:val="auto"/>
        </w:rPr>
      </w:pPr>
    </w:p>
    <w:p>
      <w:pPr>
        <w:ind w:left="900" w:right="160" w:hanging="325"/>
        <w:spacing w:after="0" w:line="339"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7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It appears likely that the PPACA will continue to exert pressure on pharmaceutical pricing, especially under the Medicare and Medicaid programs, and may also increase our regulatory burdens and operating costs. Legislative changes to the PPACA remain possible, and appear likely in the 115th United States Congress and under the Trump Administration.</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Manufacturing, sales, promotion, importation, and other activities related to approved products are also subject to regulation by numerous regulatory authorities, including, in the United States, the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3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FDA Marketing Exclusivity and Generic Competition</w:t>
      </w:r>
    </w:p>
    <w:p>
      <w:pPr>
        <w:spacing w:after="0" w:line="9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NCE marketing exclusivity precludes approval during the five-year exclusivity period of certain 505(b)(2) applications and abbreviated new drug applications, or ANDAs, submitted by another company for another version of the drug. However, an application may be submitted after four years if it contains a certification of patent invalidity or non-infringement. In this case, Amarin, as a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 Additional three-year periods of exclusivity can be obtained for studies resulting in approval for new uses of existing drugs that protect the pioneer drug company from approval of ANDA applications made with reference to the new use during the three years from approval.</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also help protect Vascepa against generic competition.</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74"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3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03"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9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exclusivity status.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ANDAs. These certifications were expected given the eligibility for submission of ANDAs under the NCE regulatory structure, after the expiration of four years from the July 2012 approval of Vascepa.</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are now in the process of defending the exclusivity of Vascepa through patent litigation against the ANDA filers. In the related lawsuits, we are seeking, among other remedies, an order enjoining filers from marketing generic versions of Vascepa before the last to expire of the asserted patents in 2030. We intend to vigorously enforce our intellectual property rights relating to Vascepa, but we cannot predict the outcome of these lawsuits or any subsequently filed lawsuits.</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an ANDA filer is ultimately successful in patent litigation against us, it meets the requirements for a generic version of Vascepa to the satisfaction of the FDA under its ANDA (after the applicable regulatory exclusivity period and the litigation-related 30-month stay period ends), and is able to supply the product in significant commercial quantities, the generic company could introduce a generic version of Vascepa. Such a market entry would likely limit our U.S. sales substantially,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Technology, Trade Secrets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1"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51 patent applications in the United States that have been either issued or allowed and more than 30 additional patent applications are pending in the United States. Such 51 allowed and issued applications include the following:</w:t>
      </w:r>
    </w:p>
    <w:p>
      <w:pPr>
        <w:spacing w:after="0" w:line="51"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issued U.S. patents directed to a pharmaceutical composition of Vascepa in a capsule that have terms that expire in 2020 and 2030, respectively,</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issued U.S. patent covering a composition containing highly pure EPA that expires in 2021,</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U.S. patents covering or related to the use of Vascepa in either the MARINE or ANCHOR populations that have terms that expire in 2030 or later,</w:t>
      </w:r>
    </w:p>
    <w:p>
      <w:pPr>
        <w:spacing w:after="0" w:line="113" w:lineRule="exact"/>
        <w:rPr>
          <w:rFonts w:ascii="Times New Roman" w:cs="Times New Roman" w:eastAsia="Times New Roman" w:hAnsi="Times New Roman"/>
          <w:sz w:val="16"/>
          <w:szCs w:val="16"/>
          <w:color w:val="auto"/>
        </w:rPr>
      </w:pPr>
    </w:p>
    <w:p>
      <w:pPr>
        <w:ind w:left="900" w:right="12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the use of a pharmaceutical composition comprised of free fatty acids to treat the ANCHOR patient population with a term that expires in 2030,</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a pharmaceutical composition comprised of free fatty acids to treat the MARINE patient population with a term that expires in 2030,</w:t>
      </w:r>
    </w:p>
    <w:p>
      <w:pPr>
        <w:spacing w:after="0" w:line="38"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formulation of EPA/DHA and uses thereof with a term that expires in 2030,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the use of Vascepa to treat obesity with a term that expires in 2030,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covering a pharmaceutical composition comprised of EPA and a hydroxyl compound with a term that expires in 2034.</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9"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 February 20, 2017, we had 215 full-time employees employed in sales, marketing, general and administrative and research and development functions.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relations with our employees are good.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February 20, 2017, we had the following subsidiaries: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Proportion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4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Country of</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Subsidiary Name</w:t>
            </w:r>
          </w:p>
        </w:tc>
        <w:tc>
          <w:tcPr>
            <w:tcW w:w="52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2140" w:type="dxa"/>
            <w:vAlign w:val="bottom"/>
            <w:gridSpan w:val="2"/>
          </w:tcPr>
          <w:p>
            <w:pPr>
              <w:jc w:val="center"/>
              <w:ind w:right="1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Incorporation</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Voting Power</w:t>
            </w: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vMerge w:val="continue"/>
          </w:tcPr>
          <w:p>
            <w:pPr>
              <w:spacing w:after="0"/>
              <w:rPr>
                <w:sz w:val="13"/>
                <w:szCs w:val="13"/>
                <w:color w:val="auto"/>
              </w:rPr>
            </w:pPr>
          </w:p>
        </w:tc>
        <w:tc>
          <w:tcPr>
            <w:tcW w:w="52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140" w:type="dxa"/>
            <w:vAlign w:val="bottom"/>
            <w:gridSpan w:val="2"/>
          </w:tcPr>
          <w:p>
            <w:pPr>
              <w:jc w:val="center"/>
              <w:ind w:right="12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or Registration</w:t>
            </w:r>
          </w:p>
        </w:tc>
        <w:tc>
          <w:tcPr>
            <w:tcW w:w="98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11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Ireland</w:t>
            </w:r>
          </w:p>
        </w:tc>
        <w:tc>
          <w:tcPr>
            <w:tcW w:w="12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32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Amarin Neuroscience Limited</w:t>
            </w:r>
          </w:p>
        </w:tc>
        <w:tc>
          <w:tcPr>
            <w:tcW w:w="32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Scotland</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Corsicanto Designated Activity Company (formerly Corsicanto Limited)</w:t>
            </w:r>
          </w:p>
        </w:tc>
        <w:tc>
          <w:tcPr>
            <w:tcW w:w="32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Ireland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Corsicanto II Designated Activity Company</w:t>
            </w:r>
          </w:p>
        </w:tc>
        <w:tc>
          <w:tcPr>
            <w:tcW w:w="32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Ireland</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32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Israel</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Our principal offices are located at 2 Pembroke House, Upper Pembroke Street 28-32, Dublin 2 Ireland. Our registered office is located at One New Change, London EC4M 9AF, England. Our primary offices in the United States are located at 1430 Route 206, Bedminster, NJ 07921, USA. Our telephone number at that location is (908) 719-1315.</w:t>
      </w:r>
    </w:p>
    <w:p>
      <w:pPr>
        <w:spacing w:after="0" w:line="132"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Corsicanto Designated Activity Company, Corsicanto II Designated Activity Company, or Ester Neurosciences Limited.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January 9, 2012, Amarin, through its wholly-owned subsidiary Corsicanto Designated Activity Company (formerly Corsicanto Limited), or Corsicanto, a private designated activity company incorporated under the laws of Ireland, completed a private placement of $150.0 million in aggregate principal amount of its 3.5% exchangeable senior notes due 2032 (the 2012 Notes), a portion of which were exchanged in May 2014 (the 2014 Notes) and a portion of which were extinguished in 2015 and replaced with new 3.5% exchangeable senior notes due 2032 (the 2015 Notes). In September 2016, the entirety of the 2014 Notes and 2015 Notes were mandatorily exchanged in accordance with their respective terms. On January 19, 2017, approximately $15.0 million of the 2012 Notes were put to the Company, such that $0.1 million of 2012 Notes currently remains outstanding. The 2012 Notes are the senior unsecured obligations of Corsicanto and are guaranteed by Amarin Corporation plc. We have initiated the process to redeem the $0.1 million of outstanding principal amount of 2012 Notes, which we expect will be completed in the first quarter of 2017. Corsicanto was formed in November 2011 and was subsequently acquired by Amarin in January 2012 for the sole purpose of facilitating this financing transaction.</w:t>
      </w:r>
    </w:p>
    <w:p>
      <w:pPr>
        <w:spacing w:after="0" w:line="14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25, 2017, Amarin, through its wholly-owned subsidiary Corsicanto II Designated Activity Company, or Corsicanto II, a private designated activity company incorporated under the laws of Ireland, entered into separate, privately negotiated purchase agreements with certain investors pursuant to which it issued and sold $30.0 million in aggregate principal amount of its 3.5% exchangeable senior notes due 2047 (the 2017 Notes). The 2017 Notes are the senior unsecured obligations of Corsicanto II and are guaranteed by Amarin Corporation plc. Corsicanto II was formed in December 2016 for the sole purpose of issuing the 2017 Notes. Refer to Note18—Subsequent Events for further discussion.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2"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 xml:space="preserve">Our Annual Report on Form 10-K, Quarterly Reports on Form 10-Q, Current Reports on Form 8-K, and amendments to reports filed pursuant to Sections 13(a) and 15(d) of the Securities Exchange Act of 1934, as amended, are made available free of charge on or through our website at </w:t>
      </w:r>
      <w:r>
        <w:rPr>
          <w:rFonts w:ascii="Times New Roman" w:cs="Times New Roman" w:eastAsia="Times New Roman" w:hAnsi="Times New Roman"/>
          <w:sz w:val="16"/>
          <w:szCs w:val="16"/>
          <w:i w:val="1"/>
          <w:iCs w:val="1"/>
          <w:u w:val="single" w:color="auto"/>
          <w:color w:val="auto"/>
        </w:rPr>
        <w:t>www.amarincorp.com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soon as reasonably practicable after such reports are filed with, or furnished to, the Securities and Exchange Commission, or SEC.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SEC also maintains a website,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that contains reports and other information regarding issuers that file electronically with the SEC. The public may read and copy any files within the SEC’s Public Reference Room at 100 F Street, N.E., Washington, D.C. 20549. The public may obtain information on the operation of the Public Reference Room by calling 1-800-SEC-0330. We are not, however, including the information contained on our website, or information that may be accessed through links on our website, as part of, or incorporating such information by reference into, this Annual Report on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information required under this Item 1 is incorporated herein by reference to Item 8 of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decision-maker(s), which is our President and Chief Executive Officer, in deciding how to allocate resources and assess performance. Since we currently operate in one business segment, which is the development and commercialization of Vascepa, all required financial segment information can be found in the consolidated financial statements.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sales of Vascepa in the United States.</w:t>
      </w:r>
    </w:p>
    <w:p>
      <w:pPr>
        <w:spacing w:after="0" w:line="94"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As a result of our reliance on a single product, Vascepa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3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16" w:lineRule="exact"/>
        <w:rPr>
          <w:sz w:val="20"/>
          <w:szCs w:val="20"/>
          <w:color w:val="auto"/>
        </w:rPr>
      </w:pPr>
    </w:p>
    <w:p>
      <w:pPr>
        <w:ind w:left="240"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3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In January 2013, we launched Vascepa based on FDA approval of our MARINE indication, for use as an adjunct to diet to reduce triglyceride levels in adult patients with severe (TG ³500 mg/dL) hypertriglyceridemia. Approximately 4.0 million people in the United States have severely high triglyceride levels (TG ³500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39" w:lineRule="exact"/>
        <w:rPr>
          <w:sz w:val="20"/>
          <w:szCs w:val="20"/>
          <w:color w:val="auto"/>
        </w:rPr>
      </w:pPr>
    </w:p>
    <w:p>
      <w:pPr>
        <w:ind w:right="180" w:firstLine="456"/>
        <w:spacing w:after="0" w:line="287" w:lineRule="auto"/>
        <w:rPr>
          <w:sz w:val="20"/>
          <w:szCs w:val="20"/>
          <w:color w:val="auto"/>
        </w:rPr>
      </w:pPr>
      <w:r>
        <w:rPr>
          <w:rFonts w:ascii="Times New Roman" w:cs="Times New Roman" w:eastAsia="Times New Roman" w:hAnsi="Times New Roman"/>
          <w:sz w:val="16"/>
          <w:szCs w:val="16"/>
          <w:color w:val="auto"/>
        </w:rPr>
        <w:t>In August 2015, based on a federal court order, we also began communicating promotional information beyond the MARINE indication to healthcare professionals in the United States for the treatment of patients with high (TG ³200 mg/dL and &lt;500 mg/dL) triglyceride levels who are also on statin therapy for elevated low-density lipoprotein cholesterol, or LDL-C, levels, based on results from the ANCHOR study of Vascepa. It is estimated that approximately</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40 million adults in the United States have high triglyceride levels (TG ³200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0" w:firstLine="456"/>
        <w:spacing w:after="0" w:line="258" w:lineRule="auto"/>
        <w:rPr>
          <w:sz w:val="20"/>
          <w:szCs w:val="20"/>
          <w:color w:val="auto"/>
        </w:rPr>
      </w:pPr>
      <w:r>
        <w:rPr>
          <w:rFonts w:ascii="Times New Roman" w:cs="Times New Roman" w:eastAsia="Times New Roman" w:hAnsi="Times New Roman"/>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any future approved indications will depend on a number of factors, including:</w:t>
      </w:r>
    </w:p>
    <w:p>
      <w:pPr>
        <w:spacing w:after="0" w:line="55"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safety and potential advantages of Vascepa, as compared to alternative treatments;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outside of FDA-approved labeling and the related perception thereof;</w:t>
      </w:r>
    </w:p>
    <w:p>
      <w:pPr>
        <w:spacing w:after="0" w:line="90" w:lineRule="exact"/>
        <w:rPr>
          <w:rFonts w:ascii="Times New Roman" w:cs="Times New Roman" w:eastAsia="Times New Roman" w:hAnsi="Times New Roman"/>
          <w:sz w:val="18"/>
          <w:szCs w:val="18"/>
          <w:color w:val="auto"/>
        </w:rPr>
      </w:pPr>
    </w:p>
    <w:p>
      <w:pPr>
        <w:ind w:left="900" w:right="38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efficacy of the product and the prevalence and severity of any side effects, including any limitations or warnings contained in Vascepa’s approved labeling.</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planned commercialization efforts may not be successful in increasing sales of Vascepa.</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Since late 2013, our sales team has consisted of approximately 150 sales professionals, including sales representatives and their managers. This sales team promotes Vascepa to a limited group of physicians and other healthcare professionals in select geographies in the United States. This sales team is not large enough to call upon all physicians. In January 2013, when we initially began selling Vascepa in the United States through our own then newly established sales and marketing teams and through a newly established third-party commercial distribution infrastructure, our sales team was larger. In October 2013, following an FDA advisory committee recommendation against approval for the ANCHOR indication, we implemented a plan to reduce our workforce and our team of sales professionals by half.</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May 2014 we began co-promoting Vascepa in the United States with Kowa Pharmaceuticals America, Inc. under a co-promotion agreement we entered into in March 2014. Under the agreement, no less than 250 Kowa Pharmaceuticals America, Inc. sales representatives devote a substantial portion of their time to promoting Vascepa with our approximately 150 sales professionals, including sales representatives and their managers, based on a plan designed to focus on select sales territories that we believe have demonstrated the greatest potential for Vascepa sales growth and increase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 In addition, if the results of the REDUCE-IT outcomes study are successful, we plan to expand our promotion of Vascepa, including increasing the size of our team. We will need to overcome challenges associated with rapidly hiring and training personnel and managing larger teams of people. Furthermore, our agreement with Kowa Pharmaceuticals America, Inc. is designed such that their co-promotion of Vascepa ceases after 2018. If we do not extend this co-promotion agreement, enter into a co-promotion agreement with an equally capable company or hire equally capable sales representatives, our sales may be negatively impacted by the end of co-promotion under this agreement.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Outside of the United States, we have expanded our commercialization activities through partnering arrangements in certain territories. In February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DCS Agreement, Eddingpharm is solely responsible for development and commercialization activities in the China Territory and associated expenses. Additionally, Eddingpharm is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such as Eddingpharm, to develop and market our products in non-U.S. jurisdictions.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non-U.S. jurisdictions in a timely manner may limit the commercial success of Vascepa and our ability to grow our revenues.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(“Biologix”), a company incorporated under the laws of United Arab Emirates,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region, as in China, is several years away in most jurisdictions and subject to similar risks. We continue to assess other partnership opportunities for licensing Vascepa to partners outside of the United States.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related to building and managing a sales and marketing organization that can inhibit our efforts to successfully commercialize Vascepa include:</w:t>
      </w:r>
    </w:p>
    <w:p>
      <w:pPr>
        <w:spacing w:after="0" w:line="90"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w:t>
      </w:r>
    </w:p>
    <w:p>
      <w:pPr>
        <w:spacing w:after="0" w:line="90"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1"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new sales personnel, working for us as a new market entrant, to obtain access to or persuade adequate numbers of physicians to prescribe Vascepa;</w:t>
      </w:r>
    </w:p>
    <w:p>
      <w:pPr>
        <w:spacing w:after="0" w:line="38"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w:t>
      </w:r>
    </w:p>
    <w:p>
      <w:pPr>
        <w:spacing w:after="0" w:line="171" w:lineRule="exact"/>
        <w:rPr>
          <w:sz w:val="20"/>
          <w:szCs w:val="20"/>
          <w:color w:val="auto"/>
        </w:rPr>
      </w:pPr>
    </w:p>
    <w:p>
      <w:pPr>
        <w:jc w:val="both"/>
        <w:ind w:right="420" w:firstLine="456"/>
        <w:spacing w:after="0" w:line="339" w:lineRule="auto"/>
        <w:rPr>
          <w:sz w:val="20"/>
          <w:szCs w:val="20"/>
          <w:color w:val="auto"/>
        </w:rPr>
      </w:pPr>
      <w:r>
        <w:rPr>
          <w:rFonts w:ascii="Times New Roman" w:cs="Times New Roman" w:eastAsia="Times New Roman" w:hAnsi="Times New Roman"/>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expect final positive results from the REDUCE-IT outcomes study will be required for FDA-approved label expansion for Vascepa.</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January 2013, we have marketed Vascepa for use in the FDA-approved MARINE indication in the United States.</w:t>
      </w:r>
    </w:p>
    <w:p>
      <w:pPr>
        <w:spacing w:after="0" w:line="17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In April 2015, we received a Complete Response Letter, or CRL, from the FDA on our supplemental new drug application, or sNDA, that sought approval for the use of Vascepa in patients with high triglyceride levels (TG ³200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43"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In August 2015, based on a federal court order, we began communicating promotional information beyond the MARINE indication to healthcare professionals in the United States through use of a set of qualified statements that reflect the state of research related to this use.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If new clinical information is demonstrated which changes what we understand today to be truthful and non-misleading, our promotion of Vascepa will need to be modified to ensure that our promotion remains truthful and non-misleading. Our ability to reach full potential in the commercialization of Vascepa in the United States is dependent upon marketing claims associated with Vascepa that are granted with the approval of an indication statement by the FDA.</w:t>
      </w:r>
    </w:p>
    <w:p>
      <w:pPr>
        <w:spacing w:after="0" w:line="11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all or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off-label promotion of Vascepa could subject us to additional regulatory scrutiny and present unforeseen risks.</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to make it illegal for pharmaceutical companies to promote their FDA 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47" w:lineRule="exact"/>
        <w:rPr>
          <w:sz w:val="20"/>
          <w:szCs w:val="20"/>
          <w:color w:val="auto"/>
        </w:rPr>
      </w:pPr>
    </w:p>
    <w:p>
      <w:pPr>
        <w:jc w:val="both"/>
        <w:ind w:right="16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4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36"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Federal and state governments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41"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and Trilipix</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for the treatment of severe hypertriglyceridemia and Niaspan</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which is primarily used to raise HDL-C but is also used to lower triglycerides. Generic versions of Tricor, Trilipix, and Niaspan are also now available in the United States. In addition, in May 2014, Epanova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33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Currently, six manufacturers have launched generic versions of Lovaza. In April 2014, Teva Pharmaceuticals USA Inc., or Teva, launched a generic version of Lovaza after winning its patent litigation against Pronova BioPharma Norge AS, now owned by BASF, which owns such patent rights. In June 2014 and September 2014, Par Pharmaceutical Inc., or Par, and Apotex Inc., or Apotex, respectively, received FDA approval of their respective versions of generic Lovaza. Par launched a generic version of Lovaza in July 2014.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 In December 2016, Golden State Medical Supply launched a generic version of Lovaza. Like AvKARE, Golden State Medical Supply only supplies products to government agencies and does not participate in the commercial marketplace.</w:t>
      </w:r>
    </w:p>
    <w:p>
      <w:pPr>
        <w:spacing w:after="0" w:line="14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intends to complete long-term toxicity studies in the next 6-9 months and follow these with a Phase 3 clinical program to assess the safety and efficacy of CaPre in patients with very high (³500 mg/dL) triglycerides. We believe Sancilio &amp; Company, or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pharmacokinetic studies and Phase 2 bioavailability studies (FASTR I&amp;II), with one comparing SC401 to Lovaza. We expect the company to initiate a pivotal clinical Phase 3 study as the next step in development.</w:t>
      </w:r>
    </w:p>
    <w:p>
      <w:pPr>
        <w:spacing w:after="0" w:line="136" w:lineRule="exact"/>
        <w:rPr>
          <w:sz w:val="20"/>
          <w:szCs w:val="20"/>
          <w:color w:val="auto"/>
        </w:rPr>
      </w:pPr>
    </w:p>
    <w:p>
      <w:pPr>
        <w:ind w:firstLine="456"/>
        <w:spacing w:after="0" w:line="248" w:lineRule="auto"/>
        <w:rPr>
          <w:sz w:val="20"/>
          <w:szCs w:val="20"/>
          <w:color w:val="auto"/>
        </w:rPr>
      </w:pPr>
      <w:r>
        <w:rPr>
          <w:rFonts w:ascii="Times New Roman" w:cs="Times New Roman" w:eastAsia="Times New Roman" w:hAnsi="Times New Roman"/>
          <w:sz w:val="18"/>
          <w:szCs w:val="18"/>
          <w:color w:val="auto"/>
        </w:rPr>
        <w:t>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or Akcea/Ionis, announced favorable Phase 3 results of volanesorsen (formerly ISIS-APOCIII</w:t>
      </w:r>
      <w:r>
        <w:rPr>
          <w:rFonts w:ascii="Times New Roman" w:cs="Times New Roman" w:eastAsia="Times New Roman" w:hAnsi="Times New Roman"/>
          <w:sz w:val="22"/>
          <w:szCs w:val="22"/>
          <w:color w:val="auto"/>
          <w:vertAlign w:val="subscript"/>
        </w:rPr>
        <w:t>Rx</w:t>
      </w:r>
      <w:r>
        <w:rPr>
          <w:rFonts w:ascii="Times New Roman" w:cs="Times New Roman" w:eastAsia="Times New Roman" w:hAnsi="Times New Roman"/>
          <w:sz w:val="18"/>
          <w:szCs w:val="18"/>
          <w:color w:val="auto"/>
        </w:rPr>
        <w:t>), a drug candidate administered through weekly subcutaneous injections, in patients with severe hypertriglyceridemia (COMPASS trial). Phase 2 trials are currently ongoing studying volanesorsen in patients with familial chylomicronemia syndrome (FCS) and familial partial lipodystrophy (FPL) with data expected in 2017 and 2019. In January 2017, Akcea/Ionis announced a strategic collaboration and option agreement with Novartis whereby Novartis will help develop (including funding cardiovascular outcomes studies) and commercialize products emerging from this collaboration, including volanesorsen. Madrigal Pharmaceuticals has completed Phase 1 clinical testing of MGL-3196 for the treatment of high triglycerides and various lipid parameters in patients. Finally, Gemfire Therapeutics announced favorable results from a Phase 2 trial to evaluate the safety and efficacy of gemcabene, an oral, once-daily pill, in the treatment of patients with homozygous familial hypercholesterolemia (HoFH) on stable lipid-lowering therapy. The novel mechanism of action of gemcabene may support multiple indications including a potential severe triglyceride reduction. Three Phase 2b trials of gemcabene are ongoing in patients with HoFH on stable lipid-lowering therapy, in patients with severe hypertriglyceridemia, and in patients with hypercholesterolemia on a high-intensity stable statin therapy with or without ezetimibe.</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Generic company competitors are seeking FDA approval of generic versions of Vascepa and we are now engaged in related patent litigation.</w:t>
      </w:r>
    </w:p>
    <w:p>
      <w:pPr>
        <w:spacing w:after="0" w:line="9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3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2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3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03"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9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exclusivity status.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ANDAs. These certifications were expected given the eligibility for submission of ANDAs under the NCE regulatory structure, after the expiration of four years from the July 2012 approval of Vascepa.</w:t>
      </w:r>
    </w:p>
    <w:p>
      <w:pPr>
        <w:spacing w:after="0" w:line="13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8"/>
          <w:szCs w:val="18"/>
          <w:i w:val="1"/>
          <w:iCs w:val="1"/>
          <w:color w:val="auto"/>
        </w:rPr>
        <w:t>Amarin Pharma,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v. Roxane Laboratories, Inc. et al., </w:t>
      </w:r>
      <w:r>
        <w:rPr>
          <w:rFonts w:ascii="Times New Roman" w:cs="Times New Roman" w:eastAsia="Times New Roman" w:hAnsi="Times New Roman"/>
          <w:sz w:val="18"/>
          <w:szCs w:val="18"/>
          <w:color w:val="auto"/>
        </w:rPr>
        <w:t>Civ. A. No. 2:16-cv-02525 (D. Nev.). In November 2016, Amarin filed a lawsuit against Dr. Reddy’s Laboratories,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 Inc. et al. v. Dr. Reddy’s Laboratories, Inc. et al.</w:t>
      </w:r>
      <w:r>
        <w:rPr>
          <w:rFonts w:ascii="Times New Roman" w:cs="Times New Roman" w:eastAsia="Times New Roman" w:hAnsi="Times New Roman"/>
          <w:sz w:val="18"/>
          <w:szCs w:val="18"/>
          <w:color w:val="auto"/>
        </w:rPr>
        <w:t>, Civ. A. No. 2:16-cv-02562 (D. Nev.). In November 2016, Amarin filed a lawsuit against Teva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USA, Inc. and Teva Pharmaceuticals Industries Limited (collectively,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“Teva”) in the U.S. District Court for the District of Nevada. The case against Teva is captioned </w:t>
      </w:r>
      <w:r>
        <w:rPr>
          <w:rFonts w:ascii="Times New Roman" w:cs="Times New Roman" w:eastAsia="Times New Roman" w:hAnsi="Times New Roman"/>
          <w:sz w:val="16"/>
          <w:szCs w:val="16"/>
          <w:i w:val="1"/>
          <w:iCs w:val="1"/>
          <w:color w:val="auto"/>
        </w:rPr>
        <w:t>Amarin Pharma, Inc. et al. v. Teva Pharmaceuticals USA, Inc. 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al.</w:t>
      </w:r>
      <w:r>
        <w:rPr>
          <w:rFonts w:ascii="Times New Roman" w:cs="Times New Roman" w:eastAsia="Times New Roman" w:hAnsi="Times New Roman"/>
          <w:sz w:val="16"/>
          <w:szCs w:val="16"/>
          <w:color w:val="auto"/>
        </w:rPr>
        <w:t>, Civ. A. No. 2:16-cv-02658. In all three lawsuits, we are seeking, among other remedies, an order enjoining each defendant from marketing generic versions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Vascepa before the last to expire of the asserted patents in 2030. The three lawsuits have been consolidated for pretrial proceedings, and are in their early stages.</w:t>
      </w:r>
    </w:p>
    <w:p>
      <w:pPr>
        <w:ind w:right="160"/>
        <w:spacing w:after="0" w:line="323" w:lineRule="auto"/>
        <w:rPr>
          <w:sz w:val="20"/>
          <w:szCs w:val="20"/>
          <w:color w:val="auto"/>
        </w:rPr>
      </w:pPr>
      <w:r>
        <w:rPr>
          <w:rFonts w:ascii="Times New Roman" w:cs="Times New Roman" w:eastAsia="Times New Roman" w:hAnsi="Times New Roman"/>
          <w:sz w:val="16"/>
          <w:szCs w:val="16"/>
          <w:color w:val="auto"/>
        </w:rPr>
        <w:t>As a result of the statutory stay associated with the filing of these lawsuits under the Hatch-Waxman Act, the FDA cannot grant final approval to Roxane, DRL, or Teva’s respective ANDA before January 2020, unless there is an earlier court decision holding that the subject patents are not infringed and/or are invalid.</w:t>
      </w:r>
    </w:p>
    <w:p>
      <w:pPr>
        <w:spacing w:after="0" w:line="87"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fourth ANDA applicant referenced above is Apotex Inc.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37" w:lineRule="exact"/>
        <w:rPr>
          <w:sz w:val="20"/>
          <w:szCs w:val="20"/>
          <w:color w:val="auto"/>
        </w:rPr>
      </w:pPr>
    </w:p>
    <w:p>
      <w:pPr>
        <w:ind w:right="9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We intend to vigorously enforce our intellectual property rights relating to Vascepa, but we cannot predict the outcome of the </w:t>
      </w:r>
      <w:r>
        <w:rPr>
          <w:rFonts w:ascii="Times New Roman" w:cs="Times New Roman" w:eastAsia="Times New Roman" w:hAnsi="Times New Roman"/>
          <w:sz w:val="18"/>
          <w:szCs w:val="18"/>
          <w:i w:val="1"/>
          <w:iCs w:val="1"/>
          <w:color w:val="auto"/>
        </w:rPr>
        <w:t>Roxane, DRL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Teva </w:t>
      </w:r>
      <w:r>
        <w:rPr>
          <w:rFonts w:ascii="Times New Roman" w:cs="Times New Roman" w:eastAsia="Times New Roman" w:hAnsi="Times New Roman"/>
          <w:sz w:val="18"/>
          <w:szCs w:val="18"/>
          <w:color w:val="auto"/>
        </w:rPr>
        <w:t>lawsuits or any subsequently filed lawsuits.</w:t>
      </w:r>
    </w:p>
    <w:p>
      <w:pPr>
        <w:spacing w:after="0" w:line="11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an ANDA filer is ultimately successful in patent litigation against us, it meets the requirements for a generic version of Vascepa to the satisfaction of the FDA under its ANDA (after the applicable regulatory exclusivity period and the litigation-related 30-month stay period ends),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16" w:lineRule="exact"/>
        <w:rPr>
          <w:sz w:val="20"/>
          <w:szCs w:val="20"/>
          <w:color w:val="auto"/>
        </w:rPr>
      </w:pPr>
    </w:p>
    <w:p>
      <w:pPr>
        <w:ind w:left="24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Vascepa’s five-year, new chemical entity, or NCE, regulatory exclusivity from the FDA and related 30-month stay that is scheduled to expire in January 2020 could be challenged by companies seeking to make generic versions of Vascepa.</w:t>
      </w:r>
    </w:p>
    <w:p>
      <w:pPr>
        <w:spacing w:after="0" w:line="3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timelines and conditions under the abbreviated new drug application, or ANDA, process that permit the start of patent litigation and allow the FDA to approve generic versions of brand name drugs like Vascepa differ based on whether a drug receives three-year, or five-year, new chemical entity, or NCE, marketing exclusivity. In May 2016, after significant litigation, FDA determined that Vascepa is eligible for NCE marketing exclusivity. Accordingly, a related 30-month stay is currently in place and is scheduled to continue until January 26, 2020, seven-and-a-half years from FDA approval of Vascepa, unless related patent litigation is resolved against us sooner.</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also help protect Vascepa against generic competition.</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Amarin, as a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4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NCE exclusivity status.</w:t>
      </w:r>
    </w:p>
    <w:p>
      <w:pPr>
        <w:spacing w:after="0" w:line="209" w:lineRule="exact"/>
        <w:rPr>
          <w:sz w:val="20"/>
          <w:szCs w:val="20"/>
          <w:color w:val="auto"/>
        </w:rPr>
      </w:pPr>
    </w:p>
    <w:p>
      <w:pPr>
        <w:ind w:left="240" w:right="7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Our only product, Vascepa, is a prescription-only omega-3 fatty acid in ethyl ester form. Mixtures of omega-3 fatty acids in triglyceride form are naturally occurring substances contained in various foods, including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fatty fish. Omega-3 fatty acids are also marketed by others as non-prescription dietary supplements. We cannot be sure physicians will view the pharmaceutical grade purity and tested efficacy and safety of Vascepa as having a superior therapeutic profile to untested and largely unregulated omega-3 fatty acid dietary supplements. In addition, the FDA has not enforced what we view as illegal drug claims made by certain omega-3 fatty acid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While Vascepa is highly price-competitive for patients when covered by insurance—cheaper in many cases—either of these outcomes may adversely impact our results of operations by limiting how we price our product and limiting the revenue we receive from the sale of Vascepa due to reduced market acceptance.</w:t>
      </w: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Vascepa co-promotion effort with Kowa Pharmaceuticals America, Inc.</w:t>
      </w:r>
    </w:p>
    <w:p>
      <w:pPr>
        <w:spacing w:after="0" w:line="94"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March 2014, we entered into a co-promotion agreement with Kowa Pharmaceuticals America, Inc. to co-promote Vascepa in the United States under which no less than 250 Kowa Pharmaceuticals America, Inc. sales representatives devote a substantial portion of their time to promoting Vascepa with our approximately 150 sales professionals, including sales representatives and their managers.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current and sought marketing rights may be smaller than we anticipate.</w:t>
      </w:r>
    </w:p>
    <w:p>
      <w:pPr>
        <w:spacing w:after="0" w:line="94"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3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3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20"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 In September 2016, we announced that the DMC completed its review of the first pre-specified interim efficacy analysis and, consistent with previously stated expectations, recommended that the trial continue as planned without modification.</w:t>
      </w:r>
    </w:p>
    <w:p>
      <w:pPr>
        <w:spacing w:after="0" w:line="14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4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with high triglyceride levels despite being on statin therapy.</w:t>
      </w:r>
    </w:p>
    <w:p>
      <w:pPr>
        <w:spacing w:after="0" w:line="13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w:t>
      </w:r>
    </w:p>
    <w:p>
      <w:pPr>
        <w:spacing w:after="0" w:line="111"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Outcomes studies of certain other lipid-modifying therapies included results which, after review of information not fully available to the sponsors during the conduct of the trials, modified initial reports of the trial results. Two examples are the AIM-HIGH trial and the IMPROVE-IT trial. When the AIM-HIGH trial was stopped, there were initial reports of certain safety concerns which, upon further and more detailed subsequent review, were concluded to not be associated with the study therapy. After the IMPROVE-IT trial was completed, initial reports on the effect of adding ezetimibe to statin therapy in subjects with acute coronary syndrome suggested greater benefit on cardiovascular outcomes than was considered to be the case after later reassessment and further evaluation of study data. In 2015, the results of the IMPROVE-IT trial were published. Based on the published results, the addition of ezetimibe showed incremental lowering of LDL cholesterol levels and improved cardiovascular outcomes. This result was statistically significant but less than ten percent. Further evaluation of the IMPROVE-IT results suggested that the outcomes benefit may have been lower after factoring in and making certain assumptions regarding complicating factors such as a high number of patients who discontinued the study drug, withdrew consent, or were lost to follow-up. FDA approval of a new indication for ezetimibe based on the IMPROVE-IT results was denied after a negative FDA advisory committee recommendation that followed examination of the study results.</w:t>
      </w:r>
    </w:p>
    <w:p>
      <w:pPr>
        <w:spacing w:after="0" w:line="113"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addition, in September 2012, researchers published in the </w:t>
      </w:r>
      <w:r>
        <w:rPr>
          <w:rFonts w:ascii="Times New Roman" w:cs="Times New Roman" w:eastAsia="Times New Roman" w:hAnsi="Times New Roman"/>
          <w:sz w:val="18"/>
          <w:szCs w:val="18"/>
          <w:i w:val="1"/>
          <w:iCs w:val="1"/>
          <w:color w:val="auto"/>
        </w:rPr>
        <w:t>Journal of the American Medical Association,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These facts illustrate categories of challenges faced in demonstrating favorable results in complex clinical studies like REDUCE-IT and in seeking to apply those results in support of regulatory approvals.</w:t>
      </w:r>
    </w:p>
    <w:p>
      <w:pPr>
        <w:spacing w:after="0" w:line="13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Data from clinical trials are invariably complex. It is also not typically possible to reliably extrapolate results from one trial to predict results from another.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xml:space="preserve"> meta-analysis involved the use of omega-3 supplements containing a mixture of EPA and DHA, and most were evaluated at relatively lower doses. In addition, in May 2013,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published the results of an outcomes study of 1 gram per day of an omega-3 acid ethyl ester composition. In that study, the composition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36"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1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(³150 mg/dL) and low HDL-C (£40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47"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There can be no assurance that the REDUCE-IT study will be completed successfully, that the endpoints of the REDUCE-IT cardiovascular outcomes study will be achieved, that the results will support regulatory approvals, or that the lipid-modifying effects of Vascepa in REDUCE-IT or any other study of Vascepa will not be subject to variation beyond twelve weeks. If the REDUCE-IT trial is not successful or if the results of this long-term study are not consistent with the 12-week clinical results, it could prevent us from expanding the labeled approval of Vascepa or even call into question the currently understood efficacy and safety profile of Vascepa. In any such case, the market potential for Vascepa would suffer and our business would be materially affected.</w:t>
      </w:r>
    </w:p>
    <w:p>
      <w:pPr>
        <w:spacing w:after="0" w:line="185" w:lineRule="exact"/>
        <w:rPr>
          <w:sz w:val="20"/>
          <w:szCs w:val="20"/>
          <w:color w:val="auto"/>
        </w:rPr>
      </w:pPr>
    </w:p>
    <w:p>
      <w:pPr>
        <w:ind w:left="24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such as under the DCS Agreement with Eddingpharm, may be smaller than we anticipate.</w:t>
      </w:r>
    </w:p>
    <w:p>
      <w:pPr>
        <w:spacing w:after="0" w:line="34"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Vascepa outside the United States. For example,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455" w:right="2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36"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13"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We also are subject to the new federal transparency requirements under the Patient Protection and Affordable Care Act, as amended by the Health Care and Education Reconciliation Act, or collectively the PPACA, enacted in March 2010,which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33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and in other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55"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340" w:firstLine="456"/>
        <w:spacing w:after="0" w:line="301" w:lineRule="auto"/>
        <w:rPr>
          <w:sz w:val="20"/>
          <w:szCs w:val="20"/>
          <w:color w:val="auto"/>
        </w:rPr>
      </w:pPr>
      <w:r>
        <w:rPr>
          <w:rFonts w:ascii="Times New Roman" w:cs="Times New Roman" w:eastAsia="Times New Roman" w:hAnsi="Times New Roman"/>
          <w:sz w:val="16"/>
          <w:szCs w:val="16"/>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and appear likely in the 115th United States Congress and under the Trump Administration.</w:t>
      </w:r>
    </w:p>
    <w:p>
      <w:pPr>
        <w:spacing w:after="0" w:line="10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16" w:lineRule="exact"/>
        <w:rPr>
          <w:sz w:val="20"/>
          <w:szCs w:val="20"/>
          <w:color w:val="auto"/>
        </w:rPr>
      </w:pPr>
    </w:p>
    <w:p>
      <w:pPr>
        <w:ind w:left="240"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strictly regulate the promotional claims that may be made about prescription products. If we or our partners are found to have improperly promoted uses of Vascepa, we may become subject to significant fines and other liability. The government may seek to find means to prevent our promotion of truthful and non-misleading information beyond the current court ruling and litigation settlement.</w:t>
      </w:r>
    </w:p>
    <w:p>
      <w:pPr>
        <w:spacing w:after="0" w:line="4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 outside the United States,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3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prospective 80% interim efficacy and safety analysis of the REDUCE-IT cardiovascular outcomes trial may not be completed in the contemplated timeframe and may not demonstrate to the independent committee monitoring the study a sufficient benefit risk result to warrant the independent committee recommending stopping the study early for overwhelming efficacy. The independent monitoring committee may, at its discretion, also recommend that the study be stopped for safety or related concerns.</w:t>
      </w:r>
    </w:p>
    <w:p>
      <w:pPr>
        <w:spacing w:after="0" w:line="5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September 2016, we announced that the DMC completed its review of the first pre-specified interim efficacy analysis upon reaching approximately 60% of the target aggregate number of cardiovascular events in accordance with the SPA agreement for our REDUCE-IT cardiovascular outcomes trial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and safety analysis by the DMC expected in or about the third quarter of 2017. The interim efficacy analysis will be accompanied by an interim safety analysis by the DMC. It may actually take longer than anticipated for the DMC assessment of data for the interim analysis.</w:t>
      </w:r>
    </w:p>
    <w:p>
      <w:pPr>
        <w:spacing w:after="0" w:line="141"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near the end of 2017. We do not expect the study to be stopped due to overwhelming efficacy at the next interim look.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due to low likelihood of obtaining a favorable result at completion. Despite no formal futility analysis or boundary being pre-specified in the protocol, it is within the purview of the DMC to weigh all available information and recommend study stoppage or continuation.</w:t>
      </w:r>
    </w:p>
    <w:p>
      <w:pPr>
        <w:spacing w:after="0" w:line="11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Moreover, it is the DMC that will make the formal recommendation as to whether to stop the study early or to continue as planned. We are blinded to the interim analysis results and are informed by the DMC of the recommendation to stop the study or to continue as planned. The DMC may consider factors outside the pre-specified statistical analysis plan when assessing whether to recommend continuing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209" w:lineRule="exact"/>
        <w:rPr>
          <w:sz w:val="20"/>
          <w:szCs w:val="20"/>
          <w:color w:val="auto"/>
        </w:rPr>
      </w:pPr>
    </w:p>
    <w:p>
      <w:pPr>
        <w:ind w:left="240"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3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58"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90"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90"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affecting our clinical trial sites, such as the potential for political unrest affecting our REDUCE-IT clinical trial sites in the Ukraine and Russia.</w:t>
      </w:r>
    </w:p>
    <w:p>
      <w:pPr>
        <w:spacing w:after="0" w:line="120"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not be inert. After each such quarterly unblinded safety analysis and review meeting to date, the DMC has recommended to continue the REDUCE-IT study as planned. Each of these DMC recommendations has been shared with FDA. Amarin and FDA remain blinded to such study data. Despite the currently positive disposition of this matter, it illustrates that concerns such as this may arise in the future that could affect our product development, regulatory review or the public perception of our products and our future prospects.</w:t>
      </w:r>
    </w:p>
    <w:p>
      <w:pPr>
        <w:spacing w:after="0" w:line="13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process of establishing a commercial infrastructure is difficult, expensive and time-consuming. We have a relatively small sales organization consisting of approximately 150 sales professionals, including sales representatives and their managers.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key suppliers.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4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beyond Nisshin has been to expand manufacturing capacity, maintain competitive advantages, and mitigate the risk of reliance on any single supplier.</w:t>
      </w:r>
    </w:p>
    <w:p>
      <w:pPr>
        <w:spacing w:after="0" w:line="136"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1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currently have encapsulation agreements with three commercial API encapsulators for the encapsulation of Vascepa: Patheon, Inc. (formerly Banner Pharmacaps), Catalent Pharma Solutions, and Capsugel Plöermel SAS.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216" w:lineRule="exact"/>
        <w:rPr>
          <w:sz w:val="20"/>
          <w:szCs w:val="20"/>
          <w:color w:val="auto"/>
        </w:rPr>
      </w:pPr>
    </w:p>
    <w:p>
      <w:pPr>
        <w:ind w:left="240"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3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48"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41" w:lineRule="exact"/>
        <w:rPr>
          <w:sz w:val="20"/>
          <w:szCs w:val="20"/>
          <w:color w:val="auto"/>
        </w:rPr>
      </w:pPr>
    </w:p>
    <w:p>
      <w:pPr>
        <w:ind w:right="380" w:firstLine="456"/>
        <w:spacing w:after="0" w:line="301" w:lineRule="auto"/>
        <w:rPr>
          <w:sz w:val="20"/>
          <w:szCs w:val="20"/>
          <w:color w:val="auto"/>
        </w:rPr>
      </w:pPr>
      <w:r>
        <w:rPr>
          <w:rFonts w:ascii="Times New Roman" w:cs="Times New Roman" w:eastAsia="Times New Roman" w:hAnsi="Times New Roman"/>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0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39" w:lineRule="exact"/>
        <w:rPr>
          <w:sz w:val="20"/>
          <w:szCs w:val="20"/>
          <w:color w:val="auto"/>
        </w:rPr>
      </w:pPr>
    </w:p>
    <w:p>
      <w:pPr>
        <w:jc w:val="both"/>
        <w:ind w:right="720" w:firstLine="456"/>
        <w:spacing w:after="0" w:line="262" w:lineRule="auto"/>
        <w:rPr>
          <w:sz w:val="20"/>
          <w:szCs w:val="20"/>
          <w:color w:val="auto"/>
        </w:rPr>
      </w:pPr>
      <w:r>
        <w:rPr>
          <w:rFonts w:ascii="Times New Roman" w:cs="Times New Roman" w:eastAsia="Times New Roman" w:hAnsi="Times New Roman"/>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09"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3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collaboration with Eddingpharm and others to commercialize Vascepa in certain regions outside of the United States, and if such third parties fail to successfully fulfill their obligations, or are ineffective in their commercialization of Vascepa, or if our collaborations are terminated, our plans to commercialize Vascepa outside of the United States may be adversely affected.</w:t>
      </w:r>
    </w:p>
    <w:p>
      <w:pPr>
        <w:spacing w:after="0" w:line="4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13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We also have an agreement with Biologix, entered into in March 2016, to register and commercialize Vascepa in countries within the Middle East and North Africa. Commercialization across the region, as in China, is subject to similar third party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potential of Vascepa.</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51 patent applications in the United States that have been either issued or allowed and more than 30 additional patent applications are pending in the United States. Such 51 allowed and issued applications include the following:</w:t>
      </w:r>
    </w:p>
    <w:p>
      <w:pPr>
        <w:spacing w:after="0" w:line="51"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issued U.S. patents directed to a pharmaceutical composition of Vascepa in a capsule that have terms that expire in 2020 and 2030, respectively,</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issued U.S. patent covering a composition containing highly pure EPA that expires in 2021,</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U.S. patents covering or related to the use of Vascepa in either the MARINE or ANCHOR populations that have terms that expire in 2030 or later,</w:t>
      </w:r>
    </w:p>
    <w:p>
      <w:pPr>
        <w:spacing w:after="0" w:line="113" w:lineRule="exact"/>
        <w:rPr>
          <w:rFonts w:ascii="Times New Roman" w:cs="Times New Roman" w:eastAsia="Times New Roman" w:hAnsi="Times New Roman"/>
          <w:sz w:val="16"/>
          <w:szCs w:val="16"/>
          <w:color w:val="auto"/>
        </w:rPr>
      </w:pPr>
    </w:p>
    <w:p>
      <w:pPr>
        <w:ind w:left="900" w:right="12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the use of a pharmaceutical composition comprised of free fatty acids to treat the ANCHOR patient population with a term that expires in 2030,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8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a pharmaceutical composition comprised of free fatty acids to treat the MARINE patient population with a term that expires in 2030,</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formulation of EPA/DHA and uses thereof with a term that expires in 2030,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the use of Vascepa to treat obesity with a term that expires in 2030,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covering a pharmaceutical composition comprised of EPA and a hydroxyl compound with a term that expires in 2034.</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9"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08"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 can be no assurance that such a challenge would not result in the narrowing or complete revocation of any patent of ours that was so challenged.</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94"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1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94"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1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240" w:top="455" w:right="3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6"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3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34"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In January 2017, we issued financial and business guidance, including expected fiscal year 2017 total net revenue and expectations regarding improved cash flow from commercial operations and timing of the REDUCE-IT outcomes trial.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2017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185" w:lineRule="exact"/>
        <w:rPr>
          <w:sz w:val="20"/>
          <w:szCs w:val="20"/>
          <w:color w:val="auto"/>
        </w:rPr>
      </w:pPr>
    </w:p>
    <w:p>
      <w:pPr>
        <w:ind w:left="2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current and former executive officers were named as defendants in a class action lawsuit that could result in substantial costs and divert management’s attention.</w:t>
      </w:r>
    </w:p>
    <w:p>
      <w:pPr>
        <w:spacing w:after="0" w:line="34"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were named as defendants in a class action lawsuit that generally alleged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sought unspecified damages, interest, attorneys’ fees, and other costs.</w:t>
      </w:r>
    </w:p>
    <w:p>
      <w:pPr>
        <w:spacing w:after="0" w:line="111"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We engaged in a vigorous defense of this lawsuit. On June 29, 2015, the court granted our first motion to dismiss the class action litigation without prejudice. The court held that the plaintiffs failed to state a claim upon which relief could be granted and plaintiffs were given 30 days to refile an amended complaint.</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July 29, 2015, the plaintiffs filed an amended complaint and we again moved to dismiss. On April 26, 2016, the court granted a second motion to dismiss, again without prejudice, with leave for plaintiffs to file an amended complaint. On May 24, 2016, plaintiffs notified the court they would not file another amended complaint and on September 21, 2016, filed a brief in support of their appeal of the most recent dismissal to the Third Circuit Court of Appeals. We plan to continue with our vigorous defense in connection with this appeal.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are unable to predict the ultimate outcome of this matter at this time.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94"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7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liability in connection with the wind-down of our EN101 program.</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3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could have a negative effect on our future profitability.</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38"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 audit by the United States Internal Revenue Service (IRS) for the years 2012 to 2013.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w:t>
      </w:r>
    </w:p>
    <w:p>
      <w:pPr>
        <w:spacing w:after="0" w:line="94" w:lineRule="exact"/>
        <w:rPr>
          <w:sz w:val="20"/>
          <w:szCs w:val="20"/>
          <w:color w:val="auto"/>
        </w:rPr>
      </w:pPr>
    </w:p>
    <w:p>
      <w:pPr>
        <w:jc w:val="both"/>
        <w:ind w:right="80" w:firstLine="456"/>
        <w:spacing w:after="0" w:line="285" w:lineRule="auto"/>
        <w:rPr>
          <w:sz w:val="20"/>
          <w:szCs w:val="20"/>
          <w:color w:val="auto"/>
        </w:rPr>
      </w:pPr>
      <w:r>
        <w:rPr>
          <w:rFonts w:ascii="Times New Roman" w:cs="Times New Roman" w:eastAsia="Times New Roman" w:hAnsi="Times New Roman"/>
          <w:sz w:val="16"/>
          <w:szCs w:val="16"/>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Our top three customers accounted for 95% of gross product sales for each of the years ended December 31, 2016 and 2015 and represented 96% and 95% of the gross accounts receivable balance as of December 31, 2016 and 2015,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have not yet reached profitability. For the fiscal years ended December 31, 2016, 2015, and 2014, we reported losses of approximately $86.4 million, $149.1 million, and $56.4 million, respectively, and we had an accumulated deficit as of December 31, 2016 of $1.2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profitable.</w:t>
      </w:r>
    </w:p>
    <w:p>
      <w:pPr>
        <w:spacing w:after="0" w:line="9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3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results do not form an accurate basis for assessing our current business.</w:t>
      </w:r>
    </w:p>
    <w:p>
      <w:pPr>
        <w:spacing w:after="0" w:line="94"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0" w:lineRule="exact"/>
        <w:rPr>
          <w:sz w:val="20"/>
          <w:szCs w:val="20"/>
          <w:color w:val="auto"/>
        </w:rPr>
      </w:pPr>
    </w:p>
    <w:p>
      <w:pPr>
        <w:ind w:left="240"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3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 future. We believe that our quarterly and annual results of operations may be affected by a variety of factors, including:</w:t>
      </w:r>
    </w:p>
    <w:p>
      <w:pPr>
        <w:spacing w:after="0" w:line="90"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38"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38"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commercialization partners outside the United States, such as Eddingpharm and Biologix, to develop, register and commercialize Vascepa in the China Territory, several Middle Eastern and North African countries, and other territories outside the United States, including obtaining necessary regulatory approvals and establishing marketing channels;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nature of results of the REDUCE-IT study or post-approval studies for Vascepa;</w:t>
      </w:r>
    </w:p>
    <w:p>
      <w:pPr>
        <w:spacing w:after="0" w:line="90"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including our pending FDA determination on regulatory exclusivity, shareholder litigation, regulatory matters and tax matters;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dialogue on the REDUCE-IT study.</w:t>
      </w:r>
    </w:p>
    <w:p>
      <w:pPr>
        <w:spacing w:after="0" w:line="248"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34"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We currently operate with limited resources. We believe that our cash and cash equivalents balance of $98.3 million as of December 31, 2016 will be sufficient to fund our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03"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90"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cost associated with our REDUCE-IT cardiovascular outcomes study;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60"/>
          </w:cols>
          <w:pgMar w:left="240" w:top="455" w:right="2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52" w:lineRule="exact"/>
        <w:rPr>
          <w:sz w:val="20"/>
          <w:szCs w:val="20"/>
          <w:color w:val="auto"/>
        </w:rPr>
      </w:pPr>
    </w:p>
    <w:p>
      <w:pPr>
        <w:ind w:left="24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net operating loss carryforwards for tax purposes, the majority of which are from operations in Ireland. The potential future benefit of such net operating loss carryforwards could be lost if tax regulations change or if we are deemed to not have active operations in Ireland.</w:t>
      </w:r>
    </w:p>
    <w:p>
      <w:pPr>
        <w:spacing w:after="0" w:line="3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Amarin developed Vascepa, known during development as AMR101, in and from Ireland. In recent years, particularly since 2013 when commercial sale of Vascepa commenced in the United States, the majority of Amarin’s consolidated operations have been in the United States. Ownership to Vascepa continues to reside with Amarin’s wholly-owned Ireland-based subsidiary, Amarin Pharmaceuticals Ireland Ltd., and oversight and operations of that entity are structured to be maintained in Ireland. In order to effectively utilize Amarin’s accumulated net operating loss carryforwards for tax purposes in Ireland, Amarin operations, particularly for this subsidiary, need to be active in Ireland. In addition, utilization of these accumulated net operating loss carryforwards assume that tax treaties between Ireland and other countries, particularly the United States, do not change in a manner which limit Amarin’s future ability to offset earnings with these operating loss carryforwards for tax purposes.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Continued negative economic conditions would likely have a negative effect on our ability to obtain financing on acceptable terms.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2012, Corsicanto Designated Activity Company (formerly Corsicanto Limited), or Corsicanto, issued $150.0 million in aggregate principal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of 3.5% exchangeable senior notes due 2032, or the 2012 Notes. In May 2014, we entered into separate, privately negotiated exchange agreements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holders of the 2012 Notes pursuant to which Corsicanto exchanged $118.7 million in aggregate principal amount of the existing 2012 Notes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$118.7 million in aggregate principal amount of new 3.5% May 2014 Exchangeable Senior Notes due 2032, or the 2014 Notes. In November 2015, we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 million in aggregate principal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amount of 3.5% exchangeable senior notes due 2032, or the 2015 Notes, and used $16.2 million of the proceeds to repay a portion of the 2012 Notes, such that $15.1 million of 2012 Notes remained outstanding. In September 2016, we mandatorily exchanged the entirety of the 2014 Notes and 2015 Notes, in accordance with their respective terms, into 60,311,188 ADSs. In January 2017, approximately $15.0 million of the 2012 Notes were put to us, such that $0.1 million of the 2012 Notes currently remains outstanding. We have initiated the process to redeem the $0.1 million of outstanding principal amount of 2012 Notes, which we expect will be completed in the first quarter of 2017. In the event of physical settlement, the remaining $0.1 million of 2012 Notes would be exchangeable into a total of 15,092 ADSs.</w:t>
      </w:r>
    </w:p>
    <w:p>
      <w:pPr>
        <w:spacing w:after="0" w:line="139"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In January 2017, Corsicanto II Designated Activity Company, or Corsicanto II, issued $30.0 million in aggregate principal amount of 3.5% exchangeable senior notes due 2047, or the 2017 Notes. In the event of physical settlement, the 2017 Notes would be exchangeable into a total of 7,716,048 ADSs.</w:t>
      </w:r>
    </w:p>
    <w:p>
      <w:pPr>
        <w:spacing w:after="0" w:line="7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55"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7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3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As of February 20, 2017 we had 272,061,557 common shares outstanding including 269,369,455 shares held as ADSs and 2,692,102 held as common shares (which are not held in the form of ADSs). There is a risk</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20"/>
          </w:cols>
          <w:pgMar w:left="24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the European Union or other countries;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48" w:lineRule="exact"/>
        <w:rPr>
          <w:sz w:val="20"/>
          <w:szCs w:val="20"/>
          <w:color w:val="auto"/>
        </w:rPr>
      </w:pPr>
    </w:p>
    <w:p>
      <w:pPr>
        <w:ind w:left="240"/>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3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20"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4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share price of less than $1.00 may impact our NASDAQ listing.</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16" w:lineRule="exact"/>
        <w:rPr>
          <w:sz w:val="20"/>
          <w:szCs w:val="20"/>
          <w:color w:val="auto"/>
        </w:rPr>
      </w:pPr>
    </w:p>
    <w:p>
      <w:pPr>
        <w:ind w:lef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48"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would result in adverse U.S. federal tax consequences to U.S. investors.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believe it is prudent to assume that we were classified as a PFIC in 2012. We do not believe that we were classified as a PFIC in 2013 through 2016.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status as a PFIC is subject to change in 2017 and future years.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our obligations under our Purchase and Sale Agreement with BioPharma could adversely affect our financial results and liquidity.</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0" w:lineRule="exact"/>
        <w:rPr>
          <w:sz w:val="20"/>
          <w:szCs w:val="20"/>
          <w:color w:val="auto"/>
        </w:rPr>
      </w:pPr>
    </w:p>
    <w:p>
      <w:pPr>
        <w:jc w:val="both"/>
        <w:ind w:right="40" w:firstLine="456"/>
        <w:spacing w:after="0" w:line="287" w:lineRule="auto"/>
        <w:rPr>
          <w:sz w:val="20"/>
          <w:szCs w:val="20"/>
          <w:color w:val="auto"/>
        </w:rPr>
      </w:pPr>
      <w:r>
        <w:rPr>
          <w:rFonts w:ascii="Times New Roman" w:cs="Times New Roman" w:eastAsia="Times New Roman" w:hAnsi="Times New Roman"/>
          <w:sz w:val="16"/>
          <w:szCs w:val="16"/>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w:t>
      </w:r>
    </w:p>
    <w:p>
      <w:pPr>
        <w:spacing w:after="0" w:line="1" w:lineRule="exact"/>
        <w:rPr>
          <w:sz w:val="20"/>
          <w:szCs w:val="20"/>
          <w:color w:val="auto"/>
        </w:rPr>
      </w:pPr>
    </w:p>
    <w:p>
      <w:pPr>
        <w:ind w:right="420" w:firstLine="8"/>
        <w:spacing w:after="0" w:line="261" w:lineRule="auto"/>
        <w:tabs>
          <w:tab w:leader="none" w:pos="2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any of the collateral securing our performance under the agreement; and (v) abandon certain patent rights, in each case without the consent of BioPharma.</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39" w:lineRule="exact"/>
        <w:rPr>
          <w:sz w:val="20"/>
          <w:szCs w:val="20"/>
          <w:color w:val="auto"/>
        </w:rPr>
      </w:pPr>
    </w:p>
    <w:p>
      <w:pPr>
        <w:jc w:val="both"/>
        <w:ind w:right="120" w:firstLine="456"/>
        <w:spacing w:after="0" w:line="301" w:lineRule="auto"/>
        <w:rPr>
          <w:sz w:val="20"/>
          <w:szCs w:val="20"/>
          <w:color w:val="auto"/>
        </w:rPr>
      </w:pPr>
      <w:r>
        <w:rPr>
          <w:rFonts w:ascii="Times New Roman" w:cs="Times New Roman" w:eastAsia="Times New Roman" w:hAnsi="Times New Roman"/>
          <w:sz w:val="16"/>
          <w:szCs w:val="16"/>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financial condition.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existing indebtedness consists of $0.1 million in aggregate principal amount of 3.5% exchangeable senior notes due 2032, or the 2012 Notes,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million in aggregate principal amount of 3.5% exchangeable senior notes due 2047, or the 2017 Notes. The 2012 Notes contain a provision for such notes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put to us by the holders for repayment in cash on each of January 19, 2022 and January 19, 2027. The 2017 Notes contain a provision for such notes to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 to us by the holders for repayment in cash on January 19, 2022.</w:t>
      </w:r>
    </w:p>
    <w:p>
      <w:pPr>
        <w:spacing w:after="0" w:line="15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indebtedness and the related annual debt service requirements may adversely impact our business, operations and financial condition in the future. For example, they could:</w:t>
      </w:r>
    </w:p>
    <w:p>
      <w:pPr>
        <w:spacing w:after="0" w:line="39"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to service payments on our debt or to restructure our debt; or</w:t>
      </w:r>
    </w:p>
    <w:p>
      <w:pPr>
        <w:spacing w:after="0" w:line="90"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 or to pursue certain strategic opportunities that may present themselves.</w:t>
      </w:r>
    </w:p>
    <w:p>
      <w:pPr>
        <w:spacing w:after="0" w:line="197" w:lineRule="exact"/>
        <w:rPr>
          <w:sz w:val="20"/>
          <w:szCs w:val="20"/>
          <w:color w:val="auto"/>
        </w:rPr>
      </w:pPr>
    </w:p>
    <w:p>
      <w:pPr>
        <w:ind w:left="240"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accounting for convertible debt securities that may be settled in cash, such as our 2012 Notes and 2017 Notes, could have a material effect on our reported financial results.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Servicing our debt may require a significant amount of cash, and we may not have sufficient cash flow from our business to provide the funds sufficient to pay our substantial debt.</w:t>
      </w:r>
    </w:p>
    <w:p>
      <w:pPr>
        <w:spacing w:after="0" w:line="12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4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may be able to incur substantial additional debt in the future, subject to the restrictions contained in our future debt instruments, if any, which would intensify the risks discussed above.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1" w:lineRule="exact"/>
        <w:rPr>
          <w:sz w:val="20"/>
          <w:szCs w:val="20"/>
          <w:color w:val="auto"/>
        </w:rPr>
      </w:pPr>
    </w:p>
    <w:p>
      <w:pPr>
        <w:ind w:left="900" w:right="160" w:hanging="325"/>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51"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38" w:lineRule="exact"/>
        <w:rPr>
          <w:rFonts w:ascii="Times New Roman" w:cs="Times New Roman" w:eastAsia="Times New Roman" w:hAnsi="Times New Roman"/>
          <w:sz w:val="18"/>
          <w:szCs w:val="18"/>
          <w:color w:val="auto"/>
        </w:rPr>
      </w:pPr>
    </w:p>
    <w:p>
      <w:pPr>
        <w:ind w:left="900" w:right="240" w:hanging="325"/>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51"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240" w:top="455" w:right="3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00" w:hanging="325"/>
        <w:spacing w:after="0" w:line="287"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ind w:left="900" w:right="4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6" w:lineRule="exact"/>
        <w:rPr>
          <w:rFonts w:ascii="Times New Roman" w:cs="Times New Roman" w:eastAsia="Times New Roman" w:hAnsi="Times New Roman"/>
          <w:sz w:val="16"/>
          <w:szCs w:val="16"/>
          <w:color w:val="auto"/>
        </w:rPr>
      </w:pPr>
    </w:p>
    <w:p>
      <w:pPr>
        <w:ind w:left="900" w:right="140" w:hanging="325"/>
        <w:spacing w:after="0" w:line="258"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5"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16" w:lineRule="exact"/>
        <w:rPr>
          <w:sz w:val="20"/>
          <w:szCs w:val="20"/>
          <w:color w:val="auto"/>
        </w:rPr>
      </w:pPr>
    </w:p>
    <w:p>
      <w:pPr>
        <w:ind w:left="240"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3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5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location, use and ownership interest of our principal properties as of February 20, 2017:</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686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3"/>
              </w:rPr>
              <w:t>Ownership</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Size (sq. ft.)</w:t>
            </w:r>
          </w:p>
        </w:tc>
      </w:tr>
      <w:tr>
        <w:trPr>
          <w:trHeight w:val="203"/>
        </w:trPr>
        <w:tc>
          <w:tcPr>
            <w:tcW w:w="7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Dublin, Ireland</w:t>
            </w:r>
          </w:p>
        </w:tc>
        <w:tc>
          <w:tcPr>
            <w:tcW w:w="5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0"/>
              </w:rPr>
              <w:t>Offices</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270</w:t>
            </w:r>
          </w:p>
        </w:tc>
        <w:tc>
          <w:tcPr>
            <w:tcW w:w="60" w:type="dxa"/>
            <w:vAlign w:val="bottom"/>
            <w:tcBorders>
              <w:top w:val="single" w:sz="8" w:color="CCEEFF"/>
            </w:tcBorders>
            <w:shd w:val="clear" w:color="auto" w:fill="CCEEFF"/>
          </w:tcPr>
          <w:p>
            <w:pPr>
              <w:spacing w:after="0"/>
              <w:rPr>
                <w:sz w:val="17"/>
                <w:szCs w:val="17"/>
                <w:color w:val="auto"/>
              </w:rPr>
            </w:pPr>
          </w:p>
        </w:tc>
      </w:tr>
      <w:tr>
        <w:trPr>
          <w:trHeight w:val="22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Bedminster, New Jersey, USA</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Offices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Leased</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21,963</w:t>
            </w:r>
          </w:p>
        </w:tc>
      </w:tr>
    </w:tbl>
    <w:p>
      <w:pPr>
        <w:spacing w:after="0" w:line="135"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Effective November 1, 2011, we leased 320 square feet of office space in Dublin, Ireland. The office space was subsequently reduced to 270 square feet, effective November 1, 2013. The lease terminates on October 31, 2017 and may be renewed annually.</w:t>
      </w:r>
    </w:p>
    <w:p>
      <w:pPr>
        <w:spacing w:after="0" w:line="12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Effective July 1, 2011, we leased 9,747 square feet of office space in Bedminster, New Jersey. The lease, as amended, terminates on March 31, 2018, and may also be terminated with six months prior notice. On December 6, 2011 we leased an additional 2,142 square feet of space in the same location. On December 15, 2012 and May 8, 2013, we leased an additional 2,601 and 10,883 square feet of space, respectively, in the same location. In January 2014 and April 2014, we entered into separate transactions with the landlord of this property to vacate approximately 2,142 and 2,000 square feet of space in exchange for discounts on contractual future rent payments. In January 2015, we signed an agreement to sublease approximately 4,700 square feet of this property to a third party, effective April 1, 2015. Additionally, in June 2015, we executed an agreement to sublease approximately 2,500 square feet of this property to a separate third party, effective June 16, 2015. On December 15, 2016, we leased an additional 732 square feet of space in the same location, effective January 1, 2017.</w:t>
      </w:r>
    </w:p>
    <w:p>
      <w:pPr>
        <w:spacing w:after="0" w:line="113"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believe our existing facilities are adequate for our current needs and that additional space will be available in the future on commercially reasonable terms as needed.</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September and October 2016, we received paragraph IV certification notices from four companies contending to varying degrees that certain of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patents are invalid, unenforceable and/or will not be infringed by the manufacture, use, sale or offer for sale of a generic form of Vascepa as described in those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companies’ abbreviated new drug applications, or ANDAs. We filed patent infringement lawsuits against three of these four ANDA applicants. In October 2016,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Amarin filed a lawsuit against Roxane Laboratories, Inc. and related parties (collectively, “Roxane”) in the U.S. District Court for the District of Nevada.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case against Roxane is captioned </w:t>
      </w:r>
      <w:r>
        <w:rPr>
          <w:rFonts w:ascii="Times New Roman" w:cs="Times New Roman" w:eastAsia="Times New Roman" w:hAnsi="Times New Roman"/>
          <w:sz w:val="16"/>
          <w:szCs w:val="16"/>
          <w:i w:val="1"/>
          <w:iCs w:val="1"/>
          <w:color w:val="auto"/>
        </w:rPr>
        <w:t>Amarin Pharma, Inc. et al. v. Roxane Laboratories, Inc. et al.</w:t>
      </w:r>
      <w:r>
        <w:rPr>
          <w:rFonts w:ascii="Times New Roman" w:cs="Times New Roman" w:eastAsia="Times New Roman" w:hAnsi="Times New Roman"/>
          <w:sz w:val="16"/>
          <w:szCs w:val="16"/>
          <w:color w:val="auto"/>
        </w:rPr>
        <w:t>, Civ. A. No. 2:16-cv-02525 (D. Nev.). In November 2016, Amarin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 lawsuit against Dr. Reddy’s Laboratories, Inc. and Dr. Reddy’s Laboratories, Ltd. (collectively, “DRL”) in the U.S. District Court for the District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Nevada. The case against DRL is captioned </w:t>
      </w:r>
      <w:r>
        <w:rPr>
          <w:rFonts w:ascii="Times New Roman" w:cs="Times New Roman" w:eastAsia="Times New Roman" w:hAnsi="Times New Roman"/>
          <w:sz w:val="16"/>
          <w:szCs w:val="16"/>
          <w:i w:val="1"/>
          <w:iCs w:val="1"/>
          <w:color w:val="auto"/>
        </w:rPr>
        <w:t>Amarin Pharma, Inc. et al. v. Dr. Reddy’s Laboratories, Inc. et al.</w:t>
      </w:r>
      <w:r>
        <w:rPr>
          <w:rFonts w:ascii="Times New Roman" w:cs="Times New Roman" w:eastAsia="Times New Roman" w:hAnsi="Times New Roman"/>
          <w:sz w:val="16"/>
          <w:szCs w:val="16"/>
          <w:color w:val="auto"/>
        </w:rPr>
        <w:t>, Civ. A. No. 2:16-cv-02562 (D. Nev.). In November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Amarin filed a lawsuit against Teva Pharmaceuticals USA, Inc. and Teva Pharmaceuticals Industries Limited (collectively, “Teva”) in the U.S.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Court for the District of Nevada. The case against Teva is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Civ. A.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2:16-cv-02658. In all three lawsuits, Amarin is seeking, among other remedies, an order enjoining each defendant from marketing generic versions of Vascepa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last to expire of the asserted patents in 2030. The three lawsuits have been consolidated for pretrial proceedings, and are in their early stages.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statutory stay associated with the filing of these lawsuits under the Hatch-Waxman Act, the FDA cannot grant final approval to Roxane, DRL,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Teva’s respective ANDA before January 2020, unless there is an earlier court decision holding that the subject patents are not infringed and/or are invalid.</w:t>
      </w:r>
    </w:p>
    <w:p>
      <w:pPr>
        <w:spacing w:after="0" w:line="15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fourth ANDA applicant referenced above is Apotex Inc. (“Apotex”), which sent Amarin a paragraph IV certification notice in September 2016. The notice reflected that Apotex made a paragraph IV notice as to some,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37" w:lineRule="exact"/>
        <w:rPr>
          <w:sz w:val="20"/>
          <w:szCs w:val="20"/>
          <w:color w:val="auto"/>
        </w:rPr>
      </w:pPr>
    </w:p>
    <w:p>
      <w:pPr>
        <w:ind w:right="5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We intend to vigorously enforce our intellectual property rights relating to Vascepa, but we cannot predict the outcome of the </w:t>
      </w:r>
      <w:r>
        <w:rPr>
          <w:rFonts w:ascii="Times New Roman" w:cs="Times New Roman" w:eastAsia="Times New Roman" w:hAnsi="Times New Roman"/>
          <w:sz w:val="18"/>
          <w:szCs w:val="18"/>
          <w:i w:val="1"/>
          <w:iCs w:val="1"/>
          <w:color w:val="auto"/>
        </w:rPr>
        <w:t>Roxane, DRL or Teva</w:t>
      </w:r>
      <w:r>
        <w:rPr>
          <w:rFonts w:ascii="Times New Roman" w:cs="Times New Roman" w:eastAsia="Times New Roman" w:hAnsi="Times New Roman"/>
          <w:sz w:val="18"/>
          <w:szCs w:val="18"/>
          <w:color w:val="auto"/>
        </w:rPr>
        <w:t xml:space="preserve"> lawsuits or any subsequently filed lawsuits.</w:t>
      </w:r>
    </w:p>
    <w:p>
      <w:pPr>
        <w:spacing w:after="0" w:line="11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On April 26, 2016, the U.S. District Court for the District of New Jersey granted our motion to dismiss the putative consolidated class action lawsuit captioned </w:t>
      </w:r>
      <w:r>
        <w:rPr>
          <w:rFonts w:ascii="Times New Roman" w:cs="Times New Roman" w:eastAsia="Times New Roman" w:hAnsi="Times New Roman"/>
          <w:sz w:val="18"/>
          <w:szCs w:val="18"/>
          <w:i w:val="1"/>
          <w:iCs w:val="1"/>
          <w:color w:val="auto"/>
        </w:rPr>
        <w:t>In re Amarin Corporation plc, Securities Litigation</w:t>
      </w:r>
      <w:r>
        <w:rPr>
          <w:rFonts w:ascii="Times New Roman" w:cs="Times New Roman" w:eastAsia="Times New Roman" w:hAnsi="Times New Roman"/>
          <w:sz w:val="18"/>
          <w:szCs w:val="18"/>
          <w:color w:val="auto"/>
        </w:rPr>
        <w:t>, No. 3:13-cv-06663 (D.N.J. Nov. 1, 2013). The class action was dismissed without prejudice with leave for plaintiffs to file an amended complaint. The lawsuit seeks unspecified monetary damages and attorneys’ fees and costs alleging that we and certain of our current and former officers and directors made misstatements and omissions regarding the FDA’s willingness to approve Vascepa’s ANCHOR indication and related contributing factors and the potential relevance of data from the ongoing REDUCE-IT trial to that potential approval. The April 2016 dismissal was the second motion to dismiss granted in favor of Amarin and related defendants in this litigation. The first motion to dismiss in this litigation was granted in June 2015 in response to the original complaint and related amendment.</w:t>
      </w:r>
    </w:p>
    <w:p>
      <w:pPr>
        <w:spacing w:after="0" w:line="14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On May 24, 2016, plaintiffs notified the court that they would not file another amended complaint and, on May 26, 2016, filed a notice of appeal of the most recent dismissal to the Third Circuit Court of Appeals. Plaintiffs filed their appellate brief on September 21, 2016, we filed an opposition brief on November 29, 2016, and plaintiffs filed their reply on December 29, 2016. No hearing date has been set. We plan a vigorous defense to this appeal. We have insurance coverage that is anticipated to cover any significant loss exposure that may arise from this action.</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240" w:top="455" w:right="3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high and low prices for our ADSs in each of the quarters over the past two fiscal years, as quoted on The NASDAQ Global Market.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600" w:type="dxa"/>
            <w:vAlign w:val="bottom"/>
          </w:tcPr>
          <w:p>
            <w:pPr>
              <w:spacing w:after="0"/>
              <w:rPr>
                <w:sz w:val="12"/>
                <w:szCs w:val="12"/>
                <w:color w:val="auto"/>
              </w:rPr>
            </w:pPr>
          </w:p>
        </w:tc>
        <w:tc>
          <w:tcPr>
            <w:tcW w:w="1560" w:type="dxa"/>
            <w:vAlign w:val="bottom"/>
            <w:gridSpan w:val="5"/>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Fiscal 2016</w:t>
            </w:r>
          </w:p>
        </w:tc>
        <w:tc>
          <w:tcPr>
            <w:tcW w:w="12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Fiscal 2015</w:t>
            </w:r>
          </w:p>
        </w:tc>
        <w:tc>
          <w:tcPr>
            <w:tcW w:w="60" w:type="dxa"/>
            <w:vAlign w:val="bottom"/>
          </w:tcPr>
          <w:p>
            <w:pPr>
              <w:spacing w:after="0"/>
              <w:rPr>
                <w:sz w:val="12"/>
                <w:szCs w:val="12"/>
                <w:color w:val="auto"/>
              </w:rPr>
            </w:pPr>
          </w:p>
        </w:tc>
      </w:tr>
      <w:tr>
        <w:trPr>
          <w:trHeight w:val="142"/>
        </w:trPr>
        <w:tc>
          <w:tcPr>
            <w:tcW w:w="8600" w:type="dxa"/>
            <w:vAlign w:val="bottom"/>
          </w:tcPr>
          <w:p>
            <w:pPr>
              <w:spacing w:after="0"/>
              <w:rPr>
                <w:sz w:val="12"/>
                <w:szCs w:val="12"/>
                <w:color w:val="auto"/>
              </w:rPr>
            </w:pPr>
          </w:p>
        </w:tc>
        <w:tc>
          <w:tcPr>
            <w:tcW w:w="580" w:type="dxa"/>
            <w:vAlign w:val="bottom"/>
            <w:tcBorders>
              <w:top w:val="single" w:sz="8" w:color="auto"/>
            </w:tcBorders>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Pr>
          <w:p>
            <w:pPr>
              <w:spacing w:after="0"/>
              <w:rPr>
                <w:sz w:val="12"/>
                <w:szCs w:val="12"/>
                <w:color w:val="auto"/>
              </w:rPr>
            </w:pPr>
          </w:p>
        </w:tc>
        <w:tc>
          <w:tcPr>
            <w:tcW w:w="8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60" w:type="dxa"/>
            <w:vAlign w:val="bottom"/>
          </w:tcPr>
          <w:p>
            <w:pPr>
              <w:spacing w:after="0"/>
              <w:rPr>
                <w:sz w:val="12"/>
                <w:szCs w:val="12"/>
                <w:color w:val="auto"/>
              </w:rPr>
            </w:pPr>
          </w:p>
        </w:tc>
      </w:tr>
      <w:tr>
        <w:trPr>
          <w:trHeight w:val="210"/>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$1.24</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$3.33</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$2.35</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3"/>
              </w:rPr>
              <w:t>$1.45</w:t>
            </w:r>
          </w:p>
        </w:tc>
        <w:tc>
          <w:tcPr>
            <w:tcW w:w="3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$2.80</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$1.82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$3.46</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3"/>
              </w:rPr>
              <w:t>$2.11</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$2.59</w:t>
            </w:r>
          </w:p>
        </w:tc>
        <w:tc>
          <w:tcPr>
            <w:tcW w:w="4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$1.58</w:t>
            </w:r>
          </w:p>
        </w:tc>
      </w:tr>
      <w:tr>
        <w:trPr>
          <w:trHeight w:val="228"/>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$3.65</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3"/>
              </w:rPr>
              <w:t>$2.75</w:t>
            </w:r>
          </w:p>
        </w:tc>
        <w:tc>
          <w:tcPr>
            <w:tcW w:w="38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$1.79</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As of January 31, 2017, there were approximately 380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3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Under our Purchase and Sale Agreement with BioPharma Secured Debt Fund II Holdings Cayman LP, or BioPharma, we are restricted from paying a dividend on our common shares, unless we have cash and cash equivalents in excess of a specified amount after such payment.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Graph—5 Year</w:t>
      </w:r>
    </w:p>
    <w:p>
      <w:pPr>
        <w:spacing w:after="0" w:line="90"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5-year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2012 and its relative performance is tracked through December 31, 2016.</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Included in this 5-year time period is the substantial negative impact on the price of Amarin’s ADSs in 2013 when the FDA notified us that it rescinded the ANCHOR study SPA agreement because the FDA determined that a substantial scientific issue essential to determining the effectiveness of Vascepa in the studied population was identified after testing began in the ANCHOR trial. The FDA expressed that this scientific issue arose based on data from the study of other drugs by other companies related to lipid modification. This FDA notification was followed in 2013 by a reduction in force by Amarin and retargeting of the commercial targets for promotion of Vascepa. More recently, over the 3-year time period through December 31, 2016, cumulative total return for Amarin’s ADSs exceeded both the NASDAQ Composite Index and NASDAQ Biotechnology Index. In particular, the total return for Amarin’s ADSs well exceeded the cumulative returns for the NASDAQ Composite Index and NASDAQ Biotechnology Index in each of the past two calendar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124460</wp:posOffset>
            </wp:positionV>
            <wp:extent cx="5213985" cy="2178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Company/Market/Peer Company</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5"/>
              </w:rPr>
              <w:t>12/31/2012</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5"/>
              </w:rPr>
              <w:t>12/31/2013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5"/>
              </w:rPr>
              <w:t>12/31/2014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5"/>
              </w:rPr>
              <w:t>12/31/2015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12/31/2016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108.01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26.30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13.08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25.23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117.45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164.57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188.84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201.98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219.89</w:t>
            </w:r>
          </w:p>
        </w:tc>
      </w:t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132.74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220.37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296.19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331.05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260.37</w:t>
            </w:r>
          </w:p>
        </w:tc>
      </w:tr>
      <w:tr>
        <w:trPr>
          <w:trHeight w:val="350"/>
        </w:trPr>
        <w:tc>
          <w:tcPr>
            <w:tcW w:w="3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Graph—1 Year</w:t>
      </w:r>
    </w:p>
    <w:p>
      <w:pPr>
        <w:spacing w:after="0" w:line="90"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1-year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2016 and its relative performance is tracked through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122555</wp:posOffset>
            </wp:positionV>
            <wp:extent cx="5213985" cy="2178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Company/Market/Peer Company</w:t>
            </w:r>
          </w:p>
        </w:tc>
        <w:tc>
          <w:tcPr>
            <w:tcW w:w="2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5"/>
              </w:rPr>
              <w:t>3/31/2016</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3"/>
              </w:rPr>
              <w:t>6/30/2016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5"/>
              </w:rPr>
              <w:t>9/30/2016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12/31/2016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80.95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114.29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168.78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97.57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97.34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107.09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77.12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76.25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85.78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Equity Compensation Plans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in Item 12 of Part III of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purchased in the fourth quarter of 2016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2780" w:type="dxa"/>
            <w:vAlign w:val="bottom"/>
            <w:vMerge w:val="restart"/>
          </w:tcPr>
          <w:p>
            <w:pPr>
              <w:spacing w:after="0"/>
              <w:rPr>
                <w:sz w:val="13"/>
                <w:szCs w:val="13"/>
                <w:color w:val="auto"/>
              </w:rPr>
            </w:pPr>
          </w:p>
        </w:tc>
        <w:tc>
          <w:tcPr>
            <w:tcW w:w="3020" w:type="dxa"/>
            <w:vAlign w:val="bottom"/>
          </w:tcPr>
          <w:p>
            <w:pPr>
              <w:spacing w:after="0"/>
              <w:rPr>
                <w:sz w:val="13"/>
                <w:szCs w:val="13"/>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18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2"/>
        </w:trPr>
        <w:tc>
          <w:tcPr>
            <w:tcW w:w="40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12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4"/>
              </w:rPr>
              <w:t>Shares Purchased (1)</w:t>
            </w:r>
          </w:p>
        </w:tc>
        <w:tc>
          <w:tcPr>
            <w:tcW w:w="1180" w:type="dxa"/>
            <w:vAlign w:val="bottom"/>
          </w:tcPr>
          <w:p>
            <w:pPr>
              <w:spacing w:after="0"/>
              <w:rPr>
                <w:sz w:val="14"/>
                <w:szCs w:val="14"/>
                <w:color w:val="auto"/>
              </w:rPr>
            </w:pPr>
          </w:p>
        </w:tc>
        <w:tc>
          <w:tcPr>
            <w:tcW w:w="9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1 – 31, 2016</w:t>
            </w:r>
          </w:p>
        </w:tc>
        <w:tc>
          <w:tcPr>
            <w:tcW w:w="3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2016</w:t>
            </w:r>
          </w:p>
        </w:tc>
        <w:tc>
          <w:tcPr>
            <w:tcW w:w="30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 2016</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2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73</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50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w:t>
      </w:r>
    </w:p>
    <w:p>
      <w:pPr>
        <w:spacing w:after="0" w:line="92" w:lineRule="exact"/>
        <w:rPr>
          <w:sz w:val="20"/>
          <w:szCs w:val="20"/>
          <w:color w:val="auto"/>
        </w:rPr>
      </w:pPr>
    </w:p>
    <w:p>
      <w:pPr>
        <w:jc w:val="both"/>
        <w:ind w:right="300" w:firstLine="456"/>
        <w:spacing w:after="0" w:line="310" w:lineRule="auto"/>
        <w:rPr>
          <w:sz w:val="20"/>
          <w:szCs w:val="20"/>
          <w:color w:val="auto"/>
        </w:rPr>
      </w:pPr>
      <w:r>
        <w:rPr>
          <w:rFonts w:ascii="Times New Roman" w:cs="Times New Roman" w:eastAsia="Times New Roman" w:hAnsi="Times New Roman"/>
          <w:sz w:val="16"/>
          <w:szCs w:val="16"/>
          <w:color w:val="auto"/>
        </w:rPr>
        <w:t>If you are not resident in the United Kingdom, or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9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An individual holder of common shares or ADSs who ceases to be resident in the UK for UK tax purposes for a period of less than 5 years and who disposes of common shares or ADSs during that period may also be liable on returning to the UK for UK capital gains tax despite the fact that the individual may not be resident in the UK at the time of the disposal.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Inheritance Tax</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 and Stamp Duty Reserve Tax</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ADSs</w:t>
      </w:r>
    </w:p>
    <w:p>
      <w:pPr>
        <w:spacing w:after="0" w:line="92" w:lineRule="exact"/>
        <w:rPr>
          <w:sz w:val="20"/>
          <w:szCs w:val="20"/>
          <w:color w:val="auto"/>
        </w:rPr>
      </w:pPr>
    </w:p>
    <w:p>
      <w:pPr>
        <w:jc w:val="both"/>
        <w:ind w:right="380" w:firstLine="456"/>
        <w:spacing w:after="0" w:line="310" w:lineRule="auto"/>
        <w:rPr>
          <w:sz w:val="20"/>
          <w:szCs w:val="20"/>
          <w:color w:val="auto"/>
        </w:rPr>
      </w:pPr>
      <w:r>
        <w:rPr>
          <w:rFonts w:ascii="Times New Roman" w:cs="Times New Roman" w:eastAsia="Times New Roman" w:hAnsi="Times New Roman"/>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stamp duty reserve tax will be payable in respect of an agreement to transfer an ADS, whether made in or outside the UK.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and Transfer of Common Shares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issue of common shares by Amarin will not give rise to a charge to UK stamp duty or stamp duty reserve tax under current UK and European Union law; it is not currently known whether this position will continue for UK stamp duty reserve tax in relation to the issue of common shares in return for an issue of ADSs after the United Kingdom leaves the European Union. In the event of a change in this position resulting in the issue of common shares by Amarin giving rise to a charge to UK stamp duty or stamp duty reserve tax, Amarin would be responsible for any such UK stamp duty reserve tax payable on the issue of common shares in return for the issue of ADSs.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common shares or ADSs.</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selected financial data set forth below as of and for the years ended December 31, 2016, 2015, 2014, 2013, and 2012 have been derived from the audited consolidated financial statements of Amarin.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8"/>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128,966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130,084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81,756</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11,912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33,717</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111,372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161,347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152,103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129,672</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196,545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(65,626)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(98,222)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(95,955)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(182,106)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liabilities (2)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(18,677)</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(20,180)</w:t>
            </w:r>
          </w:p>
        </w:tc>
        <w:tc>
          <w:tcPr>
            <w:tcW w:w="120" w:type="dxa"/>
            <w:vAlign w:val="bottom"/>
          </w:tcPr>
          <w:p>
            <w:pPr>
              <w:spacing w:after="0"/>
              <w:rPr>
                <w:sz w:val="18"/>
                <w:szCs w:val="18"/>
                <w:color w:val="auto"/>
              </w:rPr>
            </w:pPr>
          </w:p>
        </w:tc>
        <w:tc>
          <w:tcPr>
            <w:tcW w:w="9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(18,575)</w:t>
            </w:r>
          </w:p>
        </w:tc>
        <w:tc>
          <w:tcPr>
            <w:tcW w:w="12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(34,179)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(76,381)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(118,290)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(59,201)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(169,421)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(9,969)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(86,350)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(115,204)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(56,364)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(166,227)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purchase option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c>
          <w:tcPr>
            <w:tcW w:w="92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beneficial conversion features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(149,059</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(166,227</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211,874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173,719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211,874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180,654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173,824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w w:val="94"/>
              </w:rPr>
              <w:t>As of December 31,</w:t>
            </w:r>
          </w:p>
        </w:tc>
        <w:tc>
          <w:tcPr>
            <w:tcW w:w="9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9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$ 98,251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$ 106,961</w:t>
            </w:r>
          </w:p>
        </w:tc>
        <w:tc>
          <w:tcPr>
            <w:tcW w:w="12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$ 119,539</w:t>
            </w:r>
          </w:p>
        </w:tc>
        <w:tc>
          <w:tcPr>
            <w:tcW w:w="9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$191,514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$260,242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(3) (4)</w:t>
            </w:r>
          </w:p>
        </w:tc>
        <w:tc>
          <w:tcPr>
            <w:tcW w:w="290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166,999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173,230</w:t>
            </w:r>
          </w:p>
        </w:tc>
        <w:tc>
          <w:tcPr>
            <w:tcW w:w="12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168,886</w:t>
            </w:r>
          </w:p>
        </w:tc>
        <w:tc>
          <w:tcPr>
            <w:tcW w:w="9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252,476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310,855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 (3)</w:t>
            </w:r>
          </w:p>
        </w:tc>
        <w:tc>
          <w:tcPr>
            <w:tcW w:w="29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99,808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250,059</w:t>
            </w:r>
          </w:p>
        </w:tc>
        <w:tc>
          <w:tcPr>
            <w:tcW w:w="12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217,028</w:t>
            </w:r>
          </w:p>
        </w:tc>
        <w:tc>
          <w:tcPr>
            <w:tcW w:w="9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248,792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(4)</w:t>
            </w:r>
          </w:p>
        </w:tc>
        <w:tc>
          <w:tcPr>
            <w:tcW w:w="29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(9,058)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(127,552)</w:t>
            </w: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(88,448)</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(33,856)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89" w:lineRule="auto"/>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warrant-related compensation expense reflecting the change in the fair value of the warrant derivative liability associated with warrants issued in October 2009 to former officers of Amarin. See further discussion in Notes 2 and 7 of the Notes to the Consolidated Financial Statements.</w:t>
      </w:r>
    </w:p>
    <w:p>
      <w:pPr>
        <w:spacing w:after="0" w:line="1" w:lineRule="exact"/>
        <w:rPr>
          <w:rFonts w:ascii="Times New Roman" w:cs="Times New Roman" w:eastAsia="Times New Roman" w:hAnsi="Times New Roman"/>
          <w:sz w:val="16"/>
          <w:szCs w:val="16"/>
          <w:color w:val="auto"/>
        </w:rPr>
      </w:pPr>
    </w:p>
    <w:p>
      <w:pPr>
        <w:ind w:left="460" w:right="340" w:hanging="452"/>
        <w:spacing w:after="0" w:line="250"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charges resulting from changes in the fair value of derivative liabilities. See further discussion in Notes 2, 7 and 8 of the Notes to the Consolidated Financial Statements.</w:t>
      </w:r>
    </w:p>
    <w:p>
      <w:pPr>
        <w:ind w:left="460" w:right="40" w:hanging="452"/>
        <w:spacing w:after="0" w:line="250"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reclassification of $1.9 million and $2.2 million as of December 31, 2015 and 2014, respectively, to present debt issuance costs as a direct deduction from the carrying amount of the related debt liability rather than as an asset, due to the retrospective application of Accounting Standards Update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adopted in 2016. No such adjustment was needed as of December 31, 2013 and 2012 as debt issuance costs were already presented as a deduction from debt in those years. See further discussion in Notes 2 and 8 of the Notes to the Consolidated Financial Statements.</w:t>
      </w:r>
    </w:p>
    <w:p>
      <w:pPr>
        <w:spacing w:after="0" w:line="2"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recognition of deferred tax assets of approximately $1.6 million relating to excess tax benefits on stock-based compensation outstanding as of December 31, 2015 and corresponding cumulative-effect adjustment to accumulated deficit as of December 31, 2015, due to the modified retrospective application of ASU No. 2016-09, </w:t>
      </w:r>
      <w:r>
        <w:rPr>
          <w:rFonts w:ascii="Times New Roman" w:cs="Times New Roman" w:eastAsia="Times New Roman" w:hAnsi="Times New Roman"/>
          <w:sz w:val="18"/>
          <w:szCs w:val="18"/>
          <w:i w:val="1"/>
          <w:iCs w:val="1"/>
          <w:color w:val="auto"/>
        </w:rPr>
        <w:t>Compensation—Stock Compensation (Topic 718): Improvements to Employee Share-Based Payment Accounting</w:t>
      </w:r>
      <w:r>
        <w:rPr>
          <w:rFonts w:ascii="Times New Roman" w:cs="Times New Roman" w:eastAsia="Times New Roman" w:hAnsi="Times New Roman"/>
          <w:sz w:val="18"/>
          <w:szCs w:val="18"/>
          <w:color w:val="auto"/>
        </w:rPr>
        <w:t>, adopted in 2016. See further discussion in Note 2 of the Notes to the Consolidated Financial Statements.</w:t>
      </w:r>
    </w:p>
    <w:p>
      <w:pPr>
        <w:spacing w:after="0" w:line="2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expected timing of enrollment, interim results and final results of our REDUCE-IT study;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 2016.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We are a biopharmaceutical company with expertise in lipid science focused on the commercialization and development of therapeutics to improve cardiovascular health.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³200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of approximately 150 sales professionals, including sales representatives and their managers. In March 2014, we entered into a co-promotion agreement in the United States with Kowa Pharmaceuticals America, Inc. under which no less than 250 Kowa Pharmaceuticals America, Inc. sales representatives began to devote a substantial portion of their time to promoting Vascepa starting in May 2014.</w:t>
      </w:r>
    </w:p>
    <w:p>
      <w:pPr>
        <w:spacing w:after="0" w:line="13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We continue to assess other partnership opportunities for licensing Vascepa to partners outside of the United States.</w:t>
      </w:r>
    </w:p>
    <w:p>
      <w:pPr>
        <w:spacing w:after="0" w:line="136" w:lineRule="exact"/>
        <w:rPr>
          <w:sz w:val="20"/>
          <w:szCs w:val="20"/>
          <w:color w:val="auto"/>
        </w:rPr>
      </w:pPr>
    </w:p>
    <w:p>
      <w:pPr>
        <w:ind w:right="100" w:firstLine="456"/>
        <w:spacing w:after="0" w:line="288" w:lineRule="auto"/>
        <w:rPr>
          <w:sz w:val="20"/>
          <w:szCs w:val="20"/>
          <w:color w:val="auto"/>
        </w:rPr>
      </w:pPr>
      <w:r>
        <w:rPr>
          <w:rFonts w:ascii="Times New Roman" w:cs="Times New Roman" w:eastAsia="Times New Roman" w:hAnsi="Times New Roman"/>
          <w:sz w:val="16"/>
          <w:szCs w:val="16"/>
          <w:color w:val="auto"/>
        </w:rPr>
        <w:t xml:space="preserve">Triglycerides are the main constituent of body fat humans. Hypertriglyceridemia refers to a condition in which patients have high levels of triglycerides in the bloodstream. It is estimated that over 70 million adults in the United States have elevated triglyceride levels (TG ³150 mg/dL), approximately 40 million adults in the United States have high triglyceride levels (TG ³200 mg/dL), and approximately 4.0 million people in the United States have severely high triglyceride levels (TG ³500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Times New Roman" w:cs="Times New Roman" w:eastAsia="Times New Roman" w:hAnsi="Times New Roman"/>
          <w:sz w:val="16"/>
          <w:szCs w:val="16"/>
          <w:i w:val="1"/>
          <w:iCs w:val="1"/>
          <w:color w:val="auto"/>
        </w:rPr>
        <w:t>The American Heart Association Scientific Statement on Triglycerides and Cardiovascular Disease</w:t>
      </w:r>
      <w:r>
        <w:rPr>
          <w:rFonts w:ascii="Times New Roman" w:cs="Times New Roman" w:eastAsia="Times New Roman" w:hAnsi="Times New Roman"/>
          <w:sz w:val="16"/>
          <w:szCs w:val="16"/>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3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indicated uses for Vascepa. In REDUCE-IT, cardiovascular event rates for patients on stable statin therapy plus 4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REDUCE-IT study is designed to be completed after reaching 1,612 aggregate primary cardiovascular events. Based on projected event rates, we estimate the onset of the target aggregate number of cardiovascular events to be reached near the end of 2017 with study results then expected to be available and published in 2018. In addition, since its inception in 2011, our REDUCE-IT special protocol assessment (SPA) agreement with the FDA has provided for periodic safety reviews and an interim efficacy and safety analysis by the study’s independent data monitoring committee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 We remain blinded to all data from the study. Since patient enrollment commenced in 2011, more than 26,000 patient years of study experience have been accumulated in the REDUCE-IT study. Following each periodic review of safety data to date, the DMC has communicated to us that we should continue the study as planned.</w:t>
      </w:r>
    </w:p>
    <w:p>
      <w:pPr>
        <w:spacing w:after="0" w:line="139" w:lineRule="exact"/>
        <w:rPr>
          <w:sz w:val="20"/>
          <w:szCs w:val="20"/>
          <w:color w:val="auto"/>
        </w:rPr>
      </w:pPr>
    </w:p>
    <w:p>
      <w:pPr>
        <w:ind w:right="120" w:firstLine="456"/>
        <w:spacing w:after="0" w:line="252" w:lineRule="auto"/>
        <w:rPr>
          <w:sz w:val="20"/>
          <w:szCs w:val="20"/>
          <w:color w:val="auto"/>
        </w:rPr>
      </w:pPr>
      <w:r>
        <w:rPr>
          <w:rFonts w:ascii="Times New Roman" w:cs="Times New Roman" w:eastAsia="Times New Roman" w:hAnsi="Times New Roman"/>
          <w:sz w:val="18"/>
          <w:szCs w:val="18"/>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w:t>
      </w:r>
    </w:p>
    <w:p>
      <w:pPr>
        <w:spacing w:after="0" w:line="146"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336"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 approved labelling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Commercialization—United States</w:t>
      </w:r>
    </w:p>
    <w:p>
      <w:pPr>
        <w:spacing w:after="0" w:line="92"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of approximately 150 sales professionals, including sales representatives and their managers. Commencing in May 2014, in addition to Vascepa promotion by our sales representatives, no less than 250 Kowa Pharmaceuticals America, Inc. sales representatives began devoting a substantial portion of their time to promoting Vascepa. We also employ various marketing personnel to support our commercialization of Vascepa. 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we expect that the majority of patients taking Vascepa will continue to be prescribed the 1-gram size Vascepa capsule. We also expect that the majority of new patients will be prescribed the 1-gram size Vascepa capsule.</w:t>
      </w:r>
    </w:p>
    <w:p>
      <w:pPr>
        <w:spacing w:after="0" w:line="14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Under our co-promotion agreement with Kowa Pharmaceuticals America, Inc., both parties have agreed to use commercially reasonable efforts to promote, detail and optimize sales of Vascepa in the United States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increases during the term. The percentage of aggregate Vascepa gross margin earned by Kowa Pharmaceuticals America, Inc. was fifteen percent (15%) in 2015, was nineteen percent (19%) in 2016, and is scheduled to increase to the low twenty percent levels in 2017 and 2018, subject to certain adjustments. The term of this co-promotion agreement expires on December 31, 2018, following which our agreement with Kowa Pharmaceuticals America, Inc. provides for up to three years of tail royalties equal to declining percentages of the co-promotion fee earned prior to agreement expiration.</w:t>
      </w:r>
    </w:p>
    <w:p>
      <w:pPr>
        <w:spacing w:after="0" w:line="14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Solutions, the estimated number of normalized total Vascepa prescriptions for the three months ended December 31, 2016 was approximately 286,000 compared to 260,000, 230,000, 201,000, and 191,000 in the three months ended September 30, 2016, June 30, 2016, March 31, 2016, and December 31, 2015, respectively. According to data from another third party, IMS Health, the estimated number of normalized total Vascepa prescriptions for the three months ended December 31, 2016 was approximately 312,000 compared to 274,000, 249,000, 216,000, and 203,000 in the three months ended September 30, 2016, June 30, 2016, March 31, 2016, and December 31, 2015, respectively. Normalized total prescriptions represent the estimated total number of Vascepa prescriptions shipped to patients, calculated on a normalized basis (i.e., one month’s supply, or total capsules shipped multiplied by the number of grams per capsule divided by 120 grams). Inventory levels at wholesalers tend to fluctuate based on seasonal factors, prescription trends and other factors. During 2016, predominantly in the second quarter, wholesaler inventory levels increased based on estimated days of inventory on hand. In addition, regional stocking of Vascepa expanded at certain retail pharmacies, likely due to higher volume sales of Vascepa.</w:t>
      </w:r>
    </w:p>
    <w:p>
      <w:pPr>
        <w:spacing w:after="0" w:line="14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These fluctuations from multiple variables make it difficult to predict quarterly prescription trends and product revenues on a consistent basis. We believe investors should consider our results over several quarters, or longer, before making an assessment about potential future performance.</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ability to generate product revenue and our ability to receive adequate levels of reimbursement from third-party payers. See “</w:t>
      </w:r>
      <w:r>
        <w:rPr>
          <w:rFonts w:ascii="Times New Roman" w:cs="Times New Roman" w:eastAsia="Times New Roman" w:hAnsi="Times New Roman"/>
          <w:sz w:val="18"/>
          <w:szCs w:val="18"/>
          <w:i w:val="1"/>
          <w:iCs w:val="1"/>
          <w:color w:val="auto"/>
        </w:rPr>
        <w:t>Risk Factors—Risks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and Development of Vascepa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2015, we and our co-promotion partner began communicating promotional information beyond MARINE clinical trial data to targeted healthcare professionals. Such qualified communications are being made pursuant to the August 7,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Commercialization—Outside the United States</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w:t>
      </w:r>
    </w:p>
    <w:p>
      <w:pPr>
        <w:spacing w:after="0" w:line="13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received upon successful submission of a clinical trial application with respect to the MARINE indication for Vascepa to the Chinese regulatory authority in March 2016, and future regulatory and sales-based milestone payments of up to an additional $153.0 million.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Eddingpharm will also pay us tiered double-digit percentage royalties on net sales of Vascepa in the China Territory escalating to the high teens. We will supply finished product to Eddingpharm under negotiated terms.</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March 2016, we entered into an agreement with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are entitled to receive payments based on product sales at an agreed-upon transfer price, which represents a percentage of gross selling price, subject to a minimum floor price.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demonstrate that clinical effects of Vascepa, including its impact on triglyceride lowering, is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0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2016, we completed patient enrollment and randomization of 8,175 individual patients into the REDUCE-IT study, exceeding the 8,000 patients targeted for the trial.</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Completion of the REDUCE-IT study is designed to occur after reaching an aggregate number of cardiovascular events. Based on projected event rates, we estimate the onset of the target aggregate number of cardiovascular events to be reached near the end of 2017 with study results then expected to be available in 2018. In addition, since its inception in 2011, our REDUCE-IT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w:t>
      </w:r>
    </w:p>
    <w:p>
      <w:pPr>
        <w:spacing w:after="0" w:line="141"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6"/>
          <w:szCs w:val="16"/>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33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Since patient enrollment commenced in 2011, more than 26,000 patient years of study experience have been accumulated in REDUCE-IT. The DMC has reviewed unblinded safety data on a quarterly basis since 2013 and, after each such review of unblinded safety data to date, the DMC has recommended to us that the study be continued as planned.</w:t>
      </w:r>
    </w:p>
    <w:p>
      <w:pPr>
        <w:spacing w:after="0" w:line="132"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Our scientific rationale for the REDUCE-IT study is supported by (i) epidemiological data that suggests elevated triglyceride levels correlate with increased cardiovascular disease risk, (ii) genetic data that suggests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Commercial Supply</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was higher than projected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Position</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of $98.3 million as of December 31, 2016 will be sufficient to fund our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9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All of our product revenue is derived from product sales of 1-gram and 0.5-gram size capsules of Vascepa, net of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size capsule in October 2016. In accordance with U.S. Generally Accepted Accounting Principles, or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w:t>
      </w:r>
    </w:p>
    <w:p>
      <w:pPr>
        <w:spacing w:after="0" w:line="138"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Licensing revenue currently consists of revenue attributable to receipt of up-front, non-refundable payments and milestone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33"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 of API for Vascepa on which revenue was recognized during the period, as well as the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encapsulation, packaging, shipment, supply</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1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consists primarily of salaries and other related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primarily of fees paid to professional service providers in conjunction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as well as costs of product supply received from suppliers when such receipt by us is prior to regulatory approval of the supplier. We expense research and development costs as incurred.</w:t>
      </w:r>
    </w:p>
    <w:p>
      <w:pPr>
        <w:spacing w:after="0" w:line="139"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Gain (Loss) on Change in Fair Value of Derivative Liabilities. </w:t>
      </w:r>
      <w:r>
        <w:rPr>
          <w:rFonts w:ascii="Times New Roman" w:cs="Times New Roman" w:eastAsia="Times New Roman" w:hAnsi="Times New Roman"/>
          <w:sz w:val="18"/>
          <w:szCs w:val="18"/>
          <w:color w:val="auto"/>
        </w:rPr>
        <w:t>Gain (loss) on change in fair value of derivative liabilities is comprised of: (i) the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3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and Other (Expense) Income, Net. </w:t>
      </w:r>
      <w:r>
        <w:rPr>
          <w:rFonts w:ascii="Times New Roman" w:cs="Times New Roman" w:eastAsia="Times New Roman" w:hAnsi="Times New Roman"/>
          <w:sz w:val="18"/>
          <w:szCs w:val="18"/>
          <w:color w:val="auto"/>
        </w:rPr>
        <w:t>Interest expense consists of interest incurred under lease obligations, interest incurred under our December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 with BioPharma, and interest incurred under our 3.5% exchangeable notes. Interest expense under our BioPharma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(expense) income, net, consists primarily of foreign exchange losses and gains.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41"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—We sell Vascepa principally to a limited number of Distributors, that in turn resell Vascepa to retail pharmacies that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resell it to patients and healthcare providers. In accordance with</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began recognizing revenue from the sale of Vascepa following our commercial launch in the United States in January 2013. Prior to 2013, we recognized no revenue from Vascepa sales. We sell Vascepa to Distributors. In accordance with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Consequently, we recognized net product revenues of $129.0 million and $81.0 million based on sales to Distributors during the years ended December 31, 2016 and 2015, respectively.</w:t>
      </w:r>
    </w:p>
    <w:p>
      <w:pPr>
        <w:spacing w:after="0" w:line="13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aggregate bottles of channel inventory would result in a change of less than 1% in net product revenues reported during each of the three and twelve months ended December 31, 2016 and 2015.</w:t>
      </w:r>
    </w:p>
    <w:p>
      <w:pPr>
        <w:spacing w:after="0" w:line="33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4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37"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Derivative Financial Liabilities</w:t>
      </w:r>
      <w:r>
        <w:rPr>
          <w:rFonts w:ascii="Times New Roman" w:cs="Times New Roman" w:eastAsia="Times New Roman" w:hAnsi="Times New Roman"/>
          <w:sz w:val="18"/>
          <w:szCs w:val="18"/>
          <w:color w:val="auto"/>
        </w:rPr>
        <w:t>—Derivative financial liabilities are initially recorded at fair value. They are subsequently held at fair value, with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during the first quarter of 2015), the change in control provision associated with our December 2012 royalty-bearing debt financing, the change in control provisions associated with our May 2014 and November 2015 exchangeable senior notes (both derecognized upon exchange of the debt hosts into equity during the third quarter of 2016), and a preferred stock purchase option (subsequently reclassified to permanent equity).</w:t>
      </w:r>
    </w:p>
    <w:p>
      <w:pPr>
        <w:spacing w:after="0" w:line="11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—We capitalize purchases of saleable inventory of Vascepa from suppliers that have been qualified by the FDA. The API purchased for Vascepa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sourced from three API suppliers in 2016 and 2015 and from two API suppliers in 2014.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In April 2016, we adopted Accounting Standards Update (“ASU”) No. 2015-11, Inventory (Topic 330)—</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and as such, began to state inventories at the lower of cost or net realizable market value (previously, we stated inventories at the lower of cost or market value). Cost is determined based on actual cost using the average cost method. An allowance is established when management determines that certain inventories may not be saleable. If inventory cost exceeds expected net realizable value due to obsolescence, damage, quantities in excess of expected demand, changes in price levels or other causes, then we will reduce the carrying value of such inventory to net realizable value and recognize the difference as a component of cost of goods sold in the period in which it occurs.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37" w:lineRule="exact"/>
        <w:rPr>
          <w:sz w:val="20"/>
          <w:szCs w:val="20"/>
          <w:color w:val="auto"/>
        </w:rPr>
      </w:pPr>
    </w:p>
    <w:p>
      <w:pPr>
        <w:jc w:val="both"/>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36"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our U.S. deferred tax assets as of December 31, 2016,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net U.S. deferred tax assets are more likely than not to be realizable as of December 31, 2016. The majority of our deferred tax assets are held outside of the United States, for which we have established a full valuation</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455" w:right="2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6"/>
          <w:szCs w:val="16"/>
          <w:color w:val="auto"/>
        </w:rPr>
        <w:t>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95" w:lineRule="exact"/>
        <w:rPr>
          <w:sz w:val="20"/>
          <w:szCs w:val="20"/>
          <w:color w:val="auto"/>
        </w:rPr>
      </w:pPr>
    </w:p>
    <w:p>
      <w:pPr>
        <w:ind w:right="460" w:firstLine="456"/>
        <w:spacing w:after="0" w:line="264" w:lineRule="auto"/>
        <w:rPr>
          <w:sz w:val="20"/>
          <w:szCs w:val="20"/>
          <w:color w:val="auto"/>
        </w:rPr>
      </w:pPr>
      <w:r>
        <w:rPr>
          <w:rFonts w:ascii="Times New Roman" w:cs="Times New Roman" w:eastAsia="Times New Roman" w:hAnsi="Times New Roman"/>
          <w:sz w:val="18"/>
          <w:szCs w:val="18"/>
          <w:color w:val="auto"/>
        </w:rPr>
        <w:t>In April 2016, we adopted ASU No. 2016-09, Compensation—</w:t>
      </w:r>
      <w:r>
        <w:rPr>
          <w:rFonts w:ascii="Times New Roman" w:cs="Times New Roman" w:eastAsia="Times New Roman" w:hAnsi="Times New Roman"/>
          <w:sz w:val="18"/>
          <w:szCs w:val="18"/>
          <w:i w:val="1"/>
          <w:iCs w:val="1"/>
          <w:color w:val="auto"/>
        </w:rPr>
        <w:t>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changes the accounting for certain aspects of share-based payments to employees. Refer to recent accounting pronouncements below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 on the impact of this recently adopted accounting guidance.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us or adopted as of the specified effective date.</w:t>
      </w:r>
    </w:p>
    <w:p>
      <w:pPr>
        <w:spacing w:after="0" w:line="118"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In January 2016, we adopted ASU No. 2015-03, </w:t>
      </w:r>
      <w:r>
        <w:rPr>
          <w:rFonts w:ascii="Times New Roman" w:cs="Times New Roman" w:eastAsia="Times New Roman" w:hAnsi="Times New Roman"/>
          <w:sz w:val="16"/>
          <w:szCs w:val="16"/>
          <w:i w:val="1"/>
          <w:iCs w:val="1"/>
          <w:color w:val="auto"/>
        </w:rPr>
        <w:t>Interest—Imputation of Interest (Subtopic 835-30): Simplifying the Presentation of Debt Issuance Costs</w:t>
      </w:r>
      <w:r>
        <w:rPr>
          <w:rFonts w:ascii="Times New Roman" w:cs="Times New Roman" w:eastAsia="Times New Roman" w:hAnsi="Times New Roman"/>
          <w:sz w:val="16"/>
          <w:szCs w:val="16"/>
          <w:color w:val="auto"/>
        </w:rPr>
        <w:t>, which provides guidance on simplifying the presentation of debt issuance costs on the balance sheet. To simplify presentation of debt issuance costs, the amendments in ASU No. 2015-03 require that debt issuance costs related to a recognized debt liability be presented in the balance sheet as a direct deduction from the carrying amount of that debt liability, consistent with the treatment of debt discounts. The recognition and measurement guidance for debt issuance costs are not affected by the amendments in this update. In accordance with ASU No. 2015-03, we applied the new guidance on a retrospective basis, wherein the consolidated balance sheet of each individual period presented was adjusted to reflect the period-specific effects of applying the new guidance. See Note 8</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Debt.</w:t>
      </w:r>
    </w:p>
    <w:p>
      <w:pPr>
        <w:spacing w:after="0" w:line="111"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April 2016, we adopted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which simplifies the subsequent measurement of inventories by replacing the lower of cost or market test with a lower of cost or net realizable value test. When evidence exists that the net realizable value of inventory is less than its cost (due to damage, physical deterioration, obsolescence, changes in price levels or other causes), we will recognize the difference as a component of cost of goods sold in the period in which it occurs. In accordance with ASU No. 2015-11, we applied the new guidance on a prospective basis with no impact on the carrying amount of inventory.</w:t>
      </w:r>
    </w:p>
    <w:p>
      <w:pPr>
        <w:spacing w:after="0" w:line="134"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 xml:space="preserve">Also in April 2016, we adopted ASU No. 2016-09, </w:t>
      </w:r>
      <w:r>
        <w:rPr>
          <w:rFonts w:ascii="Times New Roman" w:cs="Times New Roman" w:eastAsia="Times New Roman" w:hAnsi="Times New Roman"/>
          <w:sz w:val="16"/>
          <w:szCs w:val="16"/>
          <w:i w:val="1"/>
          <w:iCs w:val="1"/>
          <w:color w:val="auto"/>
        </w:rPr>
        <w:t>Compensation—Stock Compensation (Topic 718): Improvements to Employee Share-Based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w:t>
      </w:r>
      <w:r>
        <w:rPr>
          <w:rFonts w:ascii="Times New Roman" w:cs="Times New Roman" w:eastAsia="Times New Roman" w:hAnsi="Times New Roman"/>
          <w:sz w:val="16"/>
          <w:szCs w:val="16"/>
          <w:color w:val="auto"/>
        </w:rPr>
        <w:t>which changes the accounting for certain aspects of share-based payments to employees. One aspect of the standard requires that excess tax benefits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 for income taxes for the year ended December 31, 2016 includes $0.4 million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we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We adopted the aspects of the standard affecting cash flow presentation retrospectively and, accordingly, reclassified</w:t>
      </w:r>
    </w:p>
    <w:p>
      <w:pPr>
        <w:spacing w:after="0" w:line="18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$0.7 million of excess tax benefit and $2.3 million of excess tax provision from cash flows provided by financing activities to cash flows used in operating activities in the consolidated statement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cash flows as of December 31, 2015 and 2014, respectively, to conform to the current year presentation. The presentation requirement for cash flows related to taxes paid for withheld shares had no impact to any of the periods presented in the consolidated statement of cash flows since such payments have historically been presented as a financing activity.</w:t>
      </w:r>
    </w:p>
    <w:p>
      <w:pPr>
        <w:spacing w:after="0" w:line="130"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December 2016, we adopted ASU No. 2014-15, </w:t>
      </w:r>
      <w:r>
        <w:rPr>
          <w:rFonts w:ascii="Times New Roman" w:cs="Times New Roman" w:eastAsia="Times New Roman" w:hAnsi="Times New Roman"/>
          <w:sz w:val="18"/>
          <w:szCs w:val="18"/>
          <w:i w:val="1"/>
          <w:iCs w:val="1"/>
          <w:color w:val="auto"/>
        </w:rPr>
        <w:t>Presentation of Financial Statements—Going Concern (Subtopic 205-40): Disclosure of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an Entity’s Ability to Continue as a Going Concern</w:t>
      </w:r>
      <w:r>
        <w:rPr>
          <w:rFonts w:ascii="Times New Roman" w:cs="Times New Roman" w:eastAsia="Times New Roman" w:hAnsi="Times New Roman"/>
          <w:sz w:val="18"/>
          <w:szCs w:val="18"/>
          <w:color w:val="auto"/>
        </w:rPr>
        <w:t>. ASU No. 2014-15 requires management to assess an entity’s ability to continue as a going concern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We believe that our cash and cash equivalents will be sufficient to fund our projected operations through the results of the REDUCE-IT study, which we anticipate will be available mid-2018.</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considered the following recent accounting pronouncements which were not yet adopted as of December 31, 2016:</w:t>
      </w:r>
    </w:p>
    <w:p>
      <w:pPr>
        <w:spacing w:after="0" w:line="169"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6"/>
          <w:szCs w:val="16"/>
          <w:color w:val="auto"/>
        </w:rPr>
        <w:t xml:space="preserve">In May 2014, the FASB issued ASU No. 2014-09,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which will replace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 flows arising from customer contracts, including disclosures on significant judgments made when applying the guidance. 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w:t>
      </w:r>
    </w:p>
    <w:p>
      <w:pPr>
        <w:spacing w:after="0" w:line="3" w:lineRule="exact"/>
        <w:rPr>
          <w:sz w:val="20"/>
          <w:szCs w:val="20"/>
          <w:color w:val="auto"/>
        </w:rPr>
      </w:pPr>
    </w:p>
    <w:p>
      <w:pPr>
        <w:ind w:firstLine="8"/>
        <w:spacing w:after="0" w:line="261" w:lineRule="auto"/>
        <w:tabs>
          <w:tab w:leader="none" w:pos="2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3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substantially completed an initial impact assessment of the potential changes from adopting ASU No. 2014-09. The impact assessment consisted of a review of a representative sample of contracts, discussions with key stakeholders, and a cataloging of potential impacts on our financial statements, accounting policies, financial control, and operations. We anticipate that the adoption of ASU No. 2014-09 will not have a material impact on product revenue from distributors and may have an impact on contract revenues generated by our license agreements:</w:t>
      </w:r>
    </w:p>
    <w:p>
      <w:pPr>
        <w:spacing w:after="0" w:line="55" w:lineRule="exact"/>
        <w:rPr>
          <w:sz w:val="20"/>
          <w:szCs w:val="20"/>
          <w:color w:val="auto"/>
        </w:rPr>
      </w:pPr>
    </w:p>
    <w:p>
      <w:pPr>
        <w:ind w:left="900" w:right="20" w:hanging="446"/>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point in time under the new guidance.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of milestone payments, which are linked to events that are in our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3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have not yet completed our final review of the impact of this guidance; however, we anticipate applying the modified retrospective method when implementing this guidance. We plan to adopt the new standard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effective January 1, 2018. We continue to monitor additional changes, modifications, clarifications or interpretations being undertaken by the FASB, which may impact our current conclusions.</w:t>
      </w:r>
    </w:p>
    <w:p>
      <w:pPr>
        <w:spacing w:after="0" w:line="11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The new guidance is intended to improve the recognition and measurement of financial instruments by requiring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We are currently evaluating the accounting, transition and disclosure requirements of the standard and cannot currently estimate the financial statement impact of adoption.</w:t>
      </w:r>
    </w:p>
    <w:p>
      <w:pPr>
        <w:spacing w:after="0" w:line="148"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 impact of other recently issued but not yet adopted accounting pronouncements will not have a material impact on consolidated financial position, results of operations, and cash flows, or do not apply to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2016 and December 31, 2015</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of $129.0 million and $81.0 million during the years ended December 31, 2016 and 2015,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$48.0 million, or 59%. This increase in revenue was driven primarily by an increase in estimated normalized total Vascepa prescriptions. Based on data provided by Symphony Health Solutions and IMS Health, estimated normalized total Vascepa prescriptions increased by approximately 339,000 and 378,000, respectively, over the year ended December 31, 2015, representing growth of 53% and 56%, respectively. During 2016, predominantly in the second quarter, wholesaler inventory levels increased based on estimated days of inventory on hand. In addition, regional stocking of Vascepa expanded at certain retail pharmacies, likely due to higher volume sales of Vascepa. We estimate that these changes in channel inventory increased net product revenue by approximately $3.0 million to $6.0 million during 2016, compared to a $0.4 million to $0.7 million decrease in net product revenue due to net inventory level changes during 2015. We believe that changes in channel inventory at these independent wholesalers and retail pharmacies are common and impacted by numerous factors, including holiday timing and recent order trends. We also believe, based on information available to us, that channel inventory levels at the end of both 2015 and 2016 are within ordinary ranges.</w:t>
      </w:r>
    </w:p>
    <w:p>
      <w:pPr>
        <w:spacing w:after="0" w:line="14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All of our product revenue in the years ended December 31, 2016 and 2015 was derived from product sales of Vascepa, net of allowances, discounts, incentives, rebates, chargebacks and returns. Included in 2016 net product revenue are sales of 0.5-gram size Vascepa capsules, which were introduced in October 2016, for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subset of patients who prefer a smaller capsule. Sales of Vascepa 0.5-gram size capsules have not been significant to date. The FDA-approved dosing for Vascepa continues to be 4 grams per day and we expect that the majority of patients taking Vascepa will continue to be prescribed the 1-gram size Vascepa capsules. We also expect that the majority of new patients will be prescribed the 1-gram size Vascepa capsule. Timing of shipments to wholesalers, as used for revenue recognition, and timing of prescriptions as estimated by third-party sources such as Symphony Health Solutions and IMS Health may differ from period to period.</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2016 and 2015,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years ended December 31, 2016 and 2015 was up to $70 per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3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1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Licensing revenue during the years ended December 31, 2016 and 2015 was $1.1 million and $0.8 million, respectively,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or 46%. Licensing revenue relates to the amortization of a $15.0 million up-front payment received in February 2015 and a $1.0 million milestone payment achieved in March 2016, both associated with a Vascepa licensing agreement for the China Territory. The up-front and milestone payments are being recognized over the estimated period in which we are required to provide regulatory and development support and clinical and commercial supply under the agreement. The amount of licensing revenue recorded may be variable from period to period based on changes in estimates of the timing and level of support required. We do not anticipate significant revenues related to the Biologix agreement in 2017.</w:t>
      </w:r>
    </w:p>
    <w:p>
      <w:pPr>
        <w:spacing w:after="0" w:line="139"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2016 and 2015 was $34.4 million and $27.9 million, respectively,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$6.5 million, or 23%.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3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2016 and 2015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Our gross margin on product sales for the years ended December 31, 2016 and 2015 was 73% and 66%, respectively. This improvement was primarily driven by lower unit cost API purchases.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8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2016 and 2015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$111.4 million and $101.0 million, respectively, an increase of $10.4 million, or 10%. Selling, general and administrative expenses for the years ended December 31, 2016 and 2015 are summarized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500" w:type="dxa"/>
            <w:vAlign w:val="bottom"/>
            <w:tcBorders>
              <w:bottom w:val="single" w:sz="8" w:color="CCEEFF"/>
            </w:tcBorders>
            <w:gridSpan w:val="2"/>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based compensation expense (3)</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warrant related compensation income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111,372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253"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and warrants, for the years ended December 31, 2016 and 2015 was $82.0 million and $82.5 million, respectively, a decrease of $0.4 million, or 1%. This slight decrease is due primarily to an increase in prior-year sales and marketing costs in support of expanded Vascepa promotion following the favorable federal court declaration on August 7, 2015 and related settlement on March 8, 2016 allowing communication of truthful and non-misleading ANCHOR clinical trial and related data to be communicated to healthcare professionals, more than offset by lower legal costs resulting from the same.</w:t>
      </w:r>
    </w:p>
    <w:p>
      <w:pPr>
        <w:spacing w:after="0" w:line="1" w:lineRule="exact"/>
        <w:rPr>
          <w:rFonts w:ascii="Times New Roman" w:cs="Times New Roman" w:eastAsia="Times New Roman" w:hAnsi="Times New Roman"/>
          <w:sz w:val="18"/>
          <w:szCs w:val="18"/>
          <w:color w:val="auto"/>
        </w:rPr>
      </w:pPr>
    </w:p>
    <w:p>
      <w:pPr>
        <w:ind w:left="460" w:right="14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were $18.0 million and $8.0 million in the years ended December 31, 2016 and 2015, respectively, an increase of $10.0 million, or 126%. The increase is due primarily to an increase in gross margin on product sales for the year ended December 31, 2016 compared to the same period in 2015, coupled with an increase in the percentage of aggregate Vascepa gross margin earned by Kowa Pharmaceuticals America, Inc. from 15% in 2015 to 19% in 2016.</w:t>
      </w:r>
    </w:p>
    <w:p>
      <w:pPr>
        <w:spacing w:after="0" w:line="1" w:lineRule="exact"/>
        <w:rPr>
          <w:rFonts w:ascii="Times New Roman" w:cs="Times New Roman" w:eastAsia="Times New Roman" w:hAnsi="Times New Roman"/>
          <w:sz w:val="18"/>
          <w:szCs w:val="18"/>
          <w:color w:val="auto"/>
        </w:rPr>
      </w:pPr>
    </w:p>
    <w:p>
      <w:pPr>
        <w:ind w:left="460" w:right="380" w:hanging="452"/>
        <w:spacing w:after="0" w:line="323" w:lineRule="auto"/>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for the years ended December 31, 2016 and 2015 was $11.4 million and $10.6 million, respectively, an increase of $0.8 million, or 7%, primarily due to an increase in new stock option and restricted stock awards granted to attract and retain qualified employees.</w:t>
      </w:r>
    </w:p>
    <w:p>
      <w:pPr>
        <w:spacing w:after="0" w:line="8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anticipate that selling, general and administrative expenses, excluding non-cash costs, will increase by less than 10% in 2017 compared with 2016, with the exception of commercial spending for anticipated expansion following successful REDUCE-IT results and increased co-promotion fees anticipated to be paid to Kowa Pharmaceuticals America, Inc. associated primarily with anticipated increased revenue growth.</w:t>
      </w:r>
    </w:p>
    <w:p>
      <w:pPr>
        <w:spacing w:after="0" w:line="130" w:lineRule="exact"/>
        <w:rPr>
          <w:sz w:val="20"/>
          <w:szCs w:val="20"/>
          <w:color w:val="auto"/>
        </w:rPr>
      </w:pPr>
    </w:p>
    <w:p>
      <w:pPr>
        <w:jc w:val="both"/>
        <w:ind w:right="6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2016 and 2015 was $50.0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$51.1 million, respectively, a decrease of $1.1 million, or 2%. Research and development expenses for the years ended December 31, 2016 and 2015 are summarized in the table below:</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4"/>
                <w:szCs w:val="14"/>
                <w:color w:val="auto"/>
              </w:rPr>
            </w:pPr>
          </w:p>
        </w:tc>
        <w:tc>
          <w:tcPr>
            <w:tcW w:w="1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$36,989</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10,914</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47,723</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 (4)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49,975</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51,062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The decrease in research and development expenses for the year ended December 31, 2016, as compared to the prior year period, is primarily due to a decrease in overhead costs and non-cash stock-based compensation partially offset by quarterly variability in costs related to the REDUCE-IT study.</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87" w:lineRule="auto"/>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years ended December 31, 2016 and 2015, we incurred expenses through our CRO in connection with this trial of approximately $28.8 million and $28.5 million, respectively. Inclusive of CTM costs, the combined CRO and CTM costs during the years ended December 31, 2016 and 2015 for REDUCE-IT were approximately $37.0 million and $34.7 million, respectively. The increase in expenses in 2016 as compared to 2015 is primarily the result of timing variability for REDUCE-IT costs. We expense costs for CTM when allocated to clinical research. The aggregate cost of this outcomes study will depend on the rate of clinical events in the study. We currently estimate that we will incur $30 million to</w:t>
      </w:r>
    </w:p>
    <w:p>
      <w:pPr>
        <w:spacing w:after="0" w:line="181" w:lineRule="exact"/>
        <w:rPr>
          <w:rFonts w:ascii="Times New Roman" w:cs="Times New Roman" w:eastAsia="Times New Roman" w:hAnsi="Times New Roman"/>
          <w:sz w:val="16"/>
          <w:szCs w:val="16"/>
          <w:color w:val="auto"/>
        </w:rPr>
      </w:pPr>
    </w:p>
    <w:p>
      <w:pPr>
        <w:jc w:val="both"/>
        <w:ind w:left="460" w:right="14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near the end of 2017 with study results then expected to be available and published in 2018. We anticipate that our costs for this outcomes study will continue to represent the most significant component of our research and development expenditures.</w:t>
      </w:r>
    </w:p>
    <w:p>
      <w:pPr>
        <w:spacing w:after="0" w:line="2" w:lineRule="exact"/>
        <w:rPr>
          <w:rFonts w:ascii="Times New Roman" w:cs="Times New Roman" w:eastAsia="Times New Roman" w:hAnsi="Times New Roman"/>
          <w:sz w:val="16"/>
          <w:szCs w:val="16"/>
          <w:color w:val="auto"/>
        </w:rPr>
      </w:pPr>
    </w:p>
    <w:p>
      <w:pPr>
        <w:jc w:val="both"/>
        <w:ind w:left="460" w:right="26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years ended December 31, 2016 and 2015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Times New Roman" w:cs="Times New Roman" w:eastAsia="Times New Roman" w:hAnsi="Times New Roman"/>
          <w:sz w:val="18"/>
          <w:szCs w:val="18"/>
          <w:color w:val="auto"/>
        </w:rPr>
      </w:pPr>
    </w:p>
    <w:p>
      <w:pPr>
        <w:ind w:left="460" w:right="580" w:hanging="452"/>
        <w:spacing w:after="0" w:line="261"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costs associated with equity awards issued to internal staff supporting our research and development and regulatory functions.</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We anticipate that research and development expenses in 2017, excluding non-cash costs, will remain relatively consistent with 2016 levels, with the majority of such spending devoted to the ongoing REDUCE-IT trial.</w:t>
      </w:r>
    </w:p>
    <w:p>
      <w:pPr>
        <w:spacing w:after="0" w:line="11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Gain (Loss) on Change in Fair Value of Derivative Liabilities</w:t>
      </w:r>
      <w:r>
        <w:rPr>
          <w:rFonts w:ascii="Times New Roman" w:cs="Times New Roman" w:eastAsia="Times New Roman" w:hAnsi="Times New Roman"/>
          <w:sz w:val="18"/>
          <w:szCs w:val="18"/>
          <w:color w:val="auto"/>
        </w:rPr>
        <w:t>. Gain (loss) on change in fair value of derivative liabilities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was a gain of $8.2 million versus a loss of $1.1 million in the prior year period. Gain (loss) on change in fair value of derivative liabilities for the years ended December 31, 2016 and 2015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warrant derivative liability was related to the change in fair value of warrants issued in conjunction with the October 2009 private placement. In October 2009, we issued 36.1 million warrants at an exercise price of $1.50 per warrant and recorded a $48.3 million warrant derivative liability, representing the fair value of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60"/>
          </w:cols>
          <w:pgMar w:left="240" w:top="455" w:right="2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warrants issued. As these warrants were classified as a derivative liability, they were revalued at each reporting period, with changes in fair value recognized in the consolidated statement of operations. Of the 8,087,388 warrants outstanding as of December 31, 2014, 1,844,585 warrants were exercised and the remaining 6,242,803 warrants expired on February 27, 2015. As such, no warrants were outstanding as of December 31, 2015 and the derivative liability was extinguished. The fair value of the warrant derivative liability as of December 31, 2014 was $0.1 million and we recognized a $0.1 million gain on change in fair value of derivative liability for the year ended December 31, 2015. There was no such change in fair value of warrant derivative liability for the year ended December 31, 2016.</w:t>
      </w:r>
    </w:p>
    <w:p>
      <w:pPr>
        <w:spacing w:after="0" w:line="13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Our December 2012 financing agreement with BioPharma contains a redemption feature whereby, upon a change of control, we would be required to repay $150.0 million, less any previously repaid amount, which net remaining unpaid amount as of December 31, 2016 was $125.6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2015, the fair value of the derivative was determined to be $5.5 million, and as of December 31, 2016, the fair value of the derivative was determined to be nil based on current assumptions. As such, we recognized a $5.5 million gain on change in fair value of derivative liability for the year ended December 31, 2016. As of December 31, 2014, the fair value of the derivative was determined to be $4.8 million, and as of December 31, 2015, the fair value of the derivative was determined to be $5.5 million. As such, we recognized a $0.7 million loss on change in fair value of derivative liability for the year ended December 31, 2015.</w:t>
      </w:r>
    </w:p>
    <w:p>
      <w:pPr>
        <w:spacing w:after="0" w:line="336"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Our 2014 Notes, issued in May 2014,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8—Debt). As such, the related derivative liability was derecognized and we recognized a $2.1 million gain on change in fair value of derivative liability for the year ended December 31, 2016. As of December 31, 2014, the fair value of the derivative was determined to be $2.6 million, and as of December 31, 2015, the fair value of the derivative was determined to be $2.1 million. As such, we recognized a $0.5 million gain on change in fair value of derivative liability for the year ended December 31, 2015.</w:t>
      </w:r>
    </w:p>
    <w:p>
      <w:pPr>
        <w:spacing w:after="0" w:line="143"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Our 2015 Notes, issued in November 2015,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8—Debt). As such, the related derivative liability was derecognized and we recognized a $0.6 million gain on change in fair value of derivative liability for the year ended December 31, 2016. Upon issuance in November 2015, the fair value of the derivative was determined to be $0.5 million, and as of December 31, 2015, the fair value of the derivative was determined to be $0.6 million. As such, we recognized a $0.1 million loss on change in fair value of derivative liability for the year ended December 31, 2015.</w:t>
      </w:r>
    </w:p>
    <w:p>
      <w:pPr>
        <w:spacing w:after="0" w:line="11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closing of a private placement transaction in early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year ended December 31, 2015. The liability was then marked to fair value through March 30, 2015, the date on which we executed a separate subscription agreement with the investor, resulting in a charge of $0.9 million through gain (loss) on change in fair value of derivatives in the year ended December 31, 2015. The liability of $1.8 million was then reclassified to permanent equity on March 30, 2015. There was no such change in fair value of derivative liability for the year ended December 31, 2016.</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a result of the exchange of the related debt hosts for the year ended December 31, 2016 and was largely related to changes in quoted bond prices for the year ended December 31, 2015. Any changes in the assumptions used to value the derivative liabilities could result in a material change to the carrying value of such liabilities.</w:t>
      </w:r>
    </w:p>
    <w:p>
      <w:pPr>
        <w:spacing w:after="0" w:line="13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Gain on Extinguishment of Debt. </w:t>
      </w:r>
      <w:r>
        <w:rPr>
          <w:rFonts w:ascii="Times New Roman" w:cs="Times New Roman" w:eastAsia="Times New Roman" w:hAnsi="Times New Roman"/>
          <w:sz w:val="18"/>
          <w:szCs w:val="18"/>
          <w:color w:val="auto"/>
        </w:rPr>
        <w:t>In November 2015, we entered into a privately negotiated subscription agreement with one of our existing investors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pursuant to which the Investor agreed to purchase approximately $31.3 million in aggregate principal amount of new 3.5% November 2015 Exchangeable Senior Notes due 2032 (the “2015 Notes”) for approximately $27.5 million. Concurrent with the issuance of the 2015 Notes, we entered into separate, privately negotiated purchase agreements with certain holders of the 3.5% January 2012 Exchangeable Senior Notes due 2032 (the “2012 Notes”) pursuant to which we purchased approximately $16.2 million in aggregate principal amount of the 2012 Notes for $15.9 million (the “2012 Notes Purchase”), which includes accrued but unpaid interest on such 2012 Notes. The 2012 Notes Purchase was funded by the issuance of the 2015 Notes. Following the closing of the 2012 Notes Purchase, we had approximately $15.1 million in aggregate principal amount of 2012 Notes outstanding. The 2012 Notes Purchase was accounted for as an extinguishment of debt and we recorded a gain of $1.3 million upon extinguishment for the year ended December 31, 2015, which represents the reacquisition of the conversion option at fair value and a negotiated discount on the purchase of the notes partially offset by legal and transaction advisory costs incurred. There was no such gain on extinguishment of debt for the year ended December 31, 2016.</w:t>
      </w:r>
    </w:p>
    <w:p>
      <w:pPr>
        <w:spacing w:after="0" w:line="141"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Net interest expense for the years ended December 31, 2016 and 2015 was $18.4 million and $20.0 million, respectively,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$1.6 million, or 8%. Net interest expense for the years ended December 31, 2016 and 2015 is summarized in the table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Exchangeable senior notes (1):</w:t>
            </w:r>
          </w:p>
        </w:tc>
        <w:tc>
          <w:tcPr>
            <w:tcW w:w="3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3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interest—current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interest—deferred</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interest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Total long-term debt from royalty-bearing instrument interest expense</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2"/>
              </w:rPr>
              <w:t>18,677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2"/>
              </w:rPr>
              <w:t>18,443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20,048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60" w:type="dxa"/>
            <w:vAlign w:val="bottom"/>
            <w:vMerge w:val="restart"/>
          </w:tcPr>
          <w:p>
            <w:pPr>
              <w:jc w:val="right"/>
              <w:ind w:right="327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600" w:hanging="452"/>
        <w:spacing w:after="0" w:line="257"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for the years ended December 31, 2016 and 2015 was $9.9 million and $11.7 million, respectively.</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BioPharma financing for the years ended December 31, 2016 and 2015 was $8.8 million and $8.5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years ended December 31, 2016 and 2015 was $0.2 million and $0.1 million, respectively. Interest income represents income earned on cash balances.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year ended December 31, 2016 was expense of $0.5 million versus expense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in the prior year period. Other (expense) income, net, in the years ended December 31, 2016 and 2015 primarily consists of gains and losses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transactions.</w:t>
      </w:r>
    </w:p>
    <w:p>
      <w:pPr>
        <w:spacing w:after="0" w:line="157"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(Provision for) Benefit from Income Taxes. </w:t>
      </w:r>
      <w:r>
        <w:rPr>
          <w:rFonts w:ascii="Times New Roman" w:cs="Times New Roman" w:eastAsia="Times New Roman" w:hAnsi="Times New Roman"/>
          <w:sz w:val="16"/>
          <w:szCs w:val="16"/>
          <w:color w:val="auto"/>
        </w:rPr>
        <w:t>(Provision for) benefit from income taxes for the years ended December 31, 2016 and 2015 was a provision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$10.0 million and a benefit of $3.1 million, respectively. The current provision relates entirely to the U.S. subsidiary operations. We are profitable in the United States as a result of intercompany transactions between our U.S. subsidiary and our other companies. In April 2016, we adopted ASU No. 2016-09, </w:t>
      </w:r>
      <w:r>
        <w:rPr>
          <w:rFonts w:ascii="Times New Roman" w:cs="Times New Roman" w:eastAsia="Times New Roman" w:hAnsi="Times New Roman"/>
          <w:sz w:val="16"/>
          <w:szCs w:val="16"/>
          <w:i w:val="1"/>
          <w:iCs w:val="1"/>
          <w:color w:val="auto"/>
        </w:rPr>
        <w:t xml:space="preserve">Compensation—Stock Compensation (Topic 718): Improvements to Employee Share-Based Payment Accounting, </w:t>
      </w:r>
      <w:r>
        <w:rPr>
          <w:rFonts w:ascii="Times New Roman" w:cs="Times New Roman" w:eastAsia="Times New Roman" w:hAnsi="Times New Roman"/>
          <w:sz w:val="16"/>
          <w:szCs w:val="16"/>
          <w:color w:val="auto"/>
        </w:rPr>
        <w:t>which requires that excess tax benefits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 for income taxes for the year ended December 31, 2016 includes $0.4 million of excess tax deficiencies arising from share-based payments.</w:t>
      </w:r>
    </w:p>
    <w:p>
      <w:pPr>
        <w:spacing w:after="0" w:line="113" w:lineRule="exact"/>
        <w:rPr>
          <w:sz w:val="20"/>
          <w:szCs w:val="20"/>
          <w:color w:val="auto"/>
        </w:rPr>
      </w:pPr>
    </w:p>
    <w:p>
      <w:pPr>
        <w:ind w:right="12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Preferred Stock Purchase Option. </w:t>
      </w:r>
      <w:r>
        <w:rPr>
          <w:rFonts w:ascii="Times New Roman" w:cs="Times New Roman" w:eastAsia="Times New Roman" w:hAnsi="Times New Roman"/>
          <w:sz w:val="16"/>
          <w:szCs w:val="16"/>
          <w:color w:val="auto"/>
        </w:rPr>
        <w:t>In connection with the closing of a private placement transaction in early March 2015, we recorded a derivative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w:t>
      </w:r>
    </w:p>
    <w:p>
      <w:pPr>
        <w:ind w:right="60"/>
        <w:spacing w:after="0" w:line="255" w:lineRule="auto"/>
        <w:rPr>
          <w:sz w:val="20"/>
          <w:szCs w:val="20"/>
          <w:color w:val="auto"/>
        </w:rPr>
      </w:pPr>
      <w:r>
        <w:rPr>
          <w:rFonts w:ascii="Times New Roman" w:cs="Times New Roman" w:eastAsia="Times New Roman" w:hAnsi="Times New Roman"/>
          <w:sz w:val="18"/>
          <w:szCs w:val="18"/>
          <w:color w:val="auto"/>
        </w:rPr>
        <w:t>$0.9 million at inception. The liability was charged to accumulated deficit as a deemed non-cash dividend and was therefore reflected as an adjustment to net loss applicable to common shareholders for earnings per common share purposes in accordance with GAAP for the year ended December 31, 2015. There was no such adjustment to net loss for the year ended December 31, 2016.</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Preferred Stock Beneficial Conversion Features</w:t>
      </w:r>
      <w:r>
        <w:rPr>
          <w:rFonts w:ascii="Times New Roman" w:cs="Times New Roman" w:eastAsia="Times New Roman" w:hAnsi="Times New Roman"/>
          <w:sz w:val="18"/>
          <w:szCs w:val="18"/>
          <w:color w:val="auto"/>
        </w:rPr>
        <w:t>. In 2015, we issued Series A preference shares in a private placement transaction executed in two tranches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each contain a conversion feature whereby such shares are convertible into ordinary shares at a fixed rate (see Note 10—Equity). The conversion price on the date of issuance was less than the market price of our ordinary shares on such date. We determined that these discounts represent contingent beneficial conversion features, which were valued based on the difference between the conversion price and the market price of the ordinary shares on the date of issuance. These features are analogous to preference dividends and were recorded as non-cash returns to preferred shareholders through accumulated deficit, and are therefore reflected as adjustments to net loss applicable to common shareholders for earnings per common share purposes in accordance with GAAP. During the year ended December 31, 2015, we recorded an adjustment to net loss applicable to common shareholders of $31.3 million upon effectiveness of the related resale Registration Statement on Form S-3 and $1.6 million upon shareholder approval received at the Company’s Annual General Meeting of Shareholders. There was no such adjustment to net loss in the year ended December 31, 2016.</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2015 and December 31, 2014</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of $81.0 million and $54.2 million during the years ended December 31, 2015 and 2014,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$26.8 million, or 49%. This increase in revenue was driven by an increase in estimated normalized total Vascepa prescriptions of approximately 228,000 and 258,000 based on data provided by Symphony Health Solutions and IMS Health, respectively, representing growth of 55% and 62%, respectively, over the year ended December 31, 2014. The difference in the percentage of revenue growth as compared to the percentage of prescription growth is primarily due to a change in revenue recognition methodology in 2014 as described below. The level of inventories held by our customers as of December 31, 2015 was slightly lower as compared to inventories held as of December 31, 2014 based on days on hand. All of our product revenue in the years ended December 31, 2015 and 2014 was derived from product sales of Vascepa, net of allowances, discounts, incentives, rebates, chargebacks and returns. In accordance with GAAP, prior to 2014, product revenue was recognized based on the resale of Vascepa for the purposes of filling patient prescriptions and not based on sales to our Distributors. During the three months ended March 31, 2014, we concluded that we had developed sufficient history such that we can reliably estimate returns and, as a result, began to recognize product revenue based on sales to our Distributors. Through December 31, 2015, product returns of Vascepa were de minimis. Timing of shipments to wholesalers, as used for revenue recognition, and timing of prescriptions as estimated by third-party sources such as Symphony Health Solutions and IMS Health may differ from period to period.</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2015 and 2014,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is typical for the pharmaceutical industry, the majority of Vascepa sales are to major commercial wholesalers which then resell Vascepa to retail pharmacies.</w:t>
      </w:r>
    </w:p>
    <w:p>
      <w:pPr>
        <w:spacing w:after="0" w:line="13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Licensing revenue during the year ended December 31, 2015 was $0.8 million. We did not record licensing revenue prior to 2015.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revenue relates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3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2015 and 2014 was $27.9 million and $20.5 million, respectively,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$7.4 million, or 36%.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3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was sourced from three API suppliers for the year ended December 31, 2015 and from two API suppliers for the year ended December 31, 2014.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gross margin on product sales for the years ended December 31, 2015 and 2014 was 66% and 62%,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34" w:lineRule="exact"/>
        <w:rPr>
          <w:sz w:val="20"/>
          <w:szCs w:val="20"/>
          <w:color w:val="auto"/>
        </w:rPr>
      </w:pPr>
    </w:p>
    <w:p>
      <w:pPr>
        <w:jc w:val="both"/>
        <w:ind w:right="7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2015 and 2014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$101.0 million and $79.3 million, respectively, an increase of $21.7 million, or 27%. Selling, general and administrative expenses for the years ended December 31, 2015 and 2014 are summarized in the table below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$71,864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based compensation expense (3)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6,321</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warrant related compensation income</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101,041</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79,346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line="253"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non-cash compensation charges for stock compensation and warrants and co-promotion fees, for the years ended December 31, 2015 and 2014 was $82.5 million and $71.9 million, respectively, an increase of $10.6 million, or 15%. The increase is due primarily to increased sales and marketing spend in support of expanded Vascepa promotion following the federal court declaration on August 7, 2015 allowing communication of truthful and non-misleading ANCHOR clinical trial data to be communicated to healthcare professionals, as well as higher legal costs associated with various legal matters, which costs vary from period to period.</w:t>
      </w:r>
    </w:p>
    <w:p>
      <w:pPr>
        <w:spacing w:after="0" w:line="1"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were $8.0 million and $1.7 million in the years ended December 31, 2015 and 2014, respectively, an increase of $6.3 million, or 371%. Kowa Pharmaceuticals America, Inc. commenced its co-promotion efforts in May 2014.</w:t>
      </w:r>
    </w:p>
    <w:p>
      <w:pPr>
        <w:ind w:left="460" w:right="420" w:hanging="452"/>
        <w:spacing w:after="0" w:line="323" w:lineRule="auto"/>
        <w:tabs>
          <w:tab w:leader="none" w:pos="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for the years ended December 31, 2015 and 2014 was $10.6 million and $6.3 million, respectively, an increase of $4.3 million, or 68%, primarily due to an increase in new stock option and restricted stock awards granted to attract and retain qualified employees.</w:t>
      </w:r>
    </w:p>
    <w:p>
      <w:pPr>
        <w:spacing w:after="0" w:line="87"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currently anticipate that prior to REDUCE-IT data, our selling, general and administrative costs in 2016 will be substantially consistent with that in 2015, with the exception of non-cash costs and anticipated increases in the co-promotion fees earned by Kowa Pharmaceuticals America, Inc. based on anticipated increases in net product revenues and the terms of our co-promotion agreement with Kowa Pharmaceuticals America, Inc.</w:t>
      </w:r>
    </w:p>
    <w:p>
      <w:pPr>
        <w:spacing w:after="0" w:line="130" w:lineRule="exact"/>
        <w:rPr>
          <w:sz w:val="20"/>
          <w:szCs w:val="20"/>
          <w:color w:val="auto"/>
        </w:rPr>
      </w:pPr>
    </w:p>
    <w:p>
      <w:pPr>
        <w:jc w:val="both"/>
        <w:ind w:right="5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2015 and 2014 was $51.1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$50.3 million, respectively, an increase of $0.8 million, or 2%. Research and development expenses for the years ended December 31, 2015 and 2014 are summarized in the table below (in thousands):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3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$34,706</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$37,672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8,106</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w w:val="98"/>
              </w:rPr>
              <w:t>Research and development expense, excluding non-cash expense</w:t>
            </w:r>
          </w:p>
        </w:tc>
        <w:tc>
          <w:tcPr>
            <w:tcW w:w="3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 (4)</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2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51,062</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100" w:type="dxa"/>
            <w:vAlign w:val="bottom"/>
            <w:vMerge w:val="restart"/>
          </w:tcPr>
          <w:p>
            <w:pPr>
              <w:jc w:val="right"/>
              <w:ind w:right="2772"/>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December 31, 2015, as compared to the prior year period, is primarily due to an increase in internal staffing and overhead costs and non-cash stock-based compensation partially offset by quarterly variability in costs related to the REDUCE-IT study.</w:t>
      </w:r>
    </w:p>
    <w:p>
      <w:pPr>
        <w:spacing w:after="0" w:line="51" w:lineRule="exact"/>
        <w:rPr>
          <w:sz w:val="20"/>
          <w:szCs w:val="20"/>
          <w:color w:val="auto"/>
        </w:rPr>
      </w:pPr>
    </w:p>
    <w:p>
      <w:pPr>
        <w:ind w:left="460" w:right="80" w:hanging="452"/>
        <w:spacing w:after="0" w:line="25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2011, we announced commencement of patient dosing in our cardiovascular outcomes study of Vascepa, titled REDUCE-IT, which is designed to evaluate the efficacy of Vascepa in reducing major cardiovascular events in a high-risk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CRO through which all costs for this outcomes study are incurred with the exception of costs for CTM and costs for internal management. Our internal personnel are responsible for managing multiple projects and their costs are not specifically allocated to REDUCE-IT or any other individual project. For the years ended December 31, 2015 and 2014, we incurred expenses through our CRO in connection with this trial of approximately $28.5 million and $31.0 million, respectively. Inclusive of CTM costs, the combined CRO and CTM costs during the years ended December 31, 2015 and 2014 for REDUCE-IT were approximately $34.7 million and $37.7 million, respectively. The decrease in expenses in 2015 as compared to 2014 is primarily the result of timing variability for REDUCE-IT costs. We expense costs for CTM when allocated to clinical research. The aggregate cost of this outcomes study will depend on the rate of clinical events in the study. We currently estimate we will incur $30 million to $40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in or about 2017 with study results then expected to be available and published in 2018. We anticipate that our costs for this outcomes study will continue to represent the most significant component of our research and development expenditures.</w:t>
      </w:r>
    </w:p>
    <w:p>
      <w:pPr>
        <w:spacing w:after="0" w:line="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years ended December 31, 2015 and 2014 included annual FDA fees for maintaining manufacturing sites.</w:t>
      </w:r>
    </w:p>
    <w:p>
      <w:pPr>
        <w:spacing w:after="0" w:line="9"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Times New Roman" w:cs="Times New Roman" w:eastAsia="Times New Roman" w:hAnsi="Times New Roman"/>
          <w:sz w:val="18"/>
          <w:szCs w:val="18"/>
          <w:color w:val="auto"/>
        </w:rPr>
      </w:pPr>
    </w:p>
    <w:p>
      <w:pPr>
        <w:ind w:left="460" w:right="62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costs associated with equity awards issued to internal staff supporting our research and development and regulatory functions.</w:t>
      </w:r>
    </w:p>
    <w:p>
      <w:pPr>
        <w:spacing w:after="0" w:line="13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Research and development costs, excluding non-cash costs, are expected to vary from quarter to quarter in 2016 due to the timing of REDUCE-IT costs.</w:t>
      </w:r>
    </w:p>
    <w:p>
      <w:pPr>
        <w:spacing w:after="0" w:line="192"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Gain (Loss) on Change in Fair Value of Derivative Liabilities</w:t>
      </w:r>
      <w:r>
        <w:rPr>
          <w:rFonts w:ascii="Times New Roman" w:cs="Times New Roman" w:eastAsia="Times New Roman" w:hAnsi="Times New Roman"/>
          <w:sz w:val="16"/>
          <w:szCs w:val="16"/>
          <w:color w:val="auto"/>
        </w:rPr>
        <w:t>. Gain (loss) on change in fair value of derivative liabilities for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2015 was a loss of $1.1 million versus a gain of $13.5 million in the prior year period. Gain (loss) on change in fair value of derivative liabilities is comprised of</w:t>
      </w:r>
    </w:p>
    <w:p>
      <w:pPr>
        <w:jc w:val="both"/>
        <w:ind w:right="160" w:firstLine="8"/>
        <w:spacing w:after="0" w:line="254" w:lineRule="auto"/>
        <w:tabs>
          <w:tab w:leader="none" w:pos="2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fair value of the warrant derivative liability, (ii) the change in fair value of the derivative liability related to the change in control provision associated with the December 2012 BioPharma financing,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3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warrant derivative liability is related to the change in fair value of warrants issued in conjunction with the October 2009 private placement. In October 2009, we issued 36.1 million warrants at an exercise price of $1.50 per warrant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warrant derivative liability as of December 31, 2014 was $0.1 million and we recognized a $0.1 million gain on change in fair value of derivative liability for the year ended December 31, 2015 for these warrants. The fair value of the warrant derivative liability as of December 31, 2013 was $6.9 million and we recognized a $6.3 million gain on change in fair value of derivative liability for the year ended December 31, 2014. The change in fair value of the warrant derivative liability for the year ended December 31, 2015 is due to the expiration of the warrants and the resulting extinguishment of the liability, while the change in fair value for the year ended December 31, 2014 is due primarily to the change in the price of our common stock on the date of valuation.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December 31, 2015.</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December 2012 financing agreement with BioPharma contains a redemption feature whereby, upon a change of control, we would be required to repay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$150.0 million, less any previously repaid amount. The fair value of the derivative liability is recalculated at each reporting period using a probability-weighted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model incorporating management estimates for potential change in control, and by determining the fair value of the debt with and without the change in control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included. The difference between the two fair values of the debt was determined to be the fair value of the embedded derivative. As of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the fair value of the derivative was determined to be $4.8 million, and as of December 31, 2015, the fair value of the derivative was determined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$5.5 million. As such, we recognized a $0.7 million loss on change in fair value of derivative liability for the year ended December 31, 2015. As of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the fair value of the derivative was determined to be $11.1 million, and as of December 31, 2014, the fair value of the derivative was determined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million. As such, we recognized a $6.3 million gain on change in fair value of derivative liability for the year ended December 31, 2014.</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2014, the fair value of the derivative was determined to be $2.6 million, and as of December 31, 2015, the fair value of the derivative was determined to be $2.1 million. As such, we recognized a $0.5 million gain on change in fair value of derivative liability for the year ended December 31, 2015. Upon initial recording, the fair value of the derivative was determined to be $3.5 million, and as of December 31, 2014, the fair value of the derivative was determined to be $2.6 million. As such, we recognized a $0.9 million gain on change in fair value of derivative liability for the year ended December 31, 2014.</w:t>
      </w:r>
    </w:p>
    <w:p>
      <w:pPr>
        <w:spacing w:after="0" w:line="13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2015 Notes, issued in November 2015, contain the same redemption feature as the 2014 Notes and the related derivative liability was calculated utilizing the same methodology. Upon issuance in November 2015, the fair value of the derivative was determined to be $0.5 million, and as of December 31, 2015, the fair value of the derivative was determined to be $0.6 million. As such, we recognized a $0.1 million loss on change in fair value of derivative liability for the year ended December 31, 2015.</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a private placement transaction in early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is therefore reflected as an adjustment to net loss applicable to common shareholders for earnings per common share purposes in accordance with GAAP. The liability was then marked to fair value through March 30, 2015, the date on which we executed a separate subscription agreement with the investor, resulting in a charge of $0.9 million through gain (loss) on change in fair value of derivatives in the year ended December 31, 2015. The liability was reclassified to permanent equity on such date.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largely related to changes in quoted bond prices. Any changes in the assumptions used to value the derivative liabilities could result in a material change to the carrying value of such liabilities.</w:t>
      </w:r>
    </w:p>
    <w:p>
      <w:pPr>
        <w:spacing w:after="0" w:line="1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Gain on Extinguishment of Debt. </w:t>
      </w:r>
      <w:r>
        <w:rPr>
          <w:rFonts w:ascii="Times New Roman" w:cs="Times New Roman" w:eastAsia="Times New Roman" w:hAnsi="Times New Roman"/>
          <w:sz w:val="18"/>
          <w:szCs w:val="18"/>
          <w:color w:val="auto"/>
        </w:rPr>
        <w:t>On May 15, 2014, we entered into separate, privately negotiated exchange agreements with certain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exchangeable senior notes pursuant to which we exchanged $118.7 million in aggregate principal amount of existing exchangeable senior notes for $118.7 million in aggregate principal amount of new 3.5%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8).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recorded a gain on extinguishment of the original notes of $38.0 million in the year ended December 31, 2014.</w:t>
      </w:r>
    </w:p>
    <w:p>
      <w:pPr>
        <w:spacing w:after="0" w:line="14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November 2015, we entered into a privately negotiated subscription agreement with one of our existing investors (the “Investor”), pursuant to which the Investor agreed to purchase approximately $31.3 million in aggregate principal amount of new 3.5% November 2015 Exchangeable Senior Notes due 2032 (the “2015 Notes”) for approximately $27.5 million. Concurrent with the issuance of the 2015 Notes, we entered into separate, privately negotiated purchase agreements with certain holders of the 3.5% January 2012 Exchangeable Senior Notes due 2032 (the “2012 Notes”) pursuant to which we purchased approximately $16.2 million in aggregate principal amount of the 2012 Notes for $15.9 million (the “2012 Notes Purchase”), which includes accrued but unpaid interest on such 2012 Notes. The 2012 Notes Purchase was funded by the issuance of the 2015 Notes. Following the closing of the 2012 Notes Purchase, we had approximately $15.1 million in aggregate principal amount of 2012 Notes outstanding. The 2012 Notes Purchase was accounted for as an extinguishment of debt and we recorded a gain of $1.3 million upon extinguishment, which represents the reacquisition of the conversion option at fair value and a negotiated discount on the purchase of the notes partially offset by legal and transaction advisory costs incurred.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Net interest expense for the years ended December 31, 2015 and 2014 was $20.0 million and $18.5 million, respectively,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 million, or 8%. Net interest expense for the years ended December 31, 2015 and 2014 is summarized in the table below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7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Exchangeable senior notes (1):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w:t>
            </w:r>
          </w:p>
        </w:tc>
      </w:tr>
      <w:tr>
        <w:trPr>
          <w:trHeight w:val="223"/>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interest—current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interest—deferred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9,103</w:t>
            </w:r>
          </w:p>
        </w:tc>
      </w:tr>
      <w:tr>
        <w:trPr>
          <w:trHeight w:val="223"/>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18,575</w:t>
            </w:r>
          </w:p>
        </w:tc>
      </w:tr>
      <w:tr>
        <w:trPr>
          <w:trHeight w:val="216"/>
        </w:trPr>
        <w:tc>
          <w:tcPr>
            <w:tcW w:w="9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20,048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18,479</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520" w:hanging="452"/>
        <w:spacing w:after="0" w:line="257"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for the years ended December 31, 2015 and 2014 was $11.7 million and $9.5 million, respectively.</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BioPharma financing for the years ended December 31, 2015 and 2014 was $8.5 million and $9.1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income for the years ended December 31, 2015 and 2014 was $0.1 million in each year. Interest income represents income earned on cash balances.</w:t>
      </w:r>
    </w:p>
    <w:p>
      <w:pPr>
        <w:spacing w:after="0" w:line="180" w:lineRule="exact"/>
        <w:rPr>
          <w:sz w:val="20"/>
          <w:szCs w:val="20"/>
          <w:color w:val="auto"/>
        </w:rPr>
      </w:pPr>
    </w:p>
    <w:p>
      <w:pPr>
        <w:ind w:right="3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years ended December 31, 2015 was expense of $0.2 million versus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 million in the prior year period. Other (expense) income, net, in the year ended December 31, 2015 primarily consists of losses and gains on foreign exchange transactions. Other (expense) income, net in the year ended December 31, 2014 primarily consists of $4.1 million received in the second quarter of 2014 with respect to settlement agreements with one of our suppliers and one of our encapsulators that provided for the reimbursement of certain amounts previously paid by us.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Benefit from Income Taxes. </w:t>
      </w:r>
      <w:r>
        <w:rPr>
          <w:rFonts w:ascii="Times New Roman" w:cs="Times New Roman" w:eastAsia="Times New Roman" w:hAnsi="Times New Roman"/>
          <w:sz w:val="16"/>
          <w:szCs w:val="16"/>
          <w:color w:val="auto"/>
        </w:rPr>
        <w:t>Benefit from income taxes for the years ended December 31, 2015 and 2014 was $3.1 million and $2.8 million,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current benefit relates entirely to the U.S. subsidiary operations. We are profitable in the United States as a result of intercompany transactions between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subsidiary and our other companies.</w:t>
      </w:r>
    </w:p>
    <w:p>
      <w:pPr>
        <w:spacing w:after="0" w:line="15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Preferred Stock Beneficial Conversion Features</w:t>
      </w:r>
      <w:r>
        <w:rPr>
          <w:rFonts w:ascii="Times New Roman" w:cs="Times New Roman" w:eastAsia="Times New Roman" w:hAnsi="Times New Roman"/>
          <w:sz w:val="18"/>
          <w:szCs w:val="18"/>
          <w:color w:val="auto"/>
        </w:rPr>
        <w:t>. We issued Series A preference shares in a private placement transaction executed in two tranches that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 conversion feature whereby such shares are convertible into ordinary shares at a fixed rate (see Note 10). The conversion price on the date of issuance was less than the market price of our ordinary shares. We determined that these discounts represent contingent beneficial conversion features, which were valued based on the difference between the conversion price and the market price of the ordinary shares on the date of issuance. These features, totaling $33.0 million, are analogous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to preference dividends and were each recorded as a non-cash return to preferred shareholders through accumulated deficit, and are therefore reflected as an adjustment to net loss applicable to common shareholders for earnings per common share purposes in accordance with GAAP. There was no such adjustment in the year ended December 31,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sources of liquidity as of December 31, 2016 include cash and cash equivalents of $98.3 million. On August 16, 2016, we completed a public offering of 24,265,000 American Depositary Shares, or ADSs. The underwriters purchased the ADSs from us at a price of $2.679 per ADS after commission, resulting in net proceeds to us of approximately $64.6 million, after deducting estimated offering expenses payable by us. Our projected uses of cash include commercialization of Vascepa,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2016</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(used in) provided by:</w:t>
            </w:r>
          </w:p>
        </w:tc>
        <w:tc>
          <w:tcPr>
            <w:tcW w:w="2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 (1)</w:t>
            </w: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(71.8)</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(84.0)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(74.6)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 (1)</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(12.6)</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(72.0)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60" w:hanging="452"/>
        <w:spacing w:after="0" w:line="259"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Due to the adoption of ASU No. 2016-09, </w:t>
      </w:r>
      <w:r>
        <w:rPr>
          <w:rFonts w:ascii="Times New Roman" w:cs="Times New Roman" w:eastAsia="Times New Roman" w:hAnsi="Times New Roman"/>
          <w:sz w:val="18"/>
          <w:szCs w:val="18"/>
          <w:i w:val="1"/>
          <w:iCs w:val="1"/>
          <w:color w:val="auto"/>
        </w:rPr>
        <w:t>Compensation—Stock Compensation (Topic 718): Improvements to Employee Share-Based Payment Accounting,</w:t>
      </w:r>
      <w:r>
        <w:rPr>
          <w:rFonts w:ascii="Times New Roman" w:cs="Times New Roman" w:eastAsia="Times New Roman" w:hAnsi="Times New Roman"/>
          <w:sz w:val="18"/>
          <w:szCs w:val="18"/>
          <w:color w:val="auto"/>
        </w:rPr>
        <w:t xml:space="preserve"> and retrospective application of the aspects of the standard that affect cash flow presentation, $0.7 million of excess tax benefit and $2.3 million of excess tax provision have been reclassified from cash flows provided by financing activities to cash flows used in operating activities for the years ended December 31, 2015 and 2014, respectively.</w:t>
      </w:r>
    </w:p>
    <w:p>
      <w:pPr>
        <w:spacing w:after="0" w:line="13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2016 compared to 2015 decreased primarily as a result of increased collections resulting from higher revenues and decreased legal costs following the favorable federal court declaration on August 7, 2015 and related settlement on March 8, 2016 allowing communication of truthful and non-misleading ANCHOR clinical trial and related data to be communicated to healthcare professionals, partially offset by receipt in 2015 of $15.0 million in up-front proceeds from the Eddingpharm license agreement. Increased sales and marketing spend in 2016 in support of expanded Vascepa promotion was more than offset by higher collections from product.</w:t>
      </w:r>
    </w:p>
    <w:p>
      <w:pPr>
        <w:spacing w:after="0" w:line="139"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On December 6,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We have agreed to repay BioPharma up to $150.0 million of future revenue and receivables. As of December 31, 2016, the net remaining amount to be repaid to BioPharma is $125.6 million. To date, our revenues have been below the contractual threshold amount such that each payment made has reflected the calculated optional reduction amount as opposed to the contractual threshold payments for each quarterly period. For example, based on our Vascepa net product revenue for 2016 of $129.0 million, the amount repaid to BioPharma based on 2016 revenue was $12.9 million compared to the maximum contractual threshold for 2016 of $55.0 million. The maximum amount payable under the contractual threshold for the first half of 2017 is $16.8 million, after which the maximum amount payable is subject to the calculated threshold limitation based on quarterly Vascepa revenues. In accordance with the agreement with BioPharma, quarterly differences between the calculated optional reduction amounts and the repayment schedule amounts are rescheduled for payment after 2016 and any such</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deferred payments will remain subject to continued application of the quarterly ceiling in amounts due established by the calculated threshold for royalty based on quarterly Vascepa revenues. No additional interest expense or liability is incurred as a result of such deferred repayments. The agreement does not expire until $150.0 million in aggregate has been repaid. We can prepay an amount equal to $150.0 million less any previously repaid amount. We currently estimate that Vascepa revenue levels will not be high enough in each quarter to support repayment to BioPharma in accordance with threshold amounts in the repayment schedule and that such payments will remain subject to the continued application of the calculated threshold for royalty based on quarterly Vascepa revenues.</w:t>
      </w:r>
    </w:p>
    <w:p>
      <w:pPr>
        <w:spacing w:after="0" w:line="108"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On January 9, 2012, through our wholly-owned subsidiary Corsicanto Designated Activity Company (formerly Corsicanto Limited), or Corsicanto, a private limited company incorporated under the laws of Ireland, we completed a private placement of $150.0 million in aggregate principal amount of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w:t>
      </w:r>
    </w:p>
    <w:p>
      <w:pPr>
        <w:ind w:right="20"/>
        <w:spacing w:after="0" w:line="281" w:lineRule="auto"/>
        <w:rPr>
          <w:sz w:val="20"/>
          <w:szCs w:val="20"/>
          <w:color w:val="auto"/>
        </w:rPr>
      </w:pPr>
      <w:r>
        <w:rPr>
          <w:rFonts w:ascii="Times New Roman" w:cs="Times New Roman" w:eastAsia="Times New Roman" w:hAnsi="Times New Roman"/>
          <w:sz w:val="16"/>
          <w:szCs w:val="16"/>
          <w:color w:val="auto"/>
        </w:rPr>
        <w:t>3.5% May 2014 Exchangeable Senior Notes due 2032, or the 2014 Notes. In November 2015, $16.2 million of the 2012 Notes was extinguished, following which $15.1 million in aggregate principal amount of the 2012 Notes remained outstanding with terms unchanged. Also in November 2015, we entered into a privately negotiated subscription agreement with one of our existing investors or the Investor, pursuant to which the Investor agreed to purchase approximately $31.3 million in aggregate principal amount of new 3.5% November 2015 Exchangeable Senior Notes due 2032, or the 2015 Notes, for approximately</w:t>
      </w:r>
    </w:p>
    <w:p>
      <w:pPr>
        <w:spacing w:after="0" w:line="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$27.5 million. In September 2016, we exercised our optional exchange rights upon satisfaction of specified equity conditions set forth in the 2014 Notes and 2015 Notes to mandatorily exchange the entirety of the 2014 Notes and 2015 Notes into ADSs, such that the only exchangeable senior notes that remained outstanding as of December 31, 2016 are the 2012 Notes (see Note 8—Debt).</w:t>
      </w:r>
    </w:p>
    <w:p>
      <w:pPr>
        <w:spacing w:after="0" w:line="13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 As a result, the carrying value of the 2012 Notes of $15.1 million is classified as a current liability as of December 31, 2016.</w:t>
      </w:r>
    </w:p>
    <w:p>
      <w:pPr>
        <w:spacing w:after="0" w:line="33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January 2017, approximately $15.0 million of the 2012 Notes were put to us, such that $0.1 million of the 2012 Notes currently remains outstanding. We have initiated the process to redeem the $0.1 million of outstanding principal amount of 2012 Notes, which we expect will be completed in the first quarter of 2017.</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Also in January 2017, we, through our wholly-owned subsidiary Corsicanto II Designated Activity Company,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received from the January 2017 offering were approximately $28.9 million, after deducting placement agent fees and estimated offering expenses, a portion of which was used to replenish approximately $15.0 million of cash on hand that we used to purchase substantially all of the 2012 Notes put to us in January 2017.</w:t>
      </w:r>
    </w:p>
    <w:p>
      <w:pPr>
        <w:spacing w:after="0" w:line="74"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 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 $3.89 per ADS), subject to adjustment upon the occurrence of certain events, including the payment of cash dividends. Upon exchange, the 2017 Notes are to be settled in ADSs.</w:t>
      </w:r>
    </w:p>
    <w:p>
      <w:pPr>
        <w:spacing w:after="0" w:line="119"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As of December 31, 2016, we had cash and cash equivalents of $98.3 million, a decrease of $8.7 million from December 31, 2015. The decrease is primarily due to net cash used in operating activities in support of the commercialization of Vascepa and funding of REDUCE-IT offset by proceeds from financing activities and accounts receivable collections. Included in our cash balance as of December 31, 2016 are net proceeds of $64.6 million we received upon completion of a public offering of 24,265,000 ADSs in August 2016. In January 2017, we, through our wholly-owned subsidiary Corsicanto II, issued and sold $30.0 million in aggregate principal amount of 2017 Notes, resulting in net proceeds of approximately $28.9 million, a portion of which was used to replenish approximately $15.0 million of cash on hand that we used to purchase substantially all of the 2012 Notes put to us in January 2017. We have incurred annual operating losses since our inception and, as a result, we had an accumulated deficit of $1.2 billion as of December 31, 2016. We believe that our net cash flow from operations in 2017, excluding interest, royalties and R&amp;D costs, the majority of which are associated with REDUCE-IT, will be positive for 2017. We anticipate that quarterly net cash outflows in future periods will be variable as a result of the timing of certain items, including our intention in early 2017 to increase purchases of API. In addition, certain customers have indicated their intent to negotiate extended payment terms with us, which would result in slower collections of receivables. We believe that our cash and cash equivalents will be sufficient to fund our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based on anticipated successful results of the REDUCE-IT study.</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2016 and the effects such obligations are expected to have on our liquidity and cash flows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to 2019</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to 2021</w:t>
            </w:r>
          </w:p>
        </w:tc>
        <w:tc>
          <w:tcPr>
            <w:tcW w:w="46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After 2021</w:t>
            </w:r>
          </w:p>
        </w:tc>
      </w:tr>
      <w:tr>
        <w:trPr>
          <w:trHeight w:val="196"/>
        </w:trPr>
        <w:tc>
          <w:tcPr>
            <w:tcW w:w="72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Contractual Obligations:</w:t>
            </w: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Purchase obligations (1)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$44.6</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$ 10.7</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 payment obligations—exchangeable debt (3)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Exchangeable debt repurchase (4)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65.8</w:t>
            </w:r>
          </w:p>
        </w:tc>
        <w:tc>
          <w:tcPr>
            <w:tcW w:w="4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$ 24.3</w:t>
            </w:r>
          </w:p>
        </w:tc>
        <w:tc>
          <w:tcPr>
            <w:tcW w:w="4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$ 12.8</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Vascepa API supply agreements with three independent companies from which we purchase qualified API supply: Nisshin, Chemport and Finorga</w:t>
      </w:r>
    </w:p>
    <w:p>
      <w:pPr>
        <w:spacing w:after="0" w:line="44" w:lineRule="exact"/>
        <w:rPr>
          <w:rFonts w:ascii="Times New Roman" w:cs="Times New Roman" w:eastAsia="Times New Roman" w:hAnsi="Times New Roman"/>
          <w:sz w:val="16"/>
          <w:szCs w:val="16"/>
          <w:color w:val="auto"/>
        </w:rPr>
      </w:pPr>
    </w:p>
    <w:p>
      <w:pPr>
        <w:ind w:left="460" w:right="4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 to enable us to maintain certain supply exclusivity and also contain a provision that any shortfall in the minimum purchase commitments is payable in cash. Each supplier is required to meet certain performance obligations and the agreements may be terminated by us in the event of non-performance.</w:t>
      </w:r>
    </w:p>
    <w:p>
      <w:pPr>
        <w:spacing w:after="0" w:line="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operating lease costs, primarily consisting of leases for facilities in Dublin, Ireland and Bedminster, NJ, net of sublease rental income.</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scheduled interest payments due under the terms of the 2012 Notes and 2017 Notes, assuming that they have not been exchanged for ADSs prior to January 19, 2017, the first put date in the 2012 Notes, and January 19, 2022, the put date in the 2017 Notes. The above table does not reflect the repayment of the notes, unless otherwise described, as they may be exchanged for ADSs prior to maturity.</w:t>
      </w:r>
    </w:p>
    <w:p>
      <w:pPr>
        <w:spacing w:after="0" w:line="1" w:lineRule="exact"/>
        <w:rPr>
          <w:rFonts w:ascii="Times New Roman" w:cs="Times New Roman" w:eastAsia="Times New Roman" w:hAnsi="Times New Roman"/>
          <w:sz w:val="18"/>
          <w:szCs w:val="18"/>
          <w:color w:val="auto"/>
        </w:rPr>
      </w:pPr>
    </w:p>
    <w:p>
      <w:pPr>
        <w:ind w:left="460" w:right="740" w:hanging="452"/>
        <w:spacing w:after="0" w:line="261"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repurchase of approximately $15.0 million in aggregate principal amount of 2012 Notes put to us by holders on January 19, 2017, and $0.1 million in aggregate principal amount of 2012 Notes to be redeemed by us, expected to be in the first quarter of 2017.</w:t>
      </w:r>
    </w:p>
    <w:p>
      <w:pPr>
        <w:spacing w:after="0" w:line="132"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On December 6, 2012, we entered into an agreement with BioPharma Secured Debt Fund II Holdings Cayman LP, or BioPharma. Under this agreement, we granted to BioPharma a security interest in future receivables associated with the Vascepa patent rights, in exchange for $100.0 million received at the closing of the agreement which occurred in December 2012. We agreed to repay BioPharma up to $150.0 million of future revenue and receivables. As of December 31, 2016, the net remaining amount to be repaid to BioPharma is $125.6 million. To date, each payment made has reflected the calculated optional reduction amount as opposed to the contractual threshold payments for each quarterly period. For example, based on our Vascepa net product revenue for 2016 of $129.0 million, the amount repaid to BioPharma based on 2016 revenue was $12.9 million compared to the maximum contractual threshold for 2016 of $55.0 million. The maximum amount payable under the contractual threshold for the first half of 2017 is $16.8 million, after which the maximum amount payable is subject to the calculated threshold limitation based on quarterly Vascepa revenues. In accordance with the agreement with BioPharma, quarterly differences between the calculated optional reduction amounts and the repayment schedule amounts are rescheduled for payment after 2016 and any such deferred payments will remain subject to continued application of the quarterly ceiling in amounts due established by the calculated threshold for royalty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$150.0 million in aggregate has been repaid. We can prepay an amount equal to $150.0 million less any previously repaid amount.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We currently estimate that Vascepa revenue levels will not be high enough in each quarter to support repayment to BioPharma in accordance with threshold amounts in the repayment schedule and that such payments will remain subject to the continued application of the calculated threshold for royalty based on quarterly Vascepa revenues.</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In August 2014, we entered into a second equity sale and purchase agreement between this supplier and another third party in which we agreed to sell approximately $1.0 million of our remaining investment. This transaction closed in the fourth quarter of 2014. The remaining carrying amount of $0.2 million as of December 31, 2016 and 2015, respectively, is included in other long term assets and is accounted for under the cost method.</w:t>
      </w:r>
    </w:p>
    <w:p>
      <w:pPr>
        <w:spacing w:after="0" w:line="14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$0.6 million in each of the years ended December 31, 2016 and 2015.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$9.3 million as of December 31, 2016).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$6.2 million as of December 31, 2016) for each of the two potential market approvals (i.e. £10 million maximum, or approximately $12.3 million as of December 31, 2016).</w:t>
      </w:r>
    </w:p>
    <w:p>
      <w:pPr>
        <w:spacing w:after="0" w:line="336"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We do not enter into financial instruments for trading or speculative purposes. As of December 31, 2016 and 2015, we had no outstanding forward exchange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March 29, 2014, the universal shelf registration statement on Form S-3 (Registration No. 333-173132) that we had filed with the SEC on March 29, 2011 expired. On August 7, 2014, we filed with the SEC a new universal shelf registration statement on Form S-3, which provides for the offer, from time to time, of up to $300,000,000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Following our public offering of 24,265,000 ADSs in August 2016, we have $230.8 million worth of securities available for issuance under this registration statement. The addition of any newly issued equity securities into the market may be dilutive to existing stockholders and new issuances by us or sales by our selling security holders could have an adverse effect on the price of our securities.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94"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We are exposed to market risks, which include changes in interest rates. We do not use derivative financial instruments in our investment portfolio, and other than in 2013, we enter into no foreign exchange contracts. Our investments meet high credit quality and diversification standards, as specified in our investment policy.</w:t>
      </w:r>
    </w:p>
    <w:p>
      <w:pPr>
        <w:spacing w:after="0" w:line="13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results of operations and cash flows are subject to fluctuations due to changes in the Euro, Sterling and Yen.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cash and cash equivalents and the majority of our vendor relationships are denominated in U.S. dollars. We therefore believe that the risk of a significant impact on our operating income from foreign currency fluctuations is not substantial. From time to time, we maintain a small amount of our cash and cash equivalents in Euro and Pound Sterling. We purchase a portion of our supply from Novasep based on a U.S. dollar to Euro exchange rate and as such, remain subject to currency fluctuation risk for such purchases.</w:t>
      </w:r>
    </w:p>
    <w:p>
      <w:pPr>
        <w:spacing w:after="0" w:line="13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believe that we are not exposed to significant interest rate risk through market value fluctuations of balance sheet items (i.e.,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2016, the fair value of our cash and cash equivalents maturing in one year or less was $98.3 million and represented 100% of our cash, cash equivalents and investment portfolio. A hypothetical 50 basis point change in interest rates would not result in a material decrease or increase in the fair value of our securities due to the general short-term nature of our investment portfolio.</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financial statements are annexed to this report beginning on page F-1.</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36"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2016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5"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 of our assets;</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38"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receipts and expenditures are being made only in accordance with authorization of our management and directors; and</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has conducted an evaluation of the effectiveness of our internal control over financial reporting as of December 31, 2016. In conducting this evaluation,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Based upon this evaluation and those criteria, management believes that, as of December 31, 2016, our internal controls over financial reporting were effective.</w:t>
      </w:r>
    </w:p>
    <w:p>
      <w:pPr>
        <w:spacing w:after="0" w:line="120"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Ernst &amp; Young LLP, our independent registered public accounting firm, has audited our consolidated financial statements and the effectiveness of our internal control over financial reporting as of December 31, 2016. This report appears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2016 that have materially affected, or are reasonably likely to materially affect, our internal control over financial reporting.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Amarin Corporation plc’s internal control over financial reporting as of December 31, 2016, based on criteria established in Internal Control— Integrated Framework issued by the Committee of Sponsoring Organizations of the Treadway Commission (2013 framework) (the COSO criteria). Amarin Corporation plc’s management is responsible for maintaining effective internal control over financial reporting, and for its assessment of the effectiveness of internal control over financial reporting included in the accompanying Report of Management on Internal Controls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our opinion, Amarin Corporation plc maintained, in all material respects, effective internal control over financial reporting as of December 31, 2016, based on the COSO criteria.</w:t>
      </w:r>
    </w:p>
    <w:p>
      <w:pPr>
        <w:spacing w:after="0" w:line="1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Amarin Corporation plc as of December 31, 2016 and 2015 and the related consolidated statements of operations, stockholders’ deficit and cash flows for each of the three years ended December 31, 2016 of Amarin Corporation plc and our report dated March 1, 2017 expressed an unqualified opinion thereon.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2017</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00"/>
          </w:cols>
          <w:pgMar w:left="240" w:top="455" w:right="2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Rule 10b5-1 Trading Plans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2017 Annual General Meeting of Shareholders.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1430 Route 206, Bedminster, NJ 07921, Attention: Investor Relations.</w:t>
      </w:r>
    </w:p>
    <w:p>
      <w:pPr>
        <w:spacing w:after="0" w:line="2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2017 Annual General Meeting of Shareholders. Such information is incorporated herein by reference.</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2017 Annual General Meeting of Shareholders. Such information is incorporated herein by reference.</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2017 Annual General Meeting of Shareholders. Such information is incorporated herein by reference.</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Accountant Fees and Services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2017 Annual General Meeting of Shareholders. Such information is incorporated herein by reference.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3"/>
        </w:trPr>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 Herein</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36"/>
        </w:trPr>
        <w:tc>
          <w:tcPr>
            <w:tcW w:w="52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Description</w:t>
            </w:r>
          </w:p>
        </w:tc>
        <w:tc>
          <w:tcPr>
            <w:tcW w:w="1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76"/>
              </w:rPr>
              <w:t>Form</w:t>
            </w:r>
          </w:p>
        </w:tc>
        <w:tc>
          <w:tcPr>
            <w:tcW w:w="80" w:type="dxa"/>
            <w:vAlign w:val="bottom"/>
            <w:tcBorders>
              <w:bottom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Date</w:t>
            </w:r>
          </w:p>
        </w:tc>
      </w:tr>
    </w:tbl>
    <w:p>
      <w:pPr>
        <w:spacing w:after="0" w:line="94" w:lineRule="exact"/>
        <w:rPr>
          <w:sz w:val="20"/>
          <w:szCs w:val="20"/>
          <w:color w:val="auto"/>
        </w:rPr>
      </w:pPr>
    </w:p>
    <w:p>
      <w:pPr>
        <w:sectPr>
          <w:pgSz w:w="11900" w:h="16838" w:orient="portrait"/>
          <w:cols w:equalWidth="0" w:num="1">
            <w:col w:w="10780"/>
          </w:cols>
          <w:pgMar w:left="240" w:top="455" w:right="879" w:bottom="1440" w:gutter="0" w:footer="0" w:header="0"/>
        </w:sectPr>
      </w:pPr>
    </w:p>
    <w:tbl>
      <w:tblPr>
        <w:tblLayout w:type="fixed"/>
        <w:tblInd w:w="100" w:type="dxa"/>
        <w:tblCellMar>
          <w:top w:w="0" w:type="dxa"/>
          <w:left w:w="0" w:type="dxa"/>
          <w:bottom w:w="0" w:type="dxa"/>
          <w:right w:w="0" w:type="dxa"/>
        </w:tblCellMar>
      </w:tblPr>
      <w:tr>
        <w:trPr>
          <w:trHeight w:val="228"/>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3.1</w:t>
            </w:r>
          </w:p>
        </w:tc>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Articles of Association of the Company</w:t>
            </w:r>
          </w:p>
        </w:tc>
      </w:tr>
      <w:tr>
        <w:trPr>
          <w:trHeight w:val="528"/>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4.1</w:t>
            </w:r>
          </w:p>
        </w:tc>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Form of Amended and Restated Deposit Agreement,</w:t>
            </w:r>
          </w:p>
        </w:tc>
      </w:tr>
      <w:tr>
        <w:trPr>
          <w:trHeight w:val="228"/>
        </w:trPr>
        <w:tc>
          <w:tcPr>
            <w:tcW w:w="600" w:type="dxa"/>
            <w:vAlign w:val="bottom"/>
          </w:tcPr>
          <w:p>
            <w:pPr>
              <w:spacing w:after="0"/>
              <w:rPr>
                <w:sz w:val="19"/>
                <w:szCs w:val="19"/>
                <w:color w:val="auto"/>
              </w:rPr>
            </w:pPr>
          </w:p>
        </w:tc>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dated as of November 4, 2011, among the Company,</w:t>
            </w:r>
          </w:p>
        </w:tc>
      </w:tr>
    </w:tbl>
    <w:p>
      <w:pPr>
        <w:ind w:left="1080"/>
        <w:spacing w:after="0" w:line="255" w:lineRule="auto"/>
        <w:rPr>
          <w:sz w:val="20"/>
          <w:szCs w:val="20"/>
          <w:color w:val="auto"/>
        </w:rPr>
      </w:pPr>
      <w:r>
        <w:rPr>
          <w:rFonts w:ascii="Times New Roman" w:cs="Times New Roman" w:eastAsia="Times New Roman" w:hAnsi="Times New Roman"/>
          <w:sz w:val="18"/>
          <w:szCs w:val="18"/>
          <w:color w:val="auto"/>
        </w:rPr>
        <w:t>Citibank, N.A., as Depositary, and all holders from time to time of American Depositary Receipts issued thereunder</w:t>
      </w:r>
    </w:p>
    <w:p>
      <w:pPr>
        <w:spacing w:after="0" w:line="20" w:lineRule="exact"/>
        <w:rPr>
          <w:sz w:val="20"/>
          <w:szCs w:val="20"/>
          <w:color w:val="auto"/>
        </w:rPr>
      </w:pPr>
      <w:r>
        <w:rPr>
          <w:sz w:val="20"/>
          <w:szCs w:val="20"/>
          <w:color w:val="auto"/>
        </w:rPr>
        <w:br w:type="column"/>
      </w: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Quarterly Report on Form 10-Q, File No. 0-21392, as</w:t>
      </w:r>
      <w:r>
        <w:rPr>
          <w:sz w:val="20"/>
          <w:szCs w:val="20"/>
          <w:color w:val="auto"/>
        </w:rPr>
        <w:tab/>
      </w:r>
      <w:r>
        <w:rPr>
          <w:rFonts w:ascii="Times New Roman" w:cs="Times New Roman" w:eastAsia="Times New Roman" w:hAnsi="Times New Roman"/>
          <w:sz w:val="16"/>
          <w:szCs w:val="16"/>
          <w:color w:val="auto"/>
        </w:rPr>
        <w:t>August 8, 2013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w:t>
      </w:r>
    </w:p>
    <w:p>
      <w:pPr>
        <w:spacing w:after="0" w:line="10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6"/>
          <w:szCs w:val="16"/>
          <w:color w:val="auto"/>
        </w:rPr>
        <w:t>February 29, 2012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File No. 0-21392, as Exhibit 4.1</w:t>
      </w:r>
    </w:p>
    <w:p>
      <w:pPr>
        <w:spacing w:after="0" w:line="752" w:lineRule="exact"/>
        <w:rPr>
          <w:sz w:val="20"/>
          <w:szCs w:val="20"/>
          <w:color w:val="auto"/>
        </w:rPr>
      </w:pPr>
    </w:p>
    <w:p>
      <w:pPr>
        <w:sectPr>
          <w:pgSz w:w="11900" w:h="16838" w:orient="portrait"/>
          <w:cols w:equalWidth="0" w:num="2">
            <w:col w:w="4800" w:space="520"/>
            <w:col w:w="5460"/>
          </w:cols>
          <w:pgMar w:left="240" w:top="455" w:right="87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4.2</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Indenture, dated as of January 9, 2012, by and among</w:t>
            </w:r>
          </w:p>
        </w:tc>
      </w:tr>
      <w:tr>
        <w:trPr>
          <w:trHeight w:val="216"/>
        </w:trPr>
        <w:tc>
          <w:tcPr>
            <w:tcW w:w="60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Corsicanto Limited, the Company and Wells Fargo</w:t>
            </w:r>
          </w:p>
        </w:tc>
      </w:tr>
      <w:tr>
        <w:trPr>
          <w:trHeight w:val="228"/>
        </w:trPr>
        <w:tc>
          <w:tcPr>
            <w:tcW w:w="60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 National Association, as trustee</w:t>
            </w:r>
          </w:p>
        </w:tc>
      </w:tr>
      <w:tr>
        <w:trPr>
          <w:trHeight w:val="324"/>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4.3</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Ordinary Share certificate</w:t>
            </w:r>
          </w:p>
        </w:tc>
      </w:tr>
      <w:tr>
        <w:trPr>
          <w:trHeight w:val="528"/>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4.4</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American Depositary Receipt evidencing</w:t>
            </w:r>
          </w:p>
        </w:tc>
      </w:tr>
      <w:tr>
        <w:trPr>
          <w:trHeight w:val="228"/>
        </w:trPr>
        <w:tc>
          <w:tcPr>
            <w:tcW w:w="60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ADSs</w:t>
            </w:r>
          </w:p>
        </w:tc>
      </w:tr>
      <w:tr>
        <w:trPr>
          <w:trHeight w:val="324"/>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4.5</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Series A Preference Share Terms</w:t>
            </w:r>
          </w:p>
        </w:tc>
      </w:tr>
      <w:tr>
        <w:trPr>
          <w:trHeight w:val="528"/>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4.6</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Preferred Share Deposit Agreement by and among the</w:t>
            </w:r>
          </w:p>
        </w:tc>
      </w:tr>
      <w:tr>
        <w:trPr>
          <w:trHeight w:val="216"/>
        </w:trPr>
        <w:tc>
          <w:tcPr>
            <w:tcW w:w="60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Company, Citibank, N.A., as depositary, and all holders</w:t>
            </w:r>
          </w:p>
        </w:tc>
      </w:tr>
      <w:tr>
        <w:trPr>
          <w:trHeight w:val="216"/>
        </w:trPr>
        <w:tc>
          <w:tcPr>
            <w:tcW w:w="60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beneficial owners of restricted ADSs issued</w:t>
            </w:r>
          </w:p>
        </w:tc>
      </w:tr>
      <w:tr>
        <w:trPr>
          <w:trHeight w:val="228"/>
        </w:trPr>
        <w:tc>
          <w:tcPr>
            <w:tcW w:w="60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thereunder</w:t>
            </w:r>
          </w:p>
        </w:tc>
      </w:tr>
      <w:tr>
        <w:trPr>
          <w:trHeight w:val="312"/>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4.7</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American Depositary Receipt evidencing</w:t>
            </w:r>
          </w:p>
        </w:tc>
      </w:tr>
      <w:tr>
        <w:trPr>
          <w:trHeight w:val="216"/>
        </w:trPr>
        <w:tc>
          <w:tcPr>
            <w:tcW w:w="60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ADSs representing Series A Preference</w:t>
            </w:r>
          </w:p>
        </w:tc>
      </w:tr>
      <w:tr>
        <w:trPr>
          <w:trHeight w:val="228"/>
        </w:trPr>
        <w:tc>
          <w:tcPr>
            <w:tcW w:w="60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w:t>
            </w:r>
          </w:p>
        </w:tc>
      </w:tr>
      <w:tr>
        <w:trPr>
          <w:trHeight w:val="312"/>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4.8</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Indenture, dated January 25, 2017, by and between</w:t>
            </w:r>
          </w:p>
        </w:tc>
      </w:tr>
      <w:tr>
        <w:trPr>
          <w:trHeight w:val="216"/>
        </w:trPr>
        <w:tc>
          <w:tcPr>
            <w:tcW w:w="60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Corsicanto II Designated Activity Company, Amarin</w:t>
            </w:r>
          </w:p>
        </w:tc>
      </w:tr>
      <w:tr>
        <w:trPr>
          <w:trHeight w:val="216"/>
        </w:trPr>
        <w:tc>
          <w:tcPr>
            <w:tcW w:w="60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plc and Wilmington Trust, National Association, as</w:t>
            </w:r>
          </w:p>
        </w:tc>
      </w:tr>
      <w:tr>
        <w:trPr>
          <w:trHeight w:val="228"/>
        </w:trPr>
        <w:tc>
          <w:tcPr>
            <w:tcW w:w="60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trustee</w:t>
            </w:r>
          </w:p>
        </w:tc>
      </w:tr>
      <w:tr>
        <w:trPr>
          <w:trHeight w:val="312"/>
        </w:trPr>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4.9</w:t>
            </w: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3.50% January 2017 Exchangeable Senior</w:t>
            </w:r>
          </w:p>
        </w:tc>
      </w:tr>
      <w:tr>
        <w:trPr>
          <w:trHeight w:val="228"/>
        </w:trPr>
        <w:tc>
          <w:tcPr>
            <w:tcW w:w="60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Notes due 2047</w:t>
            </w:r>
          </w:p>
        </w:tc>
      </w:tr>
    </w:tbl>
    <w:p>
      <w:pPr>
        <w:spacing w:after="0" w:line="20" w:lineRule="exact"/>
        <w:rPr>
          <w:sz w:val="20"/>
          <w:szCs w:val="20"/>
          <w:color w:val="auto"/>
        </w:rPr>
      </w:pPr>
      <w:r>
        <w:rPr>
          <w:sz w:val="20"/>
          <w:szCs w:val="20"/>
          <w:color w:val="auto"/>
        </w:rPr>
        <w:br w:type="column"/>
      </w: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Current Report on Form 8-K dated January 9, 2012,</w:t>
      </w:r>
      <w:r>
        <w:rPr>
          <w:sz w:val="20"/>
          <w:szCs w:val="20"/>
          <w:color w:val="auto"/>
        </w:rPr>
        <w:tab/>
      </w:r>
      <w:r>
        <w:rPr>
          <w:rFonts w:ascii="Times New Roman" w:cs="Times New Roman" w:eastAsia="Times New Roman" w:hAnsi="Times New Roman"/>
          <w:sz w:val="16"/>
          <w:szCs w:val="16"/>
          <w:color w:val="auto"/>
        </w:rPr>
        <w:t>January 10, 2012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4.1</w:t>
      </w:r>
    </w:p>
    <w:p>
      <w:pPr>
        <w:spacing w:after="0" w:line="321"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6"/>
          <w:szCs w:val="16"/>
          <w:color w:val="auto"/>
        </w:rPr>
        <w:t>April 24, 2003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2002, File No. 0-21392, as Exhibit 2.4</w:t>
      </w:r>
    </w:p>
    <w:p>
      <w:pPr>
        <w:spacing w:after="0" w:line="10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6"/>
          <w:szCs w:val="16"/>
          <w:color w:val="auto"/>
        </w:rPr>
        <w:t>February 29, 2012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File No. 0-21392, as Exhibit 4.4</w:t>
      </w:r>
    </w:p>
    <w:p>
      <w:pPr>
        <w:spacing w:after="0" w:line="10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Current Report on Form 8-K dated March 5, 2015,</w:t>
      </w:r>
      <w:r>
        <w:rPr>
          <w:sz w:val="20"/>
          <w:szCs w:val="20"/>
          <w:color w:val="auto"/>
        </w:rPr>
        <w:tab/>
      </w:r>
      <w:r>
        <w:rPr>
          <w:rFonts w:ascii="Times New Roman" w:cs="Times New Roman" w:eastAsia="Times New Roman" w:hAnsi="Times New Roman"/>
          <w:sz w:val="16"/>
          <w:szCs w:val="16"/>
          <w:color w:val="auto"/>
        </w:rPr>
        <w:t>March 11,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4.1</w:t>
      </w:r>
    </w:p>
    <w:p>
      <w:pPr>
        <w:spacing w:after="0" w:line="10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Current Report on Form 8-K dated March 30, 2015,</w:t>
      </w:r>
      <w:r>
        <w:rPr>
          <w:sz w:val="20"/>
          <w:szCs w:val="20"/>
          <w:color w:val="auto"/>
        </w:rPr>
        <w:tab/>
      </w:r>
      <w:r>
        <w:rPr>
          <w:rFonts w:ascii="Times New Roman" w:cs="Times New Roman" w:eastAsia="Times New Roman" w:hAnsi="Times New Roman"/>
          <w:sz w:val="16"/>
          <w:szCs w:val="16"/>
          <w:color w:val="auto"/>
        </w:rPr>
        <w:t>March 30,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4.1</w:t>
      </w:r>
    </w:p>
    <w:p>
      <w:pPr>
        <w:spacing w:after="0" w:line="200" w:lineRule="exact"/>
        <w:rPr>
          <w:sz w:val="20"/>
          <w:szCs w:val="20"/>
          <w:color w:val="auto"/>
        </w:rPr>
      </w:pPr>
    </w:p>
    <w:p>
      <w:pPr>
        <w:spacing w:after="0" w:line="337"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Current Report on Form 8-K dated March 30, 2015,</w:t>
      </w:r>
      <w:r>
        <w:rPr>
          <w:sz w:val="20"/>
          <w:szCs w:val="20"/>
          <w:color w:val="auto"/>
        </w:rPr>
        <w:tab/>
      </w:r>
      <w:r>
        <w:rPr>
          <w:rFonts w:ascii="Times New Roman" w:cs="Times New Roman" w:eastAsia="Times New Roman" w:hAnsi="Times New Roman"/>
          <w:sz w:val="16"/>
          <w:szCs w:val="16"/>
          <w:color w:val="auto"/>
        </w:rPr>
        <w:t>March 30,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4.2</w:t>
      </w:r>
    </w:p>
    <w:p>
      <w:pPr>
        <w:spacing w:after="0" w:line="321"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Current Report on Form 8-K dated January 25, 2017,</w:t>
      </w:r>
      <w:r>
        <w:rPr>
          <w:sz w:val="20"/>
          <w:szCs w:val="20"/>
          <w:color w:val="auto"/>
        </w:rPr>
        <w:tab/>
      </w:r>
      <w:r>
        <w:rPr>
          <w:rFonts w:ascii="Times New Roman" w:cs="Times New Roman" w:eastAsia="Times New Roman" w:hAnsi="Times New Roman"/>
          <w:sz w:val="16"/>
          <w:szCs w:val="16"/>
          <w:color w:val="auto"/>
        </w:rPr>
        <w:t>January 25, 2017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4.1</w:t>
      </w:r>
    </w:p>
    <w:p>
      <w:pPr>
        <w:spacing w:after="0" w:line="200" w:lineRule="exact"/>
        <w:rPr>
          <w:sz w:val="20"/>
          <w:szCs w:val="20"/>
          <w:color w:val="auto"/>
        </w:rPr>
      </w:pPr>
    </w:p>
    <w:p>
      <w:pPr>
        <w:spacing w:after="0" w:line="337"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Current Report on Form 8-K dated January 25, 2017,</w:t>
      </w:r>
      <w:r>
        <w:rPr>
          <w:sz w:val="20"/>
          <w:szCs w:val="20"/>
          <w:color w:val="auto"/>
        </w:rPr>
        <w:tab/>
      </w:r>
      <w:r>
        <w:rPr>
          <w:rFonts w:ascii="Times New Roman" w:cs="Times New Roman" w:eastAsia="Times New Roman" w:hAnsi="Times New Roman"/>
          <w:sz w:val="16"/>
          <w:szCs w:val="16"/>
          <w:color w:val="auto"/>
        </w:rPr>
        <w:t>January 25, 2017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4.2</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2">
            <w:col w:w="4980" w:space="340"/>
            <w:col w:w="5460"/>
          </w:cols>
          <w:pgMar w:left="240" w:top="455" w:right="87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680" w:type="dxa"/>
            <w:vAlign w:val="bottom"/>
          </w:tcPr>
          <w:p>
            <w:pPr>
              <w:spacing w:after="0"/>
              <w:rPr>
                <w:sz w:val="14"/>
                <w:szCs w:val="14"/>
                <w:color w:val="auto"/>
              </w:rPr>
            </w:pPr>
          </w:p>
        </w:tc>
      </w:tr>
      <w:tr>
        <w:trPr>
          <w:trHeight w:val="32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Company 2002 Stock Option Plan*</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Company 2011 Stock Option Plan*</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Amendment No. 1 to 2011 Stock Option Incentive Plan*</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Amendment No. 2 to 2011 Stock Option Incentive Plan*</w:t>
            </w:r>
          </w:p>
        </w:tc>
      </w:tr>
      <w:tr>
        <w:trPr>
          <w:trHeight w:val="5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No. 3 to 2011 Stock Option and Incentive</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Plan*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No. 4 to 2011 Stock Option and Incentive</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Plan*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No. 5 to 2011 Stock Option and Incentive</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Plan*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Corporation plc Management Incentive</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Compensation Plan*</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Incentive Stock Option Award Agreement</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Non-Qualified Stock Option Award Agreement</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Restricted Stock Unit Award Agreement</w:t>
            </w:r>
          </w:p>
        </w:tc>
      </w:tr>
      <w:tr>
        <w:trPr>
          <w:trHeight w:val="5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Letter Agreement, dated November 15, 2010, between the</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Company and John F. Thero*</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Letter Agreement with Joseph Kennedy, dated</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December 13, 2011*</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Letter Agreement with John Thero, dated December 23,</w:t>
            </w:r>
          </w:p>
        </w:tc>
      </w:tr>
      <w:tr>
        <w:trPr>
          <w:trHeight w:val="228"/>
        </w:trPr>
        <w:tc>
          <w:tcPr>
            <w:tcW w:w="520" w:type="dxa"/>
            <w:vAlign w:val="bottom"/>
          </w:tcPr>
          <w:p>
            <w:pPr>
              <w:spacing w:after="0"/>
              <w:rPr>
                <w:sz w:val="19"/>
                <w:szCs w:val="19"/>
                <w:color w:val="auto"/>
              </w:rPr>
            </w:pP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2011*</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5, 2007</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2006, File No. 0-21392, as Exhibit 4.17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9,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8,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8,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28,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6,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2015, File No. 0-21392, as Exhibit 4.1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6,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2015, File No. 0-21392, as Exhibit 4.2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16,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 10.44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29,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29,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29,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16,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 10.42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December 23, 2011,</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23,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December 23, 2011,</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23,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-5777865</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580"/>
          </w:cols>
          <w:pgMar w:left="240" w:top="455" w:right="7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62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6"/>
              </w:rPr>
              <w:t>Letter Agreement with Steve Ketchum, dated February 8,</w:t>
            </w:r>
          </w:p>
        </w:tc>
      </w:tr>
      <w:tr>
        <w:trPr>
          <w:trHeight w:val="228"/>
        </w:trPr>
        <w:tc>
          <w:tcPr>
            <w:tcW w:w="520" w:type="dxa"/>
            <w:vAlign w:val="bottom"/>
          </w:tcPr>
          <w:p>
            <w:pPr>
              <w:spacing w:after="0"/>
              <w:rPr>
                <w:sz w:val="19"/>
                <w:szCs w:val="19"/>
                <w:color w:val="auto"/>
              </w:rPr>
            </w:pP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2012*</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Letter Agreement with John Thero, dated January 10,</w:t>
            </w:r>
          </w:p>
        </w:tc>
      </w:tr>
      <w:tr>
        <w:trPr>
          <w:trHeight w:val="228"/>
        </w:trPr>
        <w:tc>
          <w:tcPr>
            <w:tcW w:w="520" w:type="dxa"/>
            <w:vAlign w:val="bottom"/>
          </w:tcPr>
          <w:p>
            <w:pPr>
              <w:spacing w:after="0"/>
              <w:rPr>
                <w:sz w:val="19"/>
                <w:szCs w:val="19"/>
                <w:color w:val="auto"/>
              </w:rPr>
            </w:pP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dated July 6, 2015, to Letter Agreement</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with Joseph Kennedy, dated December 13, 2011*</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dated July 6, 2015, to Letter Agreement</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with Steven Ketchum, dated February 8,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dated July 6, 2015, to Letter Agreement</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with John Thero, dated December 23, 2011*</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2011 Long Term Incentive Award with Joseph Kennedy</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dated December 16, 2011*</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2012 Long Term Incentive Award with Steven Ketchum</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dated March 1,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Employment Agreement dated November 5, 2009 with</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John F. Thero*</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Development and License Agreement dated March 6,</w:t>
            </w:r>
          </w:p>
        </w:tc>
      </w:tr>
      <w:tr>
        <w:trPr>
          <w:trHeight w:val="216"/>
        </w:trPr>
        <w:tc>
          <w:tcPr>
            <w:tcW w:w="520" w:type="dxa"/>
            <w:vAlign w:val="bottom"/>
          </w:tcPr>
          <w:p>
            <w:pPr>
              <w:spacing w:after="0"/>
              <w:rPr>
                <w:sz w:val="18"/>
                <w:szCs w:val="18"/>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2007 between Amarin Pharmaceuticals Ireland Limited</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Elan Pharma International Limited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Termination and Assignment Agreement, dated July 21,</w:t>
            </w:r>
          </w:p>
        </w:tc>
      </w:tr>
      <w:tr>
        <w:trPr>
          <w:trHeight w:val="216"/>
        </w:trPr>
        <w:tc>
          <w:tcPr>
            <w:tcW w:w="520" w:type="dxa"/>
            <w:vAlign w:val="bottom"/>
          </w:tcPr>
          <w:p>
            <w:pPr>
              <w:spacing w:after="0"/>
              <w:rPr>
                <w:sz w:val="18"/>
                <w:szCs w:val="18"/>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2009 between Elan Pharma International Limited and</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Pharmaceuticals Ireland Limited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Purchase Agreement, dated June 1, 2007,</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between the Company and the Purchasers 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Form of Equity Securities Purchase Agreement for U.S.</w:t>
            </w:r>
          </w:p>
        </w:tc>
      </w:tr>
      <w:tr>
        <w:trPr>
          <w:trHeight w:val="216"/>
        </w:trPr>
        <w:tc>
          <w:tcPr>
            <w:tcW w:w="520" w:type="dxa"/>
            <w:vAlign w:val="bottom"/>
          </w:tcPr>
          <w:p>
            <w:pPr>
              <w:spacing w:after="0"/>
              <w:rPr>
                <w:sz w:val="18"/>
                <w:szCs w:val="18"/>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Purchasers, dated December 4, 2007, between the</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Company and the Purchasers 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Equity Securities Purchase Agreement for</w:t>
            </w:r>
          </w:p>
        </w:tc>
      </w:tr>
      <w:tr>
        <w:trPr>
          <w:trHeight w:val="216"/>
        </w:trPr>
        <w:tc>
          <w:tcPr>
            <w:tcW w:w="520" w:type="dxa"/>
            <w:vAlign w:val="bottom"/>
          </w:tcPr>
          <w:p>
            <w:pPr>
              <w:spacing w:after="0"/>
              <w:rPr>
                <w:sz w:val="18"/>
                <w:szCs w:val="18"/>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Non-U.S. Purchasers, dated December 4, 2007, between</w:t>
            </w:r>
          </w:p>
        </w:tc>
      </w:tr>
      <w:tr>
        <w:trPr>
          <w:trHeight w:val="228"/>
        </w:trPr>
        <w:tc>
          <w:tcPr>
            <w:tcW w:w="520" w:type="dxa"/>
            <w:vAlign w:val="bottom"/>
          </w:tcPr>
          <w:p>
            <w:pPr>
              <w:spacing w:after="0"/>
              <w:rPr>
                <w:sz w:val="19"/>
                <w:szCs w:val="19"/>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Company and the Purchasers named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February 16, 2012,</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16,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January 8, 2014,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10, 2014</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6,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2015,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6,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2015,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6,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2015,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S-8, File No. 333-180180, as Exhibit 4.1</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16, 2012</w:t>
            </w: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S-8, File No. 333-180180, as Exhibit 4.2</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16, 2012</w:t>
            </w: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14,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333-163704, as Exhibit 4.104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19,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2007, File No. 0-21392, as 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22,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2008, File No. 0-21392, as Exhibit 4.90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19,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2007, File No. 0-21392, as 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of Foreign Private Issuer filed on Form 6-K,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17, 2007</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of Foreign Private Issuer filed on Form 6-K,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17, 2007</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-5984240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00" w:space="280"/>
            <w:col w:w="5580"/>
          </w:cols>
          <w:pgMar w:left="240" w:top="455" w:right="7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70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Debt Securities Purchase Agreement, dated</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December 4, 2007, between the Company and the</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Purchasers 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Stock Purchase Agreement, dated December 5, 2007,</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between the Company, the selling shareholders of Ester</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Neurosciences Limited, Ester Neurosciences Limited and</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Medica II Management L.P.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Letter Agreement, dated December 6, 2007, between the</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Company and the Sellers’ Representative of the selling</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shareholders of Ester Neurosciences Limited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No. 1 to Stock Purchase Agreement, dated</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April 7, 2008, between the Company and Medica II</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Management L.P.</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Securities Purchase Agreement, dated May 12, 2008,</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among the Company and the Purchasers 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Securities Purchase Agreement, dated May 13,</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2008, between the Company and the Purchasers named</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therein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Amendment and Waiver Agreement, dated May 25, 2009,</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between Ester Neurosciences Limited, Medica II</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Management L.P. and the Company††</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Form of Securities Purchase Agreement dated October 12,</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2009 between the Company and the Purchasers named</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Amendment No. 1, dated December 2, 2009, to Securities</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Purchase Agreement dated October 12, 2009 between the</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Company and the Purchasers 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Master Services Agreement, dated September 29, 2009,</w:t>
            </w:r>
          </w:p>
        </w:tc>
      </w:tr>
      <w:tr>
        <w:trPr>
          <w:trHeight w:val="216"/>
        </w:trPr>
        <w:tc>
          <w:tcPr>
            <w:tcW w:w="520" w:type="dxa"/>
            <w:vAlign w:val="bottom"/>
          </w:tcPr>
          <w:p>
            <w:pPr>
              <w:spacing w:after="0"/>
              <w:rPr>
                <w:sz w:val="18"/>
                <w:szCs w:val="18"/>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between Medpace Inc. and Amarin Pharma, Inc. and</w:t>
            </w:r>
          </w:p>
        </w:tc>
      </w:tr>
      <w:tr>
        <w:trPr>
          <w:trHeight w:val="228"/>
        </w:trPr>
        <w:tc>
          <w:tcPr>
            <w:tcW w:w="5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Pharmaceuticals Ireland Limited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of Foreign Private Issuer filed on Form 6-K,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17, 2007</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99.7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of Foreign Private Issuer filed on Form 6-K,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28,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of Foreign Private Issuer filed on Form 6-K,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1,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19,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2007, File No. 0-21392, as Exhibit 4.79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22,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2008, File No. 0-21392, as Exhibit 4.80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19,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2007, File No. 0-21392, as Exhibit 4.81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20-F/A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4,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2008, File No. 0-21392, as Exhibit 4.88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22,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2008, File No. 0-21392, as Exhibit 4.94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December 14,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333-163704, as Exhibit 4.105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22,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2008, File No. 0-21392, as Exhibit 4.92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-5777865</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80" w:space="200"/>
            <w:col w:w="5580"/>
          </w:cols>
          <w:pgMar w:left="240" w:top="455" w:right="7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68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Agreement dated October 12, 2009, to the</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Equity Securities Purchase Agreement dated</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May 13, 2008 between the Company and the Purchasers</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Management Rights Deed of Agreement dated</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October 16, 2009 by and among the Company and</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Purchasers named therein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Supply Agreement, dated November 1, 2010, between</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Nisshin Pharma Inc. and Amarin Pharmaceuticals Ireland</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Limited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API Commercial Supply Agreement, dated May 25, 2011,</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between Amarin Pharmaceuticals Ireland Ltd. and</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Chemport Inc.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to API Commercial Supply Agreement by</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between Amarin Pharmaceuticals Ireland Ltd and</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Chemport Inc., dated April 4, 2012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Second Amendment to API Commercial Supply</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Agreement by and between Amarin Pharmaceuticals</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Ireland Ltd. and Chemport Inc., dated July 19,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Irrevocable License Agreement dated as of April 11,</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2011, as amended by the First Amendment to Irrevocable</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License Agreement dated as of May 9, 2011, each by</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Pharmaceuticals Ireland Ltd. and Bedminster 2</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Funding, LLC</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Second Amendment to Irrevocable License Agreement,</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by and between Bedminster 2 Funding, LLC and Amarin</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Pharmaceuticals Ireland Ltd., dated April 25,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Third Amendment to Irrevocable License Agreement by</w:t>
            </w:r>
          </w:p>
        </w:tc>
      </w:tr>
      <w:tr>
        <w:trPr>
          <w:trHeight w:val="216"/>
        </w:trPr>
        <w:tc>
          <w:tcPr>
            <w:tcW w:w="520" w:type="dxa"/>
            <w:vAlign w:val="bottom"/>
          </w:tcPr>
          <w:p>
            <w:pPr>
              <w:spacing w:after="0"/>
              <w:rPr>
                <w:sz w:val="18"/>
                <w:szCs w:val="18"/>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between Bedminster 2 Funding, LLC and Amarin</w:t>
            </w:r>
          </w:p>
        </w:tc>
      </w:tr>
      <w:tr>
        <w:trPr>
          <w:trHeight w:val="228"/>
        </w:trPr>
        <w:tc>
          <w:tcPr>
            <w:tcW w:w="520" w:type="dxa"/>
            <w:vAlign w:val="bottom"/>
          </w:tcPr>
          <w:p>
            <w:pPr>
              <w:spacing w:after="0"/>
              <w:rPr>
                <w:sz w:val="19"/>
                <w:szCs w:val="19"/>
                <w:color w:val="auto"/>
              </w:rPr>
            </w:pPr>
          </w:p>
        </w:tc>
        <w:tc>
          <w:tcPr>
            <w:tcW w:w="4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Pharmaceuticals Ireland Ltd., dated July 17, 2012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22, 2009</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2008, File No. 0-21392, as Exhibit 4.97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June 25, 2010</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2009, File No. 0-21392, as Exhibit 4.100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16,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 10.40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9,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8,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 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November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September 30,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9,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0"/>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8,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8, 2008</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-5709285</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520"/>
          </w:cols>
          <w:pgMar w:left="240" w:top="455" w:right="8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66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Fourth Amendment to Irrevocable License Agreement by</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between Bedminster 2 Funding, LLC and Amarin</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Pharmaceuticals Ireland Ltd., dated December 15,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Online Office Agreement dated as of September 30, 2011</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by Amarin Corporation plc and Regus CME Ireland Ltd.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Lease Agreement, dated January 22, 2007, between the</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Company, Amarin Pharmaceuticals Ireland Limited and</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Mr. David Colgan, Mr. Philip Monaghan, Mr. Finian</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McDonnell and Mr. Patrick Ryan</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Lease Agreement dated November 28, 2011, by the</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Company, 534 East Middle Turnpike, LLC, Peter Jay</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Alter, as Trustee of the Leon C. Lech Irrevocable Trust</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under Declaration of Trust dated October 14, 1980 and</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Ferndale Realty, LLC</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Sublease Agreement by and among Advance Realty</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Management, Inc., Bedminster 2 Funding, LLC and</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 Inc., dated April 25,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Lease Agreement dated May 8, 2013, by and between</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 Inc. and Bedminster 2 Funding, LLC.</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Second Amendment to Lease Agreement, by and between</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 Inc. and Bedminster 2 Funding, LLC,</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dated January 23, 2014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Third Amendment to Lease Agreement, by and between</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 Inc. and Bedminster 2 Funding, LLC,</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dated April 3, 2014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Fourth Amendment to Lease Agreement, by and between</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Pharma, Inc. and Bedminster 2 Funding, LLC,</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dated December 15, 2016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February 28,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2012, File No. 0-21392, as Exhibit 10.71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November 8, 2011</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5, 2007</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2006, File No. 0-21392, as 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February 29,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 10.61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0"/>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8,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9, 2013</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2013,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3,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2014, File No. 0-21392, as Exhibit 10.80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3,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2014, File No. 0-21392, as Exhibit 10.81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1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-5434965</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40" w:space="240"/>
            <w:col w:w="5520"/>
          </w:cols>
          <w:pgMar w:left="240" w:top="455" w:right="8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66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Purchase and Sale Agreement, dated December 6, 2012,</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by and between Amarin Corporation plc, Amarin</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Pharmaceuticals Ireland Limited and BioPharma Secured</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Debt Fund II Holdings Cayman LP††</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Co-Promotion Agreement dated March 31, 2014, by and</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among the Company and Kowa Pharmaceuticals</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America, Inc.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Development, Commercialization and Supply Agreement</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dated February 26, 2015, by and between Amarin</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Pharmaceuticals Ireland Limited, Amarin Pharma, Inc.</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Eddingpharm (Asia) Macao Commercial Offshore</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Limited††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Securities Subscription Agreement dated March 5, 2015,</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by and among Amarin Corporation plc, 667, L.P., Baker</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Brothers Life Sciences, L.P., Stonepine Capital, L.P. and</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Broadfin Healthcare Master Fund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Securities Subscription Agreement dated March 30, 2015,</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by and between Amarin Corporation plc and Sofinnova</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Venture Partners VII, L.P.</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Letter Agreement, dated May 9, 2016, by and between</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Amarin Corporation plc and Michael Kalb*</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Code of Ethics</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Consent of Independent Registered Public Accounting</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Firm</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Executive Officer) pursuant to Section 302 of</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Certification of Senior Vice President and Chief Financial</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Officer (Principal Financial Officer and Principal</w:t>
            </w:r>
          </w:p>
        </w:tc>
      </w:tr>
      <w:tr>
        <w:trPr>
          <w:trHeight w:val="216"/>
        </w:trPr>
        <w:tc>
          <w:tcPr>
            <w:tcW w:w="520" w:type="dxa"/>
            <w:vAlign w:val="bottom"/>
          </w:tcPr>
          <w:p>
            <w:pPr>
              <w:spacing w:after="0"/>
              <w:rPr>
                <w:sz w:val="18"/>
                <w:szCs w:val="18"/>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Accounting Officer) pursuant to Section 302 of Sarbanes-</w:t>
            </w:r>
          </w:p>
        </w:tc>
      </w:tr>
      <w:tr>
        <w:trPr>
          <w:trHeight w:val="228"/>
        </w:trPr>
        <w:tc>
          <w:tcPr>
            <w:tcW w:w="520" w:type="dxa"/>
            <w:vAlign w:val="bottom"/>
          </w:tcPr>
          <w:p>
            <w:pPr>
              <w:spacing w:after="0"/>
              <w:rPr>
                <w:sz w:val="19"/>
                <w:szCs w:val="19"/>
                <w:color w:val="auto"/>
              </w:rPr>
            </w:pPr>
          </w:p>
        </w:tc>
        <w:tc>
          <w:tcPr>
            <w:tcW w:w="4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Oxley Act 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Incorporated by Reference Herein</w:t>
            </w:r>
          </w:p>
        </w:tc>
        <w:tc>
          <w:tcPr>
            <w:tcW w:w="92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February 28, 2012</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2012, File No. 0-21392, as Exhibit 10.76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9, 2014</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March 31, 2014,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 period</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8, 2015</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March 31, 2015,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March 5, 2015, File</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11,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March 30, 2015, File</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30, 2015</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 on Form 8-K dated June 30, 2016, File</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June 30, 2016</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F-3, File</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6"/>
              </w:rPr>
              <w:t>November 10, 2010</w:t>
            </w:r>
          </w:p>
        </w:tc>
        <w:tc>
          <w:tcPr>
            <w:tcW w:w="0" w:type="dxa"/>
            <w:vAlign w:val="bottom"/>
          </w:tcPr>
          <w:p>
            <w:pPr>
              <w:spacing w:after="0"/>
              <w:rPr>
                <w:sz w:val="1"/>
                <w:szCs w:val="1"/>
                <w:color w:val="auto"/>
              </w:rPr>
            </w:pPr>
          </w:p>
        </w:tc>
      </w:tr>
      <w:tr>
        <w:trPr>
          <w:trHeight w:val="228"/>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333-170505,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1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-6258560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40" w:space="240"/>
            <w:col w:w="5600"/>
          </w:cols>
          <w:pgMar w:left="240" w:top="455" w:right="7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36"/>
        </w:trPr>
        <w:tc>
          <w:tcPr>
            <w:tcW w:w="5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160" w:type="dxa"/>
            <w:vAlign w:val="bottom"/>
          </w:tcPr>
          <w:p>
            <w:pPr>
              <w:spacing w:after="0"/>
              <w:rPr>
                <w:sz w:val="11"/>
                <w:szCs w:val="11"/>
                <w:color w:val="auto"/>
              </w:rPr>
            </w:pPr>
          </w:p>
        </w:tc>
        <w:tc>
          <w:tcPr>
            <w:tcW w:w="7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Description</w:t>
            </w:r>
          </w:p>
        </w:tc>
        <w:tc>
          <w:tcPr>
            <w:tcW w:w="1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76"/>
              </w:rPr>
              <w:t>Form</w:t>
            </w:r>
          </w:p>
        </w:tc>
        <w:tc>
          <w:tcPr>
            <w:tcW w:w="1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c>
          <w:tcPr>
            <w:tcW w:w="4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(Principal Executive Officer) and Senior Vice President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Chief Financial Officer (Principal Financial Officer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Principal Accounting Officer) pursuant to</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8"/>
        </w:trPr>
        <w:tc>
          <w:tcPr>
            <w:tcW w:w="520" w:type="dxa"/>
            <w:vAlign w:val="bottom"/>
          </w:tcPr>
          <w:p>
            <w:pPr>
              <w:spacing w:after="0"/>
              <w:rPr>
                <w:sz w:val="19"/>
                <w:szCs w:val="19"/>
                <w:color w:val="auto"/>
              </w:rPr>
            </w:pP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906 of Sarbanes-Oxley Act of 2002</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INS XBRL Instance Document</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SCH XBRL Taxonomy Extension Schema Document</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96" w:lineRule="exact"/>
        <w:rPr>
          <w:sz w:val="20"/>
          <w:szCs w:val="20"/>
          <w:color w:val="auto"/>
        </w:rPr>
      </w:pPr>
    </w:p>
    <w:p>
      <w:pPr>
        <w:ind w:left="1080" w:right="6940" w:hanging="107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Calculation Linkbase Document</w:t>
      </w:r>
    </w:p>
    <w:p>
      <w:pPr>
        <w:spacing w:after="0" w:line="66" w:lineRule="exact"/>
        <w:rPr>
          <w:sz w:val="20"/>
          <w:szCs w:val="20"/>
          <w:color w:val="auto"/>
        </w:rPr>
      </w:pPr>
    </w:p>
    <w:p>
      <w:pPr>
        <w:ind w:left="1080" w:right="6300" w:hanging="107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XBRL Taxonomy Extension Definition Linkbase Document</w:t>
      </w:r>
    </w:p>
    <w:p>
      <w:pPr>
        <w:spacing w:after="0" w:line="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LAB XBRL Taxonomy Label Linkbase Document</w:t>
      </w:r>
    </w:p>
    <w:p>
      <w:pPr>
        <w:spacing w:after="0" w:line="117" w:lineRule="exact"/>
        <w:rPr>
          <w:sz w:val="20"/>
          <w:szCs w:val="20"/>
          <w:color w:val="auto"/>
        </w:rPr>
      </w:pPr>
    </w:p>
    <w:p>
      <w:pPr>
        <w:ind w:left="1080" w:right="6920" w:hanging="107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XBRL Taxonomy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p>
      <w:pPr>
        <w:ind w:left="460" w:hanging="452"/>
        <w:spacing w:after="0" w:line="339"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 Securities</w:t>
      </w:r>
    </w:p>
    <w:p>
      <w:pPr>
        <w:spacing w:after="0" w:line="128"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Form 10-K Summary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240" w:top="455" w:right="4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MARIN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7240"/>
        <w:spacing w:after="0"/>
        <w:tabs>
          <w:tab w:leader="none" w:pos="75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John F. Thero</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2017</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40" w:type="dxa"/>
            <w:vAlign w:val="bottom"/>
          </w:tcPr>
          <w:p>
            <w:pPr>
              <w:spacing w:after="0"/>
              <w:rPr>
                <w:sz w:val="14"/>
                <w:szCs w:val="14"/>
                <w:color w:val="auto"/>
              </w:rPr>
            </w:pP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180" w:type="dxa"/>
            <w:vAlign w:val="bottom"/>
          </w:tcPr>
          <w:p>
            <w:pPr>
              <w:spacing w:after="0"/>
              <w:rPr>
                <w:sz w:val="14"/>
                <w:szCs w:val="14"/>
                <w:color w:val="auto"/>
              </w:rPr>
            </w:pPr>
          </w:p>
        </w:tc>
        <w:tc>
          <w:tcPr>
            <w:tcW w:w="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7"/>
              </w:rPr>
              <w:t>John F. Thero</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7"/>
              </w:rPr>
              <w:t>Director, President and Chief</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184"/>
        </w:trPr>
        <w:tc>
          <w:tcPr>
            <w:tcW w:w="1880" w:type="dxa"/>
            <w:vAlign w:val="bottom"/>
          </w:tcPr>
          <w:p>
            <w:pPr>
              <w:spacing w:after="0"/>
              <w:rPr>
                <w:sz w:val="15"/>
                <w:szCs w:val="15"/>
                <w:color w:val="auto"/>
              </w:rPr>
            </w:pPr>
          </w:p>
        </w:tc>
        <w:tc>
          <w:tcPr>
            <w:tcW w:w="3200" w:type="dxa"/>
            <w:vAlign w:val="bottom"/>
            <w:gridSpan w:val="4"/>
          </w:tcPr>
          <w:p>
            <w:pPr>
              <w:jc w:val="center"/>
              <w:ind w:right="1880"/>
              <w:spacing w:after="0" w:line="184" w:lineRule="exact"/>
              <w:rPr>
                <w:sz w:val="20"/>
                <w:szCs w:val="20"/>
                <w:color w:val="auto"/>
              </w:rPr>
            </w:pPr>
            <w:r>
              <w:rPr>
                <w:rFonts w:ascii="Times New Roman" w:cs="Times New Roman" w:eastAsia="Times New Roman" w:hAnsi="Times New Roman"/>
                <w:sz w:val="18"/>
                <w:szCs w:val="18"/>
                <w:color w:val="auto"/>
                <w:w w:val="95"/>
              </w:rPr>
              <w:t>John F. Thero</w:t>
            </w:r>
          </w:p>
        </w:tc>
        <w:tc>
          <w:tcPr>
            <w:tcW w:w="3980" w:type="dxa"/>
            <w:vAlign w:val="bottom"/>
            <w:gridSpan w:val="3"/>
          </w:tcPr>
          <w:p>
            <w:pPr>
              <w:jc w:val="center"/>
              <w:ind w:left="74"/>
              <w:spacing w:after="0" w:line="184" w:lineRule="exact"/>
              <w:rPr>
                <w:sz w:val="20"/>
                <w:szCs w:val="20"/>
                <w:color w:val="auto"/>
              </w:rPr>
            </w:pPr>
            <w:r>
              <w:rPr>
                <w:rFonts w:ascii="Times New Roman" w:cs="Times New Roman" w:eastAsia="Times New Roman" w:hAnsi="Times New Roman"/>
                <w:sz w:val="18"/>
                <w:szCs w:val="18"/>
                <w:color w:val="auto"/>
                <w:w w:val="97"/>
              </w:rPr>
              <w:t>Executive Officer (Principal</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28"/>
        </w:trPr>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Executive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46"/>
        </w:trPr>
        <w:tc>
          <w:tcPr>
            <w:tcW w:w="210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3"/>
          </w:tcPr>
          <w:p>
            <w:pPr>
              <w:jc w:val="center"/>
              <w:ind w:right="1740"/>
              <w:spacing w:after="0"/>
              <w:rPr>
                <w:sz w:val="20"/>
                <w:szCs w:val="20"/>
                <w:color w:val="auto"/>
              </w:rPr>
            </w:pPr>
            <w:r>
              <w:rPr>
                <w:rFonts w:ascii="Times New Roman" w:cs="Times New Roman" w:eastAsia="Times New Roman" w:hAnsi="Times New Roman"/>
                <w:sz w:val="18"/>
                <w:szCs w:val="18"/>
                <w:color w:val="auto"/>
                <w:w w:val="96"/>
              </w:rPr>
              <w:t>Michael W. Kalb</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7"/>
              </w:rPr>
              <w:t>Senior Vice President and Chief</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184"/>
        </w:trPr>
        <w:tc>
          <w:tcPr>
            <w:tcW w:w="1880" w:type="dxa"/>
            <w:vAlign w:val="bottom"/>
          </w:tcPr>
          <w:p>
            <w:pPr>
              <w:spacing w:after="0"/>
              <w:rPr>
                <w:sz w:val="15"/>
                <w:szCs w:val="15"/>
                <w:color w:val="auto"/>
              </w:rPr>
            </w:pPr>
          </w:p>
        </w:tc>
        <w:tc>
          <w:tcPr>
            <w:tcW w:w="3200" w:type="dxa"/>
            <w:vAlign w:val="bottom"/>
            <w:gridSpan w:val="4"/>
          </w:tcPr>
          <w:p>
            <w:pPr>
              <w:jc w:val="center"/>
              <w:ind w:right="1880"/>
              <w:spacing w:after="0" w:line="184" w:lineRule="exact"/>
              <w:rPr>
                <w:sz w:val="20"/>
                <w:szCs w:val="20"/>
                <w:color w:val="auto"/>
              </w:rPr>
            </w:pPr>
            <w:r>
              <w:rPr>
                <w:rFonts w:ascii="Times New Roman" w:cs="Times New Roman" w:eastAsia="Times New Roman" w:hAnsi="Times New Roman"/>
                <w:sz w:val="18"/>
                <w:szCs w:val="18"/>
                <w:color w:val="auto"/>
                <w:w w:val="96"/>
              </w:rPr>
              <w:t>Michael W. Kalb</w:t>
            </w:r>
          </w:p>
        </w:tc>
        <w:tc>
          <w:tcPr>
            <w:tcW w:w="3980" w:type="dxa"/>
            <w:vAlign w:val="bottom"/>
            <w:gridSpan w:val="3"/>
          </w:tcPr>
          <w:p>
            <w:pPr>
              <w:jc w:val="center"/>
              <w:ind w:left="74"/>
              <w:spacing w:after="0" w:line="184" w:lineRule="exact"/>
              <w:rPr>
                <w:sz w:val="20"/>
                <w:szCs w:val="20"/>
                <w:color w:val="auto"/>
              </w:rPr>
            </w:pPr>
            <w:r>
              <w:rPr>
                <w:rFonts w:ascii="Times New Roman" w:cs="Times New Roman" w:eastAsia="Times New Roman" w:hAnsi="Times New Roman"/>
                <w:sz w:val="18"/>
                <w:szCs w:val="18"/>
                <w:color w:val="auto"/>
                <w:w w:val="97"/>
              </w:rPr>
              <w:t>Financial Officer (Principal</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7"/>
              </w:rPr>
              <w:t>Financial Officer and Principal</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8"/>
        </w:trPr>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Accounting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47"/>
        </w:trPr>
        <w:tc>
          <w:tcPr>
            <w:tcW w:w="5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/s/  Lars Ekman, M.D., Ph.D.</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223"/>
        </w:trPr>
        <w:tc>
          <w:tcPr>
            <w:tcW w:w="50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7"/>
              </w:rPr>
              <w:t>Lars Ekman, M.D., Ph.D.</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18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w w:val="82"/>
              </w:rPr>
              <w:t>/s/</w:t>
            </w:r>
          </w:p>
        </w:tc>
        <w:tc>
          <w:tcPr>
            <w:tcW w:w="3200" w:type="dxa"/>
            <w:vAlign w:val="bottom"/>
            <w:tcBorders>
              <w:bottom w:val="single" w:sz="8" w:color="auto"/>
            </w:tcBorders>
            <w:gridSpan w:val="4"/>
          </w:tcPr>
          <w:p>
            <w:pPr>
              <w:jc w:val="center"/>
              <w:ind w:right="1540"/>
              <w:spacing w:after="0"/>
              <w:rPr>
                <w:sz w:val="20"/>
                <w:szCs w:val="20"/>
                <w:color w:val="auto"/>
              </w:rPr>
            </w:pPr>
            <w:r>
              <w:rPr>
                <w:rFonts w:ascii="Times New Roman" w:cs="Times New Roman" w:eastAsia="Times New Roman" w:hAnsi="Times New Roman"/>
                <w:sz w:val="18"/>
                <w:szCs w:val="18"/>
                <w:color w:val="auto"/>
                <w:w w:val="96"/>
              </w:rPr>
              <w:t>Patrick O’Sullivan</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223"/>
        </w:trPr>
        <w:tc>
          <w:tcPr>
            <w:tcW w:w="1880" w:type="dxa"/>
            <w:vAlign w:val="bottom"/>
          </w:tcPr>
          <w:p>
            <w:pPr>
              <w:spacing w:after="0"/>
              <w:rPr>
                <w:sz w:val="19"/>
                <w:szCs w:val="19"/>
                <w:color w:val="auto"/>
              </w:rPr>
            </w:pPr>
          </w:p>
        </w:tc>
        <w:tc>
          <w:tcPr>
            <w:tcW w:w="32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8"/>
              </w:rPr>
              <w:t>Patrick O’Sullivan</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210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7"/>
              </w:rPr>
              <w:t>Kristine Peterson</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223"/>
        </w:trPr>
        <w:tc>
          <w:tcPr>
            <w:tcW w:w="1880" w:type="dxa"/>
            <w:vAlign w:val="bottom"/>
          </w:tcPr>
          <w:p>
            <w:pPr>
              <w:spacing w:after="0"/>
              <w:rPr>
                <w:sz w:val="19"/>
                <w:szCs w:val="19"/>
                <w:color w:val="auto"/>
              </w:rPr>
            </w:pPr>
          </w:p>
        </w:tc>
        <w:tc>
          <w:tcPr>
            <w:tcW w:w="32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6"/>
              </w:rPr>
              <w:t>Kristine Peterson</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2"/>
              </w:rPr>
              <w:t>/s/</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1900"/>
              <w:spacing w:after="0"/>
              <w:rPr>
                <w:sz w:val="20"/>
                <w:szCs w:val="20"/>
                <w:color w:val="auto"/>
              </w:rPr>
            </w:pPr>
            <w:r>
              <w:rPr>
                <w:rFonts w:ascii="Times New Roman" w:cs="Times New Roman" w:eastAsia="Times New Roman" w:hAnsi="Times New Roman"/>
                <w:sz w:val="18"/>
                <w:szCs w:val="18"/>
                <w:color w:val="auto"/>
                <w:w w:val="97"/>
              </w:rPr>
              <w:t>David Stack</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223"/>
        </w:trPr>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color w:val="auto"/>
                <w:w w:val="99"/>
              </w:rPr>
              <w:t>David Stack</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6"/>
              </w:rPr>
              <w:t>Jan van Heek</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223"/>
        </w:trPr>
        <w:tc>
          <w:tcPr>
            <w:tcW w:w="1880" w:type="dxa"/>
            <w:vAlign w:val="bottom"/>
          </w:tcPr>
          <w:p>
            <w:pPr>
              <w:spacing w:after="0"/>
              <w:rPr>
                <w:sz w:val="19"/>
                <w:szCs w:val="19"/>
                <w:color w:val="auto"/>
              </w:rPr>
            </w:pPr>
          </w:p>
        </w:tc>
        <w:tc>
          <w:tcPr>
            <w:tcW w:w="32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8"/>
              </w:rPr>
              <w:t>Jan van Heek</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18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93"/>
              </w:rPr>
              <w:t>/s/</w:t>
            </w:r>
          </w:p>
        </w:tc>
        <w:tc>
          <w:tcPr>
            <w:tcW w:w="3200" w:type="dxa"/>
            <w:vAlign w:val="bottom"/>
            <w:tcBorders>
              <w:bottom w:val="single" w:sz="8" w:color="auto"/>
            </w:tcBorders>
            <w:gridSpan w:val="4"/>
          </w:tcPr>
          <w:p>
            <w:pPr>
              <w:jc w:val="center"/>
              <w:ind w:right="1540"/>
              <w:spacing w:after="0"/>
              <w:rPr>
                <w:sz w:val="20"/>
                <w:szCs w:val="20"/>
                <w:color w:val="auto"/>
              </w:rPr>
            </w:pPr>
            <w:r>
              <w:rPr>
                <w:rFonts w:ascii="Times New Roman" w:cs="Times New Roman" w:eastAsia="Times New Roman" w:hAnsi="Times New Roman"/>
                <w:sz w:val="18"/>
                <w:szCs w:val="18"/>
                <w:color w:val="auto"/>
                <w:w w:val="97"/>
              </w:rPr>
              <w:t>Joseph Zakrzewski</w:t>
            </w:r>
          </w:p>
        </w:tc>
        <w:tc>
          <w:tcPr>
            <w:tcW w:w="39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6"/>
              </w:rPr>
              <w:t>March 1, 2017</w:t>
            </w:r>
          </w:p>
        </w:tc>
      </w:tr>
      <w:tr>
        <w:trPr>
          <w:trHeight w:val="223"/>
        </w:trPr>
        <w:tc>
          <w:tcPr>
            <w:tcW w:w="50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Joseph Zakrzewski</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4"/>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60" w:type="dxa"/>
            <w:vAlign w:val="bottom"/>
            <w:gridSpan w:val="7"/>
            <w:vMerge w:val="restart"/>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60" w:type="dxa"/>
            <w:vAlign w:val="bottom"/>
            <w:gridSpan w:val="7"/>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6"/>
                <w:szCs w:val="16"/>
                <w:color w:val="auto"/>
                <w:w w:val="98"/>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1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940" w:type="dxa"/>
            <w:vAlign w:val="bottom"/>
            <w:gridSpan w:val="5"/>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060" w:type="dxa"/>
            <w:vAlign w:val="bottom"/>
            <w:gridSpan w:val="7"/>
          </w:tcPr>
          <w:p>
            <w:pPr>
              <w:spacing w:after="0" w:line="190"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Consolidated Balance Sheets as of December 31, 2016 and 2015</w:t>
              </w:r>
            </w:hyperlink>
          </w:p>
        </w:tc>
        <w:tc>
          <w:tcPr>
            <w:tcW w:w="3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26">
              <w:r>
                <w:rPr>
                  <w:rFonts w:ascii="Times New Roman" w:cs="Times New Roman" w:eastAsia="Times New Roman" w:hAnsi="Times New Roman"/>
                  <w:sz w:val="18"/>
                  <w:szCs w:val="18"/>
                  <w:color w:val="0000EE"/>
                  <w:w w:val="97"/>
                </w:rPr>
                <w:t>Consolidated Statements of Operations for the years ended December 31, 2016, 2015 and 2014</w:t>
              </w:r>
            </w:hyperlink>
          </w:p>
        </w:tc>
        <w:tc>
          <w:tcPr>
            <w:tcW w:w="4360" w:type="dxa"/>
            <w:vAlign w:val="bottom"/>
            <w:gridSpan w:val="3"/>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27">
              <w:r>
                <w:rPr>
                  <w:rFonts w:ascii="Times New Roman" w:cs="Times New Roman" w:eastAsia="Times New Roman" w:hAnsi="Times New Roman"/>
                  <w:sz w:val="18"/>
                  <w:szCs w:val="18"/>
                  <w:color w:val="0000EE"/>
                  <w:w w:val="98"/>
                </w:rPr>
                <w:t>Consolidated Statements of Stockholders’ Deficit for the years ended December 31, 2016, 2015 and 2014</w:t>
              </w:r>
            </w:hyperlink>
          </w:p>
        </w:tc>
        <w:tc>
          <w:tcPr>
            <w:tcW w:w="35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11060" w:type="dxa"/>
            <w:vAlign w:val="bottom"/>
            <w:gridSpan w:val="7"/>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Consolidated Statements of Cash Flows for the years ended December 31, 2016, 2015 and 2014</w:t>
              </w:r>
            </w:hyperlink>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Notes to Consolidated Financial Statements</w:t>
              </w:r>
            </w:hyperlink>
          </w:p>
        </w:tc>
        <w:tc>
          <w:tcPr>
            <w:tcW w:w="432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80"/>
          </w:cols>
          <w:pgMar w:left="240" w:top="455" w:right="2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159"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Amarin Corporation plc as of December 31, 2016 and 2015, and the related consolidated statements of operations, stockholders’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Amarin Corporation plc at December 31, 2016 and 2015, and the consolidated results of its operations and its cash flows for each of the three years in the period ended December 31, 2016, in conformity with U.S. generally accepted accounting principles.</w:t>
      </w:r>
    </w:p>
    <w:p>
      <w:pPr>
        <w:spacing w:after="0" w:line="132"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Amarin Corporation plc’s internal control over financial reporting as of December 31, 2016, based on criteria established in Internal Control-Integrated Framework issued by the Committee of Sponsoring Organizations of the Treadway Commission (2013 framework) and our report dated March 1, 2017 expressed an unqualified opinion thereon.</w:t>
      </w:r>
    </w:p>
    <w:p>
      <w:pPr>
        <w:spacing w:after="0" w:line="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Amarin Corporation plc changed its recognition of excess tax benefits and presentation of employee stock-based payment related items in the consolidated statement of cash flows as a result of the adoption of the amendments to the FASB Accounting Standards Codification resulting from Accounting Standards Update No. 2016-09, “Compensation—Stock Compensation (Topic 718): Improvements to Employee Share-Based Payment Accounting”, effective April 1, 2016.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2017</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20"/>
          </w:cols>
          <w:pgMar w:left="24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ind w:left="38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98,251</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166,999</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6,062</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exchangeable senior notes, net of discount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 from royalty-bearing instrument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50,723</w:t>
            </w: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Exchangeable senior notes, net of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 debt derivative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176,057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Series A Convertible Preferred Stock, £0.05 par, unlimited authorized; 328,184,640 issued and outstanding as of</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31, 2016 and 2015 (equivalent to 32,818,464 ordinary shares upon future consolidation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redesignation at a 10:1 ratio)</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24,364</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£0.50 par value, unlimited authorized; 270,183,201 issued, 269,363,696 outstanding as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December 31, 2016; 183,577,765 issued, 183,403,263 outstanding as of December 31, 2015</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207,166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964,914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Treasury stock; 819,505 shares as of December 31, 2016; 174,502 shares as of December 31, 2015</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(1,204,004)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(1,117,654)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166,999</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128,966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130,084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111,372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161,347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(65,626)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(95,955)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(76,381)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(118,290)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(59,201)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(86,350)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(115,204)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(56,364)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purchase option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beneficial conversion features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(86,350)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(149,059)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(56,364)</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211,874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211,874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gridSpan w:val="2"/>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0"/>
              </w:rPr>
              <w:t>Treasury</w:t>
            </w: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Preferred</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2014</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172,691,063</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$ 141,477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738,754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(913,870)</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1,684,888</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234,500</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Reacquisition of conversion option in convertible notes</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provision on stock-based compensation</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Refund of equity issuance costs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(56,364)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2014</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174,610,451</w:t>
            </w:r>
          </w:p>
        </w:tc>
        <w:tc>
          <w:tcPr>
            <w:tcW w:w="64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(20,079)</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$ 143,113</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738,890</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(217)</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(970,234)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(88,448)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A Convertible Preferred Stock, net</w:t>
            </w: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9"/>
              </w:rPr>
              <w:t>391,017,970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29,168</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28,685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Series A Convertible Preferred Stock, net</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(62,833,330)</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6,283,333</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(4,804)</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4,804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purchase option</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beneficial conversion features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32,987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(32,987)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1,844,585</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1,429</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18,020</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821,376</w:t>
            </w:r>
          </w:p>
        </w:tc>
        <w:tc>
          <w:tcPr>
            <w:tcW w:w="640" w:type="dxa"/>
            <w:vAlign w:val="bottom"/>
            <w:gridSpan w:val="2"/>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w w:val="98"/>
              </w:rPr>
              <w:t>(154,423)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Reacquisition of conversion option in convertible notes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benefits realized from stock-based compensation</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13,872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(115,204)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2015</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328,184,640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183,577,765</w:t>
            </w:r>
          </w:p>
        </w:tc>
        <w:tc>
          <w:tcPr>
            <w:tcW w:w="64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(174,502)</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24,364</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$ 149,978</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816,171</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(411)</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(1,119,293)</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(129,191)</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Cumulative-effect adjustment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20" w:type="dxa"/>
            <w:vAlign w:val="bottom"/>
            <w:gridSpan w:val="2"/>
            <w:vMerge w:val="continue"/>
          </w:tcPr>
          <w:p>
            <w:pPr>
              <w:spacing w:after="0"/>
              <w:rPr>
                <w:sz w:val="13"/>
                <w:szCs w:val="13"/>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3"/>
                <w:szCs w:val="13"/>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40" w:type="dxa"/>
            <w:vAlign w:val="bottom"/>
            <w:tcBorders>
              <w:bottom w:val="single" w:sz="8" w:color="auto"/>
            </w:tcBorders>
          </w:tcPr>
          <w:p>
            <w:pPr>
              <w:ind w:left="3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1,639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 January 1, 2016</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328,184,640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183,577,765</w:t>
            </w:r>
          </w:p>
        </w:tc>
        <w:tc>
          <w:tcPr>
            <w:tcW w:w="64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(174,502)</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24,364</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$ 149,978</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816,171</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(411)</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(1,117,654)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(127,552)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transaction costs</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24,265,000</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15,712</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48,901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Exchange of exchangeable senior notes, net of transaction costs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60,311,188</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40,062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87,374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177,146</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1,852,102</w:t>
            </w:r>
          </w:p>
        </w:tc>
        <w:tc>
          <w:tcPr>
            <w:tcW w:w="64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w w:val="98"/>
              </w:rPr>
              <w:t>(645,003)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13,602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(86,350)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(86,350)</w:t>
            </w: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328,184,640</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4"/>
              </w:rPr>
              <w:t>270,183,201</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(819,505</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24,364</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$ 207,166</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964,914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(1,498</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(1,204,004</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(86,350)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(115,204)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sale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(74,608)</w:t>
            </w: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stock, net of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debt, net of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net of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 of equity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exchangeable senior notes, including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related to exchange of exchangeable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Payments under capital leases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106,961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191,514</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 of exchangeable senior notes into common stock</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128,115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Transfer of preferred stock purchase option derivative liability to equity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Accretion of preferred stock beneficial conversion features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Conversion of Series A Convertible Preferred Stock into common stock</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Reacquisition of conversion option in convertible notes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ind w:left="240" w:right="7700" w:hanging="232"/>
        <w:spacing w:after="0" w:line="345" w:lineRule="auto"/>
        <w:tabs>
          <w:tab w:leader="none" w:pos="39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u w:val="single" w:color="auto"/>
          <w:color w:val="auto"/>
        </w:rPr>
        <w:t>Nature of Business</w:t>
      </w:r>
    </w:p>
    <w:p>
      <w:pPr>
        <w:spacing w:after="0" w:line="1"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levels in adult patients with severe (TG ³500 mg/dL) hypertriglyceridemia. Vascepa is available in the United States by prescription only. In January 2013, the Company began selling and marketing 1-gram size Vascepa capsules in the United States, and in October 2016, introduced a smaller 0.5-gram size capsule.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³200 mg/dL and £500 mg/dL), which the Company also refers to as persistently high triglycerides. This expanded promotion of Vascepa commenced pursuant to a federal court order and is continuing pursuant to an agreement among the Company, the FDA and the U.S. government.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no less than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94"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consolidated financial statements included herein have been prepared by the Company in accordance with accounting principles generally accepted in the United States of America (the “U.S.” or the “United States”) and pursuant to the rules and regulations of the Securities and Exchange Commission, or the SEC.</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2016, 2015 and 2014 are not necessarily indicative of the results for any future period. Certain numbers presented throughout this document may not add precisely to the totals provided due to rounding. Absolute and percentage changes are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calculated using the underlying amounts in thousands. Certain prior year balances have been reclassified to conform to the current year presentation due primarily to the Company’s adoption of recent accounting pronouncements related to the presentation of debt issuance costs and excess tax benefits, as well as its inclusion of additional required disclosure related to (provision for) benefit from income taxes. These reclassifications do not have a material impact on the Company’s consolidated financial statements.</w:t>
      </w:r>
    </w:p>
    <w:p>
      <w:pPr>
        <w:spacing w:after="0" w:line="136"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2016, the Company had current assets of $146.3 million, including cash and cash equivalents of $98.3 million. Cash and cash equivalents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2016 includes net proceeds of approximately $64.6 million resulting from the issuance of 24,265,000 American Depositary Shares, or ADSs,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 of a public offering completed in August 2016 (see Note 10—Equity). The Company’s consolidated balance sheets also include long-term debt from royalty-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bearing instrument and exchangeable senior notes. The terms of the January 2012 3.5% exchangeable senior notes due 2032, or the 2012 Notes, are such that they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be redeemed by the Company on or after January 19, 2017 and may be put back to the Company by the holders on each of January 19, 2017, 2022 and 2027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cash equal to 100% of the principal amount plus any accrued and unpaid interest. The 2012 Notes are exchangeable under certain circumstances into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American Depositary Shares, or ADSs, or a combination of cash and ADSs, at the Company’s election. Accordingly, $15.1 million in principal amount of 2012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represents a short-term claim on the liquid assets of the Company as of December 31, 2016. In September 2016, the Company mandatorily exchanged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$118.7 million in aggregate principal amount of May 2014 3.5% exchangeable senior notes due 2032, or the 2014 Notes, and $31.3 million in aggregate principal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November 2015 3.5% exchangeable senior notes due 2032, or the 2015 Notes, into ADSs such that they were retired in full, and derecognized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derivative liabilities. In January 2017, holders of the 2012 Notes exercised their option to put the 2012 Notes to the Company for cash. As a result,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repurchased approximately $15.0 million in aggregate principal amount of 2012 Notes, such that $0.1 million in principal amount of 2012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remains outstanding. In contemplation of this repurchase, the Company issued $30.0 million in aggregate principal amount of January 2017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senior notes due 2047, or the 2017 Notes. The Company has initiated the process to redeem the remaining $0.1 million of 2012 Notes,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completed in the first quarter of 2017. Refer to Note 8—Debt and Note 18—Subsequent Events for further discussion.</w:t>
      </w:r>
    </w:p>
    <w:p>
      <w:pPr>
        <w:spacing w:after="0" w:line="15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Company believes its cash and cash equivalents will be sufficient to fund its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following anticipated successful results of the REDUCE-IT study. The Company anticipates that annual net cash outflows in future periods will be variable.</w:t>
      </w:r>
    </w:p>
    <w:p>
      <w:pPr>
        <w:spacing w:after="0" w:line="215" w:lineRule="exact"/>
        <w:rPr>
          <w:sz w:val="20"/>
          <w:szCs w:val="20"/>
          <w:color w:val="auto"/>
        </w:rPr>
      </w:pPr>
    </w:p>
    <w:p>
      <w:pPr>
        <w:ind w:left="240" w:right="8700" w:hanging="232"/>
        <w:spacing w:after="0" w:line="388" w:lineRule="auto"/>
        <w:tabs>
          <w:tab w:leader="none" w:pos="392"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b w:val="1"/>
          <w:bCs w:val="1"/>
          <w:i w:val="1"/>
          <w:iCs w:val="1"/>
          <w:u w:val="single" w:color="auto"/>
          <w:color w:val="auto"/>
        </w:rPr>
        <w:t>Principles of Consolidation</w:t>
      </w:r>
    </w:p>
    <w:p>
      <w:pPr>
        <w:spacing w:after="0" w:line="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in consolidation.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4"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Forecasted Financial Information in Accounting Estimates</w:t>
      </w:r>
    </w:p>
    <w:p>
      <w:pPr>
        <w:spacing w:after="0" w:line="9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3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6"/>
          <w:szCs w:val="16"/>
          <w:color w:val="auto"/>
        </w:rPr>
        <w:t>The Company has contracts with its primary Distributors and delivery generally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 conclude that the price is fixed or determinable, the Company must be able to</w:t>
      </w:r>
    </w:p>
    <w:p>
      <w:pPr>
        <w:spacing w:after="0" w:line="1" w:lineRule="exact"/>
        <w:rPr>
          <w:sz w:val="20"/>
          <w:szCs w:val="20"/>
          <w:color w:val="auto"/>
        </w:rPr>
      </w:pPr>
    </w:p>
    <w:p>
      <w:pPr>
        <w:ind w:right="80" w:firstLine="8"/>
        <w:spacing w:after="0" w:line="253" w:lineRule="auto"/>
        <w:tabs>
          <w:tab w:leader="none" w:pos="2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its gross product revenues from the sales to Distributors and (ii) reasonably estimate its net product revenues. The Company calculates gross product revenues generally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 or rebates, chargebacks and discounts, such as Medicaid reimbursements, (c) reserves for expected product returns and (d) estimated costs of incentives offered to certain indirect customers, including patients.</w:t>
      </w:r>
    </w:p>
    <w:p>
      <w:pPr>
        <w:spacing w:after="0" w:line="56" w:lineRule="exact"/>
        <w:rPr>
          <w:sz w:val="20"/>
          <w:szCs w:val="20"/>
          <w:color w:val="auto"/>
        </w:rPr>
      </w:pPr>
    </w:p>
    <w:p>
      <w:pPr>
        <w:ind w:left="460" w:right="60" w:firstLine="43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pays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53" w:lineRule="exact"/>
        <w:rPr>
          <w:sz w:val="20"/>
          <w:szCs w:val="20"/>
          <w:color w:val="auto"/>
        </w:rPr>
      </w:pPr>
    </w:p>
    <w:p>
      <w:pPr>
        <w:ind w:left="460" w:right="40" w:firstLine="43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other government agencies and various private organizations,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37" w:lineRule="exact"/>
        <w:rPr>
          <w:sz w:val="20"/>
          <w:szCs w:val="20"/>
          <w:color w:val="auto"/>
        </w:rPr>
      </w:pPr>
    </w:p>
    <w:p>
      <w:pPr>
        <w:ind w:left="460" w:right="20" w:firstLine="43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60" w:lineRule="exact"/>
        <w:rPr>
          <w:sz w:val="20"/>
          <w:szCs w:val="20"/>
          <w:color w:val="auto"/>
        </w:rPr>
      </w:pPr>
    </w:p>
    <w:p>
      <w:pPr>
        <w:ind w:left="460" w:firstLine="43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4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activity in each of the net product revenue allowance and reserve categories described above for the years ended December 31, 2016 and 2015: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110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Chargebacks</w:t>
            </w:r>
          </w:p>
        </w:tc>
        <w:tc>
          <w:tcPr>
            <w:tcW w:w="2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60" w:type="dxa"/>
            <w:vAlign w:val="bottom"/>
          </w:tcPr>
          <w:p>
            <w:pPr>
              <w:spacing w:after="0"/>
              <w:rPr>
                <w:sz w:val="14"/>
                <w:szCs w:val="14"/>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1"/>
              </w:rPr>
              <w:t>Allowances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2015</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481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(205)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(10,690)</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(7,226)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1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4,296</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535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69,370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(19,213)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(9,815)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(1,284)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20,915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859</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Multiple-Element Arrangements and Licensing Revenue</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Milestones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3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See Note 17—Development, Commercialization and Supply Agreement for further information regarding licensing revenue and milestones primarily related to the Company’s multiple-element arrangement with Eddingpharm (Asia) Macao Commercial Offshore Limited.</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Costs</w:t>
      </w:r>
    </w:p>
    <w:p>
      <w:pPr>
        <w:spacing w:after="0" w:line="9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Company records distribution costs related to shipping product to its customers, primarily through the use of common carriers or external distribution services, in cost of goods sold.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credit losses.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impact of accounts receivable reserves on the gross trade accounts receivable balances as of December 31, 2016 and 2015:</w:t>
      </w: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(3,743)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(387)</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 xml:space="preserve">Effective April 2016, the Company adopted Accounting Standards Update (“ASU”) No. 2015-11, </w:t>
      </w:r>
      <w:r>
        <w:rPr>
          <w:rFonts w:ascii="Times New Roman" w:cs="Times New Roman" w:eastAsia="Times New Roman" w:hAnsi="Times New Roman"/>
          <w:sz w:val="16"/>
          <w:szCs w:val="16"/>
          <w:i w:val="1"/>
          <w:iCs w:val="1"/>
          <w:color w:val="auto"/>
        </w:rPr>
        <w:t>Inventory (Topic 330)—Simplifying the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Inventory</w:t>
      </w:r>
      <w:r>
        <w:rPr>
          <w:rFonts w:ascii="Times New Roman" w:cs="Times New Roman" w:eastAsia="Times New Roman" w:hAnsi="Times New Roman"/>
          <w:sz w:val="16"/>
          <w:szCs w:val="16"/>
          <w:color w:val="auto"/>
        </w:rPr>
        <w:t>, which simplifies the subsequent measurement of inventories by replacing the lower of cost or market test with a lower of cost and net realizable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test and, as such, began to state inventories at the lower of cost or net realizable value. Such adoption had no impact on the carrying value of inventory. Cost is determined based on actual cost using the average cost method.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Property, Plant and Equipment</w:t>
      </w:r>
    </w:p>
    <w:p>
      <w:pPr>
        <w:spacing w:after="0" w:line="9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2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Lives</w:t>
            </w:r>
          </w:p>
        </w:tc>
        <w:tc>
          <w:tcPr>
            <w:tcW w:w="800" w:type="dxa"/>
            <w:vAlign w:val="bottom"/>
          </w:tcPr>
          <w:p>
            <w:pPr>
              <w:spacing w:after="0"/>
              <w:rPr>
                <w:sz w:val="14"/>
                <w:szCs w:val="14"/>
                <w:color w:val="auto"/>
              </w:rPr>
            </w:pPr>
          </w:p>
        </w:tc>
      </w:tr>
      <w:tr>
        <w:trPr>
          <w:trHeight w:val="195"/>
        </w:trPr>
        <w:tc>
          <w:tcPr>
            <w:tcW w:w="3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398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3 - 5 years</w:t>
            </w:r>
          </w:p>
        </w:tc>
        <w:tc>
          <w:tcPr>
            <w:tcW w:w="800" w:type="dxa"/>
            <w:vAlign w:val="bottom"/>
          </w:tcPr>
          <w:p>
            <w:pPr>
              <w:spacing w:after="0"/>
              <w:rPr>
                <w:sz w:val="16"/>
                <w:szCs w:val="16"/>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980" w:type="dxa"/>
            <w:vAlign w:val="bottom"/>
          </w:tcPr>
          <w:p>
            <w:pPr>
              <w:spacing w:after="0"/>
              <w:rPr>
                <w:sz w:val="18"/>
                <w:szCs w:val="18"/>
                <w:color w:val="auto"/>
              </w:rPr>
            </w:pPr>
          </w:p>
        </w:tc>
        <w:tc>
          <w:tcPr>
            <w:tcW w:w="15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rPr>
              <w:t>5 years</w:t>
            </w: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540" w:type="dxa"/>
            <w:vAlign w:val="bottom"/>
            <w:gridSpan w:val="3"/>
          </w:tcPr>
          <w:p>
            <w:pPr>
              <w:jc w:val="center"/>
              <w:ind w:left="3092"/>
              <w:spacing w:after="0"/>
              <w:rPr>
                <w:sz w:val="20"/>
                <w:szCs w:val="20"/>
                <w:color w:val="auto"/>
              </w:rPr>
            </w:pPr>
            <w:r>
              <w:rPr>
                <w:rFonts w:ascii="Times New Roman" w:cs="Times New Roman" w:eastAsia="Times New Roman" w:hAnsi="Times New Roman"/>
                <w:sz w:val="18"/>
                <w:szCs w:val="18"/>
                <w:color w:val="auto"/>
                <w:w w:val="97"/>
              </w:rPr>
              <w:t>Lesser of useful life or lease term</w:t>
            </w:r>
          </w:p>
        </w:tc>
      </w:tr>
      <w:tr>
        <w:trPr>
          <w:trHeight w:val="365"/>
        </w:trPr>
        <w:tc>
          <w:tcPr>
            <w:tcW w:w="1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5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F-12</w:t>
            </w:r>
          </w:p>
        </w:tc>
      </w:tr>
    </w:tbl>
    <w:p>
      <w:pPr>
        <w:sectPr>
          <w:pgSz w:w="11900" w:h="16838" w:orient="portrait"/>
          <w:cols w:equalWidth="0" w:num="1">
            <w:col w:w="11340"/>
          </w:cols>
          <w:pgMar w:left="240" w:top="455" w:right="31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 net</w:t>
      </w:r>
    </w:p>
    <w:p>
      <w:pPr>
        <w:spacing w:after="0" w:line="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9—Commitments and Contingencies for further information regarding other obligations related to the acquisition of Laxdale Limited.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Beneficial Conversion Features</w:t>
      </w:r>
    </w:p>
    <w:p>
      <w:pPr>
        <w:spacing w:after="0" w:line="9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The Company issued Series A preference shares in a private placement transaction executed in two tranches that each contain a conversion feature whereby such shares are convertible into ordinary shares at a fixed rate. The conversion price on the date of issuance was less than the market price of the Company’s ordinary shares. It was determined that these discounts represent contingent beneficial conversion features, which were valued based on the difference between the conversion price and the market price of the ordinary shares on the date of issuance, which is the commitment date. These features are analogous to preference dividends and were each recorded as a non-cash return to preferred shareholders through accumulated deficit upon the earliest possible date of conversion, which occurred in the three months ended June 30, 2015 upon effectiveness of the related resale Registration Statement on Form S-3 and in the three months ended September 30, 2015 upon shareholder approval received at the Company’s Annual General Meeting of Shareholders. See Note 10—Equity for further discussion.</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for Patent Litigation and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patent litigation or other legal proceedings are expensed as incurred and included in selling, general and administrative expenses.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Costs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Costs</w:t>
      </w:r>
    </w:p>
    <w:p>
      <w:pPr>
        <w:spacing w:after="0" w:line="9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Company charges selling, general and administrative costs to operations as incurred. Selling, general and administrative costs include costs of salaries, programs and infrastructure necessary for the general conduct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Company’s business, including those incurred as a result of the commercialization of Vascepa in the United States as well as co-promotion fees payable to Kowa Pharmaceuticals America, Inc.</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3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 xml:space="preserve">In April 2016, the Company adopted ASU No. 2016-09, </w:t>
      </w:r>
      <w:r>
        <w:rPr>
          <w:rFonts w:ascii="Times New Roman" w:cs="Times New Roman" w:eastAsia="Times New Roman" w:hAnsi="Times New Roman"/>
          <w:sz w:val="16"/>
          <w:szCs w:val="16"/>
          <w:i w:val="1"/>
          <w:iCs w:val="1"/>
          <w:color w:val="auto"/>
        </w:rPr>
        <w:t>Compensation—Stock Compensation (Topic 718): Improvements to Employee Share-Based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w:t>
      </w:r>
      <w:r>
        <w:rPr>
          <w:rFonts w:ascii="Times New Roman" w:cs="Times New Roman" w:eastAsia="Times New Roman" w:hAnsi="Times New Roman"/>
          <w:sz w:val="16"/>
          <w:szCs w:val="16"/>
          <w:color w:val="auto"/>
        </w:rPr>
        <w:t>which changes the accounting for certain aspects of share-based payments to employees. One aspect of the standard requires that excess tax benefits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 for income taxes for the year ended December 31, 2016 includes $0.4 million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The Company adopted the aspects of the standard affecting cash flow presentation retrospectively and, accordingly, reclassified $0.7 million of excess tax benefit and $2.3 million of excess tax provision from cash flows provided by financing activities to cash flows used in operating activities in the consolidated statement of cash flows for the years ended December 31, 2015 and 2014, respectively, to conform to the current year presentation. The presentation requirement for cash flows related to taxes paid for withheld shares had no impact to any of the periods presented in the consolidated statement of cash flows since such payments have historically been presented as a financing activity.</w:t>
      </w:r>
    </w:p>
    <w:p>
      <w:pPr>
        <w:spacing w:after="0" w:line="3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The Company is currently under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Instruments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Derivative financial liabilities are recorded at fair value, with gains and losses arising for changes in fair value recognized in the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Warrants are valued using a Black-Scholes option pricing model.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4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3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years ended December 31, 2016, 2015 and 2014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(86,350)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(115,204)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(56,364)</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purchase option (see Note 10—Equity)</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beneficial conversion features (see Note 10—Equity)</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shareholders—basic</w:t>
            </w:r>
          </w:p>
        </w:tc>
        <w:tc>
          <w:tcPr>
            <w:tcW w:w="3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(86,350)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(149,059)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(56,364)</w:t>
            </w:r>
          </w:p>
        </w:tc>
        <w:tc>
          <w:tcPr>
            <w:tcW w:w="100" w:type="dxa"/>
            <w:vAlign w:val="bottom"/>
          </w:tcPr>
          <w:p>
            <w:pPr>
              <w:spacing w:after="0"/>
              <w:rPr>
                <w:sz w:val="19"/>
                <w:szCs w:val="19"/>
                <w:color w:val="auto"/>
              </w:rPr>
            </w:pPr>
          </w:p>
        </w:tc>
      </w:tr>
      <w:tr>
        <w:trPr>
          <w:trHeight w:val="21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warrant derivative liability</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(6,775)</w:t>
            </w: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loss—diluted</w:t>
            </w:r>
          </w:p>
        </w:tc>
        <w:tc>
          <w:tcPr>
            <w:tcW w:w="3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(86,350)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(149,059)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(63,139)</w:t>
            </w:r>
          </w:p>
        </w:tc>
        <w:tc>
          <w:tcPr>
            <w:tcW w:w="100" w:type="dxa"/>
            <w:vAlign w:val="bottom"/>
          </w:tcPr>
          <w:p>
            <w:pPr>
              <w:spacing w:after="0"/>
              <w:rPr>
                <w:sz w:val="19"/>
                <w:szCs w:val="19"/>
                <w:color w:val="auto"/>
              </w:rPr>
            </w:pPr>
          </w:p>
        </w:tc>
      </w:tr>
      <w:tr>
        <w:trPr>
          <w:trHeight w:val="21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211,874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180,654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173,719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warrants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211,874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173,824</w:t>
            </w:r>
          </w:p>
        </w:tc>
        <w:tc>
          <w:tcPr>
            <w:tcW w:w="100" w:type="dxa"/>
            <w:vAlign w:val="bottom"/>
          </w:tcPr>
          <w:p>
            <w:pPr>
              <w:spacing w:after="0"/>
              <w:rPr>
                <w:sz w:val="19"/>
                <w:szCs w:val="19"/>
                <w:color w:val="auto"/>
              </w:rPr>
            </w:pPr>
          </w:p>
        </w:tc>
      </w:tr>
      <w:tr>
        <w:trPr>
          <w:trHeight w:val="21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share—diluted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363"/>
        </w:trPr>
        <w:tc>
          <w:tcPr>
            <w:tcW w:w="5200" w:type="dxa"/>
            <w:vAlign w:val="bottom"/>
          </w:tcPr>
          <w:p>
            <w:pPr>
              <w:spacing w:after="0"/>
              <w:rPr>
                <w:sz w:val="24"/>
                <w:szCs w:val="24"/>
                <w:color w:val="auto"/>
              </w:rPr>
            </w:pPr>
          </w:p>
        </w:tc>
        <w:tc>
          <w:tcPr>
            <w:tcW w:w="3240" w:type="dxa"/>
            <w:vAlign w:val="bottom"/>
            <w:gridSpan w:val="2"/>
          </w:tcPr>
          <w:p>
            <w:pPr>
              <w:jc w:val="right"/>
              <w:ind w:right="2478"/>
              <w:spacing w:after="0"/>
              <w:rPr>
                <w:sz w:val="20"/>
                <w:szCs w:val="20"/>
                <w:color w:val="auto"/>
              </w:rPr>
            </w:pPr>
            <w:r>
              <w:rPr>
                <w:rFonts w:ascii="Times New Roman" w:cs="Times New Roman" w:eastAsia="Times New Roman" w:hAnsi="Times New Roman"/>
                <w:sz w:val="18"/>
                <w:szCs w:val="18"/>
                <w:color w:val="auto"/>
              </w:rPr>
              <w:t>F-15</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2016, 2015 and 2014, the following potentially dilutive securities were not included in the computation of net loss per share because the effect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senior notes (if converted)</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60" w:type="dxa"/>
            <w:vAlign w:val="bottom"/>
            <w:shd w:val="clear" w:color="auto" w:fill="CCEEFF"/>
          </w:tcPr>
          <w:p>
            <w:pPr>
              <w:spacing w:after="0"/>
              <w:rPr>
                <w:sz w:val="18"/>
                <w:szCs w:val="18"/>
                <w:color w:val="auto"/>
              </w:rPr>
            </w:pPr>
          </w:p>
        </w:tc>
      </w:tr>
      <w:tr>
        <w:trPr>
          <w:trHeight w:val="228"/>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(if converted)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32,818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18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9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Debt instruments are initially recorded at fair value, with coupon interest and amortization of debt issuance discounts recognized in the consolidated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the 2012 Notes, and previously the 2014 Notes and 2015 Notes prior to the mandatory exchange, qualify for the exception from derivative accounting in accordance with ASC</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815-40. The 2012 Notes may be put to the Company by their holders for repurchase in cash. The 2012 Notes are exchangeable under certain circumstances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fully amortized over the expected term of the instrument. The conversion features in the 2014 Notes and 2015 Notes could only have been settled in ADSs upon conversion and were therefore accounted for as part of the debt host.</w:t>
      </w:r>
    </w:p>
    <w:p>
      <w:pPr>
        <w:spacing w:after="0" w:line="1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conversion feature in the 2012 Notes, continues to be evaluated on a quarterly basis to determine if it still receives an exception from derivative accounting in accordance with ASC 815-40. The 2014 Notes were recognized initially at fair value as part of an extinguishment of a portion of the 2012 Notes. As a result, the 2014 Notes were initially recognized at a discount of $27.9 million. The 2015 Notes were recognized initially at fair value as part of the issuance of new debt in November 2015. As a result, the 2015 Notes were initially recognized at a discount of $3.8 million. These discounts were amortized through interest expense through the date of the mandatory exchange. See Note 8—Debt for further discussion.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years ending December 31, 2016 and 2015, and represented 96% and 95% of the gross accounts receivable balance as of December 31, 2016 and 2015, respectively. The Company has not experienced any write-offs of its accounts receivable.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9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 in particular three suppliers of API for Vascepa.</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in a timely fashion, if needed, could have a material adverse effect on its business, condition (financial and other), prospects or results of operations.</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Certain amounts payable pursuant to supply contracts are denominated in currencies other than the U.S. dollar.</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Issuance Costs</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Prior to January 2016, debt issuance costs were initially recorded as a deferred cost and amortized to interest expense using the effective interest method over the expected term of the related debt. Effective January 2016, the Company adopted ASU No. 2015-03, </w:t>
      </w:r>
      <w:r>
        <w:rPr>
          <w:rFonts w:ascii="Times New Roman" w:cs="Times New Roman" w:eastAsia="Times New Roman" w:hAnsi="Times New Roman"/>
          <w:sz w:val="18"/>
          <w:szCs w:val="18"/>
          <w:i w:val="1"/>
          <w:iCs w:val="1"/>
          <w:color w:val="auto"/>
        </w:rPr>
        <w:t>Interest—Imputation of Interest (Subtopic 835-30):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and as such began recording debt issuance costs related to a recognized debt liability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as a direct deduction from the carrying amount of that debt liability and amortized to interest expense using the effective interest method over the expected term of the related debt. As the standard is required to be adopted on a retrospective basis, the Company reclassified $1.9 million of underwriters’ fees and offering costs related to the 2014 Notes and 2015 Notes from other long-term assets to exchangeable senior notes, net of discount, within the consolidated balance sheet as of December 31, 2015. Unamortized debt issuance costs related to the extinguishment of debt are expensed at the time the debt is extinguished and recorded in other (expense) income, net, in the consolidated statements of operations.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2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as of December 31, 2016 and 2015 that are measured at fair value on a recurring basis and indicate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9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14,238</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14,238</w:t>
            </w:r>
          </w:p>
        </w:tc>
        <w:tc>
          <w:tcPr>
            <w:tcW w:w="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14,184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14,184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derivative liabilities</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$ 8,170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carrying amounts of cash, cash equivalents, accounts payable and accrued liabilities approximate fair value because of their short-term nature. The carrying amounts and the estimated fair values of debt instruments as of December 31, 2016 and 2015 are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2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25"/>
        </w:trPr>
        <w:tc>
          <w:tcPr>
            <w:tcW w:w="6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5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3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65"/>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$85,155</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$ 90,500</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$91,512</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$ 87,700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2012 Notes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5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15,174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13,637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Notes</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96,364</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108,034</w:t>
            </w:r>
          </w:p>
        </w:tc>
      </w:tr>
      <w:tr>
        <w:trPr>
          <w:trHeight w:val="22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2015 Notes</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28,448</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fair value of the long-term debt from royalty-bearing instrument pursuant to the December 2012 financing is calculated utilizing the same Level 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utilized in valuing the related derivative liability (see Long-Term Debt Redemption Features below). The estimated fair value of the 2012 Notes and 2014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is calculated based on Level 1 quoted bond prices, while the estimated fair value of the 2015 Notes is calculated based on Level 2 quoted bond prices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2014 Notes. The carrying value of the 2012 Notes as of December 31, 2016 and 2015 does not include a debt discount, as it had been fully amortized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non-cash interest expense over the expected term of the 2012 Notes, which was calculated to be a period of twenty-four months. The carrying value of the 2014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as of December 31, 2015 includes a debt discount of $24.1 million, which prior to mandatory exchange was being amortized as non-cash interest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expected term of the 2014 Notes, through January 2019. The carrying value of the 2015 Notes as of December 31, 2015 includes a debt discount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 million, which prior to mandatory exchange was being amortized as non-cash interest expense over the expected term of the 2015 Notes, through January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2019. The carrying values and related debt discounts of the 2014 Notes and 2015 Notes as of December 31, 2015 reflect the retroactive reclassification of debt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costs per adoption of ASU No. 2015-03 as described in Note 8—Debt. The change in the estimated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fair values of these liabilities from December 31, 2015 to December 31, 2016 is largely related to changes in the quoted bond prices and derecognition of the mandatorily exchanged debt.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Liabilities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Warrant Derivative Liability</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warrant derivative liability (discussed in Note 7—Warrants and Warrant Derivative Liability) was carried at fair value and was classified as Level 3 in the fair value hierarchy due to the use of significant unobservable inputs. During the year ended December 31, 2015 of the 8,087,388 warrants outstanding as of December 31, 2014, 1,844,585 warrants were exercised while the remaining 6,242,803 warrants expired and the related derivative liability was extinguished. As such, no warrants were outstanding as of December 31, 2016.</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Redemption Features</w:t>
      </w:r>
    </w:p>
    <w:p>
      <w:pPr>
        <w:spacing w:after="0" w:line="9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color w:val="auto"/>
        </w:rPr>
        <w:t>The Company’s December 2012 financing agreement with BioPharma Secured Debt Fund II Holdings Cayman LP (discussed in Note 8—Debt)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As of December 31, 2016, the fair value of the derivative was determined to be nil based on current assumptions, and the debt was valued by comparing debt issues of similar companies with</w:t>
      </w:r>
    </w:p>
    <w:p>
      <w:pPr>
        <w:spacing w:after="0" w:line="1" w:lineRule="exact"/>
        <w:rPr>
          <w:sz w:val="20"/>
          <w:szCs w:val="20"/>
          <w:color w:val="auto"/>
        </w:rPr>
      </w:pPr>
    </w:p>
    <w:p>
      <w:pPr>
        <w:ind w:right="200" w:firstLine="8"/>
        <w:spacing w:after="0" w:line="254" w:lineRule="auto"/>
        <w:tabs>
          <w:tab w:leader="none" w:pos="2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terms of between 2.4 and 5.0 years, (ii) coupon rates of between 8.1% and 11.1% and (iii) market yields of between 11.9% and 18.4%. As of December 31, 2015, the fair value of the derivative was determined to be $5.5 million, and the debt was valued by comparing debt issues of similar companies with (i) remaining terms of between 2.0 and 7.3 years, (ii) coupon rates of between 6.6% and 12.5% and (iii) market yields of between 13.0% and 30.7%. As such, the Company recognized a $5.5 million gain on change in fair value of derivative liability for the year ended December 31, 2016.</w:t>
      </w:r>
    </w:p>
    <w:p>
      <w:pPr>
        <w:spacing w:after="0" w:line="13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 Company’s 2014 Notes and 2015 Notes each contained a redemption feature whereby, upon occurrence of a change in control, the Company would have been required to repurchase the notes. The Company determined these redemption features to be embedded derivatives, requiring bifurcation in accordance with ASC 815. The derivatives were carried at fair value and were classified as Level 3 in the fair value hierarchy due to the use of significant unobservable inputs. The fair value of each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2016, derivatives related to the 2014 Notes and 2015 Notes were each derecognized, as the related debt hosts were exchanged into equity in September 2016. As of December 31, 2015, the fair values of the derivatives related to the 2014 Notes and 2015 Notes were determined to be $2.1 million and $0.6 million, respectively, and the debts were valued by using (i) the estimated remaining term of the notes, (ii) a bond yield of 25.6%, (iii) a risk-free interest rate of 2.9% and (iv) volatility of 89.0%. As such, the Company recognized a gain on change in fair value of derivative liability for the 2014 Notes and 2015 Notes of $2.1 million and $0.6 million, respectively, for the year ended December 31, 2016.</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Purchase Option Derivative Liability</w:t>
      </w:r>
    </w:p>
    <w:p>
      <w:pPr>
        <w:spacing w:after="0" w:line="9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Pursuant to a pre-existing contractual right to participate in certain private placement transactions effected by the Company in connection with the subscription agreement executed on March 5, 2015, the Company determined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60"/>
          </w:cols>
          <w:pgMar w:left="240" w:top="455" w:right="2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that such right represented a derivative liability (see Note 10—Equity).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3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of derivative liabilities for the years ended December 31, 2016 and 2015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October</w:t>
            </w:r>
          </w:p>
        </w:tc>
        <w:tc>
          <w:tcPr>
            <w:tcW w:w="120" w:type="dxa"/>
            <w:vAlign w:val="bottom"/>
          </w:tcPr>
          <w:p>
            <w:pPr>
              <w:spacing w:after="0"/>
              <w:rPr>
                <w:sz w:val="13"/>
                <w:szCs w:val="13"/>
                <w:color w:val="auto"/>
              </w:rPr>
            </w:pPr>
          </w:p>
        </w:tc>
        <w:tc>
          <w:tcPr>
            <w:tcW w:w="15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5"/>
              </w:rPr>
              <w:t>Long-Term</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74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Derivative</w:t>
            </w:r>
          </w:p>
        </w:tc>
        <w:tc>
          <w:tcPr>
            <w:tcW w:w="17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4"/>
                <w:szCs w:val="14"/>
                <w:color w:val="auto"/>
              </w:rPr>
            </w:pPr>
          </w:p>
        </w:tc>
        <w:tc>
          <w:tcPr>
            <w:tcW w:w="15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Option</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2015</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7,400</w:t>
            </w: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Record initial fair value of derivative liability</w:t>
            </w:r>
          </w:p>
        </w:tc>
        <w:tc>
          <w:tcPr>
            <w:tcW w:w="120" w:type="dxa"/>
            <w:vAlign w:val="bottom"/>
          </w:tcPr>
          <w:p>
            <w:pPr>
              <w:spacing w:after="0"/>
              <w:rPr>
                <w:sz w:val="18"/>
                <w:szCs w:val="18"/>
                <w:color w:val="auto"/>
              </w:rPr>
            </w:pPr>
          </w:p>
        </w:tc>
        <w:tc>
          <w:tcPr>
            <w:tcW w:w="1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r>
      <w:tr>
        <w:trPr>
          <w:trHeight w:val="202"/>
        </w:trPr>
        <w:tc>
          <w:tcPr>
            <w:tcW w:w="6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Compensation income for change in fair value of warrants issued to former</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8"/>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derivative liability to equity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(1,814)</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8,170</w:t>
            </w: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8,170</w:t>
            </w:r>
          </w:p>
        </w:tc>
        <w:tc>
          <w:tcPr>
            <w:tcW w:w="10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derivative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(8,170)</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(8,170)</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2016</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9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January 2016, the Company adopted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which provides guidance on simplifying the presentation of debt issuance costs on the balance sheet. To simplify presentation of debt issuance costs,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ASU No. 2015-03 require that debt issuance costs related to a recognized debt liability be presented in the balance sheet as a direct deduction from the carrying amount of that debt liability, consistent with the treatment of debt discounts. The recognition and measurement guidance for debt issuance costs are not affected by the amendments in this update. In accordance with ASU No. 2015-03, the Company applied the new guidance on a retrospective basis, wherein the consolidated balance sheet of each individual period presented was adjusted to reflect the period-specific effects of applying the new guidance. See Note 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Debt.</w:t>
      </w:r>
    </w:p>
    <w:p>
      <w:pPr>
        <w:spacing w:after="0" w:line="135"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 xml:space="preserve">In April 2016, the Company adopted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which simplifies the subsequent measurement of inventories by replacing the lower of cost or market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test with a lower of cost or net realizable value test. When evidence exists that the net realizable value of inventory is less than its cost (due to damage, physical deterioration, obsolescence, changes in price levels or other causes), the Company will recognize the difference as a component of cost of goods sold in the period in which it occurs. In accordance with ASU No. 2015-11, the Company applied the new guidance on a prospective basis with no impact on the carrying amount of inventory.</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color w:val="auto"/>
        </w:rPr>
        <w:t xml:space="preserve">Also in April 2016, the Company adopted ASU No. 2016-09, </w:t>
      </w:r>
      <w:r>
        <w:rPr>
          <w:rFonts w:ascii="Times New Roman" w:cs="Times New Roman" w:eastAsia="Times New Roman" w:hAnsi="Times New Roman"/>
          <w:sz w:val="16"/>
          <w:szCs w:val="16"/>
          <w:i w:val="1"/>
          <w:iCs w:val="1"/>
          <w:color w:val="auto"/>
        </w:rPr>
        <w:t>Compensation—Stock Compensation (Topic 718): Improvements to Employee Share-Based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Payment Accounting, </w:t>
      </w:r>
      <w:r>
        <w:rPr>
          <w:rFonts w:ascii="Times New Roman" w:cs="Times New Roman" w:eastAsia="Times New Roman" w:hAnsi="Times New Roman"/>
          <w:sz w:val="16"/>
          <w:szCs w:val="16"/>
          <w:color w:val="auto"/>
        </w:rPr>
        <w:t>which changes the accounting for certain aspects of share-based payments to employees. One aspect of the standard requires that excess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 for income taxes for the year ended December 31, 2016 includes $0.4 million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The Company adopted the aspects of the standard affecting cash flow presentation retrospectively and, accordingly, reclassified $0.7 million of excess tax benefit and $2.3 million of excess tax provision from cash flows provided by financing activities to cash flows used in operating activities in the consolidated statement of cash flows as of December 31, 2015 and 2014, respectively, to conform to the current year presentation. The presentation requirement for cash flows related to taxes paid for withheld shares had no impact to any of the periods presented in the consolidated statement of cash flows since such payments have historically been presented as a financing activity.</w:t>
      </w:r>
    </w:p>
    <w:p>
      <w:pPr>
        <w:spacing w:after="0" w:line="3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December 2016, the Company adopted ASU No. 2014-15, </w:t>
      </w:r>
      <w:r>
        <w:rPr>
          <w:rFonts w:ascii="Times New Roman" w:cs="Times New Roman" w:eastAsia="Times New Roman" w:hAnsi="Times New Roman"/>
          <w:sz w:val="18"/>
          <w:szCs w:val="18"/>
          <w:i w:val="1"/>
          <w:iCs w:val="1"/>
          <w:color w:val="auto"/>
        </w:rPr>
        <w:t>Presentation of Financial Statements—Going Concern (Subtopic 205-40):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w:t>
      </w:r>
      <w:r>
        <w:rPr>
          <w:rFonts w:ascii="Times New Roman" w:cs="Times New Roman" w:eastAsia="Times New Roman" w:hAnsi="Times New Roman"/>
          <w:sz w:val="18"/>
          <w:szCs w:val="18"/>
          <w:color w:val="auto"/>
        </w:rPr>
        <w:t>. ASU No. 2014-15 requires management to assess an entity’s ability to continue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The Company believes that its cash and cash equivalents will be sufficient to fund its projected operations through the results of the REDUCE-IT study, which it anticipates will be available mid-2018.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considered the following recent accounting pronouncements which were not yet adopted as of December 31, 2016:</w:t>
      </w:r>
    </w:p>
    <w:p>
      <w:pPr>
        <w:spacing w:after="0" w:line="171" w:lineRule="exact"/>
        <w:rPr>
          <w:sz w:val="20"/>
          <w:szCs w:val="20"/>
          <w:color w:val="auto"/>
        </w:rPr>
      </w:pPr>
    </w:p>
    <w:p>
      <w:pPr>
        <w:jc w:val="both"/>
        <w:ind w:right="460"/>
        <w:spacing w:after="0" w:line="256"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replace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flows arising from customer contracts, including disclosures on significant judgments made when applying the guidance. 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 (i) 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substantially completed an initial impact assessment of the potential changes from adopting ASU No. 2014-09. The impact assessment consisted of a review of a representative sample of contracts, discussions with key stakeholders, and a cataloging of potential impacts on its financial statements, accounting policies, financial control, and operations. The Company anticipates that the adoption of ASU No. 2014-09 will not have a material impact on product revenue from distributors and may have an impact on contract revenues generated by its license agreements:</w:t>
      </w:r>
    </w:p>
    <w:p>
      <w:pPr>
        <w:spacing w:after="0" w:line="55" w:lineRule="exact"/>
        <w:rPr>
          <w:sz w:val="20"/>
          <w:szCs w:val="20"/>
          <w:color w:val="auto"/>
        </w:rPr>
      </w:pPr>
    </w:p>
    <w:p>
      <w:pPr>
        <w:ind w:left="900" w:right="40" w:hanging="446"/>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point in time under the new guidance.</w:t>
      </w:r>
    </w:p>
    <w:p>
      <w:pPr>
        <w:spacing w:after="0" w:line="51" w:lineRule="exact"/>
        <w:rPr>
          <w:rFonts w:ascii="Times New Roman" w:cs="Times New Roman" w:eastAsia="Times New Roman" w:hAnsi="Times New Roman"/>
          <w:sz w:val="18"/>
          <w:szCs w:val="18"/>
          <w:color w:val="auto"/>
        </w:rPr>
      </w:pPr>
    </w:p>
    <w:p>
      <w:pPr>
        <w:ind w:left="900" w:right="240" w:hanging="446"/>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of milestone payments, which are linked to events that are in the Company’s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32" w:lineRule="exact"/>
        <w:rPr>
          <w:sz w:val="20"/>
          <w:szCs w:val="20"/>
          <w:color w:val="auto"/>
        </w:rPr>
      </w:pPr>
    </w:p>
    <w:p>
      <w:pPr>
        <w:ind w:right="540"/>
        <w:spacing w:after="0" w:line="310" w:lineRule="auto"/>
        <w:rPr>
          <w:sz w:val="20"/>
          <w:szCs w:val="20"/>
          <w:color w:val="auto"/>
        </w:rPr>
      </w:pPr>
      <w:r>
        <w:rPr>
          <w:rFonts w:ascii="Times New Roman" w:cs="Times New Roman" w:eastAsia="Times New Roman" w:hAnsi="Times New Roman"/>
          <w:sz w:val="16"/>
          <w:szCs w:val="16"/>
          <w:color w:val="auto"/>
        </w:rPr>
        <w:t>The Company has not yet completed its final review of the impact of this guidance; however, the Company anticipates applying the modified retrospective method when implementing this guidance. The Company plans to adopt the new standard effective January 1, 2018. The Company continues to monitor additional changes, modifications, clarifications or interpretations being undertaken by the FASB, which may impact its current conclusions.</w:t>
      </w:r>
    </w:p>
    <w:p>
      <w:pPr>
        <w:spacing w:after="0" w:line="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 The new guidance is intended to improve the recognition and measurement of financial instruments by requiring separate presentation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46" w:lineRule="exact"/>
        <w:rPr>
          <w:sz w:val="20"/>
          <w:szCs w:val="20"/>
          <w:color w:val="auto"/>
        </w:rPr>
      </w:pPr>
    </w:p>
    <w:p>
      <w:pPr>
        <w:jc w:val="both"/>
        <w:ind w:right="320"/>
        <w:spacing w:after="0" w:line="26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Gross versus Net)</w:t>
      </w:r>
      <w:r>
        <w:rPr>
          <w:rFonts w:ascii="Times New Roman" w:cs="Times New Roman" w:eastAsia="Times New Roman" w:hAnsi="Times New Roman"/>
          <w:sz w:val="18"/>
          <w:szCs w:val="18"/>
          <w:color w:val="auto"/>
        </w:rPr>
        <w:t>, which clarifies that an entity is a principal when it controls the specified good or service before that good or service is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w:t>
      </w:r>
      <w:r>
        <w:rPr>
          <w:rFonts w:ascii="Times New Roman" w:cs="Times New Roman" w:eastAsia="Times New Roman" w:hAnsi="Times New Roman"/>
          <w:sz w:val="18"/>
          <w:szCs w:val="18"/>
          <w:i w:val="1"/>
          <w:iCs w:val="1"/>
          <w:color w:val="auto"/>
        </w:rPr>
        <w:t>, Revenue from Contracts with Customers (Topic 606): Identifying Performance Obligations and Licensing,</w:t>
      </w:r>
      <w:r>
        <w:rPr>
          <w:rFonts w:ascii="Times New Roman" w:cs="Times New Roman" w:eastAsia="Times New Roman" w:hAnsi="Times New Roman"/>
          <w:sz w:val="18"/>
          <w:szCs w:val="18"/>
          <w:color w:val="auto"/>
        </w:rPr>
        <w:t xml:space="preserve"> which clarifies the following two aspects of Topic 606: (a) identifying performance obligations; and (b) the licensing implementation guidance. Further, in May 2016, the FASB issued ASU No. 2016-12, </w:t>
      </w:r>
      <w:r>
        <w:rPr>
          <w:rFonts w:ascii="Times New Roman" w:cs="Times New Roman" w:eastAsia="Times New Roman" w:hAnsi="Times New Roman"/>
          <w:sz w:val="18"/>
          <w:szCs w:val="18"/>
          <w:i w:val="1"/>
          <w:iCs w:val="1"/>
          <w:color w:val="auto"/>
        </w:rPr>
        <w:t xml:space="preserve">Revenue from Contracts with Customers (Topic 606): Narrow-Scope Improvements and Practical Expedients, </w:t>
      </w:r>
      <w:r>
        <w:rPr>
          <w:rFonts w:ascii="Times New Roman" w:cs="Times New Roman" w:eastAsia="Times New Roman" w:hAnsi="Times New Roman"/>
          <w:sz w:val="18"/>
          <w:szCs w:val="18"/>
          <w:color w:val="auto"/>
        </w:rPr>
        <w:t>which provides clarifying guidance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narrow areas and adds some practical expedients. The amendments do not change the core principles of the guidance in Topic 606 and are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these standards and cannot currently estimate the financial statement impact of adoption.</w:t>
      </w:r>
    </w:p>
    <w:p>
      <w:pPr>
        <w:spacing w:after="0" w:line="13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 August 2016, the FASB issued ASU No. 2016-15, </w:t>
      </w:r>
      <w:r>
        <w:rPr>
          <w:rFonts w:ascii="Times New Roman" w:cs="Times New Roman" w:eastAsia="Times New Roman" w:hAnsi="Times New Roman"/>
          <w:sz w:val="16"/>
          <w:szCs w:val="16"/>
          <w:i w:val="1"/>
          <w:iCs w:val="1"/>
          <w:color w:val="auto"/>
        </w:rPr>
        <w:t>Statement of Cash Flows (Topic 230): Classification of Certain Cash Receipts and Cash Payments</w:t>
      </w:r>
      <w:r>
        <w:rPr>
          <w:rFonts w:ascii="Times New Roman" w:cs="Times New Roman" w:eastAsia="Times New Roman" w:hAnsi="Times New Roman"/>
          <w:sz w:val="16"/>
          <w:szCs w:val="16"/>
          <w:color w:val="auto"/>
        </w:rPr>
        <w:t>, which is intended to reduce diversity in practice regarding how certain cash receipts and cash payments are presented and classified in the statement of cash flows. Specifically, it addresses the following eight issues: debt prepayment or debt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investments; beneficial interests in securitization transactions; and separately identifiable cash flows and application of the predominance principle. The new guidance is effective for fiscal years beginning after December 15, 2017, including interim periods within those fiscal years. Early adoption is permitted. The Company has evaluated the accounting, transition and disclosure requirements of the standard and does not expect it to have a material impact on the Company’s consolidated financial statements.</w:t>
      </w:r>
    </w:p>
    <w:p>
      <w:pPr>
        <w:spacing w:after="0" w:line="1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99"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Intangible assets consist of the historical acquisition cost of certain technology rights for Vascepa and have an estimated remaining useful life of 13.6 years. The carrying value as of December 31, 2016 is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2"/>
              </w:rPr>
              <w:t>Weighted Average</w:t>
            </w:r>
          </w:p>
        </w:tc>
      </w:tr>
      <w:tr>
        <w:trPr>
          <w:trHeight w:val="149"/>
        </w:trPr>
        <w:tc>
          <w:tcPr>
            <w:tcW w:w="3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Useful</w:t>
            </w:r>
          </w:p>
        </w:tc>
      </w:tr>
      <w:tr>
        <w:trPr>
          <w:trHeight w:val="165"/>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20" w:type="dxa"/>
            <w:vAlign w:val="bottom"/>
          </w:tcPr>
          <w:p>
            <w:pPr>
              <w:spacing w:after="0"/>
              <w:rPr>
                <w:sz w:val="14"/>
                <w:szCs w:val="14"/>
                <w:color w:val="auto"/>
              </w:rPr>
            </w:pPr>
          </w:p>
        </w:tc>
        <w:tc>
          <w:tcPr>
            <w:tcW w:w="13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Life (in years)</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11,624</w:t>
            </w:r>
          </w:p>
        </w:tc>
        <w:tc>
          <w:tcPr>
            <w:tcW w:w="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(2,852</w:t>
            </w:r>
          </w:p>
        </w:tc>
        <w:tc>
          <w:tcPr>
            <w:tcW w:w="760" w:type="dxa"/>
            <w:vAlign w:val="bottom"/>
            <w:tcBorders>
              <w:top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8,772</w:t>
            </w:r>
          </w:p>
        </w:tc>
        <w:tc>
          <w:tcPr>
            <w:tcW w:w="8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3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F-23</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Amortization expense for each of the years ended December 31, 2016 and 2015 was $0.6 million and is included in research and development expense. Estimated future amortization expense, based upon the Company’s intangible assets as of December 31, 2016 is as follows:</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16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540" w:type="dxa"/>
            <w:vAlign w:val="bottom"/>
          </w:tcPr>
          <w:p>
            <w:pPr>
              <w:spacing w:after="0"/>
              <w:rPr>
                <w:sz w:val="14"/>
                <w:szCs w:val="14"/>
                <w:color w:val="auto"/>
              </w:rPr>
            </w:pPr>
          </w:p>
        </w:tc>
        <w:tc>
          <w:tcPr>
            <w:tcW w:w="5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5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5,542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gridSpan w:val="2"/>
            <w:shd w:val="clear" w:color="auto" w:fill="CCEEFF"/>
          </w:tcPr>
          <w:p>
            <w:pPr>
              <w:ind w:left="55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8,772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FDA. Inventories as of December 31, 2016 and 2015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inventory</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20,507</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Property, plant and equipment as of December 31, 2016 and 2015 consist of the following:</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each of the years ended December 31, 2016, 2015, and 2014 was $0.1 million, $0.2 million and $0.2 million, respectively.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00"/>
          </w:cols>
          <w:pgMar w:left="240" w:top="455" w:right="2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Accrued Expenses and Other Current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2016 and 2015:</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accruals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revenue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22,195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10,732</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4,284</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37,720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24,226</w:t>
            </w:r>
          </w:p>
        </w:tc>
        <w:tc>
          <w:tcPr>
            <w:tcW w:w="6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Warrants and Warrant Derivative Liability</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(one half)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(one half) of an ADS at an exercise price of $1.50 per ADS. The total number of warrants issued in conjunction with the financing was 35.2 million.</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were not considered to be indexed to the Company’s common stock. Accordingly, the warrants did not qualify for the exception to classify the warrants within equity and were classified as a derivative liability.</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 of this warrant derivative liability was remeasured at each reporting period, with changes in fair value recognized in the consolidated statement of operations. Upon exercise, the fair value of the warrants exercised was remeasured and reclassified from warrant derivative liability to additional paid-in-capital. Although the warrants contained a pricing variability feature, the number of warrants issuable remained fixed. Therefore, the maximum number of common shares issuable as a result of the October 2009 private placement was 36.1 million.</w:t>
      </w:r>
    </w:p>
    <w:p>
      <w:pPr>
        <w:spacing w:after="0" w:line="13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October 2014, the Company and the holders of the remaining October 2009 warrants mutually agreed to extend the expiration date of such warrants from October 16, 2014 to February 27, 2015. Of the 8,087,388 warrants outstanding as of December 31, 2014, 1,844,585 warrants were exercised, resulting in net proceeds to the Company of $2.7 million, and the remaining 6,242,803 warrants expired and the related derivative liability was extinguished. As such, no warrants were outstanding as of December 31, 2016.</w:t>
      </w:r>
    </w:p>
    <w:p>
      <w:pPr>
        <w:spacing w:after="0" w:line="215"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from Royalty-Bearing Instrument—December 2012 Financing</w:t>
      </w:r>
    </w:p>
    <w:p>
      <w:pPr>
        <w:spacing w:after="0" w:line="92"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On December 6, 2012, the Company entered into an agreement with BioPharma Secured Debt Fund II Holdings Cayman LP, or BioPharma. Under this agreement, the Company granted to BioPharma a security interest in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80"/>
          </w:cols>
          <w:pgMar w:left="240" w:top="455" w:right="2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$150.0 million with such repayment based on a portion of revenues and receivables generated from Vascepa.</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2016, the remaining amount to be repaid to BioPharma is $125.6 million. During the year ended December 31, 2016, the Company made repayments under the agreement of $11.7 million to BioPharma and an additional $3.8 million is scheduled to be paid in February 2017 for the fourth quarter of 2016. These payments were calculated based on the threshold limitation, as described below, as opposed to the scheduled quarterly repayments. Additional quarterly repayments, subject to the threshold limitation, are scheduled to be paid.</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final maximum contractual quarterly amount which could be due for payment, except upon a change of control and subject to the threshold limitation, is $13.0 million scheduled for payment in May 2017. All such payments reduce the remainder of the $150.0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a $5.5 million gain on change in fair value of derivative liability during the year ended December 31, 2016, as compared to a $0.7 million loss on change in fair value of derivative liability during the year ended December 31, 2015</w:t>
      </w:r>
    </w:p>
    <w:p>
      <w:pPr>
        <w:spacing w:after="0" w:line="13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As of December 31, 2016 and 2015, the carrying value of the BioPharma debt, net of the unamortized debt discount and issuance costs, was $93.6 million and $91.5 million, respectively. During the year ended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80"/>
          </w:cols>
          <w:pgMar w:left="240" w:top="455" w:right="2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December 31, 2016, the Company recorded cash and non-cash interest expense of $6.7 million and $2.1 million, respectively, in connection with the BioPharma debt. During the year ended December 31, 2015, the Company recorded $6.6 million and $1.9 million of cash and non-cash interest expense, respectively, in connection with BioPharma debt. The Company will periodically evaluate the remaining term of the agreement and the effective interest rate is recalculated each period based on the Company’s most current estimate of repayment.</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3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2012 Exchangeable Senior Notes</w:t>
      </w:r>
    </w:p>
    <w:p>
      <w:pPr>
        <w:spacing w:after="0" w:line="92"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In January 2012, the Company issued $150.0 million in principal amount of 3.5% Exchangeable Senior Notes due 2032 (the “2012 Notes”), a portion of which was subsequently exchanged and a portion of which was extinguished (see discussion of May 2014 and November 2015 Exchangeable Senior Notes below), such that $15.1 million in principal amount remains outstanding as of December 31, 2016. In January 2017, holders of the 2012 Notes exercised their option to put the 2012 Notes to the Company. As a result, the Company repurchased approximately $15.0 million in aggregate principal amount of 2012 Notes, such that</w:t>
      </w:r>
    </w:p>
    <w:p>
      <w:pPr>
        <w:spacing w:after="0" w:line="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$0.1 million in principal amount of 2012 Notes currently remains outstanding. Also in January 2017, in contemplation of this surrender of 2012 Notes for repurchase, the Company and its wholly owned subsidiary, Corsicanto II Designated Activity Company (“Corsicanto II”) entered into separate, privately negotiated purchase agreements with certain investors pursuant to which Corsicanto II issued and sold $30.0 million in aggregate principal amount of 3.5% Exchangeable Senior Notes due 2047 (the “2017 Notes”). The Company has initiated the process to redeem the remaining $0.1 million of 2012 Notes, which is expected to be completed in the first quarter of 2017. See Note 18—Subsequent Events for further discussion of the issuance of the 2017 Notes.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3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The 2012 Notes have a stated interest rate of 3.5% per year, payable semiannually in arrears on January 15 and July 15 of each year beginning on July 15, 2012, and ending upon the 2012 Notes’ maturity on January 15, 2032. The 2012 Notes are subject to repurchase in cash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1,714,270 ADSs. Based on the closing price of the Company’s stock as of December 31, 2016, the principal amount of the 2012 Notes would exceed the value of the shares if converted on that date by $9.8 million.</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maintain the listing of the 2012 Notes on the Global Exchange Market operated under the supervision of the Irish Stock Exchange (or other recognized stock exchange as defined in the 2012 Notes indenture). If the 2012 Notes are not freely tradable, as a result of restrictions pursuant to U.S. securities law or the terms of the 2012 Notes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4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both December 31, 2016 and 2015, the discount created from the allocation of the proceeds to the conversion option was fully amortized and the carrying amount of the conversion option was $11.5 million. The conversion option will not be subsequently remeasured as long as it continues to meet the criteria for equity classification.</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both December 31, 2016 and 2015, the debt discount was fully amortized and the carrying value of the 2012 Notes was $15.1 million after an exchange and repayment of a portion of the 2012 Notes (see below for further discussion of the May 2014 Notes and November 2015 Notes). The outstanding 2012 Notes may be put to the Company (at the holders’ option, upon fundamental change or an event of default), or converted by holders and the holders have the option to put the 2012 Notes back to the Company on each of January 19, 2017, 2022 and 2027 for cash equal to 100% of the principal amount plus accrued and unpaid interest. As a result, the carrying value of the 2012 Notes of $15.1 million is classified as a current liability as of December 31, 2016. During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00"/>
          </w:cols>
          <w:pgMar w:left="240" w:top="455" w:right="2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years ended December 31, 2016 and 2015, the Company recognized contractual coupon interest expense of $0.5 million and $1.0 million, respectively, related to the 2012 Notes. The Company made the contractual interest payments due on the 2012 Notes during the years ended December 31, 2016 and 2015 of $0.5 million and $1.3 million, respectively, and had accrued interest of $0.2 million and $0.3 million as of December 31, 2016 and 2015, respectively, which is included in current portion of exchangeable senior notes, net of discount.</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May 2014 Exchangeable Senior Notes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May 2014, the Company entered into separate, privately negotiated exchange agreements with certain holders of the 2012 Notes pursuant to which Corsicanto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$118.7 million in aggregate principal amount of the existing 2012 Notes for $118.7 million in aggregate principal amount of new 3.5% May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Exchangeable Senior Notes due 2032 (the “2014 Notes”), following which $31.3 million in aggregate principal amount of the 2012 Notes remained outstanding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terms unchanged (the 2012 Notes and 2014 Notes are referred to collectively as the “Notes”). In September 2016, Corsicanto mandatorily exchanged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$118.7 million of aggregate principal amount of the 2014 Notes for equity upon satisfaction of specified equity conditions as described below, such that no 2014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remained outstanding as of December 31, 2016.</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2014 Notes indenture contained a provision that allowed the Company to elect at its option to cause all or any portion of the 2014 Notes to be mandatorily exchanged in whole or in part at any time prior to the close of business on the business day preceding January 15, 2032 if the Daily VWAP (as defined in the 2014 Notes indenture) equaled or exceeded 110% of the Exchange Price then in effect for at least 20 VWAP Trading Days (as defined in the 2014 Notes indenture) in any 30 VWAP Trading Day period and upon satisfaction of other specified equity conditions, including that the ADSs issuable upon exchange of the 2014 Notes be eligible for resale without registration by non-affiliates and listed on The NASDAQ Global Market, its related exchanges or the New York Stock Exchange. In August 2016, Corsicanto gave notice to the holders of the 2014 Notes that the above described conditions had been satisfied and exercised its option to mandatorily exchange $118.7 million of aggregate principal amount of the 2014 Notes for equity with settlement in September 2016, such that all of the outstanding 2014 Notes were retired. In the event of physical settlement, the 2014 Notes were initially exchangeable into 45,666,925 ADSs. The initial exchange rate was 384.6154 ADSs per $1,000 principal amount of the 2014 Notes (equivalent to an initial exchange price of approximately $2.60 per ADS, or the Exchange Price), subject to adjustment in certain circumstances, including, but not limited to, the payment of cash dividends or the Company’s exercise of its optional exchange rights. Consistent with the 2014 Notes indenture, the final as-adjusted exchange rate was 402.0746 ADSs per $1,000 of principal amount, resulting in 47,739,925 ADSs being issued in exchange for the 2014 Notes. Refer to the end of this Note for discussion of the accounting treatment for this transaction.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2014 Notes had a stated interest rate of 3.5% per year, payable semiannually in arrears on January 15 and July 15 of each year beginning on July 15, 2014,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ending upon the 2014 Notes’ maturity on January 15, 2032, had the notes not been exchanged early. The 2014 Notes indenture provided holders the option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the 2014 Notes at any time after the issuance of the 2014 Notes and prior to the close of business on the second business day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2032. If a fundamental change (as defined in the 2014 Notes indenture) had occurred prior to the 2014 Notes being exchanged, holders may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required the Company to repurchase all or part of their 2014 Notes for cash at a fundamental change repurchase price equal to 100% of the aggregate principal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of the 2014 Notes to be repurchased, plus accrued and unpaid interest to, but not including, the fundamental change repurchase date. In addition, 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2014 Notes may have required the Company to repurchase all or any portion of the 2014 Notes on each of January 19, 2019, January 19,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19, 2029 for cash at a price equal to 100% of the aggregate principal amount of the 2014 Notes to be repurchased, plus accrued and unpaid interest to, but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including, the repurchase date.</w:t>
      </w:r>
    </w:p>
    <w:p>
      <w:pPr>
        <w:spacing w:after="0" w:line="159"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As a result of the note exchange in 2014 (as described above), the Company assessed both quantitative and qualitative aspects of the features of the 2014 Notes as compared to the 2012 Notes. Such assessment resulted in the conclusion that the features of the 2014 Notes represented a substantive modification from the 2012 Notes as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 xml:space="preserve">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initially classified those costs as deferred assets. Effective January 2016, the Company adopted ASU No. 2015-03, </w:t>
      </w:r>
      <w:r>
        <w:rPr>
          <w:rFonts w:ascii="Times New Roman" w:cs="Times New Roman" w:eastAsia="Times New Roman" w:hAnsi="Times New Roman"/>
          <w:sz w:val="16"/>
          <w:szCs w:val="16"/>
          <w:i w:val="1"/>
          <w:iCs w:val="1"/>
          <w:color w:val="auto"/>
        </w:rPr>
        <w:t>Interest—Imputation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Interest (Subtopic 835-30): Simplifying the Presentation of Debt Issuance Costs</w:t>
      </w:r>
      <w:r>
        <w:rPr>
          <w:rFonts w:ascii="Times New Roman" w:cs="Times New Roman" w:eastAsia="Times New Roman" w:hAnsi="Times New Roman"/>
          <w:sz w:val="16"/>
          <w:szCs w:val="16"/>
          <w:color w:val="auto"/>
        </w:rPr>
        <w:t>, which requires that debt issuance costs related to a recognized debt liability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presented in the balance sheet as a direct deduction from the carrying amount of that debt liability, consistent with the treatment of debt discounts. As the standard is required to be adopted on a retrospective basis, the Company reclassified $1.8 million of underwriters’ fees and offering costs related to the 2014 Notes from other long-term assets to exchangeable senior notes, net of discount, within the consolidated balance sheet as of December 31, 2015.</w:t>
      </w:r>
    </w:p>
    <w:p>
      <w:pPr>
        <w:spacing w:after="0" w:line="1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further allocated $3.5 million of the $90.8 million fair value of the 2014 Notes to the derivative liability related to the fundamental change redemption feature (as described above). The fair value of this derivative liability was remeasured at each reporting period, with changes in fair value recognized in the consolidated statement of operations As a result of the mandatory exchange of the debt host, the Company derecognized the related derivative liability and recognized a $2.1 million gain on change in fair value of derivative liability in the year ended December 31, 2016, as compared to a $0.5 million gain on change in fair value of derivative liability recognized in the year ended December 31, 2015.</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the conversion option in the 2014 Notes received an exception from derivative accounting and only required gross physical settlement in shares, the embedded option did not require separate accounting and was therefore accounted for as part of the debt host at amortized cost. The debt discount was amortized as interest expense over the estimated life of the 2014 Notes and was recognized in the consolidated statement of operations as interest expense. As of December 31, 2016 and 2015, the carrying value of the 2014 Notes, net of the unamortized debt discount and issuance costs, was nil and $94.6 million, respectively. During the year ended December 31, 2016, the Company recognized aggregate interest expense of $7.7 million related to the 2014 Notes, of which $4.8 million represents non-cash interest and $2.9 million represents contractual coupon interest. During the year ended December 31, 2015, the Company recognized aggregate interest expense of $10.4 million related to the 2014 Notes, of which $6.2 million represents non-cash interest and $4.2 million represents contractual coupon interest. The Company made the contractual interest payments due on the 2014 Notes during the years ended December 31, 2016 and 2015 of $4.2 million in each period, and had accrued interest of nil and $1.9 million as of December 31, 2016 and 2015, respectively, which is included in current portion of exchangeable senior notes, net of discount.</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2015 Exchangeable Senior Notes</w:t>
      </w:r>
    </w:p>
    <w:p>
      <w:pPr>
        <w:spacing w:after="0" w:line="9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In November 2015, the Company entered into a privately negotiated subscription agreement with one of its existing investors (the “Investor”),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a portion of the 2012 Notes with the remainder to be used for working capital and general corporate purposes. The 2015 Notes were issued by Amarin Corporation plc and were not guaranteed by any entity, but otherwise had substantially identical terms to the 2014 Notes, including the provision related to the Company’s optional exchange rights. In August 2016, the Company gave notice to the holders of the 2015 Notes that the Daily VWAP conditions as described above for the 2014 Notes had been satisfied and exercised its option to mandatorily exchange $31.3 million of aggregate principal amount of the 2015 Notes for equity with settlement in September 2016, such that all of the outstanding 2015 Notes were retired. In the event of physical settlement, the 2015 Notes were initially exchangeable into 12,025,385 ADSs. The initial exchange rate was 384.6154 ADSs per $1,000 principal amount of 2015 Notes (equivalent to an initial exchange price of</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approximately $2.60 per ADS), subject to adjustment in certain circumstances, including, but not limited to, the payment of cash dividends or the Company’s exercise of optional exchange rights. Consistent with the terms of the 2015 Notes, the final as-adjusted exchange rate was 402.0746 ADSs per $1,000 of principal amount, resulting in 12,571,263 ADSs being issued in exchange for the 2015 Notes. Refer to the end of this Note for discussion of the accounting treatment for this transaction.</w:t>
      </w:r>
    </w:p>
    <w:p>
      <w:pPr>
        <w:spacing w:after="0" w:line="13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The 2015 Notes were recorded at fair value of $27.5 million representing a $3.8 million discount to par. In addition, the Company recognized $0.1 million in offering costs and initially classified those costs as deferred assets. As described for the 2014 Notes above, effective January 2016, the Company adopted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xml:space="preserve"> As the standard is required to be adopted on a retrospective basis, the Company reclassified $0.1 million of underwriters’ fees and offering costs related to the 2015 Notes from other long-term assets to exchangeable senior notes, net of discount, within the consolidated balance sheet as of December 31, 2015.</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further allocated $0.5 million of the $27.5 million fair value of the 2015 Notes to the derivative liability related to the fundamental change redemption feature (as described under the 2014 Notes above). The fair value of this derivative liability was remeasured at each reporting period, with changes in fair value recognized in the consolidated statement of operations. As a result of the mandatory exchange of the debt host, the Company derecognized the related derivative liability and recognized a $0.6 million gain on change in fair value of derivative liability in the year ended December 31, 2016, as compared to a $0.1 million loss on change in fair value of derivative liability recognized in the year ended December 31, 2015.</w:t>
      </w:r>
    </w:p>
    <w:p>
      <w:pPr>
        <w:spacing w:after="0" w:line="13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Because the conversion option in the 2015 Notes received an exception from derivative accounting and only required gross physical settlement in shares, the embedded option did not require separate accounting and was therefore accounted for as part of the debt host at amortized cost. The debt discount was amortized as interest expense over the estimated life of the 2015 Notes and recognized in the consolidated statement of operations as interest expense. As of December 31, 2016 and 2015, the carrying value of the 2015 Notes, net of the unamortized debt discount and issuance costs, was nil and $27.0 million, respectively. During the year ended December 31, 2016, the Company recognized aggregate interest expense of $1.7 million related to the 2015 Notes, of which $0.9 million represents non-cash interest and $0.8 million represents contractual coupon interest. During the year ended December 31, 2015, the Company recognized aggregate interest expense of $0.2 million related to the 2015 Notes, of which $0.1 million represents non-cash interest and $0.1 million represents contractual coupon interest. The Company made the contractual interest payments due on the 2015 Notes during the year ended December 31, 2016 of $0.7 million, and had accrued interest of nil and $0.1 million as of December 31, 2016 and 2015, respectively, which is included in current portion of exchangeable senior notes, net of discount</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Concurrent with the issuance of the 2015 Notes, Corsicanto Limited and the Company entered into separate, privately negotiated purchase agreements with certain holders of the 2012 Notes pursuant to which the Company purchased (the “2012 Notes Purchase”) approximately $16.2 million in aggregate principal amount of the 2012 Notes for $15.9 million, which included accrued but unpaid interest on such 2012 Notes. The 2012 Notes Purchase was funded by the issuance of the 2015 Notes. Following the closing of the 2012 Notes Purchase, Corsicanto had approximately $15.1 million in aggregate principal amount of 2012 Notes outstanding. The 2012 Notes Purchase was accounted for as an extinguishment of debt and the Company recorded a gain of $1.3 million upon extinguishment during the fourth quarter of 2015, which represents the reacquisition of the conversion option at fair value and a negotiated discount on the purchase of the notes partially offset by legal and transaction advisory costs incurred.</w:t>
      </w:r>
    </w:p>
    <w:p>
      <w:pPr>
        <w:spacing w:after="0" w:line="139"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color w:val="auto"/>
        </w:rPr>
        <w:t xml:space="preserve">As described in the </w:t>
      </w:r>
      <w:r>
        <w:rPr>
          <w:rFonts w:ascii="Times New Roman" w:cs="Times New Roman" w:eastAsia="Times New Roman" w:hAnsi="Times New Roman"/>
          <w:sz w:val="18"/>
          <w:szCs w:val="18"/>
          <w:i w:val="1"/>
          <w:iCs w:val="1"/>
          <w:color w:val="auto"/>
        </w:rPr>
        <w:t>May 2014 Exchangeable Senior Notes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November 2015 Exchangeable Senior Notes</w:t>
      </w:r>
      <w:r>
        <w:rPr>
          <w:rFonts w:ascii="Times New Roman" w:cs="Times New Roman" w:eastAsia="Times New Roman" w:hAnsi="Times New Roman"/>
          <w:sz w:val="18"/>
          <w:szCs w:val="18"/>
          <w:color w:val="auto"/>
        </w:rPr>
        <w:t xml:space="preserve"> sections above, the Company mandatorily exchanged, in total, $150.0 million in aggregate principal amount ($127.3 million in carrying value, net of unamortized debt discount and issuance costs) of outstanding 2014 Notes and 2015 Notes resulting in the issuance of 60,311,188 ADSs and recognition of $40.1 million in common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stock and $87.4 million in additional paid-in capital during the year ended December 31, 2016. Included within this $87.4 million is $0.8 million of accrued but unpaid interest as of the exchange date deemed satisfied and discharged in full upon delivery of the ADSs consistent with the terms of the notes and ASC 470-20, less $0.7 million of transaction costs.</w:t>
      </w:r>
    </w:p>
    <w:p>
      <w:pPr>
        <w:spacing w:after="0" w:line="211" w:lineRule="exact"/>
        <w:rPr>
          <w:sz w:val="20"/>
          <w:szCs w:val="20"/>
          <w:color w:val="auto"/>
        </w:rPr>
      </w:pPr>
    </w:p>
    <w:p>
      <w:pPr>
        <w:ind w:left="240" w:right="8500" w:hanging="232"/>
        <w:spacing w:after="0" w:line="345" w:lineRule="auto"/>
        <w:tabs>
          <w:tab w:leader="none" w:pos="39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u w:val="single" w:color="auto"/>
          <w:color w:val="auto"/>
        </w:rPr>
        <w:t>Litigation</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 xml:space="preserve">In September and October 2016, the Company received paragraph IV certification notices from four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6"/>
          <w:szCs w:val="16"/>
          <w:i w:val="1"/>
          <w:iCs w:val="1"/>
          <w:color w:val="auto"/>
        </w:rPr>
        <w:t>Amarin Pharma, Inc. et al. v. Roxane Laboratories, Inc. et al.</w:t>
      </w:r>
      <w:r>
        <w:rPr>
          <w:rFonts w:ascii="Times New Roman" w:cs="Times New Roman" w:eastAsia="Times New Roman" w:hAnsi="Times New Roman"/>
          <w:sz w:val="16"/>
          <w:szCs w:val="16"/>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6"/>
          <w:szCs w:val="16"/>
          <w:i w:val="1"/>
          <w:iCs w:val="1"/>
          <w:color w:val="auto"/>
        </w:rPr>
        <w:t>Amarin Pharma, Inc. et al. v. Dr. Reddy’s Laboratories, Inc. et al.</w:t>
      </w:r>
      <w:r>
        <w:rPr>
          <w:rFonts w:ascii="Times New Roman" w:cs="Times New Roman" w:eastAsia="Times New Roman" w:hAnsi="Times New Roman"/>
          <w:sz w:val="16"/>
          <w:szCs w:val="16"/>
          <w:color w:val="auto"/>
        </w:rPr>
        <w:t xml:space="preserve">, Civ. A. No. 2:16-cv-02562 (D. Nev.). In November 2016, Amarin filed a lawsuit against Teva Pharmaceuticals USA, Inc. and Teva Pharmaceuticals Industries Limited (collectively, “Teva”) in the U.S. District Court for the District of Nevada. The case against Teva is captioned </w:t>
      </w:r>
      <w:r>
        <w:rPr>
          <w:rFonts w:ascii="Times New Roman" w:cs="Times New Roman" w:eastAsia="Times New Roman" w:hAnsi="Times New Roman"/>
          <w:sz w:val="16"/>
          <w:szCs w:val="16"/>
          <w:i w:val="1"/>
          <w:iCs w:val="1"/>
          <w:color w:val="auto"/>
        </w:rPr>
        <w:t>Amarin Pharma, Inc. et al. v. Teva Pharmaceuticals USA, Inc. et al.</w:t>
      </w:r>
      <w:r>
        <w:rPr>
          <w:rFonts w:ascii="Times New Roman" w:cs="Times New Roman" w:eastAsia="Times New Roman" w:hAnsi="Times New Roman"/>
          <w:sz w:val="16"/>
          <w:szCs w:val="16"/>
          <w:color w:val="auto"/>
        </w:rPr>
        <w:t>, Civ. A. No. 2:16-cv-02658. In all three lawsuits, Amarin is seeking, among other remedies, an order enjoining each defendant from marketing generic versions of Vascepa before the last to expire of the asserted patents in 2030. The three lawsuits have been consolidated for pretrial proceedings, and are in their early stages. As a result of the statutory stay associated with the filing of these lawsuits under the Hatch-Waxman Act, the FDA cannot grant final approval to Roxane, DRL, or Teva’s respective ANDA before January 2020, unless there is an earlier court decision holding that the subject patents are not infringed and/or are invalid.</w:t>
      </w:r>
    </w:p>
    <w:p>
      <w:pPr>
        <w:spacing w:after="0" w:line="3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fourth ANDA applicant referenced above is Apotex Inc.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3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 xml:space="preserve">The Company intends to vigorously enforce its intellectual property rights relating to Vascepa, but cannot predict the outcome of the </w:t>
      </w:r>
      <w:r>
        <w:rPr>
          <w:rFonts w:ascii="Times New Roman" w:cs="Times New Roman" w:eastAsia="Times New Roman" w:hAnsi="Times New Roman"/>
          <w:sz w:val="18"/>
          <w:szCs w:val="18"/>
          <w:i w:val="1"/>
          <w:iCs w:val="1"/>
          <w:color w:val="auto"/>
        </w:rPr>
        <w:t>Roxane, DRL or Teva</w:t>
      </w:r>
      <w:r>
        <w:rPr>
          <w:rFonts w:ascii="Times New Roman" w:cs="Times New Roman" w:eastAsia="Times New Roman" w:hAnsi="Times New Roman"/>
          <w:sz w:val="18"/>
          <w:szCs w:val="18"/>
          <w:color w:val="auto"/>
        </w:rPr>
        <w:t xml:space="preserve"> lawsuits or any subsequently filed lawsuits.</w:t>
      </w:r>
    </w:p>
    <w:p>
      <w:pPr>
        <w:spacing w:after="0" w:line="11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On April 26, 2016, the U.S. District Court for the District of New Jersey granted the Company’s motion to dismiss the putative consolidated class action lawsuit captioned </w:t>
      </w:r>
      <w:r>
        <w:rPr>
          <w:rFonts w:ascii="Times New Roman" w:cs="Times New Roman" w:eastAsia="Times New Roman" w:hAnsi="Times New Roman"/>
          <w:sz w:val="18"/>
          <w:szCs w:val="18"/>
          <w:i w:val="1"/>
          <w:iCs w:val="1"/>
          <w:color w:val="auto"/>
        </w:rPr>
        <w:t>In re Amarin Corporation plc, Securities Litigation</w:t>
      </w:r>
      <w:r>
        <w:rPr>
          <w:rFonts w:ascii="Times New Roman" w:cs="Times New Roman" w:eastAsia="Times New Roman" w:hAnsi="Times New Roman"/>
          <w:sz w:val="18"/>
          <w:szCs w:val="18"/>
          <w:color w:val="auto"/>
        </w:rPr>
        <w:t>, No. 3:13-cv-06663 (D.N.J. Nov. 1, 2013). The class action was dismissed without prejudice with leave for plaintiffs to file an amended complaint. The lawsuit seeks unspecified monetary damages and attorneys’ fees and costs alleging that the Company and certain of its current and former officers and directors made misstatements and omissions regarding the FDA’s willingness to approve Vascepa’s ANCHOR indication and related contributing factors and the potential relevance of data from the ongoing REDUCE-IT trial to that potential approval. The April 2016 dismissal was the second motion to dismiss granted in favor of Amarin and related defendants in this litigation. The first motion to dismiss in this litigation was granted in June 2015 in response to the original complaint and related amendment.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80"/>
          </w:cols>
          <w:pgMar w:left="240" w:top="456" w:right="2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May 24, 2016, plaintiffs notified the court that they would not file another amended complaint and, on May 26, 2016, filed a notice of appeal of the most recent dismissal to the Third Circuit Court of Appeals. Plaintiffs filed their appellate brief on September 21, 2016, the Company filed an opposition brief on November 29, 2016, and plaintiffs filed their reply on December 29, 2016. No hearing date has been set. The Company plans a vigorous defense to this appeal. The Company has insurance coverage that is anticipated to cover any significant loss exposure that may arise from this action.</w:t>
      </w:r>
    </w:p>
    <w:p>
      <w:pPr>
        <w:spacing w:after="0" w:line="13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leases office space under operating leases. Future minimum lease payments under these leases, net of sublease rental income, as of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are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1660" w:type="dxa"/>
            <w:vAlign w:val="bottom"/>
            <w:tcBorders>
              <w:bottom w:val="single" w:sz="8" w:color="auto"/>
            </w:tcBorders>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440" w:type="dxa"/>
            <w:vAlign w:val="bottom"/>
          </w:tcPr>
          <w:p>
            <w:pPr>
              <w:spacing w:after="0"/>
              <w:rPr>
                <w:sz w:val="14"/>
                <w:szCs w:val="14"/>
                <w:color w:val="auto"/>
              </w:rPr>
            </w:pPr>
          </w:p>
        </w:tc>
        <w:tc>
          <w:tcPr>
            <w:tcW w:w="66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1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54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528</w:t>
            </w:r>
          </w:p>
        </w:tc>
        <w:tc>
          <w:tcPr>
            <w:tcW w:w="60" w:type="dxa"/>
            <w:vAlign w:val="bottom"/>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126</w:t>
            </w:r>
          </w:p>
        </w:tc>
        <w:tc>
          <w:tcPr>
            <w:tcW w:w="6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2019-2021</w:t>
            </w:r>
          </w:p>
        </w:tc>
        <w:tc>
          <w:tcPr>
            <w:tcW w:w="5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654</w:t>
            </w:r>
          </w:p>
        </w:tc>
        <w:tc>
          <w:tcPr>
            <w:tcW w:w="6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30, 2011, the Company entered into an agreement for 320 square feet of office space at 2 Pembroke House, Upper Pembroke Street 28-32 in Dublin, Ireland. The office space was subsequently reduced to 270 square feet, effective November 1, 2013. The agreement began November 1, 2011 and terminates on October 31, 2017 and can be extended automatically for successive one year periods. Monthly rent is approximately €2,900 (approximately $3,100 at the time of filing). The agreement can be terminated by either party with three months prior written notice.</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July 1, 2011, the Company leased 9,747 square feet of office space in Bedminster, New Jersey. The lease, as amended, terminates on March 31, 2018, and may also be terminated with six months prior notice. On December 6, 2011 the Company leased an additional 2,142 square feet of space in the same location. On December 15, 2012 and May 8, 2013, the Company leased an additional 2,601 and 10,883 square feet of space, respectively, in the same location. In January 2014 and April 2014, the Company entered into separate transactions with the landlord of this property to vacate approximately 2,142 and 2,000 square feet of space in exchange for discounts on contractual future rent payments. In January 2015, the Company executed an agreement to sublease approximately 4,700 square feet of this property to a third party, effective April 1, 2015. Additionally, in June 2015, the Company executed an agreement to sublease approximately 2,500 square feet of this property to a separate third party, effective June 16, 2015. On December 15, 2016, the Company leased an additional 732 square feet of space in the same location, effective January 1, 2017.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rent expense during the years ended 2016, 2015 and 2014 was approximately $0.6 million, $0.8 million, and $1.0 million, respectively.</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entered into its initial Vascepa API supply agreement with Nisshin Pharma, Inc (“Nisshin”) in 2010. In 2011, the Company entered into agreements with two additional suppliers, Chemport, Inc (“Chemport”)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0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Nisshin, Chemport and Novasep are currently the three manufacturers from which the Company purchases API. As of December 31, 2016, the Company has no royalty, milestone or minimum purchase commitments with Nisshin.</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cash remedy for any shortfall in the minimum purchase obligations.</w:t>
      </w:r>
    </w:p>
    <w:p>
      <w:pPr>
        <w:spacing w:after="0" w:line="13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Pursuant to the supply agreements, there is a total of $44.6 million that is potentially payable over the term of such agreements based on minimum purchase obligations. The Company continues to meet its contractual purchase obligations.</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$9.3 million as of December 31, 2016).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$6.2 million as of December 31, 2016) for each of the two potential market approvals (i.e., £10 million maximum, or approximately $12.3 million as of December 31, 2016).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 obligations above since the amounts are either not probable or able to be estimated as of December 31, 2016.</w:t>
      </w:r>
    </w:p>
    <w:p>
      <w:pPr>
        <w:spacing w:after="0" w:line="250" w:lineRule="exact"/>
        <w:rPr>
          <w:sz w:val="20"/>
          <w:szCs w:val="20"/>
          <w:color w:val="auto"/>
        </w:rPr>
      </w:pPr>
    </w:p>
    <w:p>
      <w:pPr>
        <w:ind w:left="240" w:right="10040" w:hanging="232"/>
        <w:spacing w:after="0" w:line="388" w:lineRule="auto"/>
        <w:tabs>
          <w:tab w:leader="none" w:pos="4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i w:val="1"/>
          <w:iCs w:val="1"/>
          <w:u w:val="single" w:color="auto"/>
          <w:color w:val="auto"/>
        </w:rPr>
        <w:t>Preferred Stock</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restricted American Depositary Share, the Purchasers paid a negotiated price of $0.15 (equating to $1.50 on an as-if-converted-to-ordinary-shares</w:t>
      </w:r>
    </w:p>
    <w:p>
      <w:pPr>
        <w:spacing w:after="0" w:line="20"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1"/>
          <w:szCs w:val="21"/>
          <w:color w:val="auto"/>
        </w:rPr>
        <w:t>basis), resulting in $52.8 million in aggregate gross proceeds to the Company, before deducting estimated offering expenses of approximately $0.7 million. The net proceeds are reflected as preferred stock in the accompanying consolidated balance sheets.</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60"/>
          </w:cols>
          <w:pgMar w:left="240" w:top="455" w:right="29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as of December 31, 2016, inclusive of the shares issued in July 2015 as discussed below, subject to certain adjustments for dilutive events.</w:t>
      </w:r>
    </w:p>
    <w:p>
      <w:pPr>
        <w:spacing w:after="0" w:line="14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36"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 xml:space="preserve">Holders of the Series A Preference Shares are entitled to receive, and the Company is required to pay, dividends (other than dividends in the form of ordinary shares) on the Series A Preference Shares equal (on an as-if-converted-to-ordinary-shares </w:t>
      </w:r>
      <w:r>
        <w:rPr>
          <w:rFonts w:ascii="Times New Roman" w:cs="Times New Roman" w:eastAsia="Times New Roman" w:hAnsi="Times New Roman"/>
          <w:sz w:val="20"/>
          <w:szCs w:val="20"/>
          <w:color w:val="auto"/>
        </w:rPr>
        <w:t>basis) to and in the same form as dividends (other than</w:t>
      </w:r>
    </w:p>
    <w:p>
      <w:pPr>
        <w:ind w:right="220"/>
        <w:spacing w:after="0" w:line="237" w:lineRule="auto"/>
        <w:rPr>
          <w:sz w:val="20"/>
          <w:szCs w:val="20"/>
          <w:color w:val="auto"/>
        </w:rPr>
      </w:pPr>
      <w:r>
        <w:rPr>
          <w:rFonts w:ascii="Times New Roman" w:cs="Times New Roman" w:eastAsia="Times New Roman" w:hAnsi="Times New Roman"/>
          <w:sz w:val="22"/>
          <w:szCs w:val="22"/>
          <w:color w:val="auto"/>
        </w:rPr>
        <w:t>dividends in the form of ordinary shares) actually paid on ordinary shares when, as and if such dividends (other than dividends in the form of ordinary shares) are paid on the ordinary shares.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00"/>
          </w:cols>
          <w:pgMar w:left="240" w:top="455"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3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w:t>
      </w:r>
    </w:p>
    <w:p>
      <w:pPr>
        <w:spacing w:after="0" w:line="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(equating to $1.50 on an as-if-converted-to-ordinary-shares </w:t>
      </w:r>
      <w:r>
        <w:rPr>
          <w:rFonts w:ascii="Times New Roman" w:cs="Times New Roman" w:eastAsia="Times New Roman" w:hAnsi="Times New Roman"/>
          <w:sz w:val="21"/>
          <w:szCs w:val="21"/>
          <w:color w:val="auto"/>
        </w:rPr>
        <w:t>basis) resulting in gross proceeds to the Company of $5.8 million. At the time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transaction, Dr. James Healy was a member of the Company’s Board and a managing general partner of Sofinnova Management VII, L.L.C., which is the general partner of Sofinnova. Dr. Healy resigned as Director of the Company’s Board effective December 20, 2016.</w:t>
      </w:r>
    </w:p>
    <w:p>
      <w:pPr>
        <w:spacing w:after="0" w:line="12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September 2016, the Company mandatorily exchanged $118.7 million and $31.3 million of aggregate principal amount of the 2014 Notes and 2015 Notes, respectively, resulting in the issuance of 47,739,925 ADSs and 12,571,263 ADSs, respectively, with each ADS representing one ordinary share of the Company (see Note 8—Debt).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August 2016, the Company completed a public offering of 21,100,000 ADSs, with each ADS representing one ordinary share of the Company. Amarin also granted the underwriters a 30-day option to purchase an additional 3,165,000 ADSs at the same price, which was exercised in full. The underwriters purchased the ADSs from the Company at a price of $2.679 per ADS after commission, resulting in net proceeds to the Company of approximately $64.6 million, after deducting estimated offering expenses payable by the Company. The Company currently intends to use the net proceeds from the offering to advance its REDUCE-IT cardiovascular outcomes trial and for general corporate and working capital purposes.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 xml:space="preserve">In March 2016, the FASB issued ASU No. 2016-09, </w:t>
      </w:r>
      <w:r>
        <w:rPr>
          <w:rFonts w:ascii="Times New Roman" w:cs="Times New Roman" w:eastAsia="Times New Roman" w:hAnsi="Times New Roman"/>
          <w:sz w:val="16"/>
          <w:szCs w:val="16"/>
          <w:i w:val="1"/>
          <w:iCs w:val="1"/>
          <w:color w:val="auto"/>
        </w:rPr>
        <w:t>Compensation—Stock Compensation (Topic 718): Improvements to Employee Share-Based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Accounting</w:t>
      </w:r>
      <w:r>
        <w:rPr>
          <w:rFonts w:ascii="Times New Roman" w:cs="Times New Roman" w:eastAsia="Times New Roman" w:hAnsi="Times New Roman"/>
          <w:sz w:val="16"/>
          <w:szCs w:val="16"/>
          <w:color w:val="auto"/>
        </w:rPr>
        <w:t>. The Company early adopted this standard during the quarter ended June 30, 2016, without electing to change its existing accounting policy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forfeitures based on expected vesting. The new standard requires that excess tax benefits and deficiencies that arise upon vesting or exercise of share-based payments be recognized as an income tax benefit and expense in the income statement, and also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Further, the new standard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Refer to Note 2—Significant Accounting Policies above for additional discussion on the Company’s adoption of the new standard.</w:t>
      </w:r>
    </w:p>
    <w:p>
      <w:pPr>
        <w:spacing w:after="0" w:line="1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guidance became effective for all entities during the first quarter of fiscal 2016. The Company previously accounted for awards in a manner consistent with the new guidance and as such, adoption of the guidance did not have any impact on the Company’s consolidated financial statements.</w:t>
      </w:r>
    </w:p>
    <w:p>
      <w:pPr>
        <w:spacing w:after="0" w:line="139"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As of December 31, 2016, there were an aggregate of 21,188,014 stock options and 10,143,176 restricted stock units (“RSUs”) outstanding, representing approximately 6% and 3%, respectively, of outstanding shares (including common and preferred shares) on a fully diluted basis.</w:t>
      </w:r>
    </w:p>
    <w:p>
      <w:pPr>
        <w:spacing w:after="0" w:line="1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During the years ended December 31, 2016 and 2015, the Company issued 177,146 and 18,020 shares, respectively, as a result of the exercise of stock options, resulting in gross and net proceeds of $0.3 million during the year ended December 31, 2016 and $31 thousand during the year ended December 31, 2015.</w:t>
      </w:r>
    </w:p>
    <w:p>
      <w:pPr>
        <w:spacing w:after="0" w:line="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July 11, 2016, the Company granted a total of 148,403 RSUs and 208,340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3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On February 1, 2016, the Company granted a total of 1,607,500 RSUs and 2,442,000 stock options to employees under the 2011 Plan. The RSUs vest annually over a three-year period and the stock options vest monthly over a four-year period.</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40"/>
          </w:cols>
          <w:pgMar w:left="240" w:top="456" w:right="31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July 6, 2015, the Company granted a total of 1,455,000 RSUs and 5,470,000 stock options to employees under the Amarin Corporation plc Stock Incentive Plan (the “2011 Plan”). The RSUs granted vest over a four-year period. Of the total stock options granted, 3,670,000 stock options vest over a four-year period while the remaining 1,800,000 stock options vest upon the achievement of certain performance conditions. During the year ended December 31, 2016, the Company issued 363,750 common shares related to the vesting of these RSUs, of which 173,563 shares were retained as treasury shares as settlement of employee tax obligations.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Also on July 6, 2015, the Company granted a total of 413,500 RSUs and 288,657 stock options to members of the Company’s Board of Directors under the 2011 Plan. Of the total awards granted, 283,500 RSUs and 121,506 stock options vest in equal installments over a three-year period upon the earlier of the anniversary of the grant date or the Company’s annual general meeting of shareholders in such anniversary year, while the remaining 130,000 RSUs and 167,151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29, 2015, the Company granted a total of 2,564,251 RSUs and 1,622,500 stock options to employees under the 2011 Plan. The RSUs vest annually over a three year period and the stock options vest over a four year period. Also on January 29, 2015, the Company granted 5,455,500 RSUs to employees under the 2011 Plan that vest upon the achievement of certain performance conditions. The issuance of these performance RSUs was contingent upon shareholder approval to increase the aggregate number of shares authorized for issuance under the 2011 Plan, which was obtained at the Company’s Annual General Meeting of Shareholders held on July 6, 2015. During the year ended December 31, 2016, the Company issued 818,352 common shares related to the vesting of these RSUs, of which 270,329 shares were retained as treasury shares as settlement of employee tax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12—Stock Incentive Plans and Stock Based Compensation for further information regarding the Company’s incentive equity awards.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2015, the Company issued 1,844,585 shares upon the exercise of warrants, resulting in gross and net proceeds of</w:t>
      </w:r>
    </w:p>
    <w:p>
      <w:pPr>
        <w:spacing w:after="0" w:line="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$2.8 million and $2.7 million, respectively. There was no warrant activity during the year ended December 31, 2016 and no warrants remained outstanding as of December 31, 2016.</w:t>
      </w:r>
    </w:p>
    <w:p>
      <w:pPr>
        <w:spacing w:after="0" w:line="211"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Interest and penalties related to any uncertain tax positions have historically been insignificant. The Company recognizes interest and penalties related to uncertain tax positions within the provision for income taxes. The total amount of unrecognized tax benefits that would affect the Company’s effective tax rate if recognized is $1.5 million as of December 31, 2016 and $1.4 million as of December 31, 2015.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for the years ended December 31, 2016, 2015 and 2014:</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4"/>
                <w:szCs w:val="14"/>
                <w:color w:val="auto"/>
              </w:rPr>
            </w:pPr>
          </w:p>
        </w:tc>
        <w:tc>
          <w:tcPr>
            <w:tcW w:w="7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uncertain tax benefits</w:t>
            </w: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$1,550</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Prior year—increases</w:t>
            </w:r>
          </w:p>
        </w:tc>
        <w:tc>
          <w:tcPr>
            <w:tcW w:w="74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year—decreases</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year—increases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year—decreases for lapses in statutes of limitations</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Ending uncertain tax benefits</w:t>
            </w:r>
          </w:p>
        </w:tc>
        <w:tc>
          <w:tcPr>
            <w:tcW w:w="7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1,633</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F-38</w:t>
            </w:r>
          </w:p>
        </w:tc>
        <w:tc>
          <w:tcPr>
            <w:tcW w:w="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Ireland and United Kingdom, or UK. The Company remains subject to tax examinations in the following jurisdictions as of December 31, 2016:</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Jurisdiction</w:t>
            </w:r>
          </w:p>
        </w:tc>
        <w:tc>
          <w:tcPr>
            <w:tcW w:w="59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Tax Years</w:t>
            </w: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States—Federal</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2013-2016</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2012-2016</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2012-2016</w:t>
            </w:r>
          </w:p>
        </w:tc>
        <w:tc>
          <w:tcPr>
            <w:tcW w:w="80" w:type="dxa"/>
            <w:vAlign w:val="bottom"/>
            <w:shd w:val="clear" w:color="auto" w:fill="CCEEFF"/>
          </w:tcPr>
          <w:p>
            <w:pPr>
              <w:spacing w:after="0"/>
              <w:rPr>
                <w:sz w:val="18"/>
                <w:szCs w:val="18"/>
                <w:color w:val="auto"/>
              </w:rPr>
            </w:pPr>
          </w:p>
        </w:tc>
      </w:tr>
      <w:tr>
        <w:trPr>
          <w:trHeight w:val="22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2015-2016</w:t>
            </w:r>
          </w:p>
        </w:tc>
        <w:tc>
          <w:tcPr>
            <w:tcW w:w="80" w:type="dxa"/>
            <w:vAlign w:val="bottom"/>
          </w:tcPr>
          <w:p>
            <w:pPr>
              <w:spacing w:after="0"/>
              <w:rPr>
                <w:sz w:val="19"/>
                <w:szCs w:val="19"/>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gross liabilities of $59,000 to expire in 2017 based on statutory lapses.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from operations before taxes were as follows for the years ended December 31, 2016, 2015 and 2014:</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(7,331)</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(68,266)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(108,153)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(51,870)</w:t>
            </w:r>
          </w:p>
        </w:tc>
      </w:tr>
      <w:tr>
        <w:trPr>
          <w:trHeight w:val="27"/>
        </w:trPr>
        <w:tc>
          <w:tcPr>
            <w:tcW w:w="3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(76,381)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(118,290)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(59,201)</w:t>
            </w:r>
          </w:p>
        </w:tc>
      </w:tr>
      <w:tr>
        <w:trPr>
          <w:trHeight w:val="20"/>
        </w:trPr>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(provision for) benefit from income taxes shown in the accompanying consolidated statements of operations consists of the following for fiscal 2016, 2015 and 2014:</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Federal-U.S.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$ 1,053</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State-U.S.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$ 1,166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Federal-U.S.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(4,001)</w:t>
            </w:r>
          </w:p>
        </w:tc>
        <w:tc>
          <w:tcPr>
            <w:tcW w:w="1160" w:type="dxa"/>
            <w:vAlign w:val="bottom"/>
            <w:gridSpan w:val="3"/>
          </w:tcPr>
          <w:p>
            <w:pPr>
              <w:jc w:val="right"/>
              <w:ind w:right="198"/>
              <w:spacing w:after="0"/>
              <w:rPr>
                <w:sz w:val="20"/>
                <w:szCs w:val="20"/>
                <w:color w:val="auto"/>
              </w:rPr>
            </w:pPr>
            <w:r>
              <w:rPr>
                <w:rFonts w:ascii="Times New Roman" w:cs="Times New Roman" w:eastAsia="Times New Roman" w:hAnsi="Times New Roman"/>
                <w:sz w:val="18"/>
                <w:szCs w:val="18"/>
                <w:color w:val="auto"/>
              </w:rPr>
              <w:t>(3,343)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(3,689)</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State-U.S.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(334)</w:t>
            </w:r>
          </w:p>
        </w:tc>
        <w:tc>
          <w:tcPr>
            <w:tcW w:w="116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1160" w:type="dxa"/>
            <w:vAlign w:val="bottom"/>
            <w:gridSpan w:val="3"/>
          </w:tcPr>
          <w:p>
            <w:pPr>
              <w:jc w:val="right"/>
              <w:ind w:right="198"/>
              <w:spacing w:after="0"/>
              <w:rPr>
                <w:sz w:val="20"/>
                <w:szCs w:val="20"/>
                <w:color w:val="auto"/>
              </w:rPr>
            </w:pPr>
            <w:r>
              <w:rPr>
                <w:rFonts w:ascii="Times New Roman" w:cs="Times New Roman" w:eastAsia="Times New Roman" w:hAnsi="Times New Roman"/>
                <w:sz w:val="18"/>
                <w:szCs w:val="18"/>
                <w:color w:val="auto"/>
              </w:rPr>
              <w:t>(9,023)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13,276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(3,034)</w:t>
            </w: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(4,252</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(3,614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(2,837)</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(provision for) benefit from income taxes differs from the amount computed by applying the statutory income tax rate to income before taxes due to the following for fiscal 2016, 2015 and 2014:</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from taxes at statutory rate</w:t>
            </w:r>
          </w:p>
        </w:tc>
        <w:tc>
          <w:tcPr>
            <w:tcW w:w="1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(19,039)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(29,572)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(14,786)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differential</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reserves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(3,034)</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(2,706)</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(9,509)</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return to provision adjustments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and other</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 expense</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(2,837)</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40" w:type="dxa"/>
            <w:vAlign w:val="bottom"/>
            <w:gridSpan w:val="2"/>
          </w:tcPr>
          <w:p>
            <w:pPr>
              <w:jc w:val="right"/>
              <w:ind w:right="898"/>
              <w:spacing w:after="0"/>
              <w:rPr>
                <w:sz w:val="20"/>
                <w:szCs w:val="20"/>
                <w:color w:val="auto"/>
              </w:rPr>
            </w:pPr>
            <w:r>
              <w:rPr>
                <w:rFonts w:ascii="Times New Roman" w:cs="Times New Roman" w:eastAsia="Times New Roman" w:hAnsi="Times New Roman"/>
                <w:sz w:val="18"/>
                <w:szCs w:val="18"/>
                <w:color w:val="auto"/>
              </w:rPr>
              <w:t>F-39</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00"/>
          </w:cols>
          <w:pgMar w:left="240" w:top="456"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2016, the Company recorded adjustments to its deferred tax accounts related to the impact of foreign exchange rate changes and to reconcile the financial statement accounts to the amounts reported on its filed 2015 foreign tax returns, primarily for the impact of U.S. GAAP to local statutory adjustments. The majority of these adjustments were fully offset with valuation allowances based on the Company’s position with respect to the realizability of its recorded deferred tax assets. The Company is subject to corporate tax rate in Ireland of 25% for non-trading activities and 12.5% for trading activities. For the years ended December 31, 2016, 2015, and 2014,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2015, the FASB issued ASU 2015-17, Income Taxes (Topic 740): “Balance Sheet Classification of Deferred Taxes”, which changes how deferred taxes are classified on organizations’ balance sheets. The ASU eliminates the current requirement for organizations to present deferred tax liabilities and assets as current and non-current in a classified balance sheet. Instead, organizations will be required to classify all deferred tax assets and liabilities as non-current. The Company early adopted ASU 2015-17 effective December 31, 2015 on a prospective basis. Adoption of this ASU resulted in a reclassification of $0.9 million of the net current deferred tax asset to the net non-current deferred tax asset in the consolidated balance sheet as of December 31, 2015. No prior periods were retrospectively adjusted.</w:t>
      </w:r>
    </w:p>
    <w:p>
      <w:pPr>
        <w:spacing w:after="0" w:line="13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In April 2016, the Company adopted ASU No. 2016-09, Compensation-Stock Compensation (Topic 718): Improvements to Share-Based Payment Accounting which changes the accounting for certain aspects of share-based payments to employees. One aspect of the standard requires that excess 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 for income taxes for the year ended December 31, 2016 includes $0.4 million of excess tax deficiencies arising from share-based payments during the period of adoption. Additionally, the new standard requires that historical excess tax benefits were not previously recognized because the related tax deduction had not reduced current taxes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outstanding as of December 31, 2015, with a corresponding cumulative-effect adjustment to accumulated deficit.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effect of each type of temporary difference comprising the net deferred tax asset as of December 31, 2016 and 2015 is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operating losses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88,345</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credits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reserves and accrued liabilities</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115,871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3"/>
              </w:rPr>
              <w:t>(109,274)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(95,999)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00" w:type="dxa"/>
            <w:vAlign w:val="bottom"/>
            <w:gridSpan w:val="2"/>
          </w:tcPr>
          <w:p>
            <w:pPr>
              <w:jc w:val="right"/>
              <w:ind w:right="1918"/>
              <w:spacing w:after="0"/>
              <w:rPr>
                <w:sz w:val="20"/>
                <w:szCs w:val="20"/>
                <w:color w:val="auto"/>
              </w:rPr>
            </w:pPr>
            <w:r>
              <w:rPr>
                <w:rFonts w:ascii="Times New Roman" w:cs="Times New Roman" w:eastAsia="Times New Roman" w:hAnsi="Times New Roman"/>
                <w:sz w:val="18"/>
                <w:szCs w:val="18"/>
                <w:color w:val="auto"/>
              </w:rPr>
              <w:t>F-40</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The Company assesses whether it is more-likely-than-not that the Company will realize its deferred tax assets. The Company determined that it was more-likely-than-not that the Irish, UK, and Israeli net operating losses and the related deferred tax assets would not be realized in future periods and a full valuation allowance has been provided for all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the valuation allowance for the years ended December 31, 2016 and 2015:</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4"/>
                <w:szCs w:val="14"/>
                <w:color w:val="auto"/>
              </w:rPr>
            </w:pPr>
          </w:p>
        </w:tc>
        <w:tc>
          <w:tcPr>
            <w:tcW w:w="82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1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$85,965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Increase as reflected in income tax expense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as reflected in retained earnings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(4,676)</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109,274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combined Irish, UK, and Israeli net operating loss carryforwards of $573.8 million, which do not expire. The total net operating loss carryforwards increased by approximately $8.1 million from the prior year primarily as a result of current year losses generated by the Company’s Irish subsidiaries, partially offset by the impact of foreign exchange rate changes and adjustments to reconcile the financial statement accounts to the amounts reported on the filed 2015 foreign tax returns. In addition, the Company has U.S. Federal tax credit carryforwards of $6.7 million and state tax credit carryforwards of $1.6 million. These amounts exclude the impact of any unrecognized tax benefits and valuation allowances. These carryforwards, which will expire starting between 2024 and 2036 may be used to offset future taxable income, if any.</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2016, earnings of $25.1 million have been retained indefinitely for reinvestment by foreign subsidiary or there is an expectation that any reinvestment can be recovered tax-free without significant cost, and the entity expects to ultimately use that means of recovery for domestic subsidiary companies; therefore, no provision has been made for income taxes that would be payable upon the distribution of such earnings and it would not be practicable to determine the amount of the related unrecognized deferred income tax liability.</w:t>
      </w:r>
    </w:p>
    <w:p>
      <w:pPr>
        <w:spacing w:after="0" w:line="13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taxing authorities. The Company is currently under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215" w:lineRule="exact"/>
        <w:rPr>
          <w:sz w:val="20"/>
          <w:szCs w:val="20"/>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and Stock Based Compensation</w:t>
      </w:r>
    </w:p>
    <w:p>
      <w:pPr>
        <w:spacing w:after="0" w:line="92"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On April 29, 2011 the Board, upon the recommendation of the Remuneration Committee, adopted the 2011 Stock Incentive Plan (“2011 Plan”), which was approved by the Company’s shareholders on July 12, 2011. The 2011 Plan replaced the Company’s 2002 Stock Option Plan (“2002 Plan”), which expired on January 1, 2012. The maximum number of the Company’s Ordinary Shares of £0.50 each or any ADS’s, as to be issued under the 2011 Plan shall not exceed the sum of (i) 31.5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the Company’s Board of Directors and expires on July 12, 2021.</w:t>
      </w:r>
    </w:p>
    <w:p>
      <w:pPr>
        <w:spacing w:after="0" w:line="11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addition to the grants under the 2011 Plan, the Company grants non-qualified stock options to employees to purchase the Company’s ordinary shares. These grants are made pursuant to employment agreements on terms consistent with the 2011 Plan.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60"/>
          </w:cols>
          <w:pgMar w:left="240" w:top="456" w:right="29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Under the terms of the 2011 Plan, and grants made pursuant to employment agreements, options typically vest over a four-year period, expire after a ten-year term and are granted at an exercise price equal to the closing price of the Company’s American Depositary Shares on the grant date. The following table summarizes all stock option activity for the year ended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4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48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6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 and years)</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4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7.3 years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17,018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2016</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12,217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 years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7.3 years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2"/>
              </w:rPr>
              <w:t>16,396</w:t>
            </w: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future grant as of December 31, 2016</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2016, 2015 and 2014 was $1.62, $2.16, and $1.58, respectively. The total grant date fair value of options vested during the years ended December 31, 2016, 2015 and 2014 was $6.5 million, $9.1 million, and $8.1 million,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2016, 2015 and 2014, the Company received proceeds from the exercise of options of $0.3 million, $31 thousand, and</w:t>
      </w:r>
    </w:p>
    <w:p>
      <w:pPr>
        <w:spacing w:after="0" w:line="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$0.3 million, respectively. The total intrinsic value of options exercised during the years ended December 31, 2016, 2015 and 2014 was $0.2 million, $6 thousand, and $0.2 million, respectively, calculated as the difference between the quoted stock price of the Company’s common stock as of the reporting date and the exercise prices of the underlying awards.</w:t>
      </w:r>
    </w:p>
    <w:p>
      <w:pPr>
        <w:spacing w:after="0" w:line="138"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As of December 31, 2016, there was $11.8 million of unrecognized stock-based compensation expense related to unvested stock option share-based compensation arrangements granted under the Company’s stock award plans. This expense is expected to be recognized over a weighted-average period of approximately 2.5 years. The Company recognizes compensation expense for the fair values of those awards which have graded vesting on a straight line basis.</w:t>
      </w:r>
    </w:p>
    <w:p>
      <w:pPr>
        <w:spacing w:after="0" w:line="9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fair value of stock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using the short-cut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Employee stock options generally vest over a four-year service period and all stock options are settled by the issuance of new shares. Compensation expense recognized for all option grants is net of estimated forfeitures and is recognized over the awards’ respective requisite service periods. The vesting of certain stock options is contingent upon the attainment of performance criteria. The probability that such criteria will be achieved is assessed by management and compensation expense for such awards is only recorded to the extent that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attainment of the performance criteria is deemed to be probable. The Company recorded compensation expense in relation to stock options of $6.6 million, $7.9 million and $7.7 million for the years ended December 31, 2016, 2015 and 2014,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2016, 2015 and 2014, the Company used the following assumptions to estimate the fair value of share-based payment awards: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5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- 1.70%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- 1.68%</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1.37% - 1.68%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- 86%</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 - 109%</w:t>
            </w:r>
          </w:p>
        </w:tc>
      </w:tr>
    </w:tbl>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2011 Plan also allows for granting of restricted stock unit awards under the terms of the Plan. The restricted stock units vest based upon a time-based service condition, a performance condition, or both. The probability that any performance criteria will be achieved is assessed by management and compensation expense for such awards is only recorded to the extent that the attainment of the performance criteria is deemed to be probable.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2016 and 2015:</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 Fair</w:t>
            </w:r>
          </w:p>
        </w:tc>
      </w:tr>
      <w:tr>
        <w:trPr>
          <w:trHeight w:val="165"/>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(1,853)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 recorded compensation expense in relation to restricted stock units of $7.0 million, $6.0 million and $1.4 million for the years ended December 31, 2016, 2015 and 2014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related to stock based awards for the years ended December 31, 2016, 2015 and 2014:</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11,361</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10,609</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13,613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13,889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92"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The Company makes available a 401(k) plan for its U.S. employees. Under the 401(k) plan, employees may make contributions which are eligible for a discretionary percentage match, in cash, as defined in the 401(k) plan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00"/>
          </w:cols>
          <w:pgMar w:left="240" w:top="455" w:right="2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and determined by the Board of Directors. The Company recognized $0.5 million of related compensation expense for the year ended December 31, 2016. The Company did not make any contributions in 2015 or 2014.</w:t>
      </w:r>
    </w:p>
    <w:p>
      <w:pPr>
        <w:spacing w:after="0" w:line="199" w:lineRule="exact"/>
        <w:rPr>
          <w:sz w:val="20"/>
          <w:szCs w:val="20"/>
          <w:color w:val="auto"/>
        </w:rPr>
      </w:pPr>
    </w:p>
    <w:p>
      <w:pPr>
        <w:jc w:val="both"/>
        <w:ind w:left="240" w:right="8860" w:hanging="232"/>
        <w:spacing w:after="0" w:line="388" w:lineRule="auto"/>
        <w:tabs>
          <w:tab w:leader="none" w:pos="48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Transactions </w:t>
      </w:r>
      <w:r>
        <w:rPr>
          <w:rFonts w:ascii="Times New Roman" w:cs="Times New Roman" w:eastAsia="Times New Roman" w:hAnsi="Times New Roman"/>
          <w:sz w:val="16"/>
          <w:szCs w:val="16"/>
          <w:i w:val="1"/>
          <w:iCs w:val="1"/>
          <w:u w:val="single" w:color="auto"/>
          <w:color w:val="auto"/>
        </w:rPr>
        <w:t>October 2009 Private Placement</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Dr. Joseph Anderson, a former Director of Amarin, is a partner; (ii) 7 million ADSs purchased by Orbimed Advisors LLC, where Dr. Carl L. Gordon, a former Director of Amarin, is a General Partner; (iii) 7 million ADSs purchased by Sofinnova Venture Partners VII, L.P. (Sofinnova), where Dr. James I. Healy, a former Director of Amarin, is a Managing General Partner; and (iv) 5 million ADSs purchased by Fountain Healthcare Partners Fund 1, L.P. Fountain Healthcare Partners Ltd. is the sole General Partner of Fountain Healthcare Partners Fund 1, L.P. Dr. Manus Rogan is a Managing Partner of Fountain Healthcare Partners Ltd. and until December 2011 was a non-executive director of Amarin. In addition, for every ADS purchased, the investor received warrants to purchase 0.5 (one half) of an ADS. No warrants remained outstanding as of December 31, 2016. Therefore, the fair value of the warrants held by the current and former directors of the Company and their related investment funds amounted to zero.</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March 2015 Private Placement</w:t>
      </w:r>
    </w:p>
    <w:p>
      <w:pPr>
        <w:spacing w:after="0" w:line="9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 xml:space="preserve">On March 30, 2015, in connection with the closing of the initial private placement described in Note 10—Equity, and pursuant to a pre-existing contractual right to participate in certain private placement transactions effected by the Company, the Company entered into a separate subscription agreement with an existing investor, Sofinnova.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w:t>
      </w:r>
      <w:r>
        <w:rPr>
          <w:rFonts w:ascii="Times New Roman" w:cs="Times New Roman" w:eastAsia="Times New Roman" w:hAnsi="Times New Roman"/>
          <w:sz w:val="20"/>
          <w:szCs w:val="20"/>
          <w:color w:val="auto"/>
        </w:rPr>
        <w:t>basis) resulting in gross proceeds to the</w:t>
      </w:r>
    </w:p>
    <w:p>
      <w:pPr>
        <w:spacing w:after="0" w:line="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Company of $5.8 million. The shares are owned directly by Sofinnova. At the time of the transaction, Dr. James Healy was a member of the Company’s Board and a managing general partner of Sofinnova Management VII, L.L.C., which is the general partner of Sofinnova. Healy may be deemed to have shared voting and dispositive power over the shares owned by Sofinnova, but disclaims beneficial ownership over the shares owned by Sofinnova except to the extent of any pecuniary interest therein. Healy resigned as Director of the Company’s Board effective December 20, 2016.</w:t>
      </w:r>
    </w:p>
    <w:p>
      <w:pPr>
        <w:spacing w:after="0" w:line="218"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Summarized Financial Information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0"/>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Fiscal years ended December 31, 2016 and 2015</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w w:val="93"/>
              </w:rPr>
              <w:t>1st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2nd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3rd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w w:val="82"/>
              </w:rPr>
              <w:t>4th</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33,111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32,734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(29,771)</w:t>
            </w: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(31,994)</w:t>
            </w:r>
          </w:p>
        </w:tc>
        <w:tc>
          <w:tcPr>
            <w:tcW w:w="100" w:type="dxa"/>
            <w:vAlign w:val="bottom"/>
          </w:tcPr>
          <w:p>
            <w:pPr>
              <w:spacing w:after="0"/>
              <w:rPr>
                <w:sz w:val="18"/>
                <w:szCs w:val="18"/>
                <w:color w:val="auto"/>
              </w:rPr>
            </w:pPr>
          </w:p>
        </w:tc>
        <w:tc>
          <w:tcPr>
            <w:tcW w:w="840" w:type="dxa"/>
            <w:vAlign w:val="bottom"/>
          </w:tcPr>
          <w:p>
            <w:pPr>
              <w:jc w:val="right"/>
              <w:ind w:right="143"/>
              <w:spacing w:after="0"/>
              <w:rPr>
                <w:sz w:val="20"/>
                <w:szCs w:val="20"/>
                <w:color w:val="auto"/>
              </w:rPr>
            </w:pPr>
            <w:r>
              <w:rPr>
                <w:rFonts w:ascii="Times New Roman" w:cs="Times New Roman" w:eastAsia="Times New Roman" w:hAnsi="Times New Roman"/>
                <w:sz w:val="18"/>
                <w:szCs w:val="18"/>
                <w:color w:val="auto"/>
                <w:w w:val="97"/>
              </w:rPr>
              <w:t>(13,354)</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(62,853)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w w:val="97"/>
              </w:rPr>
              <w:t>(15,772)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(32,321)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(27,453)</w:t>
            </w:r>
          </w:p>
        </w:tc>
        <w:tc>
          <w:tcPr>
            <w:tcW w:w="3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(21,891)</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43"/>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3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363"/>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F-44</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(the Agreement) with Kowa Pharmaceuticals America, Inc. related to the commercialization of Vascepa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exchange for Kowa Pharmaceuticals America, Inc.’s co-promotional services, Kowa Pharmaceuticals America, Inc. is entitled to a quarterly co-promotion fee based on aggregate Vascepa gross margin that increases during the term. The percentage of aggregate Vascepa gross margin earned by Kowa Pharmaceuticals America, Inc. was fifteen percent (15%) in 2015, was nineteen percent (19%) in 2016, and is scheduled to increase to low twenty percent levels in 2017 and 2018, subject to certain adjustments.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up to three years of co-promotion tail royalties equal to declining percentages of the co-promotion fee earned prior to agreement expiration.</w:t>
      </w:r>
    </w:p>
    <w:p>
      <w:pPr>
        <w:spacing w:after="0" w:line="13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As of both December 31, 2016 and 2015, the Company had a net payable of $2.5 million to Kowa Pharmaceuticals America, Inc. representing co-promotion fees payable to Kowa Pharmaceuticals America, Inc. net of reimbursable amounts incurred for samples and other marketing expenses.</w:t>
      </w:r>
    </w:p>
    <w:p>
      <w:pPr>
        <w:spacing w:after="0" w:line="199"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Commercialization and Supply Agreements</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3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03"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Company and Eddingpharm agreed to form a joint development committee to oversee regulatory and development activities for Vascepa in the China Territory in accordance with a negotiated development plan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00"/>
          </w:cols>
          <w:pgMar w:left="240" w:top="455" w:right="2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received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w:t>
      </w:r>
    </w:p>
    <w:p>
      <w:pPr>
        <w:spacing w:after="0" w:line="141"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w:t>
      </w:r>
    </w:p>
    <w:p>
      <w:pPr>
        <w:spacing w:after="0" w:line="3"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auto"/>
        </w:rPr>
        <w:t>$5.0 million to $50.0 million for a total of $120.0 million.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0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March 8,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payments based on product sales at an agreed-upon transfer price, which represents a percentage of gross selling price, subject to a minimum floor price.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Licensing and deferred revenues currently consist of revenue attributable to receipt of up-front, non-refundable payments and milestone payments related to the Eddingpharm and Biologix agreements. Up-front and milestone payments under such agreements are typically recognized as licensing revenue over the estimated period in which the Company is required to provide regulatory and development support and clinical and commercial supply pursuant to the agreements. During the years ended December 31, 2016 and 2015, the Company recognized $1.1 million and $0.8 million of up-front and milestone payments as licensing revenue in connection with the Eddingpharm DCS Agreement, respectively, and recorded $15.1 million as deferred revenue as of December 31, 2016.</w:t>
      </w:r>
    </w:p>
    <w:p>
      <w:pPr>
        <w:spacing w:after="0" w:line="187" w:lineRule="exact"/>
        <w:rPr>
          <w:sz w:val="20"/>
          <w:szCs w:val="20"/>
          <w:color w:val="auto"/>
        </w:rPr>
      </w:pPr>
    </w:p>
    <w:p>
      <w:pPr>
        <w:ind w:left="480" w:hanging="472"/>
        <w:spacing w:after="0"/>
        <w:tabs>
          <w:tab w:leader="none" w:pos="4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from December 31, 2016 through the date of the issuance of these consolidated financial statements.</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On January 19, 2017, holders of the 2012 Notes exercised their option to put the 2012 Notes to the Company at a price equal to 100% of the principal amount of the 2012 Notes to be repurchased, plus accrued and unpaid interest to, but excluding, the repurchase date. As a result, the Company repurchased approximately $15.0 million in aggregate principal amount of 2012 Notes, such that $0.1 million in principal amount of 2012 Notes remains outstanding.</w:t>
      </w:r>
    </w:p>
    <w:p>
      <w:pPr>
        <w:spacing w:after="0" w:line="13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contemplation of this surrender of 2012 Notes for repurchase, on January 20, 2017, the Company and its wholly owned subsidiary, Corsicanto II Designated Activity Company (“Corsicanto II”), entered into separate, privately negotiated purchase agreements with certain investors pursuant to which the Corsicanto II issued and sold $30.0 million in aggregate principal amount of 3.5% Exchangeable Senior Notes due 2047 (the “2017 Notes”), which are guaranteed by the Company, at an issue price of 100%. The transaction closed on January 25, 2017.</w:t>
      </w:r>
    </w:p>
    <w:p>
      <w:pPr>
        <w:spacing w:after="0" w:line="136"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The 2017 Notes will be issued pursuant to an Indenture (the “Indenture”), to be entered into by the Company, Corsicanto II and Wilmington Trust, National Association, as trustee (the “Trustee”). The 2017 Notes will be the senior unsecured obligations of Corsicanto II and will be guaranteed by the Company. The 2017 Notes will bear interest at a rate of 3.5% per annum from, and including, January 25, 2017, payable semi-annually in arrears on January 15 and July 15 of each year, beginning on July 15, 2017. The 2017 Notes will mature on January 15, 2047, unless earlier repurchased, redeemed or exchanged.</w:t>
      </w:r>
    </w:p>
    <w:p>
      <w:pPr>
        <w:spacing w:after="0" w:line="1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3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exchange rate will initially be 257.2016 ADSs per $1,000 principal amount of the 2017 Notes (equivalent to an initial exchange price of approximately $3.89 per ADS),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based on the initial exchange rate.</w:t>
      </w:r>
    </w:p>
    <w:p>
      <w:pPr>
        <w:spacing w:after="0" w:line="108"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Prior to January 19, 2021, Corsicanto II may not redeem the 2017 Notes at its option other than in connection with certain changes in the tax law of a relevant taxing jurisdiction that results in additional amounts (as defined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80"/>
          </w:cols>
          <w:pgMar w:left="240" w:top="456" w:right="2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4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net proceeds from the offering were approximately $28.9 million after deducting placement agent fees and estimated offering expenses payable by the Company. A portion of the net proceeds from the offering replenished approximately $15.0 million of cash on hand that the Company used to purchase substantially all of the 2012 Notes. The Company anticipates that it will use the remainder of the net proceeds from the offering for general corporate and working capital purposes.</w:t>
      </w:r>
    </w:p>
    <w:p>
      <w:pPr>
        <w:spacing w:after="0" w:line="136" w:lineRule="exact"/>
        <w:rPr>
          <w:sz w:val="20"/>
          <w:szCs w:val="20"/>
          <w:color w:val="auto"/>
        </w:rPr>
      </w:pPr>
    </w:p>
    <w:p>
      <w:pPr>
        <w:jc w:val="center"/>
        <w:ind w:right="540"/>
        <w:spacing w:after="0" w:line="447" w:lineRule="auto"/>
        <w:rPr>
          <w:sz w:val="20"/>
          <w:szCs w:val="20"/>
          <w:color w:val="auto"/>
        </w:rPr>
      </w:pPr>
      <w:r>
        <w:rPr>
          <w:rFonts w:ascii="Times New Roman" w:cs="Times New Roman" w:eastAsia="Times New Roman" w:hAnsi="Times New Roman"/>
          <w:sz w:val="18"/>
          <w:szCs w:val="18"/>
          <w:color w:val="auto"/>
        </w:rPr>
        <w:t>The Company has initiated the process to redeem the remaining $0.1 million of 2012 Notes, which is expected to be completed in the first quarter of 2017. F-48</w:t>
      </w:r>
    </w:p>
    <w:p>
      <w:pPr>
        <w:sectPr>
          <w:pgSz w:w="11900" w:h="16838" w:orient="portrait"/>
          <w:cols w:equalWidth="0" w:num="1">
            <w:col w:w="11420"/>
          </w:cols>
          <w:pgMar w:left="240" w:top="455" w:right="2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10.55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LEASE AMENDMENT</w:t>
      </w:r>
    </w:p>
    <w:p>
      <w:pPr>
        <w:spacing w:after="0" w:line="225" w:lineRule="exact"/>
        <w:rPr>
          <w:sz w:val="20"/>
          <w:szCs w:val="20"/>
          <w:color w:val="auto"/>
        </w:rPr>
      </w:pPr>
    </w:p>
    <w:p>
      <w:pPr>
        <w:jc w:val="both"/>
        <w:ind w:right="480" w:firstLine="456"/>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LEASE AMENDMENT</w:t>
      </w:r>
      <w:r>
        <w:rPr>
          <w:rFonts w:ascii="Times New Roman" w:cs="Times New Roman" w:eastAsia="Times New Roman" w:hAnsi="Times New Roman"/>
          <w:sz w:val="18"/>
          <w:szCs w:val="18"/>
          <w:color w:val="auto"/>
        </w:rPr>
        <w:t xml:space="preserve"> (this “Amendment”) is made as of the 27th day of December 2016, by and between </w:t>
      </w:r>
      <w:r>
        <w:rPr>
          <w:rFonts w:ascii="Times New Roman" w:cs="Times New Roman" w:eastAsia="Times New Roman" w:hAnsi="Times New Roman"/>
          <w:sz w:val="18"/>
          <w:szCs w:val="18"/>
          <w:b w:val="1"/>
          <w:bCs w:val="1"/>
          <w:color w:val="auto"/>
        </w:rPr>
        <w:t>BEDMINSTER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FUNDING, LLC</w:t>
      </w:r>
      <w:r>
        <w:rPr>
          <w:rFonts w:ascii="Times New Roman" w:cs="Times New Roman" w:eastAsia="Times New Roman" w:hAnsi="Times New Roman"/>
          <w:sz w:val="18"/>
          <w:szCs w:val="18"/>
          <w:color w:val="auto"/>
        </w:rPr>
        <w:t>, having an office at c/o Advance Realty, 1041 U.S. Highway 202-206, Bridgewater, New Jersey 08807 (“Landlord”), and</w:t>
      </w:r>
      <w:r>
        <w:rPr>
          <w:rFonts w:ascii="Times New Roman" w:cs="Times New Roman" w:eastAsia="Times New Roman" w:hAnsi="Times New Roman"/>
          <w:sz w:val="18"/>
          <w:szCs w:val="18"/>
          <w:b w:val="1"/>
          <w:bCs w:val="1"/>
          <w:color w:val="auto"/>
        </w:rPr>
        <w:t xml:space="preserve"> AMARIN PHARMA INC.</w:t>
      </w:r>
      <w:r>
        <w:rPr>
          <w:rFonts w:ascii="Times New Roman" w:cs="Times New Roman" w:eastAsia="Times New Roman" w:hAnsi="Times New Roman"/>
          <w:sz w:val="18"/>
          <w:szCs w:val="18"/>
          <w:color w:val="auto"/>
        </w:rPr>
        <w:t>, having an office at 1430 Route 206, Bedminster, New Jersey 07921 (“Tenant”).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220" w:firstLine="464"/>
        <w:spacing w:after="0" w:line="258" w:lineRule="auto"/>
        <w:tabs>
          <w:tab w:leader="none" w:pos="8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a Lease Agreement dated as of April 1, 2013, as modified by a Second Amendment to Lease and Partial Surrender and Early Termination Agreement (the “Second Amendment”) dated January 23, 2014 and Third Amendment to Lease and Partial Surrender and Early Termination Agreement (the “Third Amendment”) dated April 3, 2014 (collectively, the “Lease”), pursuant to which Tenant currently leases 21,231 rentable square feet of space (the “Existing Premises”) on the first and second floors of the building located 1430 Route 206, Bedminster, New Jersey (the “Building”);</w:t>
      </w:r>
    </w:p>
    <w:p>
      <w:pPr>
        <w:spacing w:after="0" w:line="183" w:lineRule="exact"/>
        <w:rPr>
          <w:rFonts w:ascii="Times New Roman" w:cs="Times New Roman" w:eastAsia="Times New Roman" w:hAnsi="Times New Roman"/>
          <w:sz w:val="18"/>
          <w:szCs w:val="18"/>
          <w:color w:val="auto"/>
        </w:rPr>
      </w:pPr>
    </w:p>
    <w:p>
      <w:pPr>
        <w:ind w:right="360" w:firstLine="464"/>
        <w:spacing w:after="0" w:line="282" w:lineRule="auto"/>
        <w:tabs>
          <w:tab w:leader="none" w:pos="80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existence of the aforementioned Second Amendment and Third Amendment, Landlord and Tenant acknowledge that they have not executed a document entitled “First Amendment”, nor does a “First Amendment” to the Lease exist;</w:t>
      </w:r>
    </w:p>
    <w:p>
      <w:pPr>
        <w:spacing w:after="0" w:line="161" w:lineRule="exact"/>
        <w:rPr>
          <w:rFonts w:ascii="Times New Roman" w:cs="Times New Roman" w:eastAsia="Times New Roman" w:hAnsi="Times New Roman"/>
          <w:sz w:val="18"/>
          <w:szCs w:val="18"/>
          <w:color w:val="auto"/>
        </w:rPr>
      </w:pPr>
    </w:p>
    <w:p>
      <w:pPr>
        <w:jc w:val="both"/>
        <w:ind w:right="200" w:firstLine="464"/>
        <w:spacing w:after="0" w:line="266" w:lineRule="auto"/>
        <w:tabs>
          <w:tab w:leader="none" w:pos="80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amend the Lease to (i) provide for Tenant’s lease from Landlord of an additional 732 rentable square feet of space on the first floor of the Building, as shown on Exhibit A attached hereto and made a part hereof (the “Expansion Premises”) subject to the terms, covenants and conditions set forth below; and (ii) to otherwise modify the Lease as set forth herein.</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acknowledged by Landlord and Tenant, the parties hereto mutually covenant and agree as follows:</w:t>
      </w:r>
    </w:p>
    <w:p>
      <w:pPr>
        <w:spacing w:after="0" w:line="162" w:lineRule="exact"/>
        <w:rPr>
          <w:sz w:val="20"/>
          <w:szCs w:val="20"/>
          <w:color w:val="auto"/>
        </w:rPr>
      </w:pPr>
    </w:p>
    <w:p>
      <w:pPr>
        <w:ind w:left="760" w:hanging="296"/>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not defined herein shall have the meaning ascribed them in the Lease.</w:t>
      </w:r>
    </w:p>
    <w:p>
      <w:pPr>
        <w:spacing w:after="0" w:line="225" w:lineRule="exact"/>
        <w:rPr>
          <w:rFonts w:ascii="Times New Roman" w:cs="Times New Roman" w:eastAsia="Times New Roman" w:hAnsi="Times New Roman"/>
          <w:sz w:val="18"/>
          <w:szCs w:val="18"/>
          <w:color w:val="auto"/>
        </w:rPr>
      </w:pPr>
    </w:p>
    <w:p>
      <w:pPr>
        <w:ind w:right="440" w:firstLine="464"/>
        <w:spacing w:after="0" w:line="282" w:lineRule="auto"/>
        <w:tabs>
          <w:tab w:leader="none" w:pos="7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Commencement Date” shall mean the date Landlord delivers to Tenant vacant possession of the Expansion Premises with all existing furniture, fixtures and equipment removed by Landlord at Landlord’s sole cost and expense, estimated to be on or about January 1, 2017.</w:t>
      </w:r>
    </w:p>
    <w:p>
      <w:pPr>
        <w:sectPr>
          <w:pgSz w:w="11900" w:h="16838" w:orient="portrait"/>
          <w:cols w:equalWidth="0" w:num="1">
            <w:col w:w="11420"/>
          </w:cols>
          <w:pgMar w:left="240" w:top="117" w:right="239" w:bottom="1440" w:gutter="0" w:footer="0" w:header="0"/>
        </w:sectPr>
      </w:pPr>
    </w:p>
    <w:bookmarkStart w:id="171" w:name="page172"/>
    <w:bookmarkEnd w:id="171"/>
    <w:p>
      <w:pPr>
        <w:jc w:val="both"/>
        <w:ind w:left="-120" w:right="140" w:firstLine="464"/>
        <w:spacing w:after="0" w:line="266" w:lineRule="auto"/>
        <w:tabs>
          <w:tab w:leader="none" w:pos="6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as of the Expansion Commencement Date, Landlord leases to Tenant and Tenant leases from Landlord, subject to the terms, covenants and conditions contained in the Lease and this Amendment, the Expansion Premises. Effective as of the Expansion Commencement Date, the Premises, as defined in the Lease, shall include the Expansion Premises and the Existing Premises, and:</w:t>
      </w:r>
    </w:p>
    <w:p>
      <w:pPr>
        <w:spacing w:after="0" w:line="176" w:lineRule="exact"/>
        <w:rPr>
          <w:rFonts w:ascii="Times New Roman" w:cs="Times New Roman" w:eastAsia="Times New Roman" w:hAnsi="Times New Roman"/>
          <w:sz w:val="18"/>
          <w:szCs w:val="18"/>
          <w:color w:val="auto"/>
        </w:rPr>
      </w:pPr>
    </w:p>
    <w:p>
      <w:pPr>
        <w:ind w:left="1100" w:hanging="299"/>
        <w:spacing w:after="0"/>
        <w:tabs>
          <w:tab w:leader="none" w:pos="11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shall consist of 21,963 rentable square feet.</w:t>
      </w:r>
    </w:p>
    <w:p>
      <w:pPr>
        <w:spacing w:after="0" w:line="225"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to Landlord Base Rent as follows:</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Lease Years</w:t>
            </w:r>
          </w:p>
        </w:tc>
        <w:tc>
          <w:tcPr>
            <w:tcW w:w="3280" w:type="dxa"/>
            <w:vAlign w:val="bottom"/>
            <w:vMerge w:val="restart"/>
          </w:tcPr>
          <w:p>
            <w:pPr>
              <w:jc w:val="center"/>
              <w:ind w:left="1656"/>
              <w:spacing w:after="0"/>
              <w:rPr>
                <w:sz w:val="20"/>
                <w:szCs w:val="20"/>
                <w:color w:val="auto"/>
              </w:rPr>
            </w:pPr>
            <w:r>
              <w:rPr>
                <w:rFonts w:ascii="Times New Roman" w:cs="Times New Roman" w:eastAsia="Times New Roman" w:hAnsi="Times New Roman"/>
                <w:sz w:val="14"/>
                <w:szCs w:val="14"/>
                <w:color w:val="auto"/>
              </w:rPr>
              <w:t>Annual</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Monthly</w:t>
            </w:r>
          </w:p>
        </w:tc>
        <w:tc>
          <w:tcPr>
            <w:tcW w:w="460" w:type="dxa"/>
            <w:vAlign w:val="bottom"/>
          </w:tcPr>
          <w:p>
            <w:pPr>
              <w:spacing w:after="0"/>
              <w:rPr>
                <w:sz w:val="13"/>
                <w:szCs w:val="13"/>
                <w:color w:val="auto"/>
              </w:rPr>
            </w:pP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Base Rent Per</w:t>
            </w:r>
          </w:p>
        </w:tc>
        <w:tc>
          <w:tcPr>
            <w:tcW w:w="0" w:type="dxa"/>
            <w:vAlign w:val="bottom"/>
          </w:tcPr>
          <w:p>
            <w:pPr>
              <w:spacing w:after="0"/>
              <w:rPr>
                <w:sz w:val="1"/>
                <w:szCs w:val="1"/>
                <w:color w:val="auto"/>
              </w:rPr>
            </w:pPr>
          </w:p>
        </w:tc>
      </w:tr>
      <w:tr>
        <w:trPr>
          <w:trHeight w:val="171"/>
        </w:trPr>
        <w:tc>
          <w:tcPr>
            <w:tcW w:w="324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Rentable Square Foot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1/1/17 – 4/30/17</w:t>
            </w:r>
          </w:p>
        </w:tc>
        <w:tc>
          <w:tcPr>
            <w:tcW w:w="3280" w:type="dxa"/>
            <w:vAlign w:val="bottom"/>
            <w:shd w:val="clear" w:color="auto" w:fill="CCEEFF"/>
          </w:tcPr>
          <w:p>
            <w:pPr>
              <w:jc w:val="center"/>
              <w:ind w:left="1656"/>
              <w:spacing w:after="0"/>
              <w:rPr>
                <w:sz w:val="20"/>
                <w:szCs w:val="20"/>
                <w:color w:val="auto"/>
              </w:rPr>
            </w:pPr>
            <w:r>
              <w:rPr>
                <w:rFonts w:ascii="Times New Roman" w:cs="Times New Roman" w:eastAsia="Times New Roman" w:hAnsi="Times New Roman"/>
                <w:sz w:val="18"/>
                <w:szCs w:val="18"/>
                <w:color w:val="auto"/>
                <w:w w:val="99"/>
              </w:rPr>
              <w:t>$614,964.00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$51,247.00</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5/1/17 – 4/30/18</w:t>
            </w:r>
          </w:p>
        </w:tc>
        <w:tc>
          <w:tcPr>
            <w:tcW w:w="3280" w:type="dxa"/>
            <w:vAlign w:val="bottom"/>
          </w:tcPr>
          <w:p>
            <w:pPr>
              <w:jc w:val="center"/>
              <w:ind w:left="1656"/>
              <w:spacing w:after="0"/>
              <w:rPr>
                <w:sz w:val="20"/>
                <w:szCs w:val="20"/>
                <w:color w:val="auto"/>
              </w:rPr>
            </w:pPr>
            <w:r>
              <w:rPr>
                <w:rFonts w:ascii="Times New Roman" w:cs="Times New Roman" w:eastAsia="Times New Roman" w:hAnsi="Times New Roman"/>
                <w:sz w:val="18"/>
                <w:szCs w:val="18"/>
                <w:color w:val="auto"/>
                <w:w w:val="99"/>
              </w:rPr>
              <w:t>$625,945.56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$52,162.13</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120" w:hanging="319"/>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Proportionate Share” shall mean 71.92%.</w:t>
      </w:r>
    </w:p>
    <w:p>
      <w:pPr>
        <w:spacing w:after="0" w:line="225" w:lineRule="exact"/>
        <w:rPr>
          <w:rFonts w:ascii="Times New Roman" w:cs="Times New Roman" w:eastAsia="Times New Roman" w:hAnsi="Times New Roman"/>
          <w:sz w:val="18"/>
          <w:szCs w:val="18"/>
          <w:color w:val="auto"/>
        </w:rPr>
      </w:pPr>
    </w:p>
    <w:p>
      <w:pPr>
        <w:ind w:left="1100" w:hanging="299"/>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entitled to eighty-eight (88) Parking Permits.</w:t>
      </w:r>
    </w:p>
    <w:p>
      <w:pPr>
        <w:spacing w:after="0" w:line="225" w:lineRule="exact"/>
        <w:rPr>
          <w:sz w:val="20"/>
          <w:szCs w:val="20"/>
          <w:color w:val="auto"/>
        </w:rPr>
      </w:pPr>
    </w:p>
    <w:p>
      <w:pPr>
        <w:ind w:left="-120" w:right="220" w:firstLine="464"/>
        <w:spacing w:after="0" w:line="282" w:lineRule="auto"/>
        <w:tabs>
          <w:tab w:leader="none" w:pos="6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to the Expansion Commencement Date, Landlord shall, at Landlord’s sole cost and expense, remove all existing furniture, fixtures and equipment presently located in the Expansion Premises and repair any damage caused by such removal (“Landlord’s Work”).</w:t>
      </w:r>
    </w:p>
    <w:p>
      <w:pPr>
        <w:spacing w:after="0" w:line="161" w:lineRule="exact"/>
        <w:rPr>
          <w:rFonts w:ascii="Times New Roman" w:cs="Times New Roman" w:eastAsia="Times New Roman" w:hAnsi="Times New Roman"/>
          <w:sz w:val="18"/>
          <w:szCs w:val="18"/>
          <w:color w:val="auto"/>
        </w:rPr>
      </w:pPr>
    </w:p>
    <w:p>
      <w:pPr>
        <w:ind w:left="-120" w:firstLine="921"/>
        <w:spacing w:after="0" w:line="266" w:lineRule="auto"/>
        <w:tabs>
          <w:tab w:leader="none" w:pos="113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its sole cost and subject to Landlord’s approval where required by the Lease (which approval shall not be unreasonably withheld, delayed or conditioned), shall have the right to perform any Alterations (including, but not limited to, joining the Expansion Premises with the Existing Premises by opening the common wall, paint, carpet and installation of furniture and associated wiring/cabling).</w:t>
      </w:r>
    </w:p>
    <w:p>
      <w:pPr>
        <w:spacing w:after="0" w:line="176" w:lineRule="exact"/>
        <w:rPr>
          <w:rFonts w:ascii="Times New Roman" w:cs="Times New Roman" w:eastAsia="Times New Roman" w:hAnsi="Times New Roman"/>
          <w:sz w:val="18"/>
          <w:szCs w:val="18"/>
          <w:color w:val="auto"/>
        </w:rPr>
      </w:pPr>
    </w:p>
    <w:p>
      <w:pPr>
        <w:ind w:left="-120" w:right="100" w:firstLine="464"/>
        <w:spacing w:after="0" w:line="256" w:lineRule="auto"/>
        <w:tabs>
          <w:tab w:leader="none" w:pos="6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expressly set forth herein or in the Lease, neither Landlord nor Landlord’s agents have made any representations or promises with respect to the physical condition of the Expansion Premises, the Building, the land upon which it is erected, the rents, leases, expenses of operation or any other matter or thing affecting or related to the Expansion Premises, and no rights, easements or licenses are acquired by Tenant by implication or otherwise except as expressly set forth in the provisions of this Amendment or in the Lease. Tenant has inspected the Expansion Premises and the Building and is thoroughly acquainted with their condition and, except for the completion of Landlord’s Work in accordance with the provisions of this Amendment, agrees to take the same “as is”.</w:t>
      </w:r>
    </w:p>
    <w:p>
      <w:pPr>
        <w:spacing w:after="0" w:line="187" w:lineRule="exact"/>
        <w:rPr>
          <w:rFonts w:ascii="Times New Roman" w:cs="Times New Roman" w:eastAsia="Times New Roman" w:hAnsi="Times New Roman"/>
          <w:sz w:val="18"/>
          <w:szCs w:val="18"/>
          <w:color w:val="auto"/>
        </w:rPr>
      </w:pPr>
    </w:p>
    <w:p>
      <w:pPr>
        <w:ind w:left="-120" w:right="40" w:firstLine="464"/>
        <w:spacing w:after="0" w:line="255" w:lineRule="auto"/>
        <w:tabs>
          <w:tab w:leader="none" w:pos="6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each warrant to the other that it has not employed or dealt with any broker, agent or finder, in connection with this Amendment other than Colliers International NJ, LLC (“Broker”). Tenant shall indemnify, defend and hold harmless Landlord and Landlord’s Agents from and against any claims, demands, liabilities, causes of action, suits, judgments, damages and expenses (including litigation costs and attorneys’ fees) for brokerage or other commissions asserted by any broker, agent or finder employed by Tenant or Tenant’s Agents or with whom Tenant or Tenant’s Agents have dealt (whether directly or indirectly, in whole or in part), other than Broker, such indemnification obligation to survive the Expiration Date or earlier termination of the Lease. Landlord shall indemnify, defend and hold harmless Tenant and Tenant’s Agents from and against any claims, demands, liabilities, causes of action, suits, judgments, damages and expenses (including litigation costs and reasonable attorneys’ fees) for brokerage or other commissions asserted by any broker, agent or finder employed by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60" w:top="270" w:right="359" w:bottom="1440" w:gutter="0" w:footer="0" w:header="0"/>
        </w:sectPr>
      </w:pPr>
    </w:p>
    <w:bookmarkStart w:id="172" w:name="page173"/>
    <w:bookmarkEnd w:id="172"/>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or with whom Landlord has dealt (whether directly or indirectly, in whole or in part), such indemnification obligation to survive the Expiration Date or earlier termination of the Lease. Landlord shall pay a commission to Broker pursuant to a separate written agreement between Landlord and Broker.</w:t>
      </w:r>
    </w:p>
    <w:p>
      <w:pPr>
        <w:spacing w:after="0" w:line="162" w:lineRule="exact"/>
        <w:rPr>
          <w:sz w:val="20"/>
          <w:szCs w:val="20"/>
          <w:color w:val="auto"/>
        </w:rPr>
      </w:pPr>
    </w:p>
    <w:p>
      <w:pPr>
        <w:ind w:right="100" w:firstLine="464"/>
        <w:spacing w:after="0" w:line="258" w:lineRule="auto"/>
        <w:tabs>
          <w:tab w:leader="none" w:pos="7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that it is the sole owner and holder of the Tenant’s interest in the Lease, and it has not assigned, mortgaged, hypothecated, sublet, or otherwise alienated all or any part of its interest in the Lease or the Premises. The Lease is in full force and effect and is enforceable in accordance with its terms. Tenant has no claim, action or right of setoff against Landlord arising out of the Lease or Tenant’s occupancy. Tenant represents that there has been no default on the part of Landlord or Tenant under the Lease, nor has any event or condition occurred that after the giving of notice or lapse of time would constitute an event of default on the part of Landlord or Tenant under the Lease.</w:t>
      </w:r>
    </w:p>
    <w:p>
      <w:pPr>
        <w:spacing w:after="0" w:line="183" w:lineRule="exact"/>
        <w:rPr>
          <w:rFonts w:ascii="Times New Roman" w:cs="Times New Roman" w:eastAsia="Times New Roman" w:hAnsi="Times New Roman"/>
          <w:sz w:val="18"/>
          <w:szCs w:val="18"/>
          <w:color w:val="auto"/>
        </w:rPr>
      </w:pPr>
    </w:p>
    <w:p>
      <w:pPr>
        <w:ind w:right="560" w:firstLine="464"/>
        <w:spacing w:after="0" w:line="282" w:lineRule="auto"/>
        <w:tabs>
          <w:tab w:leader="none" w:pos="7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represent and warrant to each other that each has full right and authority to enter into this Amendment and that the person signing this Amendment on behalf of Landlord and Tenant respectively has the requisite authority for such act.</w:t>
      </w:r>
    </w:p>
    <w:p>
      <w:pPr>
        <w:spacing w:after="0" w:line="161" w:lineRule="exact"/>
        <w:rPr>
          <w:rFonts w:ascii="Times New Roman" w:cs="Times New Roman" w:eastAsia="Times New Roman" w:hAnsi="Times New Roman"/>
          <w:sz w:val="18"/>
          <w:szCs w:val="18"/>
          <w:color w:val="auto"/>
        </w:rPr>
      </w:pPr>
    </w:p>
    <w:p>
      <w:pPr>
        <w:ind w:firstLine="464"/>
        <w:spacing w:after="0" w:line="266" w:lineRule="auto"/>
        <w:tabs>
          <w:tab w:leader="none" w:pos="7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other terms, conditions, covenants, conditions and agreements as set forth in the Lease remain unchanged and in full force and effect, and the parties hereto ratify and reconfirm the Lease. In the event of any conflicts or inconsistencies between the provisions of this Amendment and the provisions of the Lease, the provisions of this Amendment shall control.</w:t>
      </w:r>
    </w:p>
    <w:p>
      <w:pPr>
        <w:spacing w:after="0" w:line="176" w:lineRule="exact"/>
        <w:rPr>
          <w:rFonts w:ascii="Times New Roman" w:cs="Times New Roman" w:eastAsia="Times New Roman" w:hAnsi="Times New Roman"/>
          <w:sz w:val="18"/>
          <w:szCs w:val="18"/>
          <w:color w:val="auto"/>
        </w:rPr>
      </w:pPr>
    </w:p>
    <w:p>
      <w:pPr>
        <w:ind w:right="40" w:firstLine="464"/>
        <w:spacing w:after="0" w:line="282" w:lineRule="auto"/>
        <w:tabs>
          <w:tab w:leader="none" w:pos="8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deemed to be an original, and all such counterparts shall constitute one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left intentionally blank – Signature page to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as of the date first above written.</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LANDLORD:</w:t>
      </w:r>
    </w:p>
    <w:p>
      <w:pPr>
        <w:spacing w:after="0" w:line="2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BEDMINSTER 2 FUNDING, LLC,</w:t>
      </w:r>
    </w:p>
    <w:p>
      <w:pPr>
        <w:spacing w:after="0" w:line="270"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By: Advance Realty Development, LLC, it’s sole member</w:t>
      </w:r>
    </w:p>
    <w:p>
      <w:pPr>
        <w:spacing w:after="0" w:line="266"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R. Padavano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Kurt R. Padavano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TENANT:</w:t>
      </w:r>
    </w:p>
    <w:p>
      <w:pPr>
        <w:spacing w:after="0" w:line="26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AMARIN PHARMA INC.</w:t>
      </w:r>
    </w:p>
    <w:p>
      <w:pPr>
        <w:spacing w:after="0" w:line="270"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John F. Thero</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President &amp; CEO</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0" w:right="2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179070</wp:posOffset>
            </wp:positionV>
            <wp:extent cx="6089015" cy="5231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89015" cy="523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019"/>
          </w:cols>
          <w:pgMar w:left="1440" w:top="266"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766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Jurisdiction</w:t>
            </w:r>
          </w:p>
        </w:tc>
        <w:tc>
          <w:tcPr>
            <w:tcW w:w="20" w:type="dxa"/>
            <w:vAlign w:val="bottom"/>
          </w:tcPr>
          <w:p>
            <w:pPr>
              <w:spacing w:after="0"/>
              <w:rPr>
                <w:sz w:val="14"/>
                <w:szCs w:val="14"/>
                <w:color w:val="auto"/>
              </w:rPr>
            </w:pPr>
          </w:p>
        </w:tc>
      </w:tr>
      <w:tr>
        <w:trPr>
          <w:trHeight w:val="195"/>
        </w:trPr>
        <w:tc>
          <w:tcPr>
            <w:tcW w:w="80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Amarin Pharmaceuticals Ireland Limited</w:t>
            </w:r>
          </w:p>
        </w:tc>
        <w:tc>
          <w:tcPr>
            <w:tcW w:w="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6"/>
                <w:szCs w:val="16"/>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Neuroscience Limited</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Scotland</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Corsicanto Designated Activity Company (formerly Corsicanto Limited)</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Corsicanto II Designated Activity Company</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2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bl>
    <w:p>
      <w:pPr>
        <w:sectPr>
          <w:pgSz w:w="11900" w:h="16838" w:orient="portrait"/>
          <w:cols w:equalWidth="0" w:num="1">
            <w:col w:w="11420"/>
          </w:cols>
          <w:pgMar w:left="240" w:top="123" w:right="2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90"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F-1 No. 333-163704) of Amarin Corporation plc,</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333-197936) of Amarin Corporation plc,</w:t>
      </w:r>
    </w:p>
    <w:p>
      <w:pPr>
        <w:spacing w:after="0" w:line="90"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333-146839, 333-143358, 333-132520, 333-110704, 333-101775, and 333-168055) pertaining to the 2002 Stock Option Plan of Amarin Corporation plc,</w:t>
      </w:r>
    </w:p>
    <w:p>
      <w:pPr>
        <w:spacing w:after="0" w:line="38" w:lineRule="exact"/>
        <w:rPr>
          <w:rFonts w:ascii="Times New Roman" w:cs="Times New Roman" w:eastAsia="Times New Roman" w:hAnsi="Times New Roman"/>
          <w:sz w:val="18"/>
          <w:szCs w:val="18"/>
          <w:color w:val="auto"/>
        </w:rPr>
      </w:pPr>
    </w:p>
    <w:p>
      <w:pPr>
        <w:ind w:left="460" w:right="420" w:hanging="452"/>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333-168054) pertaining to the 2008 Long Term Incentive Award dated May 20, 2008 issued to Mr. Tom Maher, Mr. Alan Cooke, and Dr. Declan Doogan of Amarin Corporation plc,</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Nos. 333-176877, 333-183160, and 333-205863) pertaining to the 2011 Stock Incentive Plan of Amarin Corporation plc,</w:t>
      </w:r>
    </w:p>
    <w:p>
      <w:pPr>
        <w:spacing w:after="0" w:line="113"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333-180180) pertaining to the Employment Inducement Award of Amarin Corporation plc,</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333-84152),</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333-203312) of Amarin Corporation plc,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333-205861) of Amarin Corporation plc;</w:t>
      </w:r>
    </w:p>
    <w:p>
      <w:pPr>
        <w:spacing w:after="0" w:line="171"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of our reports dated March 1, 2017, with respect to the consolidated financial statements of Amarin Corporation plc, and the effectiveness of internal control over financial reporting of Amarin Corporation plc included in this Annual Report (Form 10-K) of Amarin Corporation plc for the year ended December 31, 2016.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2017</w:t>
      </w:r>
    </w:p>
    <w:p>
      <w:pPr>
        <w:sectPr>
          <w:pgSz w:w="11900" w:h="16838" w:orient="portrait"/>
          <w:cols w:equalWidth="0" w:num="1">
            <w:col w:w="11420"/>
          </w:cols>
          <w:pgMar w:left="240" w:top="123"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260" w:hanging="446"/>
        <w:spacing w:after="0" w:line="262" w:lineRule="auto"/>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Date: March 1, 2017</w:t>
      </w:r>
      <w:r>
        <w:rPr>
          <w:sz w:val="20"/>
          <w:szCs w:val="20"/>
          <w:color w:val="auto"/>
        </w:rPr>
        <w:tab/>
      </w:r>
      <w:r>
        <w:rPr>
          <w:rFonts w:ascii="Times New Roman" w:cs="Times New Roman" w:eastAsia="Times New Roman" w:hAnsi="Times New Roman"/>
          <w:sz w:val="16"/>
          <w:szCs w:val="16"/>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8246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color w:val="auto"/>
        </w:rPr>
        <w:t>John F. Thero</w:t>
      </w:r>
    </w:p>
    <w:p>
      <w:pPr>
        <w:spacing w:after="0" w:line="21"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90"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2017</w:t>
            </w:r>
          </w:p>
        </w:tc>
        <w:tc>
          <w:tcPr>
            <w:tcW w:w="6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7"/>
              </w:rPr>
              <w:t>/s/ Michael W. Kalb</w:t>
            </w:r>
          </w:p>
        </w:tc>
      </w:tr>
      <w:tr>
        <w:trPr>
          <w:trHeight w:val="196"/>
        </w:trPr>
        <w:tc>
          <w:tcPr>
            <w:tcW w:w="5180" w:type="dxa"/>
            <w:vAlign w:val="bottom"/>
          </w:tcPr>
          <w:p>
            <w:pPr>
              <w:spacing w:after="0"/>
              <w:rPr>
                <w:sz w:val="17"/>
                <w:szCs w:val="17"/>
                <w:color w:val="auto"/>
              </w:rPr>
            </w:pPr>
          </w:p>
        </w:tc>
        <w:tc>
          <w:tcPr>
            <w:tcW w:w="6240" w:type="dxa"/>
            <w:vAlign w:val="bottom"/>
          </w:tcPr>
          <w:p>
            <w:pPr>
              <w:jc w:val="center"/>
              <w:ind w:left="112"/>
              <w:spacing w:after="0" w:line="196" w:lineRule="exact"/>
              <w:rPr>
                <w:sz w:val="20"/>
                <w:szCs w:val="20"/>
                <w:color w:val="auto"/>
              </w:rPr>
            </w:pPr>
            <w:r>
              <w:rPr>
                <w:rFonts w:ascii="Times New Roman" w:cs="Times New Roman" w:eastAsia="Times New Roman" w:hAnsi="Times New Roman"/>
                <w:sz w:val="18"/>
                <w:szCs w:val="18"/>
                <w:color w:val="auto"/>
                <w:w w:val="96"/>
              </w:rPr>
              <w:t>Michael W. Kalb</w:t>
            </w:r>
          </w:p>
        </w:tc>
      </w:tr>
      <w:tr>
        <w:trPr>
          <w:trHeight w:val="216"/>
        </w:trPr>
        <w:tc>
          <w:tcPr>
            <w:tcW w:w="5180" w:type="dxa"/>
            <w:vAlign w:val="bottom"/>
          </w:tcPr>
          <w:p>
            <w:pPr>
              <w:spacing w:after="0"/>
              <w:rPr>
                <w:sz w:val="18"/>
                <w:szCs w:val="18"/>
                <w:color w:val="auto"/>
              </w:rPr>
            </w:pPr>
          </w:p>
        </w:tc>
        <w:tc>
          <w:tcPr>
            <w:tcW w:w="62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Senior Vice President and Chief Financial Officer</w:t>
            </w:r>
          </w:p>
        </w:tc>
      </w:tr>
      <w:tr>
        <w:trPr>
          <w:trHeight w:val="228"/>
        </w:trPr>
        <w:tc>
          <w:tcPr>
            <w:tcW w:w="5180" w:type="dxa"/>
            <w:vAlign w:val="bottom"/>
          </w:tcPr>
          <w:p>
            <w:pPr>
              <w:spacing w:after="0"/>
              <w:rPr>
                <w:sz w:val="19"/>
                <w:szCs w:val="19"/>
                <w:color w:val="auto"/>
              </w:rPr>
            </w:pPr>
          </w:p>
        </w:tc>
        <w:tc>
          <w:tcPr>
            <w:tcW w:w="62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(Principal Financial Officer and Principal Accounting Officer)</w:t>
            </w:r>
          </w:p>
        </w:tc>
      </w:tr>
    </w:tbl>
    <w:p>
      <w:pPr>
        <w:sectPr>
          <w:pgSz w:w="11900" w:h="16838" w:orient="portrait"/>
          <w:cols w:equalWidth="0" w:num="1">
            <w:col w:w="11420"/>
          </w:cols>
          <w:pgMar w:left="240" w:top="123"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55" w:lineRule="exact"/>
        <w:rPr>
          <w:sz w:val="20"/>
          <w:szCs w:val="20"/>
          <w:color w:val="auto"/>
        </w:rPr>
      </w:pPr>
    </w:p>
    <w:p>
      <w:pPr>
        <w:ind w:left="460" w:right="60" w:hanging="452"/>
        <w:spacing w:after="0" w:line="275"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2016, to which this Certification is attached as Exhibit 32.1 (the “Annual Report”) fully complies with the requirements of Section 13(a) or 15(d) of the Securities Exchange Act of 1934; and</w:t>
      </w:r>
    </w:p>
    <w:p>
      <w:pPr>
        <w:spacing w:after="0" w:line="38"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at the end of such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Thero</w:t>
            </w: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2017</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John F. Thero</w:t>
            </w:r>
          </w:p>
        </w:tc>
      </w:tr>
      <w:tr>
        <w:trPr>
          <w:trHeight w:val="228"/>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2017</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8"/>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63"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lowerRoman"/>
      <w:start w:val="4"/>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lowerRoman"/>
      <w:start w:val="1"/>
    </w:lvl>
  </w:abstractNum>
  <w:abstractNum w:abstractNumId="24">
    <w:nsid w:val="542289EC"/>
    <w:multiLevelType w:val="hybridMultilevel"/>
    <w:lvl w:ilvl="0">
      <w:lvlJc w:val="left"/>
      <w:lvlText w:val="(%1)"/>
      <w:numFmt w:val="lowerRoman"/>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lowerRoman"/>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01"/>
    </w:lvl>
  </w:abstractNum>
  <w:abstractNum w:abstractNumId="36">
    <w:nsid w:val="12E685FB"/>
    <w:multiLevelType w:val="hybridMultilevel"/>
    <w:lvl w:ilvl="0">
      <w:lvlJc w:val="left"/>
      <w:lvlText w:val="%1"/>
      <w:numFmt w:val="decimal"/>
      <w:start w:val="101"/>
    </w:lvl>
  </w:abstractNum>
  <w:abstractNum w:abstractNumId="37">
    <w:nsid w:val="70C6A529"/>
    <w:multiLevelType w:val="hybridMultilevel"/>
    <w:lvl w:ilvl="0">
      <w:lvlJc w:val="left"/>
      <w:lvlText w:val="%1"/>
      <w:numFmt w:val="decimal"/>
      <w:start w:val="10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2"/>
    </w:lvl>
  </w:abstractNum>
  <w:abstractNum w:abstractNumId="42">
    <w:nsid w:val="649BB77C"/>
    <w:multiLevelType w:val="hybridMultilevel"/>
    <w:lvl w:ilvl="0">
      <w:lvlJc w:val="left"/>
      <w:lvlText w:val="(%1)"/>
      <w:numFmt w:val="lowerRoman"/>
      <w:start w:val="1"/>
    </w:lvl>
  </w:abstractNum>
  <w:abstractNum w:abstractNumId="43">
    <w:nsid w:val="275AC794"/>
    <w:multiLevelType w:val="hybridMultilevel"/>
    <w:lvl w:ilvl="0">
      <w:lvlJc w:val="left"/>
      <w:lvlText w:val="(%1)"/>
      <w:numFmt w:val="lowerRoman"/>
      <w:start w:val="1"/>
    </w:lvl>
  </w:abstractNum>
  <w:abstractNum w:abstractNumId="44">
    <w:nsid w:val="39386575"/>
    <w:multiLevelType w:val="hybridMultilevel"/>
    <w:lvl w:ilvl="0">
      <w:lvlJc w:val="left"/>
      <w:lvlText w:val="(%1)"/>
      <w:numFmt w:val="lowerRoman"/>
      <w:start w:val="1"/>
    </w:lvl>
  </w:abstractNum>
  <w:abstractNum w:abstractNumId="45">
    <w:nsid w:val="1CF10FD8"/>
    <w:multiLevelType w:val="hybridMultilevel"/>
    <w:lvl w:ilvl="0">
      <w:lvlJc w:val="left"/>
      <w:lvlText w:val="(%1)"/>
      <w:numFmt w:val="decimal"/>
      <w:start w:val="3"/>
    </w:lvl>
  </w:abstractNum>
  <w:abstractNum w:abstractNumId="46">
    <w:nsid w:val="180115BE"/>
    <w:multiLevelType w:val="hybridMultilevel"/>
    <w:lvl w:ilvl="0">
      <w:lvlJc w:val="left"/>
      <w:lvlText w:val="(%1)"/>
      <w:numFmt w:val="decimal"/>
      <w:start w:val="4"/>
    </w:lvl>
  </w:abstractNum>
  <w:abstractNum w:abstractNumId="47">
    <w:nsid w:val="235BA861"/>
    <w:multiLevelType w:val="hybridMultilevel"/>
    <w:lvl w:ilvl="0">
      <w:lvlJc w:val="left"/>
      <w:lvlText w:val="(%1)"/>
      <w:numFmt w:val="decimal"/>
      <w:start w:val="8"/>
    </w:lvl>
  </w:abstractNum>
  <w:abstractNum w:abstractNumId="48">
    <w:nsid w:val="47398C89"/>
    <w:multiLevelType w:val="hybridMultilevel"/>
    <w:lvl w:ilvl="0">
      <w:lvlJc w:val="left"/>
      <w:lvlText w:val="(%1)"/>
      <w:numFmt w:val="decimal"/>
      <w:start w:val="9"/>
    </w:lvl>
  </w:abstractNum>
  <w:abstractNum w:abstractNumId="49">
    <w:nsid w:val="354FE9F9"/>
    <w:multiLevelType w:val="hybridMultilevel"/>
    <w:lvl w:ilvl="0">
      <w:lvlJc w:val="left"/>
      <w:lvlText w:val="(%1)"/>
      <w:numFmt w:val="decimal"/>
      <w:start w:val="10"/>
    </w:lvl>
  </w:abstractNum>
  <w:abstractNum w:abstractNumId="50">
    <w:nsid w:val="15B5AF5C"/>
    <w:multiLevelType w:val="hybridMultilevel"/>
    <w:lvl w:ilvl="0">
      <w:lvlJc w:val="left"/>
      <w:lvlText w:val="(%1)"/>
      <w:numFmt w:val="decimal"/>
      <w:start w:val="11"/>
    </w:lvl>
  </w:abstractNum>
  <w:abstractNum w:abstractNumId="51">
    <w:nsid w:val="741226BB"/>
    <w:multiLevelType w:val="hybridMultilevel"/>
    <w:lvl w:ilvl="0">
      <w:lvlJc w:val="left"/>
      <w:lvlText w:val="(%1)"/>
      <w:numFmt w:val="decimal"/>
      <w:start w:val="12"/>
    </w:lvl>
  </w:abstractNum>
  <w:abstractNum w:abstractNumId="52">
    <w:nsid w:val="D34B6A8"/>
    <w:multiLevelType w:val="hybridMultilevel"/>
    <w:lvl w:ilvl="0">
      <w:lvlJc w:val="left"/>
      <w:lvlText w:val="(%1)"/>
      <w:numFmt w:val="decimal"/>
      <w:start w:val="13"/>
    </w:lvl>
  </w:abstractNum>
  <w:abstractNum w:abstractNumId="53">
    <w:nsid w:val="10233C99"/>
    <w:multiLevelType w:val="hybridMultilevel"/>
    <w:lvl w:ilvl="0">
      <w:lvlJc w:val="left"/>
      <w:lvlText w:val="(%1)"/>
      <w:numFmt w:val="decimal"/>
      <w:start w:val="14"/>
    </w:lvl>
  </w:abstractNum>
  <w:abstractNum w:abstractNumId="54">
    <w:nsid w:val="3F6AB60F"/>
    <w:multiLevelType w:val="hybridMultilevel"/>
    <w:lvl w:ilvl="0">
      <w:lvlJc w:val="left"/>
      <w:lvlText w:val="(%1)"/>
      <w:numFmt w:val="decimal"/>
      <w:start w:val="15"/>
    </w:lvl>
  </w:abstractNum>
  <w:abstractNum w:abstractNumId="55">
    <w:nsid w:val="61574095"/>
    <w:multiLevelType w:val="hybridMultilevel"/>
    <w:lvl w:ilvl="0">
      <w:lvlJc w:val="left"/>
      <w:lvlText w:val="(%1)"/>
      <w:numFmt w:val="decimal"/>
      <w:start w:val="16"/>
    </w:lvl>
  </w:abstractNum>
  <w:abstractNum w:abstractNumId="56">
    <w:nsid w:val="7E0C57B1"/>
    <w:multiLevelType w:val="hybridMultilevel"/>
    <w:lvl w:ilvl="0">
      <w:lvlJc w:val="left"/>
      <w:lvlText w:val="(%1)"/>
      <w:numFmt w:val="decimal"/>
      <w:start w:val="17"/>
    </w:lvl>
  </w:abstractNum>
  <w:abstractNum w:abstractNumId="57">
    <w:nsid w:val="77AE35EB"/>
    <w:multiLevelType w:val="hybridMultilevel"/>
    <w:lvl w:ilvl="0">
      <w:lvlJc w:val="left"/>
      <w:lvlText w:val="(%1)"/>
      <w:numFmt w:val="decimal"/>
      <w:start w:val="18"/>
    </w:lvl>
  </w:abstractNum>
  <w:abstractNum w:abstractNumId="58">
    <w:nsid w:val="579BE4F1"/>
    <w:multiLevelType w:val="hybridMultilevel"/>
    <w:lvl w:ilvl="0">
      <w:lvlJc w:val="left"/>
      <w:lvlText w:val="%1."/>
      <w:numFmt w:val="upperLetter"/>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3"/>
    </w:lvl>
    <w:lvl w:ilvl="1">
      <w:lvlJc w:val="left"/>
      <w:lvlText w:val="%2."/>
      <w:numFmt w:val="lowerLetter"/>
      <w:start w:val="1"/>
    </w:lvl>
  </w:abstractNum>
  <w:abstractNum w:abstractNumId="61">
    <w:nsid w:val="2F305DEF"/>
    <w:multiLevelType w:val="hybridMultilevel"/>
    <w:lvl w:ilvl="0">
      <w:lvlJc w:val="left"/>
      <w:lvlText w:val="%1."/>
      <w:numFmt w:val="lowerLetter"/>
      <w:start w:val="4"/>
    </w:lvl>
  </w:abstractNum>
  <w:abstractNum w:abstractNumId="62">
    <w:nsid w:val="25A70BF7"/>
    <w:multiLevelType w:val="hybridMultilevel"/>
    <w:lvl w:ilvl="0">
      <w:lvlJc w:val="left"/>
      <w:lvlText w:val="%1."/>
      <w:numFmt w:val="decimal"/>
      <w:start w:val="4"/>
    </w:lvl>
    <w:lvl w:ilvl="1">
      <w:lvlJc w:val="left"/>
      <w:lvlText w:val="%2."/>
      <w:numFmt w:val="upperLetter"/>
      <w:start w:val="2"/>
    </w:lvl>
  </w:abstractNum>
  <w:abstractNum w:abstractNumId="63">
    <w:nsid w:val="1DBABF00"/>
    <w:multiLevelType w:val="hybridMultilevel"/>
    <w:lvl w:ilvl="0">
      <w:lvlJc w:val="left"/>
      <w:lvlText w:val="%1."/>
      <w:numFmt w:val="decimal"/>
      <w:start w:val="7"/>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2019-12-29T07:13:32Z</dcterms:created>
  <dcterms:modified xsi:type="dcterms:W3CDTF">2019-12-29T07:13:32Z</dcterms:modified>
</cp:coreProperties>
</file>